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52935" w14:textId="77777777" w:rsidR="00954279" w:rsidRDefault="00A66714">
      <w:pPr>
        <w:ind w:left="144" w:right="144"/>
        <w:jc w:val="center"/>
        <w:rPr>
          <w:sz w:val="20"/>
          <w:szCs w:val="20"/>
        </w:rPr>
      </w:pPr>
      <w:r>
        <w:rPr>
          <w:b/>
          <w:bCs/>
          <w:sz w:val="20"/>
          <w:szCs w:val="20"/>
        </w:rPr>
        <w:t>UNITED STATES</w:t>
      </w:r>
      <w:r>
        <w:rPr>
          <w:b/>
          <w:bCs/>
          <w:sz w:val="20"/>
          <w:szCs w:val="20"/>
        </w:rPr>
        <w:br/>
        <w:t>SECURITIES AND EXCHANGE COMMISSION</w:t>
      </w:r>
    </w:p>
    <w:p w14:paraId="4C8AC812" w14:textId="77777777" w:rsidR="00954279" w:rsidRDefault="00A66714">
      <w:pPr>
        <w:ind w:left="144" w:right="144"/>
        <w:jc w:val="center"/>
        <w:rPr>
          <w:sz w:val="20"/>
          <w:szCs w:val="20"/>
        </w:rPr>
      </w:pPr>
      <w:r>
        <w:rPr>
          <w:b/>
          <w:bCs/>
          <w:sz w:val="20"/>
          <w:szCs w:val="20"/>
        </w:rPr>
        <w:t>Washington, D.C. 20549</w:t>
      </w:r>
    </w:p>
    <w:p w14:paraId="032A3103" w14:textId="77777777" w:rsidR="00954279" w:rsidRDefault="00A66714">
      <w:pPr>
        <w:ind w:left="144" w:right="144"/>
        <w:jc w:val="center"/>
        <w:rPr>
          <w:sz w:val="20"/>
          <w:szCs w:val="20"/>
        </w:rPr>
      </w:pPr>
      <w:r>
        <w:rPr>
          <w:b/>
          <w:bCs/>
          <w:sz w:val="20"/>
          <w:szCs w:val="20"/>
        </w:rPr>
        <w:t>__________________________________________</w:t>
      </w:r>
    </w:p>
    <w:p w14:paraId="04A6E4BC" w14:textId="77777777" w:rsidR="00954279" w:rsidRDefault="00A66714">
      <w:pPr>
        <w:ind w:left="144" w:right="144"/>
        <w:jc w:val="center"/>
        <w:rPr>
          <w:sz w:val="20"/>
          <w:szCs w:val="20"/>
        </w:rPr>
      </w:pPr>
      <w:r>
        <w:rPr>
          <w:b/>
          <w:bCs/>
          <w:sz w:val="20"/>
          <w:szCs w:val="20"/>
        </w:rPr>
        <w:t>FORM 10-Q</w:t>
      </w:r>
    </w:p>
    <w:p w14:paraId="11A1ACF6" w14:textId="77777777" w:rsidR="00954279" w:rsidRDefault="00A66714">
      <w:pPr>
        <w:ind w:left="144" w:right="144"/>
        <w:rPr>
          <w:sz w:val="20"/>
          <w:szCs w:val="20"/>
        </w:rPr>
      </w:pPr>
      <w:r>
        <w:rPr>
          <w:b/>
          <w:bCs/>
          <w:sz w:val="20"/>
          <w:szCs w:val="20"/>
        </w:rPr>
        <w:t>(Mark One)</w:t>
      </w:r>
    </w:p>
    <w:tbl>
      <w:tblPr>
        <w:tblW w:w="5000" w:type="pct"/>
        <w:tblInd w:w="149" w:type="dxa"/>
        <w:tblCellMar>
          <w:left w:w="0" w:type="dxa"/>
          <w:right w:w="0" w:type="dxa"/>
        </w:tblCellMar>
        <w:tblLook w:val="04A0" w:firstRow="1" w:lastRow="0" w:firstColumn="1" w:lastColumn="0" w:noHBand="0" w:noVBand="1"/>
      </w:tblPr>
      <w:tblGrid>
        <w:gridCol w:w="540"/>
        <w:gridCol w:w="9720"/>
        <w:gridCol w:w="540"/>
      </w:tblGrid>
      <w:tr w:rsidR="00954279" w14:paraId="5723B731" w14:textId="77777777">
        <w:tc>
          <w:tcPr>
            <w:tcW w:w="250" w:type="pct"/>
            <w:tcMar>
              <w:top w:w="5" w:type="dxa"/>
              <w:left w:w="5" w:type="dxa"/>
              <w:bottom w:w="5" w:type="dxa"/>
              <w:right w:w="5" w:type="dxa"/>
            </w:tcMar>
            <w:hideMark/>
          </w:tcPr>
          <w:p w14:paraId="0275075E" w14:textId="77777777" w:rsidR="00954279" w:rsidRDefault="00A66714">
            <w:pPr>
              <w:rPr>
                <w:color w:val="000000"/>
                <w:sz w:val="20"/>
                <w:szCs w:val="20"/>
              </w:rPr>
            </w:pPr>
            <w:r>
              <w:rPr>
                <w:color w:val="000000"/>
                <w:sz w:val="20"/>
                <w:szCs w:val="20"/>
              </w:rPr>
              <w:t> </w:t>
            </w:r>
          </w:p>
        </w:tc>
        <w:tc>
          <w:tcPr>
            <w:tcW w:w="4500" w:type="pct"/>
            <w:tcMar>
              <w:top w:w="5" w:type="dxa"/>
              <w:left w:w="5" w:type="dxa"/>
              <w:bottom w:w="5" w:type="dxa"/>
              <w:right w:w="5" w:type="dxa"/>
            </w:tcMar>
            <w:vAlign w:val="bottom"/>
            <w:hideMark/>
          </w:tcPr>
          <w:p w14:paraId="5EA8599B" w14:textId="77777777" w:rsidR="00954279" w:rsidRDefault="00A66714">
            <w:pPr>
              <w:rPr>
                <w:color w:val="000000"/>
                <w:sz w:val="20"/>
                <w:szCs w:val="20"/>
              </w:rPr>
            </w:pPr>
            <w:r>
              <w:rPr>
                <w:color w:val="000000"/>
                <w:sz w:val="20"/>
                <w:szCs w:val="20"/>
              </w:rPr>
              <w:t> </w:t>
            </w:r>
          </w:p>
        </w:tc>
        <w:tc>
          <w:tcPr>
            <w:tcW w:w="250" w:type="pct"/>
            <w:tcMar>
              <w:top w:w="5" w:type="dxa"/>
              <w:left w:w="5" w:type="dxa"/>
              <w:bottom w:w="5" w:type="dxa"/>
              <w:right w:w="5" w:type="dxa"/>
            </w:tcMar>
            <w:vAlign w:val="bottom"/>
            <w:hideMark/>
          </w:tcPr>
          <w:p w14:paraId="7B827732" w14:textId="77777777" w:rsidR="00954279" w:rsidRDefault="00A66714">
            <w:pPr>
              <w:rPr>
                <w:color w:val="000000"/>
                <w:sz w:val="20"/>
                <w:szCs w:val="20"/>
              </w:rPr>
            </w:pPr>
            <w:r>
              <w:rPr>
                <w:color w:val="000000"/>
                <w:sz w:val="20"/>
                <w:szCs w:val="20"/>
              </w:rPr>
              <w:t> </w:t>
            </w:r>
          </w:p>
        </w:tc>
      </w:tr>
      <w:tr w:rsidR="00954279" w14:paraId="7B1FB37A" w14:textId="77777777">
        <w:tc>
          <w:tcPr>
            <w:tcW w:w="250" w:type="pct"/>
            <w:tcMar>
              <w:top w:w="5" w:type="dxa"/>
              <w:left w:w="5" w:type="dxa"/>
              <w:bottom w:w="5" w:type="dxa"/>
              <w:right w:w="5" w:type="dxa"/>
            </w:tcMar>
            <w:hideMark/>
          </w:tcPr>
          <w:p w14:paraId="1037C0B9" w14:textId="77777777" w:rsidR="00954279" w:rsidRDefault="00A66714">
            <w:pPr>
              <w:ind w:left="101" w:right="101" w:hanging="101"/>
              <w:rPr>
                <w:color w:val="000000"/>
                <w:sz w:val="20"/>
                <w:szCs w:val="20"/>
              </w:rPr>
            </w:pPr>
            <w:r>
              <w:rPr>
                <w:rFonts w:ascii="Segoe UI Symbol" w:eastAsia="Segoe UI Symbol" w:hAnsi="Segoe UI Symbol" w:cs="Segoe UI Symbol"/>
                <w:color w:val="000000"/>
                <w:sz w:val="20"/>
                <w:szCs w:val="20"/>
              </w:rPr>
              <w:t>☒</w:t>
            </w:r>
          </w:p>
        </w:tc>
        <w:tc>
          <w:tcPr>
            <w:tcW w:w="4500" w:type="pct"/>
            <w:tcMar>
              <w:top w:w="5" w:type="dxa"/>
              <w:left w:w="5" w:type="dxa"/>
              <w:bottom w:w="5" w:type="dxa"/>
              <w:right w:w="5" w:type="dxa"/>
            </w:tcMar>
            <w:vAlign w:val="bottom"/>
            <w:hideMark/>
          </w:tcPr>
          <w:p w14:paraId="45E93E97" w14:textId="77777777" w:rsidR="00954279" w:rsidRDefault="00A66714">
            <w:pPr>
              <w:jc w:val="center"/>
              <w:rPr>
                <w:color w:val="000000"/>
                <w:sz w:val="20"/>
                <w:szCs w:val="20"/>
              </w:rPr>
            </w:pPr>
            <w:r>
              <w:rPr>
                <w:b/>
                <w:bCs/>
                <w:color w:val="000000"/>
                <w:sz w:val="20"/>
                <w:szCs w:val="20"/>
              </w:rPr>
              <w:t>QUARTERLY REPORT PURSUANT TO SECTION 13 OR 15(d) OF THE</w:t>
            </w:r>
          </w:p>
          <w:p w14:paraId="20130857" w14:textId="77777777" w:rsidR="00954279" w:rsidRDefault="00A66714">
            <w:pPr>
              <w:jc w:val="center"/>
              <w:rPr>
                <w:color w:val="000000"/>
                <w:sz w:val="20"/>
                <w:szCs w:val="20"/>
              </w:rPr>
            </w:pPr>
            <w:r>
              <w:rPr>
                <w:b/>
                <w:bCs/>
                <w:color w:val="000000"/>
                <w:sz w:val="20"/>
                <w:szCs w:val="20"/>
              </w:rPr>
              <w:t>SECURITIES EXCHANGE ACT OF 1934</w:t>
            </w:r>
          </w:p>
        </w:tc>
        <w:tc>
          <w:tcPr>
            <w:tcW w:w="250" w:type="pct"/>
            <w:tcMar>
              <w:top w:w="5" w:type="dxa"/>
              <w:left w:w="5" w:type="dxa"/>
              <w:bottom w:w="5" w:type="dxa"/>
              <w:right w:w="5" w:type="dxa"/>
            </w:tcMar>
            <w:vAlign w:val="bottom"/>
            <w:hideMark/>
          </w:tcPr>
          <w:p w14:paraId="1533B126" w14:textId="77777777" w:rsidR="00954279" w:rsidRDefault="00A66714">
            <w:pPr>
              <w:rPr>
                <w:color w:val="000000"/>
                <w:sz w:val="20"/>
                <w:szCs w:val="20"/>
              </w:rPr>
            </w:pPr>
            <w:r>
              <w:rPr>
                <w:color w:val="000000"/>
                <w:sz w:val="20"/>
                <w:szCs w:val="20"/>
              </w:rPr>
              <w:t> </w:t>
            </w:r>
          </w:p>
        </w:tc>
      </w:tr>
      <w:tr w:rsidR="00954279" w14:paraId="598A1D2A" w14:textId="77777777">
        <w:tc>
          <w:tcPr>
            <w:tcW w:w="250" w:type="pct"/>
            <w:tcMar>
              <w:top w:w="5" w:type="dxa"/>
              <w:left w:w="5" w:type="dxa"/>
              <w:bottom w:w="5" w:type="dxa"/>
              <w:right w:w="5" w:type="dxa"/>
            </w:tcMar>
            <w:hideMark/>
          </w:tcPr>
          <w:p w14:paraId="0A3543C3" w14:textId="77777777" w:rsidR="00954279" w:rsidRDefault="00A66714">
            <w:pPr>
              <w:rPr>
                <w:color w:val="000000"/>
                <w:sz w:val="20"/>
                <w:szCs w:val="20"/>
              </w:rPr>
            </w:pPr>
            <w:r>
              <w:rPr>
                <w:color w:val="000000"/>
                <w:sz w:val="20"/>
                <w:szCs w:val="20"/>
              </w:rPr>
              <w:t> </w:t>
            </w:r>
          </w:p>
        </w:tc>
        <w:tc>
          <w:tcPr>
            <w:tcW w:w="4500" w:type="pct"/>
            <w:tcMar>
              <w:top w:w="5" w:type="dxa"/>
              <w:left w:w="5" w:type="dxa"/>
              <w:bottom w:w="5" w:type="dxa"/>
              <w:right w:w="5" w:type="dxa"/>
            </w:tcMar>
            <w:vAlign w:val="bottom"/>
            <w:hideMark/>
          </w:tcPr>
          <w:p w14:paraId="38754DCE" w14:textId="77777777" w:rsidR="00954279" w:rsidRDefault="00A66714">
            <w:pPr>
              <w:rPr>
                <w:color w:val="000000"/>
                <w:sz w:val="20"/>
                <w:szCs w:val="20"/>
              </w:rPr>
            </w:pPr>
            <w:r>
              <w:rPr>
                <w:color w:val="000000"/>
                <w:sz w:val="20"/>
                <w:szCs w:val="20"/>
              </w:rPr>
              <w:t> </w:t>
            </w:r>
          </w:p>
        </w:tc>
        <w:tc>
          <w:tcPr>
            <w:tcW w:w="250" w:type="pct"/>
            <w:tcMar>
              <w:top w:w="5" w:type="dxa"/>
              <w:left w:w="5" w:type="dxa"/>
              <w:bottom w:w="5" w:type="dxa"/>
              <w:right w:w="5" w:type="dxa"/>
            </w:tcMar>
            <w:vAlign w:val="bottom"/>
            <w:hideMark/>
          </w:tcPr>
          <w:p w14:paraId="0736B9FF" w14:textId="77777777" w:rsidR="00954279" w:rsidRDefault="00A66714">
            <w:pPr>
              <w:rPr>
                <w:color w:val="000000"/>
                <w:sz w:val="20"/>
                <w:szCs w:val="20"/>
              </w:rPr>
            </w:pPr>
            <w:r>
              <w:rPr>
                <w:color w:val="000000"/>
                <w:sz w:val="20"/>
                <w:szCs w:val="20"/>
              </w:rPr>
              <w:t> </w:t>
            </w:r>
          </w:p>
        </w:tc>
      </w:tr>
      <w:tr w:rsidR="00954279" w14:paraId="4A6680C8" w14:textId="77777777">
        <w:tc>
          <w:tcPr>
            <w:tcW w:w="250" w:type="pct"/>
            <w:tcMar>
              <w:top w:w="5" w:type="dxa"/>
              <w:left w:w="5" w:type="dxa"/>
              <w:bottom w:w="5" w:type="dxa"/>
              <w:right w:w="5" w:type="dxa"/>
            </w:tcMar>
            <w:hideMark/>
          </w:tcPr>
          <w:p w14:paraId="228DB092" w14:textId="77777777" w:rsidR="00954279" w:rsidRDefault="00A66714">
            <w:pPr>
              <w:rPr>
                <w:color w:val="000000"/>
                <w:sz w:val="20"/>
                <w:szCs w:val="20"/>
              </w:rPr>
            </w:pPr>
            <w:r>
              <w:rPr>
                <w:color w:val="000000"/>
                <w:sz w:val="20"/>
                <w:szCs w:val="20"/>
              </w:rPr>
              <w:t> </w:t>
            </w:r>
          </w:p>
        </w:tc>
        <w:tc>
          <w:tcPr>
            <w:tcW w:w="4500" w:type="pct"/>
            <w:tcMar>
              <w:top w:w="5" w:type="dxa"/>
              <w:left w:w="5" w:type="dxa"/>
              <w:bottom w:w="5" w:type="dxa"/>
              <w:right w:w="5" w:type="dxa"/>
            </w:tcMar>
            <w:hideMark/>
          </w:tcPr>
          <w:p w14:paraId="30BBA27D" w14:textId="77777777" w:rsidR="00954279" w:rsidRDefault="00A66714">
            <w:pPr>
              <w:jc w:val="center"/>
              <w:rPr>
                <w:color w:val="000000"/>
                <w:sz w:val="20"/>
                <w:szCs w:val="20"/>
              </w:rPr>
            </w:pPr>
            <w:r>
              <w:rPr>
                <w:b/>
                <w:bCs/>
                <w:color w:val="000000"/>
                <w:sz w:val="20"/>
                <w:szCs w:val="20"/>
              </w:rPr>
              <w:t xml:space="preserve">FOR THE QUARTERLY PERIOD ENDED </w:t>
            </w:r>
            <w:bookmarkStart w:id="0" w:name="led65141F20205221592862211787"/>
            <w:r>
              <w:rPr>
                <w:b/>
                <w:bCs/>
                <w:caps/>
                <w:color w:val="000000"/>
                <w:sz w:val="20"/>
                <w:szCs w:val="20"/>
              </w:rPr>
              <w:t>June 30, 2021</w:t>
            </w:r>
          </w:p>
        </w:tc>
        <w:tc>
          <w:tcPr>
            <w:tcW w:w="250" w:type="pct"/>
            <w:tcMar>
              <w:top w:w="5" w:type="dxa"/>
              <w:left w:w="5" w:type="dxa"/>
              <w:bottom w:w="5" w:type="dxa"/>
              <w:right w:w="5" w:type="dxa"/>
            </w:tcMar>
            <w:hideMark/>
          </w:tcPr>
          <w:p w14:paraId="295559E5" w14:textId="77777777" w:rsidR="00954279" w:rsidRDefault="00A66714">
            <w:pPr>
              <w:rPr>
                <w:color w:val="000000"/>
                <w:sz w:val="20"/>
                <w:szCs w:val="20"/>
              </w:rPr>
            </w:pPr>
            <w:r>
              <w:rPr>
                <w:color w:val="000000"/>
                <w:sz w:val="20"/>
                <w:szCs w:val="20"/>
              </w:rPr>
              <w:t> </w:t>
            </w:r>
          </w:p>
        </w:tc>
      </w:tr>
      <w:tr w:rsidR="00954279" w14:paraId="22CE76EC" w14:textId="77777777">
        <w:tc>
          <w:tcPr>
            <w:tcW w:w="250" w:type="pct"/>
            <w:tcMar>
              <w:top w:w="5" w:type="dxa"/>
              <w:left w:w="5" w:type="dxa"/>
              <w:bottom w:w="5" w:type="dxa"/>
              <w:right w:w="5" w:type="dxa"/>
            </w:tcMar>
            <w:hideMark/>
          </w:tcPr>
          <w:p w14:paraId="59674349" w14:textId="77777777" w:rsidR="00954279" w:rsidRDefault="00A66714">
            <w:pPr>
              <w:rPr>
                <w:color w:val="000000"/>
                <w:sz w:val="20"/>
                <w:szCs w:val="20"/>
              </w:rPr>
            </w:pPr>
            <w:r>
              <w:rPr>
                <w:color w:val="000000"/>
                <w:sz w:val="20"/>
                <w:szCs w:val="20"/>
              </w:rPr>
              <w:t> </w:t>
            </w:r>
          </w:p>
        </w:tc>
        <w:tc>
          <w:tcPr>
            <w:tcW w:w="4500" w:type="pct"/>
            <w:tcMar>
              <w:top w:w="5" w:type="dxa"/>
              <w:left w:w="5" w:type="dxa"/>
              <w:bottom w:w="5" w:type="dxa"/>
              <w:right w:w="5" w:type="dxa"/>
            </w:tcMar>
            <w:hideMark/>
          </w:tcPr>
          <w:p w14:paraId="698D1E0F" w14:textId="77777777" w:rsidR="00954279" w:rsidRDefault="00A66714">
            <w:pPr>
              <w:rPr>
                <w:color w:val="000000"/>
                <w:sz w:val="20"/>
                <w:szCs w:val="20"/>
              </w:rPr>
            </w:pPr>
            <w:r>
              <w:rPr>
                <w:color w:val="000000"/>
                <w:sz w:val="20"/>
                <w:szCs w:val="20"/>
              </w:rPr>
              <w:t> </w:t>
            </w:r>
          </w:p>
        </w:tc>
        <w:tc>
          <w:tcPr>
            <w:tcW w:w="250" w:type="pct"/>
            <w:tcMar>
              <w:top w:w="5" w:type="dxa"/>
              <w:left w:w="5" w:type="dxa"/>
              <w:bottom w:w="5" w:type="dxa"/>
              <w:right w:w="5" w:type="dxa"/>
            </w:tcMar>
            <w:hideMark/>
          </w:tcPr>
          <w:p w14:paraId="65C71DC8" w14:textId="77777777" w:rsidR="00954279" w:rsidRDefault="00A66714">
            <w:pPr>
              <w:rPr>
                <w:color w:val="000000"/>
                <w:sz w:val="20"/>
                <w:szCs w:val="20"/>
              </w:rPr>
            </w:pPr>
            <w:r>
              <w:rPr>
                <w:color w:val="000000"/>
                <w:sz w:val="20"/>
                <w:szCs w:val="20"/>
              </w:rPr>
              <w:t> </w:t>
            </w:r>
          </w:p>
        </w:tc>
      </w:tr>
      <w:tr w:rsidR="00954279" w14:paraId="22F10396" w14:textId="77777777">
        <w:tc>
          <w:tcPr>
            <w:tcW w:w="250" w:type="pct"/>
            <w:tcMar>
              <w:top w:w="5" w:type="dxa"/>
              <w:left w:w="5" w:type="dxa"/>
              <w:bottom w:w="5" w:type="dxa"/>
              <w:right w:w="5" w:type="dxa"/>
            </w:tcMar>
            <w:hideMark/>
          </w:tcPr>
          <w:p w14:paraId="65B4F979" w14:textId="77777777" w:rsidR="00954279" w:rsidRDefault="00A66714">
            <w:pPr>
              <w:rPr>
                <w:color w:val="000000"/>
                <w:sz w:val="20"/>
                <w:szCs w:val="20"/>
              </w:rPr>
            </w:pPr>
            <w:r>
              <w:rPr>
                <w:color w:val="000000"/>
                <w:sz w:val="20"/>
                <w:szCs w:val="20"/>
              </w:rPr>
              <w:t> </w:t>
            </w:r>
          </w:p>
        </w:tc>
        <w:tc>
          <w:tcPr>
            <w:tcW w:w="4500" w:type="pct"/>
            <w:tcMar>
              <w:top w:w="5" w:type="dxa"/>
              <w:left w:w="5" w:type="dxa"/>
              <w:bottom w:w="5" w:type="dxa"/>
              <w:right w:w="5" w:type="dxa"/>
            </w:tcMar>
            <w:hideMark/>
          </w:tcPr>
          <w:p w14:paraId="6AD38A92" w14:textId="77777777" w:rsidR="00954279" w:rsidRDefault="00A66714">
            <w:pPr>
              <w:jc w:val="center"/>
              <w:rPr>
                <w:color w:val="000000"/>
                <w:sz w:val="20"/>
                <w:szCs w:val="20"/>
              </w:rPr>
            </w:pPr>
            <w:r>
              <w:rPr>
                <w:b/>
                <w:bCs/>
                <w:color w:val="000000"/>
                <w:sz w:val="20"/>
                <w:szCs w:val="20"/>
              </w:rPr>
              <w:t>OR</w:t>
            </w:r>
          </w:p>
        </w:tc>
        <w:tc>
          <w:tcPr>
            <w:tcW w:w="250" w:type="pct"/>
            <w:tcMar>
              <w:top w:w="5" w:type="dxa"/>
              <w:left w:w="5" w:type="dxa"/>
              <w:bottom w:w="5" w:type="dxa"/>
              <w:right w:w="5" w:type="dxa"/>
            </w:tcMar>
            <w:hideMark/>
          </w:tcPr>
          <w:p w14:paraId="5077E74B" w14:textId="77777777" w:rsidR="00954279" w:rsidRDefault="00A66714">
            <w:pPr>
              <w:rPr>
                <w:color w:val="000000"/>
                <w:sz w:val="20"/>
                <w:szCs w:val="20"/>
              </w:rPr>
            </w:pPr>
            <w:r>
              <w:rPr>
                <w:color w:val="000000"/>
                <w:sz w:val="20"/>
                <w:szCs w:val="20"/>
              </w:rPr>
              <w:t> </w:t>
            </w:r>
          </w:p>
        </w:tc>
      </w:tr>
      <w:tr w:rsidR="00954279" w14:paraId="013EB00B" w14:textId="77777777">
        <w:tc>
          <w:tcPr>
            <w:tcW w:w="250" w:type="pct"/>
            <w:tcMar>
              <w:top w:w="5" w:type="dxa"/>
              <w:left w:w="5" w:type="dxa"/>
              <w:bottom w:w="5" w:type="dxa"/>
              <w:right w:w="5" w:type="dxa"/>
            </w:tcMar>
            <w:hideMark/>
          </w:tcPr>
          <w:p w14:paraId="13235515" w14:textId="77777777" w:rsidR="00954279" w:rsidRDefault="00A66714">
            <w:pPr>
              <w:rPr>
                <w:color w:val="000000"/>
                <w:sz w:val="20"/>
                <w:szCs w:val="20"/>
              </w:rPr>
            </w:pPr>
            <w:r>
              <w:rPr>
                <w:color w:val="000000"/>
                <w:sz w:val="20"/>
                <w:szCs w:val="20"/>
              </w:rPr>
              <w:t> </w:t>
            </w:r>
          </w:p>
        </w:tc>
        <w:tc>
          <w:tcPr>
            <w:tcW w:w="4500" w:type="pct"/>
            <w:tcMar>
              <w:top w:w="5" w:type="dxa"/>
              <w:left w:w="5" w:type="dxa"/>
              <w:bottom w:w="5" w:type="dxa"/>
              <w:right w:w="5" w:type="dxa"/>
            </w:tcMar>
            <w:vAlign w:val="bottom"/>
            <w:hideMark/>
          </w:tcPr>
          <w:p w14:paraId="4D83B3F6" w14:textId="77777777" w:rsidR="00954279" w:rsidRDefault="00A66714">
            <w:pPr>
              <w:rPr>
                <w:color w:val="000000"/>
                <w:sz w:val="20"/>
                <w:szCs w:val="20"/>
              </w:rPr>
            </w:pPr>
            <w:r>
              <w:rPr>
                <w:color w:val="000000"/>
                <w:sz w:val="20"/>
                <w:szCs w:val="20"/>
              </w:rPr>
              <w:t> </w:t>
            </w:r>
          </w:p>
        </w:tc>
        <w:tc>
          <w:tcPr>
            <w:tcW w:w="250" w:type="pct"/>
            <w:tcMar>
              <w:top w:w="5" w:type="dxa"/>
              <w:left w:w="5" w:type="dxa"/>
              <w:bottom w:w="5" w:type="dxa"/>
              <w:right w:w="5" w:type="dxa"/>
            </w:tcMar>
            <w:vAlign w:val="bottom"/>
            <w:hideMark/>
          </w:tcPr>
          <w:p w14:paraId="509BBA16" w14:textId="77777777" w:rsidR="00954279" w:rsidRDefault="00A66714">
            <w:pPr>
              <w:rPr>
                <w:color w:val="000000"/>
                <w:sz w:val="20"/>
                <w:szCs w:val="20"/>
              </w:rPr>
            </w:pPr>
            <w:r>
              <w:rPr>
                <w:color w:val="000000"/>
                <w:sz w:val="20"/>
                <w:szCs w:val="20"/>
              </w:rPr>
              <w:t> </w:t>
            </w:r>
          </w:p>
        </w:tc>
      </w:tr>
      <w:tr w:rsidR="00954279" w14:paraId="7626EB01" w14:textId="77777777">
        <w:tc>
          <w:tcPr>
            <w:tcW w:w="250" w:type="pct"/>
            <w:tcMar>
              <w:top w:w="5" w:type="dxa"/>
              <w:left w:w="5" w:type="dxa"/>
              <w:bottom w:w="5" w:type="dxa"/>
              <w:right w:w="5" w:type="dxa"/>
            </w:tcMar>
            <w:hideMark/>
          </w:tcPr>
          <w:p w14:paraId="5CF44580" w14:textId="77777777" w:rsidR="00954279" w:rsidRDefault="00A66714">
            <w:pPr>
              <w:ind w:left="101" w:right="101" w:hanging="101"/>
              <w:rPr>
                <w:color w:val="000000"/>
                <w:sz w:val="20"/>
                <w:szCs w:val="20"/>
              </w:rPr>
            </w:pPr>
            <w:r>
              <w:rPr>
                <w:rFonts w:ascii="Segoe UI Symbol" w:eastAsia="Segoe UI Symbol" w:hAnsi="Segoe UI Symbol" w:cs="Segoe UI Symbol"/>
                <w:color w:val="000000"/>
                <w:sz w:val="20"/>
                <w:szCs w:val="20"/>
              </w:rPr>
              <w:t>☐</w:t>
            </w:r>
          </w:p>
        </w:tc>
        <w:tc>
          <w:tcPr>
            <w:tcW w:w="4500" w:type="pct"/>
            <w:tcMar>
              <w:top w:w="5" w:type="dxa"/>
              <w:left w:w="5" w:type="dxa"/>
              <w:bottom w:w="5" w:type="dxa"/>
              <w:right w:w="5" w:type="dxa"/>
            </w:tcMar>
            <w:vAlign w:val="bottom"/>
            <w:hideMark/>
          </w:tcPr>
          <w:p w14:paraId="221B1F7D" w14:textId="77777777" w:rsidR="00954279" w:rsidRDefault="00A66714">
            <w:pPr>
              <w:jc w:val="center"/>
              <w:rPr>
                <w:color w:val="000000"/>
                <w:sz w:val="20"/>
                <w:szCs w:val="20"/>
              </w:rPr>
            </w:pPr>
            <w:r>
              <w:rPr>
                <w:b/>
                <w:bCs/>
                <w:color w:val="000000"/>
                <w:sz w:val="20"/>
                <w:szCs w:val="20"/>
              </w:rPr>
              <w:t>TRANSITION REPORT PURSUANT TO SECTION 13 OR 15(d) OF THE</w:t>
            </w:r>
          </w:p>
          <w:p w14:paraId="0593B124" w14:textId="77777777" w:rsidR="00954279" w:rsidRDefault="00A66714">
            <w:pPr>
              <w:jc w:val="center"/>
              <w:rPr>
                <w:color w:val="000000"/>
                <w:sz w:val="20"/>
                <w:szCs w:val="20"/>
              </w:rPr>
            </w:pPr>
            <w:r>
              <w:rPr>
                <w:b/>
                <w:bCs/>
                <w:color w:val="000000"/>
                <w:sz w:val="20"/>
                <w:szCs w:val="20"/>
              </w:rPr>
              <w:t>SECURITIES EXCHANGE ACT OF 1934</w:t>
            </w:r>
          </w:p>
          <w:p w14:paraId="0DFF646F" w14:textId="77777777" w:rsidR="00954279" w:rsidRDefault="00A66714">
            <w:pPr>
              <w:jc w:val="center"/>
              <w:rPr>
                <w:color w:val="000000"/>
                <w:sz w:val="20"/>
                <w:szCs w:val="20"/>
              </w:rPr>
            </w:pPr>
            <w:r>
              <w:rPr>
                <w:b/>
                <w:bCs/>
                <w:color w:val="000000"/>
                <w:sz w:val="20"/>
                <w:szCs w:val="20"/>
              </w:rPr>
              <w:t>FOR THE TRANSITION PERIOD FROM _______ TO _______</w:t>
            </w:r>
          </w:p>
        </w:tc>
        <w:tc>
          <w:tcPr>
            <w:tcW w:w="250" w:type="pct"/>
            <w:tcMar>
              <w:top w:w="5" w:type="dxa"/>
              <w:left w:w="5" w:type="dxa"/>
              <w:bottom w:w="5" w:type="dxa"/>
              <w:right w:w="5" w:type="dxa"/>
            </w:tcMar>
            <w:vAlign w:val="bottom"/>
            <w:hideMark/>
          </w:tcPr>
          <w:p w14:paraId="19BCAC33" w14:textId="77777777" w:rsidR="00954279" w:rsidRDefault="00A66714">
            <w:pPr>
              <w:rPr>
                <w:color w:val="000000"/>
                <w:sz w:val="20"/>
                <w:szCs w:val="20"/>
              </w:rPr>
            </w:pPr>
            <w:r>
              <w:rPr>
                <w:color w:val="000000"/>
                <w:sz w:val="20"/>
                <w:szCs w:val="20"/>
              </w:rPr>
              <w:t> </w:t>
            </w:r>
          </w:p>
        </w:tc>
      </w:tr>
    </w:tbl>
    <w:p w14:paraId="4E127455" w14:textId="77777777" w:rsidR="00954279" w:rsidRDefault="00A66714">
      <w:pPr>
        <w:ind w:left="144" w:right="144"/>
        <w:jc w:val="center"/>
        <w:rPr>
          <w:sz w:val="20"/>
          <w:szCs w:val="20"/>
        </w:rPr>
      </w:pPr>
      <w:r>
        <w:rPr>
          <w:sz w:val="20"/>
          <w:szCs w:val="20"/>
        </w:rPr>
        <w:t> </w:t>
      </w:r>
    </w:p>
    <w:p w14:paraId="3505BB2B" w14:textId="77777777" w:rsidR="00954279" w:rsidRDefault="00A66714">
      <w:pPr>
        <w:ind w:left="144" w:right="144"/>
        <w:jc w:val="center"/>
        <w:rPr>
          <w:sz w:val="20"/>
          <w:szCs w:val="20"/>
        </w:rPr>
      </w:pPr>
      <w:r>
        <w:rPr>
          <w:b/>
          <w:bCs/>
          <w:sz w:val="20"/>
          <w:szCs w:val="20"/>
        </w:rPr>
        <w:t>Commission file number: 001-35479</w:t>
      </w:r>
    </w:p>
    <w:p w14:paraId="37EA35BE" w14:textId="77777777" w:rsidR="00954279" w:rsidRDefault="00A66714">
      <w:pPr>
        <w:ind w:left="144" w:right="144"/>
        <w:jc w:val="center"/>
        <w:rPr>
          <w:sz w:val="36"/>
          <w:szCs w:val="36"/>
        </w:rPr>
      </w:pPr>
      <w:r>
        <w:rPr>
          <w:b/>
          <w:bCs/>
          <w:sz w:val="36"/>
          <w:szCs w:val="36"/>
        </w:rPr>
        <w:t>MRC GLOBAL INC.</w:t>
      </w:r>
    </w:p>
    <w:p w14:paraId="2F1C7AB0" w14:textId="77777777" w:rsidR="00954279" w:rsidRDefault="00A66714">
      <w:pPr>
        <w:ind w:left="144" w:right="144"/>
        <w:jc w:val="center"/>
        <w:rPr>
          <w:sz w:val="20"/>
          <w:szCs w:val="20"/>
        </w:rPr>
      </w:pPr>
      <w:r>
        <w:rPr>
          <w:sz w:val="20"/>
          <w:szCs w:val="20"/>
        </w:rPr>
        <w:t>(Exact name of registrant as specified in its charter)</w:t>
      </w:r>
    </w:p>
    <w:p w14:paraId="729B8268" w14:textId="77777777" w:rsidR="00954279" w:rsidRDefault="00A66714">
      <w:pPr>
        <w:ind w:left="144" w:right="144"/>
        <w:jc w:val="center"/>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0"/>
        <w:gridCol w:w="5400"/>
      </w:tblGrid>
      <w:tr w:rsidR="00954279" w14:paraId="052F2504" w14:textId="77777777">
        <w:tc>
          <w:tcPr>
            <w:tcW w:w="2500" w:type="pct"/>
            <w:tcMar>
              <w:top w:w="5" w:type="dxa"/>
              <w:left w:w="5" w:type="dxa"/>
              <w:bottom w:w="5" w:type="dxa"/>
              <w:right w:w="5" w:type="dxa"/>
            </w:tcMar>
            <w:hideMark/>
          </w:tcPr>
          <w:p w14:paraId="52E6D321" w14:textId="77777777" w:rsidR="00954279" w:rsidRDefault="00A66714">
            <w:pPr>
              <w:jc w:val="center"/>
              <w:rPr>
                <w:color w:val="000000"/>
                <w:sz w:val="20"/>
                <w:szCs w:val="20"/>
              </w:rPr>
            </w:pPr>
            <w:r>
              <w:rPr>
                <w:b/>
                <w:bCs/>
                <w:color w:val="000000"/>
                <w:sz w:val="20"/>
                <w:szCs w:val="20"/>
              </w:rPr>
              <w:t>Delaware</w:t>
            </w:r>
          </w:p>
        </w:tc>
        <w:tc>
          <w:tcPr>
            <w:tcW w:w="2500" w:type="pct"/>
            <w:tcMar>
              <w:top w:w="5" w:type="dxa"/>
              <w:left w:w="5" w:type="dxa"/>
              <w:bottom w:w="5" w:type="dxa"/>
              <w:right w:w="5" w:type="dxa"/>
            </w:tcMar>
            <w:hideMark/>
          </w:tcPr>
          <w:p w14:paraId="7C3E82DC" w14:textId="77777777" w:rsidR="00954279" w:rsidRDefault="00A66714">
            <w:pPr>
              <w:jc w:val="center"/>
              <w:rPr>
                <w:color w:val="000000"/>
                <w:sz w:val="20"/>
                <w:szCs w:val="20"/>
              </w:rPr>
            </w:pPr>
            <w:r>
              <w:rPr>
                <w:b/>
                <w:bCs/>
                <w:color w:val="000000"/>
                <w:sz w:val="20"/>
                <w:szCs w:val="20"/>
              </w:rPr>
              <w:t>20-5956993</w:t>
            </w:r>
          </w:p>
        </w:tc>
      </w:tr>
      <w:tr w:rsidR="00954279" w14:paraId="2519A0FE" w14:textId="77777777">
        <w:tc>
          <w:tcPr>
            <w:tcW w:w="2500" w:type="pct"/>
            <w:tcMar>
              <w:top w:w="5" w:type="dxa"/>
              <w:left w:w="5" w:type="dxa"/>
              <w:bottom w:w="5" w:type="dxa"/>
              <w:right w:w="5" w:type="dxa"/>
            </w:tcMar>
            <w:hideMark/>
          </w:tcPr>
          <w:p w14:paraId="7CABBDED" w14:textId="77777777" w:rsidR="00954279" w:rsidRDefault="00A66714">
            <w:pPr>
              <w:jc w:val="center"/>
              <w:rPr>
                <w:color w:val="000000"/>
                <w:sz w:val="20"/>
                <w:szCs w:val="20"/>
              </w:rPr>
            </w:pPr>
            <w:r>
              <w:rPr>
                <w:color w:val="000000"/>
                <w:sz w:val="20"/>
                <w:szCs w:val="20"/>
              </w:rPr>
              <w:t>(State or Other Jurisdiction of</w:t>
            </w:r>
            <w:r>
              <w:rPr>
                <w:color w:val="000000"/>
                <w:sz w:val="20"/>
                <w:szCs w:val="20"/>
              </w:rPr>
              <w:br/>
              <w:t>Incorporation or Organization)</w:t>
            </w:r>
          </w:p>
        </w:tc>
        <w:tc>
          <w:tcPr>
            <w:tcW w:w="2500" w:type="pct"/>
            <w:tcMar>
              <w:top w:w="5" w:type="dxa"/>
              <w:left w:w="5" w:type="dxa"/>
              <w:bottom w:w="5" w:type="dxa"/>
              <w:right w:w="5" w:type="dxa"/>
            </w:tcMar>
            <w:hideMark/>
          </w:tcPr>
          <w:p w14:paraId="63A22522" w14:textId="77777777" w:rsidR="00954279" w:rsidRDefault="00A66714">
            <w:pPr>
              <w:jc w:val="center"/>
              <w:rPr>
                <w:color w:val="000000"/>
                <w:sz w:val="20"/>
                <w:szCs w:val="20"/>
              </w:rPr>
            </w:pPr>
            <w:r>
              <w:rPr>
                <w:color w:val="000000"/>
                <w:sz w:val="20"/>
                <w:szCs w:val="20"/>
              </w:rPr>
              <w:t>(I.R.S. Employer</w:t>
            </w:r>
          </w:p>
          <w:p w14:paraId="5E7762E4" w14:textId="77777777" w:rsidR="00954279" w:rsidRDefault="00A66714">
            <w:pPr>
              <w:jc w:val="center"/>
              <w:rPr>
                <w:color w:val="000000"/>
                <w:sz w:val="20"/>
                <w:szCs w:val="20"/>
              </w:rPr>
            </w:pPr>
            <w:r>
              <w:rPr>
                <w:color w:val="000000"/>
                <w:sz w:val="20"/>
                <w:szCs w:val="20"/>
              </w:rPr>
              <w:t>Identification No.)</w:t>
            </w:r>
          </w:p>
        </w:tc>
      </w:tr>
      <w:tr w:rsidR="00954279" w14:paraId="44D1A33A" w14:textId="77777777">
        <w:tc>
          <w:tcPr>
            <w:tcW w:w="2500" w:type="pct"/>
            <w:tcMar>
              <w:top w:w="5" w:type="dxa"/>
              <w:left w:w="5" w:type="dxa"/>
              <w:bottom w:w="5" w:type="dxa"/>
              <w:right w:w="5" w:type="dxa"/>
            </w:tcMar>
            <w:hideMark/>
          </w:tcPr>
          <w:p w14:paraId="6341F3C8" w14:textId="77777777" w:rsidR="00954279" w:rsidRDefault="00A66714">
            <w:pPr>
              <w:rPr>
                <w:color w:val="000000"/>
                <w:sz w:val="20"/>
                <w:szCs w:val="20"/>
              </w:rPr>
            </w:pPr>
            <w:r>
              <w:rPr>
                <w:color w:val="000000"/>
                <w:sz w:val="20"/>
                <w:szCs w:val="20"/>
              </w:rPr>
              <w:t> </w:t>
            </w:r>
          </w:p>
        </w:tc>
        <w:tc>
          <w:tcPr>
            <w:tcW w:w="2500" w:type="pct"/>
            <w:tcMar>
              <w:top w:w="5" w:type="dxa"/>
              <w:left w:w="5" w:type="dxa"/>
              <w:bottom w:w="5" w:type="dxa"/>
              <w:right w:w="5" w:type="dxa"/>
            </w:tcMar>
            <w:hideMark/>
          </w:tcPr>
          <w:p w14:paraId="743232BE" w14:textId="77777777" w:rsidR="00954279" w:rsidRDefault="00A66714">
            <w:pPr>
              <w:rPr>
                <w:color w:val="000000"/>
                <w:sz w:val="20"/>
                <w:szCs w:val="20"/>
              </w:rPr>
            </w:pPr>
            <w:r>
              <w:rPr>
                <w:color w:val="000000"/>
                <w:sz w:val="20"/>
                <w:szCs w:val="20"/>
              </w:rPr>
              <w:t> </w:t>
            </w:r>
          </w:p>
        </w:tc>
      </w:tr>
      <w:tr w:rsidR="00954279" w14:paraId="1FB33741" w14:textId="77777777">
        <w:tc>
          <w:tcPr>
            <w:tcW w:w="2500" w:type="pct"/>
            <w:tcMar>
              <w:top w:w="5" w:type="dxa"/>
              <w:left w:w="5" w:type="dxa"/>
              <w:bottom w:w="5" w:type="dxa"/>
              <w:right w:w="5" w:type="dxa"/>
            </w:tcMar>
            <w:vAlign w:val="bottom"/>
            <w:hideMark/>
          </w:tcPr>
          <w:p w14:paraId="396FB9D1" w14:textId="77777777" w:rsidR="00954279" w:rsidRDefault="00A66714">
            <w:pPr>
              <w:jc w:val="center"/>
              <w:rPr>
                <w:color w:val="000000"/>
                <w:sz w:val="20"/>
                <w:szCs w:val="20"/>
              </w:rPr>
            </w:pPr>
            <w:r>
              <w:rPr>
                <w:b/>
                <w:bCs/>
                <w:color w:val="000000"/>
                <w:sz w:val="20"/>
                <w:szCs w:val="20"/>
              </w:rPr>
              <w:t>1301 McKinney Street, Suite 2300</w:t>
            </w:r>
          </w:p>
          <w:p w14:paraId="0E386749" w14:textId="77777777" w:rsidR="00954279" w:rsidRDefault="00A66714">
            <w:pPr>
              <w:jc w:val="center"/>
              <w:rPr>
                <w:color w:val="000000"/>
                <w:sz w:val="20"/>
                <w:szCs w:val="20"/>
              </w:rPr>
            </w:pPr>
            <w:r>
              <w:rPr>
                <w:b/>
                <w:bCs/>
                <w:color w:val="000000"/>
                <w:sz w:val="20"/>
                <w:szCs w:val="20"/>
              </w:rPr>
              <w:t xml:space="preserve">Houston, Texas </w:t>
            </w:r>
          </w:p>
        </w:tc>
        <w:tc>
          <w:tcPr>
            <w:tcW w:w="2500" w:type="pct"/>
            <w:tcMar>
              <w:top w:w="5" w:type="dxa"/>
              <w:left w:w="5" w:type="dxa"/>
              <w:bottom w:w="5" w:type="dxa"/>
              <w:right w:w="5" w:type="dxa"/>
            </w:tcMar>
            <w:vAlign w:val="bottom"/>
            <w:hideMark/>
          </w:tcPr>
          <w:p w14:paraId="24DF25A0" w14:textId="77777777" w:rsidR="00954279" w:rsidRDefault="00A66714">
            <w:pPr>
              <w:jc w:val="center"/>
              <w:rPr>
                <w:color w:val="000000"/>
                <w:sz w:val="20"/>
                <w:szCs w:val="20"/>
              </w:rPr>
            </w:pPr>
            <w:r>
              <w:rPr>
                <w:b/>
                <w:bCs/>
                <w:color w:val="000000"/>
                <w:sz w:val="20"/>
                <w:szCs w:val="20"/>
              </w:rPr>
              <w:t>77010</w:t>
            </w:r>
          </w:p>
        </w:tc>
      </w:tr>
      <w:tr w:rsidR="00954279" w14:paraId="12963752" w14:textId="77777777">
        <w:tc>
          <w:tcPr>
            <w:tcW w:w="2500" w:type="pct"/>
            <w:tcMar>
              <w:top w:w="5" w:type="dxa"/>
              <w:left w:w="5" w:type="dxa"/>
              <w:bottom w:w="5" w:type="dxa"/>
              <w:right w:w="5" w:type="dxa"/>
            </w:tcMar>
            <w:hideMark/>
          </w:tcPr>
          <w:p w14:paraId="395B8112" w14:textId="77777777" w:rsidR="00954279" w:rsidRDefault="00A66714">
            <w:pPr>
              <w:jc w:val="center"/>
              <w:rPr>
                <w:color w:val="000000"/>
                <w:sz w:val="20"/>
                <w:szCs w:val="20"/>
              </w:rPr>
            </w:pPr>
            <w:r>
              <w:rPr>
                <w:color w:val="000000"/>
                <w:sz w:val="20"/>
                <w:szCs w:val="20"/>
              </w:rPr>
              <w:t>(Address of Principal Executive Offices)</w:t>
            </w:r>
          </w:p>
        </w:tc>
        <w:tc>
          <w:tcPr>
            <w:tcW w:w="2500" w:type="pct"/>
            <w:tcMar>
              <w:top w:w="5" w:type="dxa"/>
              <w:left w:w="5" w:type="dxa"/>
              <w:bottom w:w="5" w:type="dxa"/>
              <w:right w:w="5" w:type="dxa"/>
            </w:tcMar>
            <w:hideMark/>
          </w:tcPr>
          <w:p w14:paraId="06735BD2" w14:textId="77777777" w:rsidR="00954279" w:rsidRDefault="00A66714">
            <w:pPr>
              <w:jc w:val="center"/>
              <w:rPr>
                <w:color w:val="000000"/>
                <w:sz w:val="20"/>
                <w:szCs w:val="20"/>
              </w:rPr>
            </w:pPr>
            <w:r>
              <w:rPr>
                <w:color w:val="000000"/>
                <w:sz w:val="20"/>
                <w:szCs w:val="20"/>
              </w:rPr>
              <w:t>(Zip Code)</w:t>
            </w:r>
          </w:p>
        </w:tc>
      </w:tr>
    </w:tbl>
    <w:p w14:paraId="27D508D3" w14:textId="77777777" w:rsidR="00954279" w:rsidRDefault="00A66714">
      <w:pPr>
        <w:ind w:left="144" w:right="144"/>
        <w:jc w:val="center"/>
        <w:rPr>
          <w:sz w:val="20"/>
          <w:szCs w:val="20"/>
        </w:rPr>
      </w:pPr>
      <w:r>
        <w:rPr>
          <w:sz w:val="20"/>
          <w:szCs w:val="20"/>
        </w:rPr>
        <w:t> </w:t>
      </w:r>
    </w:p>
    <w:p w14:paraId="32C05DCC" w14:textId="77777777" w:rsidR="00954279" w:rsidRDefault="00A66714">
      <w:pPr>
        <w:ind w:left="144" w:right="144"/>
        <w:jc w:val="center"/>
        <w:rPr>
          <w:sz w:val="20"/>
          <w:szCs w:val="20"/>
        </w:rPr>
      </w:pPr>
      <w:r>
        <w:rPr>
          <w:sz w:val="20"/>
          <w:szCs w:val="20"/>
        </w:rPr>
        <w:t>(877) 294-7574</w:t>
      </w:r>
      <w:r>
        <w:rPr>
          <w:sz w:val="20"/>
          <w:szCs w:val="20"/>
        </w:rPr>
        <w:br/>
        <w:t>(Registrant’s Telephone Number, including Area Code)</w:t>
      </w:r>
    </w:p>
    <w:p w14:paraId="18DB181B" w14:textId="77777777" w:rsidR="00954279" w:rsidRDefault="00A66714">
      <w:pPr>
        <w:ind w:left="144" w:right="144"/>
        <w:jc w:val="center"/>
        <w:rPr>
          <w:sz w:val="20"/>
          <w:szCs w:val="20"/>
        </w:rPr>
      </w:pPr>
      <w:r>
        <w:rPr>
          <w:sz w:val="20"/>
          <w:szCs w:val="20"/>
        </w:rPr>
        <w:t>________________</w:t>
      </w:r>
    </w:p>
    <w:p w14:paraId="187046C4" w14:textId="0B848FED" w:rsidR="00954279" w:rsidRDefault="00A66714">
      <w:pPr>
        <w:ind w:left="144" w:right="144" w:firstLine="216"/>
        <w:rPr>
          <w:sz w:val="20"/>
          <w:szCs w:val="20"/>
        </w:rPr>
      </w:pPr>
      <w:r>
        <w:rPr>
          <w:sz w:val="20"/>
          <w:szCs w:val="20"/>
        </w:rPr>
        <w:t> Securities registered pursuant to Section 12(b) of the Act:</w:t>
      </w:r>
    </w:p>
    <w:p w14:paraId="26577E48" w14:textId="77777777" w:rsidR="00954279" w:rsidRDefault="00A66714">
      <w:pPr>
        <w:ind w:left="144" w:right="144" w:firstLine="216"/>
        <w:rPr>
          <w:sz w:val="20"/>
          <w:szCs w:val="20"/>
        </w:rPr>
      </w:pPr>
      <w:r>
        <w:rPr>
          <w:sz w:val="20"/>
          <w:szCs w:val="20"/>
        </w:rPr>
        <w:t> </w:t>
      </w:r>
    </w:p>
    <w:tbl>
      <w:tblPr>
        <w:tblW w:w="5000" w:type="pct"/>
        <w:tblInd w:w="160" w:type="dxa"/>
        <w:tblCellMar>
          <w:left w:w="0" w:type="dxa"/>
          <w:right w:w="0" w:type="dxa"/>
        </w:tblCellMar>
        <w:tblLook w:val="04A0" w:firstRow="1" w:lastRow="0" w:firstColumn="1" w:lastColumn="0" w:noHBand="0" w:noVBand="1"/>
      </w:tblPr>
      <w:tblGrid>
        <w:gridCol w:w="3558"/>
        <w:gridCol w:w="3667"/>
        <w:gridCol w:w="3559"/>
      </w:tblGrid>
      <w:tr w:rsidR="00954279" w14:paraId="0B2F72F3" w14:textId="77777777">
        <w:tc>
          <w:tcPr>
            <w:tcW w:w="16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hideMark/>
          </w:tcPr>
          <w:p w14:paraId="05946906" w14:textId="77777777" w:rsidR="00954279" w:rsidRDefault="00A66714">
            <w:pPr>
              <w:jc w:val="center"/>
              <w:rPr>
                <w:color w:val="000000"/>
                <w:sz w:val="20"/>
                <w:szCs w:val="20"/>
              </w:rPr>
            </w:pPr>
            <w:r>
              <w:rPr>
                <w:b/>
                <w:bCs/>
                <w:color w:val="000000"/>
                <w:sz w:val="20"/>
                <w:szCs w:val="20"/>
              </w:rPr>
              <w:t>Title of each class</w:t>
            </w:r>
          </w:p>
        </w:tc>
        <w:tc>
          <w:tcPr>
            <w:tcW w:w="1700" w:type="pct"/>
            <w:tcBorders>
              <w:top w:val="single" w:sz="6" w:space="0" w:color="000000"/>
              <w:bottom w:val="single" w:sz="6" w:space="0" w:color="000000"/>
            </w:tcBorders>
            <w:tcMar>
              <w:top w:w="8" w:type="dxa"/>
              <w:left w:w="5" w:type="dxa"/>
              <w:bottom w:w="8" w:type="dxa"/>
              <w:right w:w="5" w:type="dxa"/>
            </w:tcMar>
            <w:hideMark/>
          </w:tcPr>
          <w:p w14:paraId="298DCEFE" w14:textId="77777777" w:rsidR="00954279" w:rsidRDefault="00A66714">
            <w:pPr>
              <w:jc w:val="center"/>
              <w:rPr>
                <w:color w:val="000000"/>
                <w:sz w:val="20"/>
                <w:szCs w:val="20"/>
              </w:rPr>
            </w:pPr>
            <w:r>
              <w:rPr>
                <w:b/>
                <w:bCs/>
                <w:color w:val="000000"/>
                <w:sz w:val="20"/>
                <w:szCs w:val="20"/>
              </w:rPr>
              <w:t>Trading symbol(s)</w:t>
            </w:r>
          </w:p>
        </w:tc>
        <w:tc>
          <w:tcPr>
            <w:tcW w:w="16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hideMark/>
          </w:tcPr>
          <w:p w14:paraId="404AA883" w14:textId="77777777" w:rsidR="00954279" w:rsidRDefault="00A66714">
            <w:pPr>
              <w:jc w:val="center"/>
              <w:rPr>
                <w:color w:val="000000"/>
                <w:sz w:val="20"/>
                <w:szCs w:val="20"/>
              </w:rPr>
            </w:pPr>
            <w:r>
              <w:rPr>
                <w:b/>
                <w:bCs/>
                <w:color w:val="000000"/>
                <w:sz w:val="20"/>
                <w:szCs w:val="20"/>
              </w:rPr>
              <w:t>Name of each exchange on which registered</w:t>
            </w:r>
          </w:p>
        </w:tc>
      </w:tr>
      <w:tr w:rsidR="00954279" w14:paraId="2286C853" w14:textId="77777777">
        <w:tc>
          <w:tcPr>
            <w:tcW w:w="1650" w:type="pct"/>
            <w:tcBorders>
              <w:left w:val="single" w:sz="6" w:space="0" w:color="000000"/>
              <w:bottom w:val="single" w:sz="6" w:space="0" w:color="000000"/>
              <w:right w:val="single" w:sz="6" w:space="0" w:color="000000"/>
            </w:tcBorders>
            <w:tcMar>
              <w:top w:w="5" w:type="dxa"/>
              <w:left w:w="8" w:type="dxa"/>
              <w:bottom w:w="8" w:type="dxa"/>
              <w:right w:w="8" w:type="dxa"/>
            </w:tcMar>
            <w:hideMark/>
          </w:tcPr>
          <w:p w14:paraId="36598116" w14:textId="77777777" w:rsidR="00954279" w:rsidRDefault="00A66714">
            <w:pPr>
              <w:jc w:val="center"/>
              <w:rPr>
                <w:color w:val="000000"/>
                <w:sz w:val="20"/>
                <w:szCs w:val="20"/>
              </w:rPr>
            </w:pPr>
            <w:r>
              <w:rPr>
                <w:color w:val="000000"/>
                <w:sz w:val="20"/>
                <w:szCs w:val="20"/>
              </w:rPr>
              <w:t>Common Stock, par value $0.01</w:t>
            </w:r>
          </w:p>
        </w:tc>
        <w:tc>
          <w:tcPr>
            <w:tcW w:w="1700" w:type="pct"/>
            <w:tcBorders>
              <w:bottom w:val="single" w:sz="6" w:space="0" w:color="000000"/>
            </w:tcBorders>
            <w:tcMar>
              <w:top w:w="5" w:type="dxa"/>
              <w:left w:w="5" w:type="dxa"/>
              <w:bottom w:w="8" w:type="dxa"/>
              <w:right w:w="5" w:type="dxa"/>
            </w:tcMar>
            <w:hideMark/>
          </w:tcPr>
          <w:p w14:paraId="22B9F44C" w14:textId="77777777" w:rsidR="00954279" w:rsidRDefault="00A66714">
            <w:pPr>
              <w:jc w:val="center"/>
              <w:rPr>
                <w:color w:val="000000"/>
                <w:sz w:val="20"/>
                <w:szCs w:val="20"/>
              </w:rPr>
            </w:pPr>
            <w:r>
              <w:rPr>
                <w:color w:val="000000"/>
                <w:sz w:val="20"/>
                <w:szCs w:val="20"/>
              </w:rPr>
              <w:t>MRC</w:t>
            </w:r>
          </w:p>
        </w:tc>
        <w:tc>
          <w:tcPr>
            <w:tcW w:w="1650" w:type="pct"/>
            <w:tcBorders>
              <w:left w:val="single" w:sz="6" w:space="0" w:color="000000"/>
              <w:bottom w:val="single" w:sz="6" w:space="0" w:color="000000"/>
              <w:right w:val="single" w:sz="6" w:space="0" w:color="000000"/>
            </w:tcBorders>
            <w:tcMar>
              <w:top w:w="5" w:type="dxa"/>
              <w:left w:w="8" w:type="dxa"/>
              <w:bottom w:w="8" w:type="dxa"/>
              <w:right w:w="8" w:type="dxa"/>
            </w:tcMar>
            <w:hideMark/>
          </w:tcPr>
          <w:p w14:paraId="52DDD024" w14:textId="77777777" w:rsidR="00954279" w:rsidRDefault="00A66714">
            <w:pPr>
              <w:jc w:val="center"/>
              <w:rPr>
                <w:color w:val="000000"/>
                <w:sz w:val="20"/>
                <w:szCs w:val="20"/>
              </w:rPr>
            </w:pPr>
            <w:r>
              <w:rPr>
                <w:color w:val="000000"/>
                <w:sz w:val="20"/>
                <w:szCs w:val="20"/>
              </w:rPr>
              <w:t>New York Stock Exchange</w:t>
            </w:r>
          </w:p>
        </w:tc>
      </w:tr>
    </w:tbl>
    <w:p w14:paraId="27BFEA6D" w14:textId="77777777" w:rsidR="00954279" w:rsidRDefault="00A66714">
      <w:pPr>
        <w:ind w:left="144" w:right="144" w:firstLine="216"/>
        <w:rPr>
          <w:sz w:val="20"/>
          <w:szCs w:val="20"/>
        </w:rPr>
      </w:pPr>
      <w:r>
        <w:rPr>
          <w:sz w:val="20"/>
          <w:szCs w:val="20"/>
        </w:rPr>
        <w:t> </w:t>
      </w:r>
    </w:p>
    <w:p w14:paraId="08911C03" w14:textId="77777777" w:rsidR="00954279" w:rsidRDefault="00A66714">
      <w:pPr>
        <w:ind w:left="144" w:right="144" w:firstLine="216"/>
        <w:rPr>
          <w:sz w:val="20"/>
          <w:szCs w:val="20"/>
        </w:rPr>
      </w:pPr>
      <w:r>
        <w:rPr>
          <w:sz w:val="20"/>
          <w:szCs w:val="20"/>
        </w:rPr>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Segoe UI Symbol" w:eastAsia="Segoe UI Symbol" w:hAnsi="Segoe UI Symbol" w:cs="Segoe UI Symbol"/>
          <w:sz w:val="20"/>
          <w:szCs w:val="20"/>
        </w:rPr>
        <w:t>☒</w:t>
      </w:r>
      <w:r>
        <w:rPr>
          <w:sz w:val="20"/>
          <w:szCs w:val="20"/>
        </w:rPr>
        <w:t xml:space="preserve"> No </w:t>
      </w:r>
      <w:r>
        <w:rPr>
          <w:rFonts w:ascii="Segoe UI Symbol" w:eastAsia="Segoe UI Symbol" w:hAnsi="Segoe UI Symbol" w:cs="Segoe UI Symbol"/>
          <w:sz w:val="20"/>
          <w:szCs w:val="20"/>
        </w:rPr>
        <w:t>☐</w:t>
      </w:r>
    </w:p>
    <w:p w14:paraId="41EC4C59" w14:textId="77777777" w:rsidR="00954279" w:rsidRDefault="00A66714">
      <w:pPr>
        <w:ind w:left="144" w:right="144" w:firstLine="216"/>
        <w:rPr>
          <w:sz w:val="20"/>
          <w:szCs w:val="20"/>
        </w:rPr>
      </w:pPr>
      <w:r>
        <w:rPr>
          <w:sz w:val="20"/>
          <w:szCs w:val="20"/>
        </w:rPr>
        <w:t> </w:t>
      </w:r>
    </w:p>
    <w:p w14:paraId="2139C115" w14:textId="77777777" w:rsidR="00954279" w:rsidRDefault="00A66714">
      <w:pPr>
        <w:ind w:left="144" w:right="144" w:firstLine="216"/>
        <w:rPr>
          <w:sz w:val="20"/>
          <w:szCs w:val="20"/>
        </w:rPr>
      </w:pPr>
      <w:r>
        <w:rPr>
          <w:sz w:val="20"/>
          <w:szCs w:val="20"/>
        </w:rPr>
        <w:t xml:space="preserve">Indicate by check mark whether the registrant has submitted electronically every Interactive Data File required to be submitted pursuant to Rule 405 of Regulation S-T (§ 232.405 of this chapter) during the preceding 12 months (or for such shorter period that the registrant was required to submit such files).  Yes </w:t>
      </w:r>
      <w:r>
        <w:rPr>
          <w:rFonts w:ascii="Segoe UI Symbol" w:eastAsia="Segoe UI Symbol" w:hAnsi="Segoe UI Symbol" w:cs="Segoe UI Symbol"/>
          <w:sz w:val="20"/>
          <w:szCs w:val="20"/>
        </w:rPr>
        <w:t>☒</w:t>
      </w:r>
      <w:r>
        <w:rPr>
          <w:sz w:val="20"/>
          <w:szCs w:val="20"/>
        </w:rPr>
        <w:t xml:space="preserve"> No </w:t>
      </w:r>
      <w:r>
        <w:rPr>
          <w:rFonts w:ascii="Segoe UI Symbol" w:eastAsia="Segoe UI Symbol" w:hAnsi="Segoe UI Symbol" w:cs="Segoe UI Symbol"/>
          <w:sz w:val="20"/>
          <w:szCs w:val="20"/>
        </w:rPr>
        <w:t>☐</w:t>
      </w:r>
    </w:p>
    <w:p w14:paraId="3FB118CC" w14:textId="77777777" w:rsidR="00954279" w:rsidRDefault="00A66714">
      <w:pPr>
        <w:ind w:left="144" w:right="144" w:firstLine="216"/>
        <w:rPr>
          <w:sz w:val="20"/>
          <w:szCs w:val="20"/>
        </w:rPr>
      </w:pPr>
      <w:r>
        <w:rPr>
          <w:sz w:val="20"/>
          <w:szCs w:val="20"/>
        </w:rPr>
        <w:t> </w:t>
      </w:r>
    </w:p>
    <w:p w14:paraId="08111F9B" w14:textId="77777777" w:rsidR="00954279" w:rsidRDefault="00A66714">
      <w:pPr>
        <w:ind w:left="144" w:right="144" w:firstLine="216"/>
        <w:rPr>
          <w:sz w:val="20"/>
          <w:szCs w:val="20"/>
        </w:rPr>
      </w:pPr>
      <w:r>
        <w:rPr>
          <w:sz w:val="20"/>
          <w:szCs w:val="20"/>
        </w:rPr>
        <w:t>Indicate by check mark whether the registrant is a large accelerated filer, an accelerated filer, a non-accelerated filer, smaller reporting company or an emerging growth company. See the definitions of “large accelerated filer,” “accelerated filer,” “smaller reporting company” and “emerging growth company” in Rule 12b-2 of the Exchange Act. (Check one):</w:t>
      </w:r>
    </w:p>
    <w:p w14:paraId="13F63A74" w14:textId="77777777" w:rsidR="00954279" w:rsidRDefault="00A66714">
      <w:pPr>
        <w:ind w:left="864" w:right="144" w:hanging="720"/>
        <w:rPr>
          <w:sz w:val="20"/>
          <w:szCs w:val="20"/>
        </w:rPr>
      </w:pPr>
      <w:r>
        <w:rPr>
          <w:sz w:val="20"/>
          <w:szCs w:val="20"/>
        </w:rPr>
        <w:t> </w:t>
      </w:r>
    </w:p>
    <w:p w14:paraId="682D3002" w14:textId="77777777" w:rsidR="00954279" w:rsidRDefault="00A66714">
      <w:pPr>
        <w:ind w:left="864" w:right="144" w:hanging="720"/>
        <w:rPr>
          <w:sz w:val="20"/>
          <w:szCs w:val="20"/>
        </w:rPr>
      </w:pPr>
      <w:r>
        <w:rPr>
          <w:sz w:val="20"/>
          <w:szCs w:val="20"/>
        </w:rPr>
        <w:t xml:space="preserve">Large Accelerated Filer </w:t>
      </w:r>
      <w:r>
        <w:rPr>
          <w:rFonts w:ascii="Segoe UI Symbol" w:eastAsia="Segoe UI Symbol" w:hAnsi="Segoe UI Symbol" w:cs="Segoe UI Symbol"/>
          <w:sz w:val="20"/>
          <w:szCs w:val="20"/>
        </w:rPr>
        <w:t>☐</w:t>
      </w:r>
      <w:r>
        <w:rPr>
          <w:sz w:val="20"/>
          <w:szCs w:val="20"/>
        </w:rPr>
        <w:t xml:space="preserve"> Accelerated Filer </w:t>
      </w:r>
      <w:r>
        <w:rPr>
          <w:rFonts w:ascii="Segoe UI Symbol" w:eastAsia="Segoe UI Symbol" w:hAnsi="Segoe UI Symbol" w:cs="Segoe UI Symbol"/>
          <w:sz w:val="20"/>
          <w:szCs w:val="20"/>
        </w:rPr>
        <w:t>☒</w:t>
      </w:r>
      <w:r>
        <w:rPr>
          <w:sz w:val="20"/>
          <w:szCs w:val="20"/>
        </w:rPr>
        <w:t xml:space="preserve"> Non-Accelerated Filer </w:t>
      </w:r>
      <w:r>
        <w:rPr>
          <w:rFonts w:ascii="Segoe UI Symbol" w:eastAsia="Segoe UI Symbol" w:hAnsi="Segoe UI Symbol" w:cs="Segoe UI Symbol"/>
          <w:sz w:val="20"/>
          <w:szCs w:val="20"/>
        </w:rPr>
        <w:t>☐</w:t>
      </w:r>
      <w:r>
        <w:rPr>
          <w:sz w:val="20"/>
          <w:szCs w:val="20"/>
        </w:rPr>
        <w:t xml:space="preserve"> Smaller Reporting Company </w:t>
      </w:r>
      <w:r>
        <w:rPr>
          <w:rFonts w:ascii="Segoe UI Symbol" w:eastAsia="Segoe UI Symbol" w:hAnsi="Segoe UI Symbol" w:cs="Segoe UI Symbol"/>
          <w:sz w:val="20"/>
          <w:szCs w:val="20"/>
        </w:rPr>
        <w:t>☐</w:t>
      </w:r>
      <w:r>
        <w:rPr>
          <w:sz w:val="20"/>
          <w:szCs w:val="20"/>
        </w:rPr>
        <w:t xml:space="preserve"> Emerging Growth Company </w:t>
      </w:r>
      <w:r>
        <w:rPr>
          <w:rFonts w:ascii="Segoe UI Symbol" w:eastAsia="Segoe UI Symbol" w:hAnsi="Segoe UI Symbol" w:cs="Segoe UI Symbol"/>
          <w:sz w:val="20"/>
          <w:szCs w:val="20"/>
        </w:rPr>
        <w:t>☐</w:t>
      </w:r>
    </w:p>
    <w:p w14:paraId="28979B96" w14:textId="77777777" w:rsidR="00954279" w:rsidRDefault="00A66714">
      <w:pPr>
        <w:ind w:left="144" w:right="144" w:firstLine="216"/>
        <w:rPr>
          <w:sz w:val="20"/>
          <w:szCs w:val="20"/>
        </w:rPr>
      </w:pPr>
      <w:r>
        <w:rPr>
          <w:sz w:val="20"/>
          <w:szCs w:val="20"/>
        </w:rPr>
        <w:t> </w:t>
      </w:r>
    </w:p>
    <w:p w14:paraId="5B38A1AE" w14:textId="77777777" w:rsidR="00954279" w:rsidRDefault="00A66714">
      <w:pPr>
        <w:ind w:left="144" w:right="144" w:firstLine="216"/>
        <w:rPr>
          <w:sz w:val="20"/>
          <w:szCs w:val="20"/>
        </w:rPr>
      </w:pPr>
      <w:r>
        <w:rPr>
          <w:sz w:val="20"/>
          <w:szCs w:val="20"/>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Segoe UI Symbol" w:eastAsia="Segoe UI Symbol" w:hAnsi="Segoe UI Symbol" w:cs="Segoe UI Symbol"/>
          <w:sz w:val="20"/>
          <w:szCs w:val="20"/>
        </w:rPr>
        <w:t>☐</w:t>
      </w:r>
    </w:p>
    <w:p w14:paraId="269F8866" w14:textId="77777777" w:rsidR="00954279" w:rsidRDefault="00A66714">
      <w:pPr>
        <w:ind w:left="144" w:right="144" w:firstLine="216"/>
        <w:rPr>
          <w:sz w:val="20"/>
          <w:szCs w:val="20"/>
        </w:rPr>
      </w:pPr>
      <w:r>
        <w:rPr>
          <w:sz w:val="20"/>
          <w:szCs w:val="20"/>
        </w:rPr>
        <w:t> </w:t>
      </w:r>
    </w:p>
    <w:p w14:paraId="51407204" w14:textId="77777777" w:rsidR="00954279" w:rsidRDefault="00A66714">
      <w:pPr>
        <w:ind w:left="144" w:right="144" w:firstLine="216"/>
        <w:rPr>
          <w:sz w:val="20"/>
          <w:szCs w:val="20"/>
        </w:rPr>
      </w:pPr>
      <w:r>
        <w:rPr>
          <w:sz w:val="20"/>
          <w:szCs w:val="20"/>
        </w:rPr>
        <w:t xml:space="preserve">Indicate by check mark whether the registrant is a shell company (as defined in Rule 12b-2 of the Exchange Act).  Yes </w:t>
      </w:r>
      <w:r>
        <w:rPr>
          <w:rFonts w:ascii="Segoe UI Symbol" w:eastAsia="Segoe UI Symbol" w:hAnsi="Segoe UI Symbol" w:cs="Segoe UI Symbol"/>
          <w:sz w:val="20"/>
          <w:szCs w:val="20"/>
        </w:rPr>
        <w:t>☐</w:t>
      </w:r>
      <w:r>
        <w:rPr>
          <w:sz w:val="20"/>
          <w:szCs w:val="20"/>
        </w:rPr>
        <w:t xml:space="preserve"> No </w:t>
      </w:r>
      <w:r>
        <w:rPr>
          <w:rFonts w:ascii="Segoe UI Symbol" w:eastAsia="Segoe UI Symbol" w:hAnsi="Segoe UI Symbol" w:cs="Segoe UI Symbol"/>
          <w:sz w:val="20"/>
          <w:szCs w:val="20"/>
        </w:rPr>
        <w:t>☒</w:t>
      </w:r>
    </w:p>
    <w:p w14:paraId="3062EFCD" w14:textId="77777777" w:rsidR="00954279" w:rsidRDefault="00A66714">
      <w:pPr>
        <w:ind w:left="144" w:right="144" w:firstLine="216"/>
        <w:rPr>
          <w:sz w:val="20"/>
          <w:szCs w:val="20"/>
        </w:rPr>
      </w:pPr>
      <w:r>
        <w:rPr>
          <w:sz w:val="20"/>
          <w:szCs w:val="20"/>
        </w:rPr>
        <w:t> </w:t>
      </w:r>
    </w:p>
    <w:p w14:paraId="5E9657F9" w14:textId="77777777" w:rsidR="00954279" w:rsidRDefault="00A66714">
      <w:pPr>
        <w:ind w:left="144" w:right="144"/>
        <w:rPr>
          <w:sz w:val="20"/>
          <w:szCs w:val="20"/>
        </w:rPr>
      </w:pPr>
      <w:r>
        <w:rPr>
          <w:sz w:val="20"/>
          <w:szCs w:val="20"/>
        </w:rPr>
        <w:t>There were 82,665,437 shares of the registrant’s common stock (excluding 104,388 unvested restricted shares), par value $0.01 per share, issued and outstanding as of July 23, 2021.</w:t>
      </w:r>
    </w:p>
    <w:p w14:paraId="2423F212" w14:textId="7DFEAA62" w:rsidR="00954279" w:rsidRDefault="00A66714">
      <w:pPr>
        <w:ind w:left="144" w:right="144"/>
        <w:rPr>
          <w:sz w:val="20"/>
          <w:szCs w:val="20"/>
        </w:rPr>
      </w:pPr>
      <w:r>
        <w:rPr>
          <w:sz w:val="20"/>
          <w:szCs w:val="20"/>
        </w:rPr>
        <w:lastRenderedPageBreak/>
        <w:t> </w:t>
      </w:r>
      <w:hyperlink w:anchor="toc" w:history="1">
        <w:r>
          <w:rPr>
            <w:color w:val="0000EE"/>
            <w:sz w:val="20"/>
            <w:szCs w:val="20"/>
            <w:u w:val="single" w:color="0000EE"/>
          </w:rPr>
          <w:t>Table of Contents</w:t>
        </w:r>
      </w:hyperlink>
    </w:p>
    <w:p w14:paraId="120A7555" w14:textId="77777777" w:rsidR="00954279" w:rsidRDefault="00A66714">
      <w:pPr>
        <w:ind w:left="144" w:right="144"/>
        <w:rPr>
          <w:sz w:val="20"/>
          <w:szCs w:val="20"/>
        </w:rPr>
      </w:pPr>
      <w:r>
        <w:rPr>
          <w:sz w:val="20"/>
          <w:szCs w:val="20"/>
        </w:rPr>
        <w:t> </w:t>
      </w:r>
    </w:p>
    <w:p w14:paraId="3643FAB9" w14:textId="77777777" w:rsidR="00954279" w:rsidRDefault="00A66714">
      <w:pPr>
        <w:ind w:left="144" w:right="144"/>
        <w:rPr>
          <w:sz w:val="20"/>
          <w:szCs w:val="20"/>
        </w:rPr>
      </w:pPr>
      <w:r>
        <w:rPr>
          <w:sz w:val="20"/>
          <w:szCs w:val="20"/>
        </w:rPr>
        <w:t> </w:t>
      </w:r>
    </w:p>
    <w:p w14:paraId="68F65190" w14:textId="77777777" w:rsidR="00954279" w:rsidRDefault="00A66714">
      <w:pPr>
        <w:ind w:left="144" w:right="144"/>
        <w:rPr>
          <w:sz w:val="20"/>
          <w:szCs w:val="20"/>
        </w:rPr>
      </w:pPr>
      <w:bookmarkStart w:id="1" w:name="toc"/>
      <w:bookmarkEnd w:id="1"/>
      <w:r>
        <w:rPr>
          <w:sz w:val="20"/>
          <w:szCs w:val="20"/>
        </w:rPr>
        <w:t>INDEX TO QUARTERLY REPORT ON FORM 10-Q</w:t>
      </w:r>
    </w:p>
    <w:p w14:paraId="4CA3F0A8" w14:textId="77777777" w:rsidR="00954279" w:rsidRDefault="00A66714">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1080"/>
        <w:gridCol w:w="8640"/>
        <w:gridCol w:w="1080"/>
      </w:tblGrid>
      <w:tr w:rsidR="00954279" w14:paraId="6151201D" w14:textId="77777777">
        <w:tc>
          <w:tcPr>
            <w:tcW w:w="4500" w:type="pct"/>
            <w:gridSpan w:val="3"/>
            <w:tcMar>
              <w:top w:w="5" w:type="dxa"/>
              <w:left w:w="5" w:type="dxa"/>
              <w:bottom w:w="5" w:type="dxa"/>
              <w:right w:w="5" w:type="dxa"/>
            </w:tcMar>
            <w:hideMark/>
          </w:tcPr>
          <w:p w14:paraId="485433B9" w14:textId="77777777" w:rsidR="00954279" w:rsidRDefault="00A66714">
            <w:pPr>
              <w:jc w:val="right"/>
              <w:rPr>
                <w:color w:val="000000"/>
                <w:sz w:val="20"/>
                <w:szCs w:val="20"/>
              </w:rPr>
            </w:pPr>
            <w:r>
              <w:rPr>
                <w:b/>
                <w:bCs/>
                <w:color w:val="000000"/>
                <w:sz w:val="20"/>
                <w:szCs w:val="20"/>
              </w:rPr>
              <w:t>Page</w:t>
            </w:r>
          </w:p>
        </w:tc>
      </w:tr>
      <w:tr w:rsidR="00954279" w14:paraId="2DF85D71" w14:textId="77777777">
        <w:tc>
          <w:tcPr>
            <w:tcW w:w="4500" w:type="pct"/>
            <w:gridSpan w:val="3"/>
            <w:tcMar>
              <w:top w:w="5" w:type="dxa"/>
              <w:left w:w="5" w:type="dxa"/>
              <w:bottom w:w="5" w:type="dxa"/>
              <w:right w:w="5" w:type="dxa"/>
            </w:tcMar>
            <w:hideMark/>
          </w:tcPr>
          <w:p w14:paraId="0049E58F" w14:textId="77777777" w:rsidR="00954279" w:rsidRDefault="00A66714">
            <w:pPr>
              <w:jc w:val="center"/>
              <w:rPr>
                <w:color w:val="000000"/>
                <w:sz w:val="20"/>
                <w:szCs w:val="20"/>
              </w:rPr>
            </w:pPr>
            <w:r>
              <w:rPr>
                <w:b/>
                <w:bCs/>
                <w:color w:val="000000"/>
                <w:sz w:val="20"/>
                <w:szCs w:val="20"/>
              </w:rPr>
              <w:t>PART I – FINANCIAL INFORMATION</w:t>
            </w:r>
          </w:p>
        </w:tc>
      </w:tr>
      <w:tr w:rsidR="00954279" w14:paraId="50848AEF" w14:textId="77777777">
        <w:tc>
          <w:tcPr>
            <w:tcW w:w="500" w:type="pct"/>
            <w:tcMar>
              <w:top w:w="5" w:type="dxa"/>
              <w:left w:w="5" w:type="dxa"/>
              <w:bottom w:w="5" w:type="dxa"/>
              <w:right w:w="5" w:type="dxa"/>
            </w:tcMar>
            <w:hideMark/>
          </w:tcPr>
          <w:p w14:paraId="2C257E43" w14:textId="77777777" w:rsidR="00954279" w:rsidRDefault="00A66714">
            <w:pPr>
              <w:rPr>
                <w:color w:val="000000"/>
                <w:sz w:val="20"/>
                <w:szCs w:val="20"/>
              </w:rPr>
            </w:pPr>
            <w:r>
              <w:rPr>
                <w:color w:val="000000"/>
                <w:sz w:val="20"/>
                <w:szCs w:val="20"/>
              </w:rPr>
              <w:t> </w:t>
            </w:r>
          </w:p>
        </w:tc>
        <w:tc>
          <w:tcPr>
            <w:tcW w:w="4000" w:type="pct"/>
            <w:tcMar>
              <w:top w:w="5" w:type="dxa"/>
              <w:left w:w="5" w:type="dxa"/>
              <w:bottom w:w="5" w:type="dxa"/>
              <w:right w:w="5" w:type="dxa"/>
            </w:tcMar>
            <w:hideMark/>
          </w:tcPr>
          <w:p w14:paraId="356999C5" w14:textId="77777777" w:rsidR="00954279" w:rsidRDefault="00A66714">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2F3CF4B5" w14:textId="77777777" w:rsidR="00954279" w:rsidRDefault="00A66714">
            <w:pPr>
              <w:rPr>
                <w:color w:val="000000"/>
                <w:sz w:val="20"/>
                <w:szCs w:val="20"/>
              </w:rPr>
            </w:pPr>
            <w:r>
              <w:rPr>
                <w:color w:val="000000"/>
                <w:sz w:val="20"/>
                <w:szCs w:val="20"/>
              </w:rPr>
              <w:t> </w:t>
            </w:r>
          </w:p>
        </w:tc>
      </w:tr>
      <w:tr w:rsidR="00954279" w14:paraId="048FA4EA" w14:textId="77777777">
        <w:tc>
          <w:tcPr>
            <w:tcW w:w="500" w:type="pct"/>
            <w:tcMar>
              <w:top w:w="5" w:type="dxa"/>
              <w:left w:w="5" w:type="dxa"/>
              <w:bottom w:w="5" w:type="dxa"/>
              <w:right w:w="5" w:type="dxa"/>
            </w:tcMar>
            <w:hideMark/>
          </w:tcPr>
          <w:p w14:paraId="07D2E219" w14:textId="77777777" w:rsidR="00954279" w:rsidRDefault="00A66714">
            <w:pPr>
              <w:rPr>
                <w:caps/>
                <w:color w:val="000000"/>
                <w:sz w:val="20"/>
                <w:szCs w:val="20"/>
              </w:rPr>
            </w:pPr>
            <w:r>
              <w:rPr>
                <w:b/>
                <w:bCs/>
                <w:caps/>
                <w:color w:val="000000"/>
                <w:sz w:val="20"/>
                <w:szCs w:val="20"/>
              </w:rPr>
              <w:t>ITEM 1.</w:t>
            </w:r>
          </w:p>
        </w:tc>
        <w:tc>
          <w:tcPr>
            <w:tcW w:w="4000" w:type="pct"/>
            <w:tcMar>
              <w:top w:w="5" w:type="dxa"/>
              <w:left w:w="5" w:type="dxa"/>
              <w:bottom w:w="5" w:type="dxa"/>
              <w:right w:w="5" w:type="dxa"/>
            </w:tcMar>
            <w:hideMark/>
          </w:tcPr>
          <w:p w14:paraId="40388271" w14:textId="77777777" w:rsidR="00954279" w:rsidRDefault="00691A5E">
            <w:pPr>
              <w:rPr>
                <w:caps/>
                <w:color w:val="000000"/>
                <w:sz w:val="20"/>
                <w:szCs w:val="20"/>
              </w:rPr>
            </w:pPr>
            <w:hyperlink w:anchor="Item1_and_BS" w:history="1">
              <w:r w:rsidR="00A66714">
                <w:rPr>
                  <w:b/>
                  <w:bCs/>
                  <w:caps/>
                  <w:color w:val="0000EE"/>
                  <w:sz w:val="20"/>
                  <w:szCs w:val="20"/>
                  <w:u w:val="single" w:color="0000EE"/>
                </w:rPr>
                <w:t>financial statements (UNAUDITED)</w:t>
              </w:r>
            </w:hyperlink>
          </w:p>
        </w:tc>
        <w:tc>
          <w:tcPr>
            <w:tcW w:w="500" w:type="pct"/>
            <w:tcMar>
              <w:top w:w="5" w:type="dxa"/>
              <w:left w:w="5" w:type="dxa"/>
              <w:bottom w:w="5" w:type="dxa"/>
              <w:right w:w="5" w:type="dxa"/>
            </w:tcMar>
            <w:hideMark/>
          </w:tcPr>
          <w:p w14:paraId="52F10D14" w14:textId="77777777" w:rsidR="00954279" w:rsidRDefault="00691A5E">
            <w:pPr>
              <w:jc w:val="right"/>
              <w:rPr>
                <w:color w:val="000000"/>
                <w:sz w:val="20"/>
                <w:szCs w:val="20"/>
              </w:rPr>
            </w:pPr>
            <w:hyperlink w:anchor="Item1_and_BS" w:history="1">
              <w:r w:rsidR="00A66714">
                <w:rPr>
                  <w:color w:val="0000EE"/>
                  <w:sz w:val="20"/>
                  <w:szCs w:val="20"/>
                  <w:u w:val="single" w:color="0000EE"/>
                </w:rPr>
                <w:t>1</w:t>
              </w:r>
            </w:hyperlink>
          </w:p>
        </w:tc>
      </w:tr>
      <w:tr w:rsidR="00954279" w14:paraId="75E69D5B" w14:textId="77777777">
        <w:tc>
          <w:tcPr>
            <w:tcW w:w="500" w:type="pct"/>
            <w:tcMar>
              <w:top w:w="5" w:type="dxa"/>
              <w:left w:w="5" w:type="dxa"/>
              <w:bottom w:w="5" w:type="dxa"/>
              <w:right w:w="5" w:type="dxa"/>
            </w:tcMar>
            <w:hideMark/>
          </w:tcPr>
          <w:p w14:paraId="15B66706" w14:textId="77777777" w:rsidR="00954279" w:rsidRDefault="00A66714">
            <w:pPr>
              <w:rPr>
                <w:color w:val="000000"/>
                <w:sz w:val="20"/>
                <w:szCs w:val="20"/>
              </w:rPr>
            </w:pPr>
            <w:r>
              <w:rPr>
                <w:color w:val="000000"/>
                <w:sz w:val="20"/>
                <w:szCs w:val="20"/>
              </w:rPr>
              <w:t> </w:t>
            </w:r>
          </w:p>
        </w:tc>
        <w:tc>
          <w:tcPr>
            <w:tcW w:w="4000" w:type="pct"/>
            <w:tcMar>
              <w:top w:w="5" w:type="dxa"/>
              <w:left w:w="5" w:type="dxa"/>
              <w:bottom w:w="5" w:type="dxa"/>
              <w:right w:w="5" w:type="dxa"/>
            </w:tcMar>
            <w:hideMark/>
          </w:tcPr>
          <w:p w14:paraId="119B05A2" w14:textId="77777777" w:rsidR="00954279" w:rsidRDefault="00A66714">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0333D107" w14:textId="77777777" w:rsidR="00954279" w:rsidRDefault="00A66714">
            <w:pPr>
              <w:rPr>
                <w:color w:val="000000"/>
                <w:sz w:val="20"/>
                <w:szCs w:val="20"/>
              </w:rPr>
            </w:pPr>
            <w:r>
              <w:rPr>
                <w:color w:val="000000"/>
                <w:sz w:val="20"/>
                <w:szCs w:val="20"/>
              </w:rPr>
              <w:t> </w:t>
            </w:r>
          </w:p>
        </w:tc>
      </w:tr>
      <w:tr w:rsidR="00954279" w14:paraId="2185BB18" w14:textId="77777777">
        <w:tc>
          <w:tcPr>
            <w:tcW w:w="500" w:type="pct"/>
            <w:tcMar>
              <w:top w:w="5" w:type="dxa"/>
              <w:left w:w="5" w:type="dxa"/>
              <w:bottom w:w="5" w:type="dxa"/>
              <w:right w:w="5" w:type="dxa"/>
            </w:tcMar>
            <w:hideMark/>
          </w:tcPr>
          <w:p w14:paraId="2B2FA585" w14:textId="77777777" w:rsidR="00954279" w:rsidRDefault="00A66714">
            <w:pPr>
              <w:rPr>
                <w:color w:val="000000"/>
                <w:sz w:val="20"/>
                <w:szCs w:val="20"/>
              </w:rPr>
            </w:pPr>
            <w:r>
              <w:rPr>
                <w:color w:val="000000"/>
                <w:sz w:val="20"/>
                <w:szCs w:val="20"/>
              </w:rPr>
              <w:t> </w:t>
            </w:r>
          </w:p>
        </w:tc>
        <w:tc>
          <w:tcPr>
            <w:tcW w:w="4000" w:type="pct"/>
            <w:tcMar>
              <w:top w:w="5" w:type="dxa"/>
              <w:left w:w="5" w:type="dxa"/>
              <w:bottom w:w="5" w:type="dxa"/>
              <w:right w:w="5" w:type="dxa"/>
            </w:tcMar>
            <w:hideMark/>
          </w:tcPr>
          <w:p w14:paraId="5DEDBAA7" w14:textId="77777777" w:rsidR="00954279" w:rsidRDefault="00691A5E">
            <w:pPr>
              <w:rPr>
                <w:caps/>
                <w:color w:val="000000"/>
                <w:sz w:val="20"/>
                <w:szCs w:val="20"/>
              </w:rPr>
            </w:pPr>
            <w:hyperlink w:anchor="Item1_and_BS" w:history="1">
              <w:r w:rsidR="00A66714">
                <w:rPr>
                  <w:i/>
                  <w:iCs/>
                  <w:caps/>
                  <w:color w:val="0000EE"/>
                  <w:sz w:val="20"/>
                  <w:szCs w:val="20"/>
                  <w:u w:val="single" w:color="0000EE"/>
                </w:rPr>
                <w:t>Condensed Consolidated Balance Sheets – JUNE 30, 2021 AND DECEMBER 31, 2020</w:t>
              </w:r>
            </w:hyperlink>
          </w:p>
        </w:tc>
        <w:tc>
          <w:tcPr>
            <w:tcW w:w="500" w:type="pct"/>
            <w:tcMar>
              <w:top w:w="5" w:type="dxa"/>
              <w:left w:w="5" w:type="dxa"/>
              <w:bottom w:w="5" w:type="dxa"/>
              <w:right w:w="5" w:type="dxa"/>
            </w:tcMar>
            <w:hideMark/>
          </w:tcPr>
          <w:p w14:paraId="041E829F" w14:textId="77777777" w:rsidR="00954279" w:rsidRDefault="00691A5E">
            <w:pPr>
              <w:jc w:val="right"/>
              <w:rPr>
                <w:color w:val="000000"/>
                <w:sz w:val="20"/>
                <w:szCs w:val="20"/>
              </w:rPr>
            </w:pPr>
            <w:hyperlink w:anchor="Item1_and_BS" w:history="1">
              <w:r w:rsidR="00A66714">
                <w:rPr>
                  <w:color w:val="0000EE"/>
                  <w:sz w:val="20"/>
                  <w:szCs w:val="20"/>
                  <w:u w:val="single" w:color="0000EE"/>
                </w:rPr>
                <w:t>1</w:t>
              </w:r>
            </w:hyperlink>
          </w:p>
        </w:tc>
      </w:tr>
      <w:tr w:rsidR="00954279" w14:paraId="2DE1A064" w14:textId="77777777">
        <w:tc>
          <w:tcPr>
            <w:tcW w:w="500" w:type="pct"/>
            <w:tcMar>
              <w:top w:w="5" w:type="dxa"/>
              <w:left w:w="5" w:type="dxa"/>
              <w:bottom w:w="5" w:type="dxa"/>
              <w:right w:w="5" w:type="dxa"/>
            </w:tcMar>
            <w:hideMark/>
          </w:tcPr>
          <w:p w14:paraId="22675D70" w14:textId="77777777" w:rsidR="00954279" w:rsidRDefault="00A66714">
            <w:pPr>
              <w:rPr>
                <w:color w:val="000000"/>
                <w:sz w:val="20"/>
                <w:szCs w:val="20"/>
              </w:rPr>
            </w:pPr>
            <w:r>
              <w:rPr>
                <w:color w:val="000000"/>
                <w:sz w:val="20"/>
                <w:szCs w:val="20"/>
              </w:rPr>
              <w:t> </w:t>
            </w:r>
          </w:p>
        </w:tc>
        <w:tc>
          <w:tcPr>
            <w:tcW w:w="4000" w:type="pct"/>
            <w:tcMar>
              <w:top w:w="5" w:type="dxa"/>
              <w:left w:w="5" w:type="dxa"/>
              <w:bottom w:w="5" w:type="dxa"/>
              <w:right w:w="5" w:type="dxa"/>
            </w:tcMar>
            <w:hideMark/>
          </w:tcPr>
          <w:p w14:paraId="727863BB" w14:textId="77777777" w:rsidR="00954279" w:rsidRDefault="00A66714">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0F96F92B" w14:textId="77777777" w:rsidR="00954279" w:rsidRDefault="00A66714">
            <w:pPr>
              <w:rPr>
                <w:color w:val="000000"/>
                <w:sz w:val="20"/>
                <w:szCs w:val="20"/>
              </w:rPr>
            </w:pPr>
            <w:r>
              <w:rPr>
                <w:color w:val="000000"/>
                <w:sz w:val="20"/>
                <w:szCs w:val="20"/>
              </w:rPr>
              <w:t> </w:t>
            </w:r>
          </w:p>
        </w:tc>
      </w:tr>
      <w:tr w:rsidR="00954279" w14:paraId="2EE9D71B" w14:textId="77777777">
        <w:tc>
          <w:tcPr>
            <w:tcW w:w="500" w:type="pct"/>
            <w:tcMar>
              <w:top w:w="5" w:type="dxa"/>
              <w:left w:w="5" w:type="dxa"/>
              <w:bottom w:w="5" w:type="dxa"/>
              <w:right w:w="5" w:type="dxa"/>
            </w:tcMar>
            <w:hideMark/>
          </w:tcPr>
          <w:p w14:paraId="43D2F7E4" w14:textId="77777777" w:rsidR="00954279" w:rsidRDefault="00A66714">
            <w:pPr>
              <w:rPr>
                <w:color w:val="000000"/>
                <w:sz w:val="20"/>
                <w:szCs w:val="20"/>
              </w:rPr>
            </w:pPr>
            <w:r>
              <w:rPr>
                <w:color w:val="000000"/>
                <w:sz w:val="20"/>
                <w:szCs w:val="20"/>
              </w:rPr>
              <w:t> </w:t>
            </w:r>
          </w:p>
        </w:tc>
        <w:tc>
          <w:tcPr>
            <w:tcW w:w="4000" w:type="pct"/>
            <w:tcMar>
              <w:top w:w="5" w:type="dxa"/>
              <w:left w:w="5" w:type="dxa"/>
              <w:bottom w:w="5" w:type="dxa"/>
              <w:right w:w="5" w:type="dxa"/>
            </w:tcMar>
            <w:hideMark/>
          </w:tcPr>
          <w:p w14:paraId="0F7CBE52" w14:textId="77777777" w:rsidR="00954279" w:rsidRDefault="00691A5E">
            <w:pPr>
              <w:rPr>
                <w:caps/>
                <w:color w:val="000000"/>
                <w:sz w:val="20"/>
                <w:szCs w:val="20"/>
              </w:rPr>
            </w:pPr>
            <w:hyperlink w:anchor="Operations" w:history="1">
              <w:r w:rsidR="00A66714">
                <w:rPr>
                  <w:i/>
                  <w:iCs/>
                  <w:caps/>
                  <w:color w:val="0000EE"/>
                  <w:sz w:val="20"/>
                  <w:szCs w:val="20"/>
                  <w:u w:val="single" w:color="0000EE"/>
                </w:rPr>
                <w:t>cONdENSED cONSOLIDATED STATEMENTS OF OPERATIONS – THREE AND SIX MONTHS ENDED JUNE 30, 2021 AND JUNE 30, 2020</w:t>
              </w:r>
            </w:hyperlink>
          </w:p>
        </w:tc>
        <w:tc>
          <w:tcPr>
            <w:tcW w:w="500" w:type="pct"/>
            <w:tcMar>
              <w:top w:w="5" w:type="dxa"/>
              <w:left w:w="5" w:type="dxa"/>
              <w:bottom w:w="5" w:type="dxa"/>
              <w:right w:w="5" w:type="dxa"/>
            </w:tcMar>
            <w:vAlign w:val="bottom"/>
            <w:hideMark/>
          </w:tcPr>
          <w:p w14:paraId="3F9E171F" w14:textId="77777777" w:rsidR="00954279" w:rsidRDefault="00691A5E">
            <w:pPr>
              <w:jc w:val="right"/>
              <w:rPr>
                <w:color w:val="000000"/>
                <w:sz w:val="20"/>
                <w:szCs w:val="20"/>
              </w:rPr>
            </w:pPr>
            <w:hyperlink w:anchor="Operations" w:history="1">
              <w:r w:rsidR="00A66714">
                <w:rPr>
                  <w:color w:val="0000EE"/>
                  <w:sz w:val="20"/>
                  <w:szCs w:val="20"/>
                  <w:u w:val="single" w:color="0000EE"/>
                </w:rPr>
                <w:t>2</w:t>
              </w:r>
            </w:hyperlink>
          </w:p>
        </w:tc>
      </w:tr>
      <w:tr w:rsidR="00954279" w14:paraId="3B1E2D2A" w14:textId="77777777">
        <w:tc>
          <w:tcPr>
            <w:tcW w:w="500" w:type="pct"/>
            <w:tcMar>
              <w:top w:w="5" w:type="dxa"/>
              <w:left w:w="5" w:type="dxa"/>
              <w:bottom w:w="5" w:type="dxa"/>
              <w:right w:w="5" w:type="dxa"/>
            </w:tcMar>
            <w:hideMark/>
          </w:tcPr>
          <w:p w14:paraId="5BEDEE4A" w14:textId="77777777" w:rsidR="00954279" w:rsidRDefault="00A66714">
            <w:pPr>
              <w:rPr>
                <w:color w:val="000000"/>
                <w:sz w:val="20"/>
                <w:szCs w:val="20"/>
              </w:rPr>
            </w:pPr>
            <w:r>
              <w:rPr>
                <w:color w:val="000000"/>
                <w:sz w:val="20"/>
                <w:szCs w:val="20"/>
              </w:rPr>
              <w:t> </w:t>
            </w:r>
          </w:p>
        </w:tc>
        <w:tc>
          <w:tcPr>
            <w:tcW w:w="4000" w:type="pct"/>
            <w:tcMar>
              <w:top w:w="5" w:type="dxa"/>
              <w:left w:w="5" w:type="dxa"/>
              <w:bottom w:w="5" w:type="dxa"/>
              <w:right w:w="5" w:type="dxa"/>
            </w:tcMar>
            <w:hideMark/>
          </w:tcPr>
          <w:p w14:paraId="51DB71A9" w14:textId="77777777" w:rsidR="00954279" w:rsidRDefault="00A66714">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6AA445FF" w14:textId="77777777" w:rsidR="00954279" w:rsidRDefault="00A66714">
            <w:pPr>
              <w:rPr>
                <w:color w:val="000000"/>
                <w:sz w:val="20"/>
                <w:szCs w:val="20"/>
              </w:rPr>
            </w:pPr>
            <w:r>
              <w:rPr>
                <w:color w:val="000000"/>
                <w:sz w:val="20"/>
                <w:szCs w:val="20"/>
              </w:rPr>
              <w:t> </w:t>
            </w:r>
          </w:p>
        </w:tc>
      </w:tr>
      <w:tr w:rsidR="00954279" w14:paraId="69A8F6DC" w14:textId="77777777">
        <w:tc>
          <w:tcPr>
            <w:tcW w:w="500" w:type="pct"/>
            <w:tcMar>
              <w:top w:w="5" w:type="dxa"/>
              <w:left w:w="5" w:type="dxa"/>
              <w:bottom w:w="5" w:type="dxa"/>
              <w:right w:w="5" w:type="dxa"/>
            </w:tcMar>
            <w:hideMark/>
          </w:tcPr>
          <w:p w14:paraId="0FB782D2" w14:textId="77777777" w:rsidR="00954279" w:rsidRDefault="00A66714">
            <w:pPr>
              <w:rPr>
                <w:color w:val="000000"/>
                <w:sz w:val="20"/>
                <w:szCs w:val="20"/>
              </w:rPr>
            </w:pPr>
            <w:r>
              <w:rPr>
                <w:color w:val="000000"/>
                <w:sz w:val="20"/>
                <w:szCs w:val="20"/>
              </w:rPr>
              <w:t> </w:t>
            </w:r>
          </w:p>
        </w:tc>
        <w:tc>
          <w:tcPr>
            <w:tcW w:w="4000" w:type="pct"/>
            <w:tcMar>
              <w:top w:w="5" w:type="dxa"/>
              <w:left w:w="5" w:type="dxa"/>
              <w:bottom w:w="5" w:type="dxa"/>
              <w:right w:w="5" w:type="dxa"/>
            </w:tcMar>
            <w:hideMark/>
          </w:tcPr>
          <w:p w14:paraId="0E226E9C" w14:textId="77777777" w:rsidR="00954279" w:rsidRDefault="00691A5E">
            <w:pPr>
              <w:rPr>
                <w:caps/>
                <w:color w:val="000000"/>
                <w:sz w:val="20"/>
                <w:szCs w:val="20"/>
              </w:rPr>
            </w:pPr>
            <w:hyperlink w:anchor="Comp_Inc" w:history="1">
              <w:r w:rsidR="00A66714">
                <w:rPr>
                  <w:i/>
                  <w:iCs/>
                  <w:caps/>
                  <w:color w:val="0000EE"/>
                  <w:sz w:val="20"/>
                  <w:szCs w:val="20"/>
                  <w:u w:val="single" w:color="0000EE"/>
                </w:rPr>
                <w:t xml:space="preserve">Condensed Consolidated Statements of cOMPREHENSIVE INCOME (LOSS) – three AND SIX months ended </w:t>
              </w:r>
            </w:hyperlink>
            <w:hyperlink w:anchor="Operations" w:history="1">
              <w:r w:rsidR="00A66714">
                <w:rPr>
                  <w:i/>
                  <w:iCs/>
                  <w:caps/>
                  <w:color w:val="0000EE"/>
                  <w:sz w:val="20"/>
                  <w:szCs w:val="20"/>
                  <w:u w:val="single" w:color="0000EE"/>
                </w:rPr>
                <w:t>JUNE 30, 2021 AND JUNE 30, 2020</w:t>
              </w:r>
            </w:hyperlink>
          </w:p>
        </w:tc>
        <w:tc>
          <w:tcPr>
            <w:tcW w:w="500" w:type="pct"/>
            <w:tcMar>
              <w:top w:w="5" w:type="dxa"/>
              <w:left w:w="5" w:type="dxa"/>
              <w:bottom w:w="5" w:type="dxa"/>
              <w:right w:w="5" w:type="dxa"/>
            </w:tcMar>
            <w:vAlign w:val="bottom"/>
            <w:hideMark/>
          </w:tcPr>
          <w:p w14:paraId="59FA129D" w14:textId="77777777" w:rsidR="00954279" w:rsidRDefault="00691A5E">
            <w:pPr>
              <w:jc w:val="right"/>
              <w:rPr>
                <w:color w:val="000000"/>
                <w:sz w:val="20"/>
                <w:szCs w:val="20"/>
              </w:rPr>
            </w:pPr>
            <w:hyperlink w:anchor="Comp_Inc" w:history="1">
              <w:r w:rsidR="00A66714">
                <w:rPr>
                  <w:color w:val="0000EE"/>
                  <w:sz w:val="20"/>
                  <w:szCs w:val="20"/>
                  <w:u w:val="single" w:color="0000EE"/>
                </w:rPr>
                <w:t>3</w:t>
              </w:r>
            </w:hyperlink>
          </w:p>
        </w:tc>
      </w:tr>
      <w:tr w:rsidR="00954279" w14:paraId="4A42CA9D" w14:textId="77777777">
        <w:tc>
          <w:tcPr>
            <w:tcW w:w="500" w:type="pct"/>
            <w:tcMar>
              <w:top w:w="5" w:type="dxa"/>
              <w:left w:w="5" w:type="dxa"/>
              <w:bottom w:w="5" w:type="dxa"/>
              <w:right w:w="5" w:type="dxa"/>
            </w:tcMar>
            <w:hideMark/>
          </w:tcPr>
          <w:p w14:paraId="1213505C" w14:textId="77777777" w:rsidR="00954279" w:rsidRDefault="00A66714">
            <w:pPr>
              <w:rPr>
                <w:color w:val="000000"/>
                <w:sz w:val="20"/>
                <w:szCs w:val="20"/>
              </w:rPr>
            </w:pPr>
            <w:r>
              <w:rPr>
                <w:color w:val="000000"/>
                <w:sz w:val="20"/>
                <w:szCs w:val="20"/>
              </w:rPr>
              <w:t> </w:t>
            </w:r>
          </w:p>
        </w:tc>
        <w:tc>
          <w:tcPr>
            <w:tcW w:w="4000" w:type="pct"/>
            <w:tcMar>
              <w:top w:w="5" w:type="dxa"/>
              <w:left w:w="5" w:type="dxa"/>
              <w:bottom w:w="5" w:type="dxa"/>
              <w:right w:w="5" w:type="dxa"/>
            </w:tcMar>
            <w:hideMark/>
          </w:tcPr>
          <w:p w14:paraId="09FE8542" w14:textId="77777777" w:rsidR="00954279" w:rsidRDefault="00A66714">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044AF26C" w14:textId="77777777" w:rsidR="00954279" w:rsidRDefault="00A66714">
            <w:pPr>
              <w:rPr>
                <w:color w:val="000000"/>
                <w:sz w:val="20"/>
                <w:szCs w:val="20"/>
              </w:rPr>
            </w:pPr>
            <w:r>
              <w:rPr>
                <w:color w:val="000000"/>
                <w:sz w:val="20"/>
                <w:szCs w:val="20"/>
              </w:rPr>
              <w:t> </w:t>
            </w:r>
          </w:p>
        </w:tc>
      </w:tr>
      <w:tr w:rsidR="00954279" w14:paraId="6965FAD2" w14:textId="77777777">
        <w:tc>
          <w:tcPr>
            <w:tcW w:w="500" w:type="pct"/>
            <w:tcMar>
              <w:top w:w="5" w:type="dxa"/>
              <w:left w:w="5" w:type="dxa"/>
              <w:bottom w:w="5" w:type="dxa"/>
              <w:right w:w="5" w:type="dxa"/>
            </w:tcMar>
            <w:hideMark/>
          </w:tcPr>
          <w:p w14:paraId="7F63B768" w14:textId="77777777" w:rsidR="00954279" w:rsidRDefault="00A66714">
            <w:pPr>
              <w:rPr>
                <w:color w:val="000000"/>
                <w:sz w:val="20"/>
                <w:szCs w:val="20"/>
              </w:rPr>
            </w:pPr>
            <w:r>
              <w:rPr>
                <w:color w:val="000000"/>
                <w:sz w:val="20"/>
                <w:szCs w:val="20"/>
              </w:rPr>
              <w:t> </w:t>
            </w:r>
          </w:p>
        </w:tc>
        <w:tc>
          <w:tcPr>
            <w:tcW w:w="4000" w:type="pct"/>
            <w:tcMar>
              <w:top w:w="5" w:type="dxa"/>
              <w:left w:w="5" w:type="dxa"/>
              <w:bottom w:w="5" w:type="dxa"/>
              <w:right w:w="5" w:type="dxa"/>
            </w:tcMar>
            <w:hideMark/>
          </w:tcPr>
          <w:p w14:paraId="2F8010D6" w14:textId="77777777" w:rsidR="00954279" w:rsidRDefault="00691A5E">
            <w:pPr>
              <w:rPr>
                <w:caps/>
                <w:color w:val="000000"/>
                <w:sz w:val="20"/>
                <w:szCs w:val="20"/>
              </w:rPr>
            </w:pPr>
            <w:hyperlink w:anchor="Equity" w:history="1">
              <w:r w:rsidR="00A66714">
                <w:rPr>
                  <w:i/>
                  <w:iCs/>
                  <w:caps/>
                  <w:color w:val="0000EE"/>
                  <w:sz w:val="20"/>
                  <w:szCs w:val="20"/>
                  <w:u w:val="single" w:color="0000EE"/>
                </w:rPr>
                <w:t xml:space="preserve">Condensed CONSOLIDATED STATEMENTS OF STOCKHOLDERs’ EQUITY – three AND SIX MONTHS ENDEd </w:t>
              </w:r>
            </w:hyperlink>
            <w:hyperlink w:anchor="Operations" w:history="1">
              <w:r w:rsidR="00A66714">
                <w:rPr>
                  <w:i/>
                  <w:iCs/>
                  <w:caps/>
                  <w:color w:val="0000EE"/>
                  <w:sz w:val="20"/>
                  <w:szCs w:val="20"/>
                  <w:u w:val="single" w:color="0000EE"/>
                </w:rPr>
                <w:t>JUNE 30, 2021 AND JUNE 30, 2020</w:t>
              </w:r>
            </w:hyperlink>
          </w:p>
        </w:tc>
        <w:tc>
          <w:tcPr>
            <w:tcW w:w="500" w:type="pct"/>
            <w:tcMar>
              <w:top w:w="5" w:type="dxa"/>
              <w:left w:w="5" w:type="dxa"/>
              <w:bottom w:w="5" w:type="dxa"/>
              <w:right w:w="5" w:type="dxa"/>
            </w:tcMar>
            <w:vAlign w:val="bottom"/>
            <w:hideMark/>
          </w:tcPr>
          <w:p w14:paraId="5F12A58D" w14:textId="77777777" w:rsidR="00954279" w:rsidRDefault="00691A5E">
            <w:pPr>
              <w:jc w:val="right"/>
              <w:rPr>
                <w:color w:val="000000"/>
                <w:sz w:val="20"/>
                <w:szCs w:val="20"/>
              </w:rPr>
            </w:pPr>
            <w:hyperlink w:anchor="Equity" w:history="1">
              <w:r w:rsidR="00A66714">
                <w:rPr>
                  <w:color w:val="0000EE"/>
                  <w:sz w:val="20"/>
                  <w:szCs w:val="20"/>
                  <w:u w:val="single" w:color="0000EE"/>
                </w:rPr>
                <w:t>4</w:t>
              </w:r>
            </w:hyperlink>
          </w:p>
        </w:tc>
      </w:tr>
      <w:tr w:rsidR="00954279" w14:paraId="524A3374" w14:textId="77777777">
        <w:tc>
          <w:tcPr>
            <w:tcW w:w="500" w:type="pct"/>
            <w:tcMar>
              <w:top w:w="5" w:type="dxa"/>
              <w:left w:w="5" w:type="dxa"/>
              <w:bottom w:w="5" w:type="dxa"/>
              <w:right w:w="5" w:type="dxa"/>
            </w:tcMar>
            <w:hideMark/>
          </w:tcPr>
          <w:p w14:paraId="08543A03" w14:textId="77777777" w:rsidR="00954279" w:rsidRDefault="00A66714">
            <w:pPr>
              <w:rPr>
                <w:color w:val="000000"/>
                <w:sz w:val="20"/>
                <w:szCs w:val="20"/>
              </w:rPr>
            </w:pPr>
            <w:r>
              <w:rPr>
                <w:color w:val="000000"/>
                <w:sz w:val="20"/>
                <w:szCs w:val="20"/>
              </w:rPr>
              <w:t> </w:t>
            </w:r>
          </w:p>
        </w:tc>
        <w:tc>
          <w:tcPr>
            <w:tcW w:w="4000" w:type="pct"/>
            <w:tcMar>
              <w:top w:w="5" w:type="dxa"/>
              <w:left w:w="5" w:type="dxa"/>
              <w:bottom w:w="5" w:type="dxa"/>
              <w:right w:w="5" w:type="dxa"/>
            </w:tcMar>
            <w:hideMark/>
          </w:tcPr>
          <w:p w14:paraId="224231E6" w14:textId="77777777" w:rsidR="00954279" w:rsidRDefault="00A66714">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60810FDB" w14:textId="77777777" w:rsidR="00954279" w:rsidRDefault="00A66714">
            <w:pPr>
              <w:rPr>
                <w:color w:val="000000"/>
                <w:sz w:val="20"/>
                <w:szCs w:val="20"/>
              </w:rPr>
            </w:pPr>
            <w:r>
              <w:rPr>
                <w:color w:val="000000"/>
                <w:sz w:val="20"/>
                <w:szCs w:val="20"/>
              </w:rPr>
              <w:t> </w:t>
            </w:r>
          </w:p>
        </w:tc>
      </w:tr>
      <w:tr w:rsidR="00954279" w14:paraId="775E90A8" w14:textId="77777777">
        <w:tc>
          <w:tcPr>
            <w:tcW w:w="500" w:type="pct"/>
            <w:tcMar>
              <w:top w:w="5" w:type="dxa"/>
              <w:left w:w="5" w:type="dxa"/>
              <w:bottom w:w="5" w:type="dxa"/>
              <w:right w:w="5" w:type="dxa"/>
            </w:tcMar>
            <w:hideMark/>
          </w:tcPr>
          <w:p w14:paraId="03A4BC64" w14:textId="77777777" w:rsidR="00954279" w:rsidRDefault="00A66714">
            <w:pPr>
              <w:rPr>
                <w:color w:val="000000"/>
                <w:sz w:val="20"/>
                <w:szCs w:val="20"/>
              </w:rPr>
            </w:pPr>
            <w:r>
              <w:rPr>
                <w:color w:val="000000"/>
                <w:sz w:val="20"/>
                <w:szCs w:val="20"/>
              </w:rPr>
              <w:t> </w:t>
            </w:r>
          </w:p>
        </w:tc>
        <w:tc>
          <w:tcPr>
            <w:tcW w:w="4000" w:type="pct"/>
            <w:tcMar>
              <w:top w:w="5" w:type="dxa"/>
              <w:left w:w="5" w:type="dxa"/>
              <w:bottom w:w="5" w:type="dxa"/>
              <w:right w:w="5" w:type="dxa"/>
            </w:tcMar>
            <w:hideMark/>
          </w:tcPr>
          <w:p w14:paraId="61DBF43C" w14:textId="77777777" w:rsidR="00954279" w:rsidRDefault="00691A5E">
            <w:pPr>
              <w:rPr>
                <w:caps/>
                <w:color w:val="000000"/>
                <w:sz w:val="20"/>
                <w:szCs w:val="20"/>
              </w:rPr>
            </w:pPr>
            <w:hyperlink w:anchor="Cash_Flows" w:history="1">
              <w:r w:rsidR="00A66714">
                <w:rPr>
                  <w:i/>
                  <w:iCs/>
                  <w:caps/>
                  <w:color w:val="0000EE"/>
                  <w:sz w:val="20"/>
                  <w:szCs w:val="20"/>
                  <w:u w:val="single" w:color="0000EE"/>
                </w:rPr>
                <w:t xml:space="preserve">Condensed CONSOLIDATED STATEMENTS OF cash flows – SIX MONTHS ENDEd </w:t>
              </w:r>
            </w:hyperlink>
            <w:hyperlink w:anchor="Operations" w:history="1">
              <w:r w:rsidR="00A66714">
                <w:rPr>
                  <w:i/>
                  <w:iCs/>
                  <w:caps/>
                  <w:color w:val="0000EE"/>
                  <w:sz w:val="20"/>
                  <w:szCs w:val="20"/>
                  <w:u w:val="single" w:color="0000EE"/>
                </w:rPr>
                <w:t>JUNE 30, 2021 AND JUNE 30, 2020</w:t>
              </w:r>
            </w:hyperlink>
          </w:p>
        </w:tc>
        <w:tc>
          <w:tcPr>
            <w:tcW w:w="500" w:type="pct"/>
            <w:tcMar>
              <w:top w:w="5" w:type="dxa"/>
              <w:left w:w="5" w:type="dxa"/>
              <w:bottom w:w="5" w:type="dxa"/>
              <w:right w:w="5" w:type="dxa"/>
            </w:tcMar>
            <w:hideMark/>
          </w:tcPr>
          <w:p w14:paraId="4E358C92" w14:textId="77777777" w:rsidR="00954279" w:rsidRDefault="00691A5E">
            <w:pPr>
              <w:jc w:val="right"/>
              <w:rPr>
                <w:color w:val="000000"/>
                <w:sz w:val="20"/>
                <w:szCs w:val="20"/>
              </w:rPr>
            </w:pPr>
            <w:hyperlink w:anchor="Cash_Flows" w:history="1">
              <w:r w:rsidR="00A66714">
                <w:rPr>
                  <w:color w:val="0000EE"/>
                  <w:sz w:val="20"/>
                  <w:szCs w:val="20"/>
                  <w:u w:val="single" w:color="0000EE"/>
                </w:rPr>
                <w:t>5</w:t>
              </w:r>
            </w:hyperlink>
          </w:p>
        </w:tc>
      </w:tr>
      <w:tr w:rsidR="00954279" w14:paraId="5002B0A8" w14:textId="77777777">
        <w:tc>
          <w:tcPr>
            <w:tcW w:w="500" w:type="pct"/>
            <w:tcMar>
              <w:top w:w="5" w:type="dxa"/>
              <w:left w:w="5" w:type="dxa"/>
              <w:bottom w:w="5" w:type="dxa"/>
              <w:right w:w="5" w:type="dxa"/>
            </w:tcMar>
            <w:hideMark/>
          </w:tcPr>
          <w:p w14:paraId="01E07226" w14:textId="77777777" w:rsidR="00954279" w:rsidRDefault="00A66714">
            <w:pPr>
              <w:rPr>
                <w:color w:val="000000"/>
                <w:sz w:val="20"/>
                <w:szCs w:val="20"/>
              </w:rPr>
            </w:pPr>
            <w:r>
              <w:rPr>
                <w:color w:val="000000"/>
                <w:sz w:val="20"/>
                <w:szCs w:val="20"/>
              </w:rPr>
              <w:t> </w:t>
            </w:r>
          </w:p>
        </w:tc>
        <w:tc>
          <w:tcPr>
            <w:tcW w:w="4000" w:type="pct"/>
            <w:tcMar>
              <w:top w:w="5" w:type="dxa"/>
              <w:left w:w="5" w:type="dxa"/>
              <w:bottom w:w="5" w:type="dxa"/>
              <w:right w:w="5" w:type="dxa"/>
            </w:tcMar>
            <w:hideMark/>
          </w:tcPr>
          <w:p w14:paraId="1A87CBB0" w14:textId="77777777" w:rsidR="00954279" w:rsidRDefault="00A66714">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669DD509" w14:textId="77777777" w:rsidR="00954279" w:rsidRDefault="00A66714">
            <w:pPr>
              <w:rPr>
                <w:color w:val="000000"/>
                <w:sz w:val="20"/>
                <w:szCs w:val="20"/>
              </w:rPr>
            </w:pPr>
            <w:r>
              <w:rPr>
                <w:color w:val="000000"/>
                <w:sz w:val="20"/>
                <w:szCs w:val="20"/>
              </w:rPr>
              <w:t> </w:t>
            </w:r>
          </w:p>
        </w:tc>
      </w:tr>
      <w:tr w:rsidR="00954279" w14:paraId="0AE70526" w14:textId="77777777">
        <w:tc>
          <w:tcPr>
            <w:tcW w:w="500" w:type="pct"/>
            <w:tcMar>
              <w:top w:w="5" w:type="dxa"/>
              <w:left w:w="5" w:type="dxa"/>
              <w:bottom w:w="5" w:type="dxa"/>
              <w:right w:w="5" w:type="dxa"/>
            </w:tcMar>
            <w:hideMark/>
          </w:tcPr>
          <w:p w14:paraId="123FF693" w14:textId="77777777" w:rsidR="00954279" w:rsidRDefault="00A66714">
            <w:pPr>
              <w:rPr>
                <w:color w:val="000000"/>
                <w:sz w:val="20"/>
                <w:szCs w:val="20"/>
              </w:rPr>
            </w:pPr>
            <w:r>
              <w:rPr>
                <w:color w:val="000000"/>
                <w:sz w:val="20"/>
                <w:szCs w:val="20"/>
              </w:rPr>
              <w:t> </w:t>
            </w:r>
          </w:p>
        </w:tc>
        <w:tc>
          <w:tcPr>
            <w:tcW w:w="4000" w:type="pct"/>
            <w:tcMar>
              <w:top w:w="5" w:type="dxa"/>
              <w:left w:w="5" w:type="dxa"/>
              <w:bottom w:w="5" w:type="dxa"/>
              <w:right w:w="5" w:type="dxa"/>
            </w:tcMar>
            <w:hideMark/>
          </w:tcPr>
          <w:p w14:paraId="3AE31B34" w14:textId="77777777" w:rsidR="00954279" w:rsidRDefault="00691A5E">
            <w:pPr>
              <w:rPr>
                <w:caps/>
                <w:color w:val="000000"/>
                <w:sz w:val="20"/>
                <w:szCs w:val="20"/>
              </w:rPr>
            </w:pPr>
            <w:hyperlink w:anchor="Notes" w:history="1">
              <w:r w:rsidR="00A66714">
                <w:rPr>
                  <w:i/>
                  <w:iCs/>
                  <w:caps/>
                  <w:color w:val="0000EE"/>
                  <w:sz w:val="20"/>
                  <w:szCs w:val="20"/>
                  <w:u w:val="single" w:color="0000EE"/>
                </w:rPr>
                <w:t xml:space="preserve">Notes to the Condensed Consolidated Financial Statements – </w:t>
              </w:r>
            </w:hyperlink>
            <w:hyperlink w:anchor="Operations" w:history="1">
              <w:r w:rsidR="00A66714">
                <w:rPr>
                  <w:i/>
                  <w:iCs/>
                  <w:caps/>
                  <w:color w:val="0000EE"/>
                  <w:sz w:val="20"/>
                  <w:szCs w:val="20"/>
                  <w:u w:val="single" w:color="0000EE"/>
                </w:rPr>
                <w:t>JUNE 30, 2021</w:t>
              </w:r>
            </w:hyperlink>
          </w:p>
        </w:tc>
        <w:tc>
          <w:tcPr>
            <w:tcW w:w="500" w:type="pct"/>
            <w:tcMar>
              <w:top w:w="5" w:type="dxa"/>
              <w:left w:w="5" w:type="dxa"/>
              <w:bottom w:w="5" w:type="dxa"/>
              <w:right w:w="5" w:type="dxa"/>
            </w:tcMar>
            <w:hideMark/>
          </w:tcPr>
          <w:p w14:paraId="35975D67" w14:textId="77777777" w:rsidR="00954279" w:rsidRDefault="00691A5E">
            <w:pPr>
              <w:jc w:val="right"/>
              <w:rPr>
                <w:color w:val="000000"/>
                <w:sz w:val="20"/>
                <w:szCs w:val="20"/>
              </w:rPr>
            </w:pPr>
            <w:hyperlink w:anchor="Notes" w:history="1">
              <w:r w:rsidR="00A66714">
                <w:rPr>
                  <w:color w:val="0000EE"/>
                  <w:sz w:val="20"/>
                  <w:szCs w:val="20"/>
                  <w:u w:val="single" w:color="0000EE"/>
                </w:rPr>
                <w:t>6</w:t>
              </w:r>
            </w:hyperlink>
          </w:p>
        </w:tc>
      </w:tr>
      <w:tr w:rsidR="00954279" w14:paraId="109F8B02" w14:textId="77777777">
        <w:tc>
          <w:tcPr>
            <w:tcW w:w="500" w:type="pct"/>
            <w:tcMar>
              <w:top w:w="5" w:type="dxa"/>
              <w:left w:w="5" w:type="dxa"/>
              <w:bottom w:w="5" w:type="dxa"/>
              <w:right w:w="5" w:type="dxa"/>
            </w:tcMar>
            <w:hideMark/>
          </w:tcPr>
          <w:p w14:paraId="5BBD3647" w14:textId="77777777" w:rsidR="00954279" w:rsidRDefault="00A66714">
            <w:pPr>
              <w:rPr>
                <w:color w:val="000000"/>
                <w:sz w:val="20"/>
                <w:szCs w:val="20"/>
              </w:rPr>
            </w:pPr>
            <w:r>
              <w:rPr>
                <w:color w:val="000000"/>
                <w:sz w:val="20"/>
                <w:szCs w:val="20"/>
              </w:rPr>
              <w:t> </w:t>
            </w:r>
          </w:p>
        </w:tc>
        <w:tc>
          <w:tcPr>
            <w:tcW w:w="4000" w:type="pct"/>
            <w:tcMar>
              <w:top w:w="5" w:type="dxa"/>
              <w:left w:w="5" w:type="dxa"/>
              <w:bottom w:w="5" w:type="dxa"/>
              <w:right w:w="5" w:type="dxa"/>
            </w:tcMar>
            <w:hideMark/>
          </w:tcPr>
          <w:p w14:paraId="04D839D5" w14:textId="77777777" w:rsidR="00954279" w:rsidRDefault="00A66714">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762F5367" w14:textId="77777777" w:rsidR="00954279" w:rsidRDefault="00A66714">
            <w:pPr>
              <w:rPr>
                <w:color w:val="000000"/>
                <w:sz w:val="20"/>
                <w:szCs w:val="20"/>
              </w:rPr>
            </w:pPr>
            <w:r>
              <w:rPr>
                <w:color w:val="000000"/>
                <w:sz w:val="20"/>
                <w:szCs w:val="20"/>
              </w:rPr>
              <w:t> </w:t>
            </w:r>
          </w:p>
        </w:tc>
      </w:tr>
      <w:tr w:rsidR="00954279" w14:paraId="7035D962" w14:textId="77777777">
        <w:tc>
          <w:tcPr>
            <w:tcW w:w="500" w:type="pct"/>
            <w:tcMar>
              <w:top w:w="5" w:type="dxa"/>
              <w:left w:w="5" w:type="dxa"/>
              <w:bottom w:w="5" w:type="dxa"/>
              <w:right w:w="5" w:type="dxa"/>
            </w:tcMar>
            <w:hideMark/>
          </w:tcPr>
          <w:p w14:paraId="53A4977A" w14:textId="77777777" w:rsidR="00954279" w:rsidRDefault="00A66714">
            <w:pPr>
              <w:rPr>
                <w:caps/>
                <w:color w:val="000000"/>
                <w:sz w:val="20"/>
                <w:szCs w:val="20"/>
              </w:rPr>
            </w:pPr>
            <w:r>
              <w:rPr>
                <w:b/>
                <w:bCs/>
                <w:caps/>
                <w:color w:val="000000"/>
                <w:sz w:val="20"/>
                <w:szCs w:val="20"/>
              </w:rPr>
              <w:t>ITEM 2.</w:t>
            </w:r>
          </w:p>
        </w:tc>
        <w:tc>
          <w:tcPr>
            <w:tcW w:w="4000" w:type="pct"/>
            <w:tcMar>
              <w:top w:w="5" w:type="dxa"/>
              <w:left w:w="5" w:type="dxa"/>
              <w:bottom w:w="5" w:type="dxa"/>
              <w:right w:w="5" w:type="dxa"/>
            </w:tcMar>
            <w:hideMark/>
          </w:tcPr>
          <w:p w14:paraId="6C5415A9" w14:textId="77777777" w:rsidR="00954279" w:rsidRDefault="00691A5E">
            <w:pPr>
              <w:rPr>
                <w:caps/>
                <w:color w:val="000000"/>
                <w:sz w:val="20"/>
                <w:szCs w:val="20"/>
              </w:rPr>
            </w:pPr>
            <w:hyperlink w:anchor="Item2_MDA" w:history="1">
              <w:r w:rsidR="00A66714">
                <w:rPr>
                  <w:b/>
                  <w:bCs/>
                  <w:caps/>
                  <w:color w:val="0000EE"/>
                  <w:sz w:val="20"/>
                  <w:szCs w:val="20"/>
                  <w:u w:val="single" w:color="0000EE"/>
                </w:rPr>
                <w:t>management’s discussion and analysis of financial condition and results of operations</w:t>
              </w:r>
            </w:hyperlink>
          </w:p>
        </w:tc>
        <w:tc>
          <w:tcPr>
            <w:tcW w:w="500" w:type="pct"/>
            <w:tcMar>
              <w:top w:w="5" w:type="dxa"/>
              <w:left w:w="5" w:type="dxa"/>
              <w:bottom w:w="5" w:type="dxa"/>
              <w:right w:w="5" w:type="dxa"/>
            </w:tcMar>
            <w:hideMark/>
          </w:tcPr>
          <w:p w14:paraId="70CFD546" w14:textId="77777777" w:rsidR="00954279" w:rsidRDefault="00691A5E">
            <w:pPr>
              <w:jc w:val="right"/>
              <w:rPr>
                <w:color w:val="000000"/>
                <w:sz w:val="20"/>
                <w:szCs w:val="20"/>
              </w:rPr>
            </w:pPr>
            <w:hyperlink w:anchor="Item2_MDA" w:history="1">
              <w:r w:rsidR="00A66714">
                <w:rPr>
                  <w:color w:val="0000EE"/>
                  <w:sz w:val="20"/>
                  <w:szCs w:val="20"/>
                  <w:u w:val="single" w:color="0000EE"/>
                </w:rPr>
                <w:t>16</w:t>
              </w:r>
            </w:hyperlink>
          </w:p>
        </w:tc>
      </w:tr>
      <w:tr w:rsidR="00954279" w14:paraId="5FBA1538" w14:textId="77777777">
        <w:tc>
          <w:tcPr>
            <w:tcW w:w="500" w:type="pct"/>
            <w:tcMar>
              <w:top w:w="5" w:type="dxa"/>
              <w:left w:w="5" w:type="dxa"/>
              <w:bottom w:w="5" w:type="dxa"/>
              <w:right w:w="5" w:type="dxa"/>
            </w:tcMar>
            <w:hideMark/>
          </w:tcPr>
          <w:p w14:paraId="5CE187A6" w14:textId="77777777" w:rsidR="00954279" w:rsidRDefault="00A66714">
            <w:pPr>
              <w:rPr>
                <w:color w:val="000000"/>
                <w:sz w:val="20"/>
                <w:szCs w:val="20"/>
              </w:rPr>
            </w:pPr>
            <w:r>
              <w:rPr>
                <w:color w:val="000000"/>
                <w:sz w:val="20"/>
                <w:szCs w:val="20"/>
              </w:rPr>
              <w:t> </w:t>
            </w:r>
          </w:p>
        </w:tc>
        <w:tc>
          <w:tcPr>
            <w:tcW w:w="4000" w:type="pct"/>
            <w:tcMar>
              <w:top w:w="5" w:type="dxa"/>
              <w:left w:w="5" w:type="dxa"/>
              <w:bottom w:w="5" w:type="dxa"/>
              <w:right w:w="5" w:type="dxa"/>
            </w:tcMar>
            <w:hideMark/>
          </w:tcPr>
          <w:p w14:paraId="531DDFAB" w14:textId="77777777" w:rsidR="00954279" w:rsidRDefault="00A66714">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3C1A8055" w14:textId="77777777" w:rsidR="00954279" w:rsidRDefault="00A66714">
            <w:pPr>
              <w:rPr>
                <w:color w:val="000000"/>
                <w:sz w:val="20"/>
                <w:szCs w:val="20"/>
              </w:rPr>
            </w:pPr>
            <w:r>
              <w:rPr>
                <w:color w:val="000000"/>
                <w:sz w:val="20"/>
                <w:szCs w:val="20"/>
              </w:rPr>
              <w:t> </w:t>
            </w:r>
          </w:p>
        </w:tc>
      </w:tr>
      <w:tr w:rsidR="00954279" w14:paraId="14D41B01" w14:textId="77777777">
        <w:tc>
          <w:tcPr>
            <w:tcW w:w="500" w:type="pct"/>
            <w:tcMar>
              <w:top w:w="5" w:type="dxa"/>
              <w:left w:w="5" w:type="dxa"/>
              <w:bottom w:w="5" w:type="dxa"/>
              <w:right w:w="5" w:type="dxa"/>
            </w:tcMar>
            <w:hideMark/>
          </w:tcPr>
          <w:p w14:paraId="00CCE51B" w14:textId="77777777" w:rsidR="00954279" w:rsidRDefault="00A66714">
            <w:pPr>
              <w:rPr>
                <w:caps/>
                <w:color w:val="000000"/>
                <w:sz w:val="20"/>
                <w:szCs w:val="20"/>
              </w:rPr>
            </w:pPr>
            <w:r>
              <w:rPr>
                <w:b/>
                <w:bCs/>
                <w:caps/>
                <w:color w:val="000000"/>
                <w:sz w:val="20"/>
                <w:szCs w:val="20"/>
              </w:rPr>
              <w:t>ITEM 3.</w:t>
            </w:r>
          </w:p>
        </w:tc>
        <w:tc>
          <w:tcPr>
            <w:tcW w:w="4000" w:type="pct"/>
            <w:tcMar>
              <w:top w:w="5" w:type="dxa"/>
              <w:left w:w="5" w:type="dxa"/>
              <w:bottom w:w="5" w:type="dxa"/>
              <w:right w:w="5" w:type="dxa"/>
            </w:tcMar>
            <w:hideMark/>
          </w:tcPr>
          <w:p w14:paraId="4F7DF587" w14:textId="77777777" w:rsidR="00954279" w:rsidRDefault="00691A5E">
            <w:pPr>
              <w:rPr>
                <w:caps/>
                <w:color w:val="000000"/>
                <w:sz w:val="20"/>
                <w:szCs w:val="20"/>
              </w:rPr>
            </w:pPr>
            <w:hyperlink w:anchor="Item3_QQ" w:history="1">
              <w:r w:rsidR="00A66714">
                <w:rPr>
                  <w:b/>
                  <w:bCs/>
                  <w:caps/>
                  <w:color w:val="0000EE"/>
                  <w:sz w:val="20"/>
                  <w:szCs w:val="20"/>
                  <w:u w:val="single" w:color="0000EE"/>
                </w:rPr>
                <w:t>quantitative and qualitative disclosures about market risk</w:t>
              </w:r>
            </w:hyperlink>
          </w:p>
        </w:tc>
        <w:tc>
          <w:tcPr>
            <w:tcW w:w="500" w:type="pct"/>
            <w:tcMar>
              <w:top w:w="5" w:type="dxa"/>
              <w:left w:w="5" w:type="dxa"/>
              <w:bottom w:w="5" w:type="dxa"/>
              <w:right w:w="5" w:type="dxa"/>
            </w:tcMar>
            <w:hideMark/>
          </w:tcPr>
          <w:p w14:paraId="2E412924" w14:textId="77777777" w:rsidR="00954279" w:rsidRDefault="00691A5E">
            <w:pPr>
              <w:jc w:val="right"/>
              <w:rPr>
                <w:color w:val="000000"/>
                <w:sz w:val="20"/>
                <w:szCs w:val="20"/>
              </w:rPr>
            </w:pPr>
            <w:hyperlink w:anchor="Item3_QQ" w:history="1">
              <w:r w:rsidR="00A66714">
                <w:rPr>
                  <w:color w:val="0000EE"/>
                  <w:sz w:val="20"/>
                  <w:szCs w:val="20"/>
                  <w:u w:val="single" w:color="0000EE"/>
                </w:rPr>
                <w:t>29</w:t>
              </w:r>
            </w:hyperlink>
          </w:p>
        </w:tc>
      </w:tr>
      <w:tr w:rsidR="00954279" w14:paraId="621511B7" w14:textId="77777777">
        <w:tc>
          <w:tcPr>
            <w:tcW w:w="500" w:type="pct"/>
            <w:tcMar>
              <w:top w:w="5" w:type="dxa"/>
              <w:left w:w="5" w:type="dxa"/>
              <w:bottom w:w="5" w:type="dxa"/>
              <w:right w:w="5" w:type="dxa"/>
            </w:tcMar>
            <w:hideMark/>
          </w:tcPr>
          <w:p w14:paraId="281CAF6F" w14:textId="77777777" w:rsidR="00954279" w:rsidRDefault="00A66714">
            <w:pPr>
              <w:rPr>
                <w:color w:val="000000"/>
                <w:sz w:val="20"/>
                <w:szCs w:val="20"/>
              </w:rPr>
            </w:pPr>
            <w:r>
              <w:rPr>
                <w:color w:val="000000"/>
                <w:sz w:val="20"/>
                <w:szCs w:val="20"/>
              </w:rPr>
              <w:t> </w:t>
            </w:r>
          </w:p>
        </w:tc>
        <w:tc>
          <w:tcPr>
            <w:tcW w:w="4000" w:type="pct"/>
            <w:tcMar>
              <w:top w:w="5" w:type="dxa"/>
              <w:left w:w="5" w:type="dxa"/>
              <w:bottom w:w="5" w:type="dxa"/>
              <w:right w:w="5" w:type="dxa"/>
            </w:tcMar>
            <w:hideMark/>
          </w:tcPr>
          <w:p w14:paraId="6F830665" w14:textId="77777777" w:rsidR="00954279" w:rsidRDefault="00A66714">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10993F10" w14:textId="77777777" w:rsidR="00954279" w:rsidRDefault="00A66714">
            <w:pPr>
              <w:rPr>
                <w:color w:val="000000"/>
                <w:sz w:val="20"/>
                <w:szCs w:val="20"/>
              </w:rPr>
            </w:pPr>
            <w:r>
              <w:rPr>
                <w:color w:val="000000"/>
                <w:sz w:val="20"/>
                <w:szCs w:val="20"/>
              </w:rPr>
              <w:t> </w:t>
            </w:r>
          </w:p>
        </w:tc>
      </w:tr>
      <w:tr w:rsidR="00954279" w14:paraId="2AE8A8A5" w14:textId="77777777">
        <w:tc>
          <w:tcPr>
            <w:tcW w:w="500" w:type="pct"/>
            <w:tcMar>
              <w:top w:w="5" w:type="dxa"/>
              <w:left w:w="5" w:type="dxa"/>
              <w:bottom w:w="5" w:type="dxa"/>
              <w:right w:w="5" w:type="dxa"/>
            </w:tcMar>
            <w:hideMark/>
          </w:tcPr>
          <w:p w14:paraId="5D558F91" w14:textId="77777777" w:rsidR="00954279" w:rsidRDefault="00A66714">
            <w:pPr>
              <w:rPr>
                <w:caps/>
                <w:color w:val="000000"/>
                <w:sz w:val="20"/>
                <w:szCs w:val="20"/>
              </w:rPr>
            </w:pPr>
            <w:r>
              <w:rPr>
                <w:b/>
                <w:bCs/>
                <w:caps/>
                <w:color w:val="000000"/>
                <w:sz w:val="20"/>
                <w:szCs w:val="20"/>
              </w:rPr>
              <w:t>ITEM 4.</w:t>
            </w:r>
          </w:p>
        </w:tc>
        <w:tc>
          <w:tcPr>
            <w:tcW w:w="4000" w:type="pct"/>
            <w:tcMar>
              <w:top w:w="5" w:type="dxa"/>
              <w:left w:w="5" w:type="dxa"/>
              <w:bottom w:w="5" w:type="dxa"/>
              <w:right w:w="5" w:type="dxa"/>
            </w:tcMar>
            <w:hideMark/>
          </w:tcPr>
          <w:p w14:paraId="367191B5" w14:textId="77777777" w:rsidR="00954279" w:rsidRDefault="00691A5E">
            <w:pPr>
              <w:rPr>
                <w:caps/>
                <w:color w:val="000000"/>
                <w:sz w:val="20"/>
                <w:szCs w:val="20"/>
              </w:rPr>
            </w:pPr>
            <w:hyperlink w:anchor="Item4_Controls" w:history="1">
              <w:r w:rsidR="00A66714">
                <w:rPr>
                  <w:b/>
                  <w:bCs/>
                  <w:caps/>
                  <w:color w:val="0000EE"/>
                  <w:sz w:val="20"/>
                  <w:szCs w:val="20"/>
                  <w:u w:val="single" w:color="0000EE"/>
                </w:rPr>
                <w:t>controls and procedures</w:t>
              </w:r>
            </w:hyperlink>
          </w:p>
        </w:tc>
        <w:tc>
          <w:tcPr>
            <w:tcW w:w="500" w:type="pct"/>
            <w:tcMar>
              <w:top w:w="5" w:type="dxa"/>
              <w:left w:w="5" w:type="dxa"/>
              <w:bottom w:w="5" w:type="dxa"/>
              <w:right w:w="5" w:type="dxa"/>
            </w:tcMar>
            <w:hideMark/>
          </w:tcPr>
          <w:p w14:paraId="3DEF9309" w14:textId="77777777" w:rsidR="00954279" w:rsidRDefault="00691A5E">
            <w:pPr>
              <w:jc w:val="right"/>
              <w:rPr>
                <w:color w:val="000000"/>
                <w:sz w:val="20"/>
                <w:szCs w:val="20"/>
              </w:rPr>
            </w:pPr>
            <w:hyperlink w:anchor="Item4_Controls" w:history="1">
              <w:r w:rsidR="00A66714">
                <w:rPr>
                  <w:color w:val="0000EE"/>
                  <w:sz w:val="20"/>
                  <w:szCs w:val="20"/>
                  <w:u w:val="single" w:color="0000EE"/>
                </w:rPr>
                <w:t>30</w:t>
              </w:r>
            </w:hyperlink>
          </w:p>
        </w:tc>
      </w:tr>
      <w:tr w:rsidR="00954279" w14:paraId="359E9925" w14:textId="77777777">
        <w:tc>
          <w:tcPr>
            <w:tcW w:w="500" w:type="pct"/>
            <w:tcMar>
              <w:top w:w="5" w:type="dxa"/>
              <w:left w:w="5" w:type="dxa"/>
              <w:bottom w:w="5" w:type="dxa"/>
              <w:right w:w="5" w:type="dxa"/>
            </w:tcMar>
            <w:hideMark/>
          </w:tcPr>
          <w:p w14:paraId="3A9A9CC1" w14:textId="77777777" w:rsidR="00954279" w:rsidRDefault="00A66714">
            <w:pPr>
              <w:rPr>
                <w:color w:val="000000"/>
                <w:sz w:val="20"/>
                <w:szCs w:val="20"/>
              </w:rPr>
            </w:pPr>
            <w:r>
              <w:rPr>
                <w:color w:val="000000"/>
                <w:sz w:val="20"/>
                <w:szCs w:val="20"/>
              </w:rPr>
              <w:t> </w:t>
            </w:r>
          </w:p>
        </w:tc>
        <w:tc>
          <w:tcPr>
            <w:tcW w:w="4000" w:type="pct"/>
            <w:tcMar>
              <w:top w:w="5" w:type="dxa"/>
              <w:left w:w="5" w:type="dxa"/>
              <w:bottom w:w="5" w:type="dxa"/>
              <w:right w:w="5" w:type="dxa"/>
            </w:tcMar>
            <w:hideMark/>
          </w:tcPr>
          <w:p w14:paraId="587C77A5" w14:textId="77777777" w:rsidR="00954279" w:rsidRDefault="00A66714">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3A06E57C" w14:textId="77777777" w:rsidR="00954279" w:rsidRDefault="00A66714">
            <w:pPr>
              <w:rPr>
                <w:color w:val="000000"/>
                <w:sz w:val="20"/>
                <w:szCs w:val="20"/>
              </w:rPr>
            </w:pPr>
            <w:r>
              <w:rPr>
                <w:color w:val="000000"/>
                <w:sz w:val="20"/>
                <w:szCs w:val="20"/>
              </w:rPr>
              <w:t> </w:t>
            </w:r>
          </w:p>
        </w:tc>
      </w:tr>
      <w:tr w:rsidR="00954279" w14:paraId="000672F3" w14:textId="77777777">
        <w:tc>
          <w:tcPr>
            <w:tcW w:w="4500" w:type="pct"/>
            <w:gridSpan w:val="3"/>
            <w:tcMar>
              <w:top w:w="5" w:type="dxa"/>
              <w:left w:w="5" w:type="dxa"/>
              <w:bottom w:w="5" w:type="dxa"/>
              <w:right w:w="5" w:type="dxa"/>
            </w:tcMar>
            <w:hideMark/>
          </w:tcPr>
          <w:p w14:paraId="2065E4C7" w14:textId="77777777" w:rsidR="00954279" w:rsidRDefault="00A66714">
            <w:pPr>
              <w:jc w:val="center"/>
              <w:rPr>
                <w:caps/>
                <w:color w:val="000000"/>
                <w:sz w:val="20"/>
                <w:szCs w:val="20"/>
              </w:rPr>
            </w:pPr>
            <w:r>
              <w:rPr>
                <w:b/>
                <w:bCs/>
                <w:caps/>
                <w:color w:val="000000"/>
                <w:sz w:val="20"/>
                <w:szCs w:val="20"/>
              </w:rPr>
              <w:t>PART II – OTHER INFORMATION</w:t>
            </w:r>
          </w:p>
        </w:tc>
      </w:tr>
      <w:tr w:rsidR="00954279" w14:paraId="7BE867F0" w14:textId="77777777">
        <w:tc>
          <w:tcPr>
            <w:tcW w:w="500" w:type="pct"/>
            <w:tcMar>
              <w:top w:w="5" w:type="dxa"/>
              <w:left w:w="5" w:type="dxa"/>
              <w:bottom w:w="5" w:type="dxa"/>
              <w:right w:w="5" w:type="dxa"/>
            </w:tcMar>
            <w:hideMark/>
          </w:tcPr>
          <w:p w14:paraId="127480CA" w14:textId="77777777" w:rsidR="00954279" w:rsidRDefault="00A66714">
            <w:pPr>
              <w:rPr>
                <w:color w:val="000000"/>
                <w:sz w:val="20"/>
                <w:szCs w:val="20"/>
              </w:rPr>
            </w:pPr>
            <w:r>
              <w:rPr>
                <w:color w:val="000000"/>
                <w:sz w:val="20"/>
                <w:szCs w:val="20"/>
              </w:rPr>
              <w:t> </w:t>
            </w:r>
          </w:p>
        </w:tc>
        <w:tc>
          <w:tcPr>
            <w:tcW w:w="4000" w:type="pct"/>
            <w:tcMar>
              <w:top w:w="5" w:type="dxa"/>
              <w:left w:w="5" w:type="dxa"/>
              <w:bottom w:w="5" w:type="dxa"/>
              <w:right w:w="5" w:type="dxa"/>
            </w:tcMar>
            <w:hideMark/>
          </w:tcPr>
          <w:p w14:paraId="1A7D74D1" w14:textId="77777777" w:rsidR="00954279" w:rsidRDefault="00A66714">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59F7363B" w14:textId="77777777" w:rsidR="00954279" w:rsidRDefault="00A66714">
            <w:pPr>
              <w:rPr>
                <w:color w:val="000000"/>
                <w:sz w:val="20"/>
                <w:szCs w:val="20"/>
              </w:rPr>
            </w:pPr>
            <w:r>
              <w:rPr>
                <w:color w:val="000000"/>
                <w:sz w:val="20"/>
                <w:szCs w:val="20"/>
              </w:rPr>
              <w:t> </w:t>
            </w:r>
          </w:p>
        </w:tc>
      </w:tr>
      <w:tr w:rsidR="00954279" w14:paraId="5EB8EEF8" w14:textId="77777777">
        <w:tc>
          <w:tcPr>
            <w:tcW w:w="500" w:type="pct"/>
            <w:tcMar>
              <w:top w:w="5" w:type="dxa"/>
              <w:left w:w="5" w:type="dxa"/>
              <w:bottom w:w="5" w:type="dxa"/>
              <w:right w:w="5" w:type="dxa"/>
            </w:tcMar>
            <w:hideMark/>
          </w:tcPr>
          <w:p w14:paraId="1DE86F81" w14:textId="77777777" w:rsidR="00954279" w:rsidRDefault="00A66714">
            <w:pPr>
              <w:rPr>
                <w:caps/>
                <w:color w:val="000000"/>
                <w:sz w:val="20"/>
                <w:szCs w:val="20"/>
              </w:rPr>
            </w:pPr>
            <w:r>
              <w:rPr>
                <w:b/>
                <w:bCs/>
                <w:caps/>
                <w:color w:val="000000"/>
                <w:sz w:val="20"/>
                <w:szCs w:val="20"/>
              </w:rPr>
              <w:t>ITEM 1.</w:t>
            </w:r>
          </w:p>
        </w:tc>
        <w:tc>
          <w:tcPr>
            <w:tcW w:w="4000" w:type="pct"/>
            <w:tcMar>
              <w:top w:w="5" w:type="dxa"/>
              <w:left w:w="5" w:type="dxa"/>
              <w:bottom w:w="5" w:type="dxa"/>
              <w:right w:w="5" w:type="dxa"/>
            </w:tcMar>
            <w:hideMark/>
          </w:tcPr>
          <w:p w14:paraId="790A7184" w14:textId="77777777" w:rsidR="00954279" w:rsidRDefault="00691A5E">
            <w:pPr>
              <w:rPr>
                <w:caps/>
                <w:color w:val="000000"/>
                <w:sz w:val="20"/>
                <w:szCs w:val="20"/>
              </w:rPr>
            </w:pPr>
            <w:hyperlink w:anchor="Item1_Legal" w:history="1">
              <w:r w:rsidR="00A66714">
                <w:rPr>
                  <w:b/>
                  <w:bCs/>
                  <w:caps/>
                  <w:color w:val="0000EE"/>
                  <w:sz w:val="20"/>
                  <w:szCs w:val="20"/>
                  <w:u w:val="single" w:color="0000EE"/>
                </w:rPr>
                <w:t>LEGAL PROCEEDINGS</w:t>
              </w:r>
            </w:hyperlink>
          </w:p>
        </w:tc>
        <w:tc>
          <w:tcPr>
            <w:tcW w:w="500" w:type="pct"/>
            <w:tcMar>
              <w:top w:w="5" w:type="dxa"/>
              <w:left w:w="5" w:type="dxa"/>
              <w:bottom w:w="5" w:type="dxa"/>
              <w:right w:w="5" w:type="dxa"/>
            </w:tcMar>
            <w:hideMark/>
          </w:tcPr>
          <w:p w14:paraId="20B1C400" w14:textId="77777777" w:rsidR="00954279" w:rsidRDefault="00691A5E">
            <w:pPr>
              <w:jc w:val="right"/>
              <w:rPr>
                <w:color w:val="000000"/>
                <w:sz w:val="20"/>
                <w:szCs w:val="20"/>
              </w:rPr>
            </w:pPr>
            <w:hyperlink w:anchor="Item1_Legal" w:history="1">
              <w:r w:rsidR="00A66714">
                <w:rPr>
                  <w:color w:val="0000EE"/>
                  <w:sz w:val="20"/>
                  <w:szCs w:val="20"/>
                  <w:u w:val="single" w:color="0000EE"/>
                </w:rPr>
                <w:t>31</w:t>
              </w:r>
            </w:hyperlink>
          </w:p>
        </w:tc>
      </w:tr>
      <w:tr w:rsidR="00954279" w14:paraId="0D826013" w14:textId="77777777">
        <w:tc>
          <w:tcPr>
            <w:tcW w:w="500" w:type="pct"/>
            <w:tcMar>
              <w:top w:w="5" w:type="dxa"/>
              <w:left w:w="5" w:type="dxa"/>
              <w:bottom w:w="5" w:type="dxa"/>
              <w:right w:w="5" w:type="dxa"/>
            </w:tcMar>
            <w:hideMark/>
          </w:tcPr>
          <w:p w14:paraId="77B4780E" w14:textId="77777777" w:rsidR="00954279" w:rsidRDefault="00A66714">
            <w:pPr>
              <w:rPr>
                <w:color w:val="000000"/>
                <w:sz w:val="20"/>
                <w:szCs w:val="20"/>
              </w:rPr>
            </w:pPr>
            <w:r>
              <w:rPr>
                <w:color w:val="000000"/>
                <w:sz w:val="20"/>
                <w:szCs w:val="20"/>
              </w:rPr>
              <w:t> </w:t>
            </w:r>
          </w:p>
        </w:tc>
        <w:tc>
          <w:tcPr>
            <w:tcW w:w="4000" w:type="pct"/>
            <w:tcMar>
              <w:top w:w="5" w:type="dxa"/>
              <w:left w:w="5" w:type="dxa"/>
              <w:bottom w:w="5" w:type="dxa"/>
              <w:right w:w="5" w:type="dxa"/>
            </w:tcMar>
            <w:hideMark/>
          </w:tcPr>
          <w:p w14:paraId="616EBABA" w14:textId="77777777" w:rsidR="00954279" w:rsidRDefault="00A66714">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6FFE6555" w14:textId="77777777" w:rsidR="00954279" w:rsidRDefault="00A66714">
            <w:pPr>
              <w:rPr>
                <w:color w:val="000000"/>
                <w:sz w:val="20"/>
                <w:szCs w:val="20"/>
              </w:rPr>
            </w:pPr>
            <w:r>
              <w:rPr>
                <w:color w:val="000000"/>
                <w:sz w:val="20"/>
                <w:szCs w:val="20"/>
              </w:rPr>
              <w:t> </w:t>
            </w:r>
          </w:p>
        </w:tc>
      </w:tr>
      <w:tr w:rsidR="00954279" w14:paraId="0FBD4ED8" w14:textId="77777777">
        <w:tc>
          <w:tcPr>
            <w:tcW w:w="500" w:type="pct"/>
            <w:tcMar>
              <w:top w:w="5" w:type="dxa"/>
              <w:left w:w="5" w:type="dxa"/>
              <w:bottom w:w="5" w:type="dxa"/>
              <w:right w:w="5" w:type="dxa"/>
            </w:tcMar>
            <w:hideMark/>
          </w:tcPr>
          <w:p w14:paraId="5DAC657C" w14:textId="77777777" w:rsidR="00954279" w:rsidRDefault="00A66714">
            <w:pPr>
              <w:rPr>
                <w:caps/>
                <w:color w:val="000000"/>
                <w:sz w:val="20"/>
                <w:szCs w:val="20"/>
              </w:rPr>
            </w:pPr>
            <w:r>
              <w:rPr>
                <w:b/>
                <w:bCs/>
                <w:caps/>
                <w:color w:val="000000"/>
                <w:sz w:val="20"/>
                <w:szCs w:val="20"/>
              </w:rPr>
              <w:t>ITEM 1a.</w:t>
            </w:r>
          </w:p>
        </w:tc>
        <w:tc>
          <w:tcPr>
            <w:tcW w:w="4000" w:type="pct"/>
            <w:tcMar>
              <w:top w:w="5" w:type="dxa"/>
              <w:left w:w="5" w:type="dxa"/>
              <w:bottom w:w="5" w:type="dxa"/>
              <w:right w:w="5" w:type="dxa"/>
            </w:tcMar>
            <w:hideMark/>
          </w:tcPr>
          <w:p w14:paraId="39BE22CF" w14:textId="77777777" w:rsidR="00954279" w:rsidRDefault="00691A5E">
            <w:pPr>
              <w:rPr>
                <w:caps/>
                <w:color w:val="000000"/>
                <w:sz w:val="20"/>
                <w:szCs w:val="20"/>
              </w:rPr>
            </w:pPr>
            <w:hyperlink w:anchor="Item1A_Risk" w:history="1">
              <w:r w:rsidR="00A66714">
                <w:rPr>
                  <w:b/>
                  <w:bCs/>
                  <w:caps/>
                  <w:color w:val="0000EE"/>
                  <w:sz w:val="20"/>
                  <w:szCs w:val="20"/>
                  <w:u w:val="single" w:color="0000EE"/>
                </w:rPr>
                <w:t>RISK FACTORS</w:t>
              </w:r>
            </w:hyperlink>
          </w:p>
        </w:tc>
        <w:tc>
          <w:tcPr>
            <w:tcW w:w="500" w:type="pct"/>
            <w:tcMar>
              <w:top w:w="5" w:type="dxa"/>
              <w:left w:w="5" w:type="dxa"/>
              <w:bottom w:w="5" w:type="dxa"/>
              <w:right w:w="5" w:type="dxa"/>
            </w:tcMar>
            <w:hideMark/>
          </w:tcPr>
          <w:p w14:paraId="4E4A3418" w14:textId="77777777" w:rsidR="00954279" w:rsidRDefault="00691A5E">
            <w:pPr>
              <w:jc w:val="right"/>
              <w:rPr>
                <w:color w:val="000000"/>
                <w:sz w:val="20"/>
                <w:szCs w:val="20"/>
              </w:rPr>
            </w:pPr>
            <w:hyperlink w:anchor="Item1A_Risk" w:history="1">
              <w:r w:rsidR="00A66714">
                <w:rPr>
                  <w:color w:val="0000EE"/>
                  <w:sz w:val="20"/>
                  <w:szCs w:val="20"/>
                  <w:u w:val="single" w:color="0000EE"/>
                </w:rPr>
                <w:t>31</w:t>
              </w:r>
            </w:hyperlink>
          </w:p>
        </w:tc>
      </w:tr>
      <w:tr w:rsidR="00954279" w14:paraId="7E6A9B40" w14:textId="77777777">
        <w:tc>
          <w:tcPr>
            <w:tcW w:w="500" w:type="pct"/>
            <w:tcMar>
              <w:top w:w="5" w:type="dxa"/>
              <w:left w:w="5" w:type="dxa"/>
              <w:bottom w:w="5" w:type="dxa"/>
              <w:right w:w="5" w:type="dxa"/>
            </w:tcMar>
            <w:hideMark/>
          </w:tcPr>
          <w:p w14:paraId="6C866AF0" w14:textId="77777777" w:rsidR="00954279" w:rsidRDefault="00A66714">
            <w:pPr>
              <w:rPr>
                <w:color w:val="000000"/>
                <w:sz w:val="20"/>
                <w:szCs w:val="20"/>
              </w:rPr>
            </w:pPr>
            <w:r>
              <w:rPr>
                <w:color w:val="000000"/>
                <w:sz w:val="20"/>
                <w:szCs w:val="20"/>
              </w:rPr>
              <w:t> </w:t>
            </w:r>
          </w:p>
        </w:tc>
        <w:tc>
          <w:tcPr>
            <w:tcW w:w="4000" w:type="pct"/>
            <w:tcMar>
              <w:top w:w="5" w:type="dxa"/>
              <w:left w:w="5" w:type="dxa"/>
              <w:bottom w:w="5" w:type="dxa"/>
              <w:right w:w="5" w:type="dxa"/>
            </w:tcMar>
            <w:hideMark/>
          </w:tcPr>
          <w:p w14:paraId="7BC17B69" w14:textId="77777777" w:rsidR="00954279" w:rsidRDefault="00A66714">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48A85FA8" w14:textId="77777777" w:rsidR="00954279" w:rsidRDefault="00A66714">
            <w:pPr>
              <w:rPr>
                <w:color w:val="000000"/>
                <w:sz w:val="20"/>
                <w:szCs w:val="20"/>
              </w:rPr>
            </w:pPr>
            <w:r>
              <w:rPr>
                <w:color w:val="000000"/>
                <w:sz w:val="20"/>
                <w:szCs w:val="20"/>
              </w:rPr>
              <w:t> </w:t>
            </w:r>
          </w:p>
        </w:tc>
      </w:tr>
      <w:tr w:rsidR="00954279" w14:paraId="24779826" w14:textId="77777777">
        <w:tc>
          <w:tcPr>
            <w:tcW w:w="500" w:type="pct"/>
            <w:tcMar>
              <w:top w:w="5" w:type="dxa"/>
              <w:left w:w="5" w:type="dxa"/>
              <w:bottom w:w="5" w:type="dxa"/>
              <w:right w:w="5" w:type="dxa"/>
            </w:tcMar>
            <w:hideMark/>
          </w:tcPr>
          <w:p w14:paraId="5AD2E3AE" w14:textId="77777777" w:rsidR="00954279" w:rsidRDefault="00A66714">
            <w:pPr>
              <w:rPr>
                <w:caps/>
                <w:color w:val="000000"/>
                <w:sz w:val="20"/>
                <w:szCs w:val="20"/>
              </w:rPr>
            </w:pPr>
            <w:r>
              <w:rPr>
                <w:b/>
                <w:bCs/>
                <w:caps/>
                <w:color w:val="000000"/>
                <w:sz w:val="20"/>
                <w:szCs w:val="20"/>
              </w:rPr>
              <w:t>ITEM 2.</w:t>
            </w:r>
          </w:p>
        </w:tc>
        <w:tc>
          <w:tcPr>
            <w:tcW w:w="4000" w:type="pct"/>
            <w:tcMar>
              <w:top w:w="5" w:type="dxa"/>
              <w:left w:w="5" w:type="dxa"/>
              <w:bottom w:w="5" w:type="dxa"/>
              <w:right w:w="5" w:type="dxa"/>
            </w:tcMar>
            <w:hideMark/>
          </w:tcPr>
          <w:p w14:paraId="677566BF" w14:textId="77777777" w:rsidR="00954279" w:rsidRDefault="00691A5E">
            <w:pPr>
              <w:rPr>
                <w:caps/>
                <w:color w:val="000000"/>
                <w:sz w:val="20"/>
                <w:szCs w:val="20"/>
              </w:rPr>
            </w:pPr>
            <w:hyperlink w:anchor="Item2_Unreg" w:history="1">
              <w:r w:rsidR="00A66714">
                <w:rPr>
                  <w:b/>
                  <w:bCs/>
                  <w:caps/>
                  <w:color w:val="0000EE"/>
                  <w:sz w:val="20"/>
                  <w:szCs w:val="20"/>
                  <w:u w:val="single" w:color="0000EE"/>
                </w:rPr>
                <w:t>UNREGISTERED SALES OF EQUITY SECURITIES AND USE OF PROCEEDS</w:t>
              </w:r>
            </w:hyperlink>
          </w:p>
        </w:tc>
        <w:tc>
          <w:tcPr>
            <w:tcW w:w="500" w:type="pct"/>
            <w:tcMar>
              <w:top w:w="5" w:type="dxa"/>
              <w:left w:w="5" w:type="dxa"/>
              <w:bottom w:w="5" w:type="dxa"/>
              <w:right w:w="5" w:type="dxa"/>
            </w:tcMar>
            <w:hideMark/>
          </w:tcPr>
          <w:p w14:paraId="1DF393BE" w14:textId="77777777" w:rsidR="00954279" w:rsidRDefault="00691A5E">
            <w:pPr>
              <w:jc w:val="right"/>
              <w:rPr>
                <w:color w:val="000000"/>
                <w:sz w:val="20"/>
                <w:szCs w:val="20"/>
              </w:rPr>
            </w:pPr>
            <w:hyperlink w:anchor="Item2_Unreg" w:history="1">
              <w:r w:rsidR="00A66714">
                <w:rPr>
                  <w:color w:val="0000EE"/>
                  <w:sz w:val="20"/>
                  <w:szCs w:val="20"/>
                  <w:u w:val="single" w:color="0000EE"/>
                </w:rPr>
                <w:t>31</w:t>
              </w:r>
            </w:hyperlink>
          </w:p>
        </w:tc>
      </w:tr>
      <w:tr w:rsidR="00954279" w14:paraId="4D406314" w14:textId="77777777">
        <w:tc>
          <w:tcPr>
            <w:tcW w:w="500" w:type="pct"/>
            <w:tcMar>
              <w:top w:w="5" w:type="dxa"/>
              <w:left w:w="5" w:type="dxa"/>
              <w:bottom w:w="5" w:type="dxa"/>
              <w:right w:w="5" w:type="dxa"/>
            </w:tcMar>
            <w:hideMark/>
          </w:tcPr>
          <w:p w14:paraId="1B149F28" w14:textId="77777777" w:rsidR="00954279" w:rsidRDefault="00A66714">
            <w:pPr>
              <w:rPr>
                <w:color w:val="000000"/>
                <w:sz w:val="20"/>
                <w:szCs w:val="20"/>
              </w:rPr>
            </w:pPr>
            <w:r>
              <w:rPr>
                <w:color w:val="000000"/>
                <w:sz w:val="20"/>
                <w:szCs w:val="20"/>
              </w:rPr>
              <w:t> </w:t>
            </w:r>
          </w:p>
        </w:tc>
        <w:tc>
          <w:tcPr>
            <w:tcW w:w="4000" w:type="pct"/>
            <w:tcMar>
              <w:top w:w="5" w:type="dxa"/>
              <w:left w:w="5" w:type="dxa"/>
              <w:bottom w:w="5" w:type="dxa"/>
              <w:right w:w="5" w:type="dxa"/>
            </w:tcMar>
            <w:hideMark/>
          </w:tcPr>
          <w:p w14:paraId="012A8199" w14:textId="77777777" w:rsidR="00954279" w:rsidRDefault="00A66714">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56BA89AC" w14:textId="77777777" w:rsidR="00954279" w:rsidRDefault="00A66714">
            <w:pPr>
              <w:rPr>
                <w:color w:val="000000"/>
                <w:sz w:val="20"/>
                <w:szCs w:val="20"/>
              </w:rPr>
            </w:pPr>
            <w:r>
              <w:rPr>
                <w:color w:val="000000"/>
                <w:sz w:val="20"/>
                <w:szCs w:val="20"/>
              </w:rPr>
              <w:t> </w:t>
            </w:r>
          </w:p>
        </w:tc>
      </w:tr>
      <w:tr w:rsidR="00954279" w14:paraId="684E1E69" w14:textId="77777777">
        <w:tc>
          <w:tcPr>
            <w:tcW w:w="500" w:type="pct"/>
            <w:tcMar>
              <w:top w:w="5" w:type="dxa"/>
              <w:left w:w="5" w:type="dxa"/>
              <w:bottom w:w="5" w:type="dxa"/>
              <w:right w:w="5" w:type="dxa"/>
            </w:tcMar>
            <w:hideMark/>
          </w:tcPr>
          <w:p w14:paraId="3A25C22B" w14:textId="77777777" w:rsidR="00954279" w:rsidRDefault="00A66714">
            <w:pPr>
              <w:rPr>
                <w:caps/>
                <w:color w:val="000000"/>
                <w:sz w:val="20"/>
                <w:szCs w:val="20"/>
              </w:rPr>
            </w:pPr>
            <w:r>
              <w:rPr>
                <w:b/>
                <w:bCs/>
                <w:caps/>
                <w:color w:val="000000"/>
                <w:sz w:val="20"/>
                <w:szCs w:val="20"/>
              </w:rPr>
              <w:t>ITEM 3.</w:t>
            </w:r>
          </w:p>
        </w:tc>
        <w:tc>
          <w:tcPr>
            <w:tcW w:w="4000" w:type="pct"/>
            <w:tcMar>
              <w:top w:w="5" w:type="dxa"/>
              <w:left w:w="5" w:type="dxa"/>
              <w:bottom w:w="5" w:type="dxa"/>
              <w:right w:w="5" w:type="dxa"/>
            </w:tcMar>
            <w:hideMark/>
          </w:tcPr>
          <w:p w14:paraId="5596C589" w14:textId="77777777" w:rsidR="00954279" w:rsidRDefault="00691A5E">
            <w:pPr>
              <w:rPr>
                <w:caps/>
                <w:color w:val="000000"/>
                <w:sz w:val="20"/>
                <w:szCs w:val="20"/>
              </w:rPr>
            </w:pPr>
            <w:hyperlink w:anchor="ITem3_Defaults" w:history="1">
              <w:r w:rsidR="00A66714">
                <w:rPr>
                  <w:b/>
                  <w:bCs/>
                  <w:caps/>
                  <w:color w:val="0000EE"/>
                  <w:sz w:val="20"/>
                  <w:szCs w:val="20"/>
                  <w:u w:val="single" w:color="0000EE"/>
                </w:rPr>
                <w:t>Defaults Upon Senior Securities</w:t>
              </w:r>
            </w:hyperlink>
          </w:p>
        </w:tc>
        <w:tc>
          <w:tcPr>
            <w:tcW w:w="500" w:type="pct"/>
            <w:tcMar>
              <w:top w:w="5" w:type="dxa"/>
              <w:left w:w="5" w:type="dxa"/>
              <w:bottom w:w="5" w:type="dxa"/>
              <w:right w:w="5" w:type="dxa"/>
            </w:tcMar>
            <w:hideMark/>
          </w:tcPr>
          <w:p w14:paraId="1424F16A" w14:textId="77777777" w:rsidR="00954279" w:rsidRDefault="00691A5E">
            <w:pPr>
              <w:jc w:val="right"/>
              <w:rPr>
                <w:color w:val="000000"/>
                <w:sz w:val="20"/>
                <w:szCs w:val="20"/>
              </w:rPr>
            </w:pPr>
            <w:hyperlink w:anchor="ITem3_Defaults" w:history="1">
              <w:r w:rsidR="00A66714">
                <w:rPr>
                  <w:color w:val="0000EE"/>
                  <w:sz w:val="20"/>
                  <w:szCs w:val="20"/>
                  <w:u w:val="single" w:color="0000EE"/>
                </w:rPr>
                <w:t>31</w:t>
              </w:r>
            </w:hyperlink>
          </w:p>
        </w:tc>
      </w:tr>
      <w:tr w:rsidR="00954279" w14:paraId="215EF0ED" w14:textId="77777777">
        <w:tc>
          <w:tcPr>
            <w:tcW w:w="500" w:type="pct"/>
            <w:tcMar>
              <w:top w:w="5" w:type="dxa"/>
              <w:left w:w="5" w:type="dxa"/>
              <w:bottom w:w="5" w:type="dxa"/>
              <w:right w:w="5" w:type="dxa"/>
            </w:tcMar>
            <w:hideMark/>
          </w:tcPr>
          <w:p w14:paraId="17F1971C" w14:textId="77777777" w:rsidR="00954279" w:rsidRDefault="00A66714">
            <w:pPr>
              <w:rPr>
                <w:color w:val="000000"/>
                <w:sz w:val="20"/>
                <w:szCs w:val="20"/>
              </w:rPr>
            </w:pPr>
            <w:r>
              <w:rPr>
                <w:color w:val="000000"/>
                <w:sz w:val="20"/>
                <w:szCs w:val="20"/>
              </w:rPr>
              <w:t> </w:t>
            </w:r>
          </w:p>
        </w:tc>
        <w:tc>
          <w:tcPr>
            <w:tcW w:w="4000" w:type="pct"/>
            <w:tcMar>
              <w:top w:w="5" w:type="dxa"/>
              <w:left w:w="5" w:type="dxa"/>
              <w:bottom w:w="5" w:type="dxa"/>
              <w:right w:w="5" w:type="dxa"/>
            </w:tcMar>
            <w:hideMark/>
          </w:tcPr>
          <w:p w14:paraId="2A3ED568" w14:textId="77777777" w:rsidR="00954279" w:rsidRDefault="00A66714">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478DAE27" w14:textId="77777777" w:rsidR="00954279" w:rsidRDefault="00A66714">
            <w:pPr>
              <w:rPr>
                <w:color w:val="000000"/>
                <w:sz w:val="20"/>
                <w:szCs w:val="20"/>
              </w:rPr>
            </w:pPr>
            <w:r>
              <w:rPr>
                <w:color w:val="000000"/>
                <w:sz w:val="20"/>
                <w:szCs w:val="20"/>
              </w:rPr>
              <w:t> </w:t>
            </w:r>
          </w:p>
        </w:tc>
      </w:tr>
      <w:tr w:rsidR="00954279" w14:paraId="542CA33E" w14:textId="77777777">
        <w:tc>
          <w:tcPr>
            <w:tcW w:w="500" w:type="pct"/>
            <w:tcMar>
              <w:top w:w="5" w:type="dxa"/>
              <w:left w:w="5" w:type="dxa"/>
              <w:bottom w:w="5" w:type="dxa"/>
              <w:right w:w="5" w:type="dxa"/>
            </w:tcMar>
            <w:hideMark/>
          </w:tcPr>
          <w:p w14:paraId="524D7702" w14:textId="77777777" w:rsidR="00954279" w:rsidRDefault="00A66714">
            <w:pPr>
              <w:rPr>
                <w:caps/>
                <w:color w:val="000000"/>
                <w:sz w:val="20"/>
                <w:szCs w:val="20"/>
              </w:rPr>
            </w:pPr>
            <w:r>
              <w:rPr>
                <w:b/>
                <w:bCs/>
                <w:caps/>
                <w:color w:val="000000"/>
                <w:sz w:val="20"/>
                <w:szCs w:val="20"/>
              </w:rPr>
              <w:t>ITEM 4.</w:t>
            </w:r>
          </w:p>
        </w:tc>
        <w:tc>
          <w:tcPr>
            <w:tcW w:w="4000" w:type="pct"/>
            <w:tcMar>
              <w:top w:w="5" w:type="dxa"/>
              <w:left w:w="5" w:type="dxa"/>
              <w:bottom w:w="5" w:type="dxa"/>
              <w:right w:w="5" w:type="dxa"/>
            </w:tcMar>
            <w:hideMark/>
          </w:tcPr>
          <w:p w14:paraId="00DB6970" w14:textId="77777777" w:rsidR="00954279" w:rsidRDefault="00691A5E">
            <w:pPr>
              <w:rPr>
                <w:caps/>
                <w:color w:val="000000"/>
                <w:sz w:val="20"/>
                <w:szCs w:val="20"/>
              </w:rPr>
            </w:pPr>
            <w:hyperlink w:anchor="Item4_Mine" w:history="1">
              <w:r w:rsidR="00A66714">
                <w:rPr>
                  <w:b/>
                  <w:bCs/>
                  <w:caps/>
                  <w:color w:val="0000EE"/>
                  <w:sz w:val="20"/>
                  <w:szCs w:val="20"/>
                  <w:u w:val="single" w:color="0000EE"/>
                </w:rPr>
                <w:t>MINING SAFETY DISCLOSURES</w:t>
              </w:r>
            </w:hyperlink>
          </w:p>
        </w:tc>
        <w:tc>
          <w:tcPr>
            <w:tcW w:w="500" w:type="pct"/>
            <w:tcMar>
              <w:top w:w="5" w:type="dxa"/>
              <w:left w:w="5" w:type="dxa"/>
              <w:bottom w:w="5" w:type="dxa"/>
              <w:right w:w="5" w:type="dxa"/>
            </w:tcMar>
            <w:hideMark/>
          </w:tcPr>
          <w:p w14:paraId="7C689BC4" w14:textId="77777777" w:rsidR="00954279" w:rsidRDefault="00691A5E">
            <w:pPr>
              <w:jc w:val="right"/>
              <w:rPr>
                <w:color w:val="000000"/>
                <w:sz w:val="20"/>
                <w:szCs w:val="20"/>
              </w:rPr>
            </w:pPr>
            <w:hyperlink w:anchor="Item4_Mine" w:history="1">
              <w:r w:rsidR="00A66714">
                <w:rPr>
                  <w:color w:val="0000EE"/>
                  <w:sz w:val="20"/>
                  <w:szCs w:val="20"/>
                  <w:u w:val="single" w:color="0000EE"/>
                </w:rPr>
                <w:t>32</w:t>
              </w:r>
            </w:hyperlink>
          </w:p>
        </w:tc>
      </w:tr>
      <w:tr w:rsidR="00954279" w14:paraId="34456EDA" w14:textId="77777777">
        <w:tc>
          <w:tcPr>
            <w:tcW w:w="500" w:type="pct"/>
            <w:tcMar>
              <w:top w:w="5" w:type="dxa"/>
              <w:left w:w="5" w:type="dxa"/>
              <w:bottom w:w="5" w:type="dxa"/>
              <w:right w:w="5" w:type="dxa"/>
            </w:tcMar>
            <w:hideMark/>
          </w:tcPr>
          <w:p w14:paraId="4F7F5C43" w14:textId="77777777" w:rsidR="00954279" w:rsidRDefault="00A66714">
            <w:pPr>
              <w:rPr>
                <w:color w:val="000000"/>
                <w:sz w:val="20"/>
                <w:szCs w:val="20"/>
              </w:rPr>
            </w:pPr>
            <w:r>
              <w:rPr>
                <w:color w:val="000000"/>
                <w:sz w:val="20"/>
                <w:szCs w:val="20"/>
              </w:rPr>
              <w:t> </w:t>
            </w:r>
          </w:p>
        </w:tc>
        <w:tc>
          <w:tcPr>
            <w:tcW w:w="4000" w:type="pct"/>
            <w:tcMar>
              <w:top w:w="5" w:type="dxa"/>
              <w:left w:w="5" w:type="dxa"/>
              <w:bottom w:w="5" w:type="dxa"/>
              <w:right w:w="5" w:type="dxa"/>
            </w:tcMar>
            <w:hideMark/>
          </w:tcPr>
          <w:p w14:paraId="64034EE7" w14:textId="77777777" w:rsidR="00954279" w:rsidRDefault="00A66714">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6DF6E894" w14:textId="77777777" w:rsidR="00954279" w:rsidRDefault="00A66714">
            <w:pPr>
              <w:rPr>
                <w:color w:val="000000"/>
                <w:sz w:val="20"/>
                <w:szCs w:val="20"/>
              </w:rPr>
            </w:pPr>
            <w:r>
              <w:rPr>
                <w:color w:val="000000"/>
                <w:sz w:val="20"/>
                <w:szCs w:val="20"/>
              </w:rPr>
              <w:t> </w:t>
            </w:r>
          </w:p>
        </w:tc>
      </w:tr>
      <w:tr w:rsidR="00954279" w14:paraId="44D07A1D" w14:textId="77777777">
        <w:tc>
          <w:tcPr>
            <w:tcW w:w="500" w:type="pct"/>
            <w:tcMar>
              <w:top w:w="5" w:type="dxa"/>
              <w:left w:w="5" w:type="dxa"/>
              <w:bottom w:w="5" w:type="dxa"/>
              <w:right w:w="5" w:type="dxa"/>
            </w:tcMar>
            <w:hideMark/>
          </w:tcPr>
          <w:p w14:paraId="66BA690D" w14:textId="77777777" w:rsidR="00954279" w:rsidRDefault="00A66714">
            <w:pPr>
              <w:rPr>
                <w:caps/>
                <w:color w:val="000000"/>
                <w:sz w:val="20"/>
                <w:szCs w:val="20"/>
              </w:rPr>
            </w:pPr>
            <w:r>
              <w:rPr>
                <w:b/>
                <w:bCs/>
                <w:caps/>
                <w:color w:val="000000"/>
                <w:sz w:val="20"/>
                <w:szCs w:val="20"/>
              </w:rPr>
              <w:t>ITEM 5.</w:t>
            </w:r>
          </w:p>
        </w:tc>
        <w:tc>
          <w:tcPr>
            <w:tcW w:w="4000" w:type="pct"/>
            <w:tcMar>
              <w:top w:w="5" w:type="dxa"/>
              <w:left w:w="5" w:type="dxa"/>
              <w:bottom w:w="5" w:type="dxa"/>
              <w:right w:w="5" w:type="dxa"/>
            </w:tcMar>
            <w:hideMark/>
          </w:tcPr>
          <w:p w14:paraId="185CF8FB" w14:textId="77777777" w:rsidR="00954279" w:rsidRDefault="00691A5E">
            <w:pPr>
              <w:rPr>
                <w:caps/>
                <w:color w:val="000000"/>
                <w:sz w:val="20"/>
                <w:szCs w:val="20"/>
              </w:rPr>
            </w:pPr>
            <w:hyperlink w:anchor="Item5_Other" w:history="1">
              <w:r w:rsidR="00A66714">
                <w:rPr>
                  <w:b/>
                  <w:bCs/>
                  <w:caps/>
                  <w:color w:val="0000EE"/>
                  <w:sz w:val="20"/>
                  <w:szCs w:val="20"/>
                  <w:u w:val="single" w:color="0000EE"/>
                </w:rPr>
                <w:t>other information</w:t>
              </w:r>
            </w:hyperlink>
          </w:p>
        </w:tc>
        <w:tc>
          <w:tcPr>
            <w:tcW w:w="500" w:type="pct"/>
            <w:tcMar>
              <w:top w:w="5" w:type="dxa"/>
              <w:left w:w="5" w:type="dxa"/>
              <w:bottom w:w="5" w:type="dxa"/>
              <w:right w:w="5" w:type="dxa"/>
            </w:tcMar>
            <w:hideMark/>
          </w:tcPr>
          <w:p w14:paraId="41C8862E" w14:textId="77777777" w:rsidR="00954279" w:rsidRDefault="00691A5E">
            <w:pPr>
              <w:jc w:val="right"/>
              <w:rPr>
                <w:color w:val="000000"/>
                <w:sz w:val="20"/>
                <w:szCs w:val="20"/>
              </w:rPr>
            </w:pPr>
            <w:hyperlink w:anchor="Item5_Other" w:history="1">
              <w:r w:rsidR="00A66714">
                <w:rPr>
                  <w:color w:val="0000EE"/>
                  <w:sz w:val="20"/>
                  <w:szCs w:val="20"/>
                  <w:u w:val="single" w:color="0000EE"/>
                </w:rPr>
                <w:t>32</w:t>
              </w:r>
            </w:hyperlink>
          </w:p>
        </w:tc>
      </w:tr>
      <w:tr w:rsidR="00954279" w14:paraId="6A01EEAC" w14:textId="77777777">
        <w:tc>
          <w:tcPr>
            <w:tcW w:w="500" w:type="pct"/>
            <w:tcMar>
              <w:top w:w="5" w:type="dxa"/>
              <w:left w:w="5" w:type="dxa"/>
              <w:bottom w:w="5" w:type="dxa"/>
              <w:right w:w="5" w:type="dxa"/>
            </w:tcMar>
            <w:hideMark/>
          </w:tcPr>
          <w:p w14:paraId="0CE9777D" w14:textId="77777777" w:rsidR="00954279" w:rsidRDefault="00A66714">
            <w:pPr>
              <w:rPr>
                <w:color w:val="000000"/>
                <w:sz w:val="20"/>
                <w:szCs w:val="20"/>
              </w:rPr>
            </w:pPr>
            <w:r>
              <w:rPr>
                <w:color w:val="000000"/>
                <w:sz w:val="20"/>
                <w:szCs w:val="20"/>
              </w:rPr>
              <w:t> </w:t>
            </w:r>
          </w:p>
        </w:tc>
        <w:tc>
          <w:tcPr>
            <w:tcW w:w="4000" w:type="pct"/>
            <w:tcMar>
              <w:top w:w="5" w:type="dxa"/>
              <w:left w:w="5" w:type="dxa"/>
              <w:bottom w:w="5" w:type="dxa"/>
              <w:right w:w="5" w:type="dxa"/>
            </w:tcMar>
            <w:hideMark/>
          </w:tcPr>
          <w:p w14:paraId="7399BECA" w14:textId="77777777" w:rsidR="00954279" w:rsidRDefault="00A66714">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6C39370D" w14:textId="77777777" w:rsidR="00954279" w:rsidRDefault="00A66714">
            <w:pPr>
              <w:rPr>
                <w:color w:val="000000"/>
                <w:sz w:val="20"/>
                <w:szCs w:val="20"/>
              </w:rPr>
            </w:pPr>
            <w:r>
              <w:rPr>
                <w:color w:val="000000"/>
                <w:sz w:val="20"/>
                <w:szCs w:val="20"/>
              </w:rPr>
              <w:t> </w:t>
            </w:r>
          </w:p>
        </w:tc>
      </w:tr>
      <w:tr w:rsidR="00954279" w14:paraId="2456A228" w14:textId="77777777">
        <w:tc>
          <w:tcPr>
            <w:tcW w:w="500" w:type="pct"/>
            <w:tcMar>
              <w:top w:w="5" w:type="dxa"/>
              <w:left w:w="5" w:type="dxa"/>
              <w:bottom w:w="5" w:type="dxa"/>
              <w:right w:w="5" w:type="dxa"/>
            </w:tcMar>
            <w:hideMark/>
          </w:tcPr>
          <w:p w14:paraId="672E2D8D" w14:textId="77777777" w:rsidR="00954279" w:rsidRDefault="00A66714">
            <w:pPr>
              <w:rPr>
                <w:caps/>
                <w:color w:val="000000"/>
                <w:sz w:val="20"/>
                <w:szCs w:val="20"/>
              </w:rPr>
            </w:pPr>
            <w:r>
              <w:rPr>
                <w:b/>
                <w:bCs/>
                <w:caps/>
                <w:color w:val="000000"/>
                <w:sz w:val="20"/>
                <w:szCs w:val="20"/>
              </w:rPr>
              <w:t>ITEM 6.</w:t>
            </w:r>
          </w:p>
        </w:tc>
        <w:tc>
          <w:tcPr>
            <w:tcW w:w="4000" w:type="pct"/>
            <w:tcMar>
              <w:top w:w="5" w:type="dxa"/>
              <w:left w:w="5" w:type="dxa"/>
              <w:bottom w:w="5" w:type="dxa"/>
              <w:right w:w="5" w:type="dxa"/>
            </w:tcMar>
            <w:hideMark/>
          </w:tcPr>
          <w:p w14:paraId="719657BB" w14:textId="77777777" w:rsidR="00954279" w:rsidRDefault="00691A5E">
            <w:pPr>
              <w:rPr>
                <w:caps/>
                <w:color w:val="000000"/>
                <w:sz w:val="20"/>
                <w:szCs w:val="20"/>
              </w:rPr>
            </w:pPr>
            <w:hyperlink w:anchor="Item6_exhibits" w:history="1">
              <w:r w:rsidR="00A66714">
                <w:rPr>
                  <w:b/>
                  <w:bCs/>
                  <w:caps/>
                  <w:color w:val="0000EE"/>
                  <w:sz w:val="20"/>
                  <w:szCs w:val="20"/>
                  <w:u w:val="single" w:color="0000EE"/>
                </w:rPr>
                <w:t>Exhibits</w:t>
              </w:r>
            </w:hyperlink>
          </w:p>
        </w:tc>
        <w:tc>
          <w:tcPr>
            <w:tcW w:w="500" w:type="pct"/>
            <w:tcMar>
              <w:top w:w="5" w:type="dxa"/>
              <w:left w:w="5" w:type="dxa"/>
              <w:bottom w:w="5" w:type="dxa"/>
              <w:right w:w="5" w:type="dxa"/>
            </w:tcMar>
            <w:hideMark/>
          </w:tcPr>
          <w:p w14:paraId="2FB09526" w14:textId="77777777" w:rsidR="00954279" w:rsidRDefault="00691A5E">
            <w:pPr>
              <w:jc w:val="right"/>
              <w:rPr>
                <w:color w:val="000000"/>
                <w:sz w:val="20"/>
                <w:szCs w:val="20"/>
              </w:rPr>
            </w:pPr>
            <w:hyperlink w:anchor="Item6_exhibits" w:history="1">
              <w:r w:rsidR="00A66714">
                <w:rPr>
                  <w:color w:val="0000EE"/>
                  <w:sz w:val="20"/>
                  <w:szCs w:val="20"/>
                  <w:u w:val="single" w:color="0000EE"/>
                </w:rPr>
                <w:t>33</w:t>
              </w:r>
            </w:hyperlink>
          </w:p>
        </w:tc>
      </w:tr>
    </w:tbl>
    <w:p w14:paraId="2A9799B8" w14:textId="77777777" w:rsidR="00954279" w:rsidRDefault="00A66714">
      <w:pPr>
        <w:ind w:left="144" w:right="144"/>
        <w:rPr>
          <w:sz w:val="20"/>
          <w:szCs w:val="20"/>
        </w:rPr>
      </w:pPr>
      <w:r>
        <w:rPr>
          <w:sz w:val="20"/>
          <w:szCs w:val="20"/>
        </w:rPr>
        <w:t> </w:t>
      </w:r>
    </w:p>
    <w:p w14:paraId="14F102BC" w14:textId="77777777" w:rsidR="00954279" w:rsidRDefault="00A66714">
      <w:pPr>
        <w:ind w:left="144" w:right="144"/>
        <w:jc w:val="center"/>
        <w:rPr>
          <w:sz w:val="20"/>
          <w:szCs w:val="20"/>
        </w:rPr>
      </w:pPr>
      <w:r>
        <w:rPr>
          <w:sz w:val="20"/>
          <w:szCs w:val="20"/>
        </w:rPr>
        <w:t> </w:t>
      </w:r>
    </w:p>
    <w:p w14:paraId="7D02A66F" w14:textId="77777777" w:rsidR="00954279" w:rsidRDefault="00A66714">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69B7DCBE" w14:textId="77777777" w:rsidR="00954279" w:rsidRDefault="00A66714">
      <w:pPr>
        <w:ind w:left="144" w:right="144"/>
        <w:rPr>
          <w:sz w:val="20"/>
          <w:szCs w:val="20"/>
        </w:rPr>
      </w:pPr>
      <w:r>
        <w:rPr>
          <w:sz w:val="20"/>
          <w:szCs w:val="20"/>
        </w:rPr>
        <w:t> </w:t>
      </w:r>
    </w:p>
    <w:p w14:paraId="4D9C5EEE" w14:textId="77777777" w:rsidR="00954279" w:rsidRDefault="00A66714">
      <w:pPr>
        <w:ind w:left="144" w:right="144"/>
        <w:rPr>
          <w:sz w:val="20"/>
          <w:szCs w:val="20"/>
        </w:rPr>
      </w:pPr>
      <w:r>
        <w:rPr>
          <w:sz w:val="20"/>
          <w:szCs w:val="20"/>
        </w:rPr>
        <w:t> </w:t>
      </w:r>
    </w:p>
    <w:p w14:paraId="02F2BE9C" w14:textId="77777777" w:rsidR="00954279" w:rsidRDefault="00A66714">
      <w:pPr>
        <w:ind w:left="144" w:right="144"/>
        <w:rPr>
          <w:sz w:val="20"/>
          <w:szCs w:val="20"/>
        </w:rPr>
      </w:pPr>
      <w:r>
        <w:rPr>
          <w:sz w:val="20"/>
          <w:szCs w:val="20"/>
        </w:rPr>
        <w:t> </w:t>
      </w:r>
    </w:p>
    <w:p w14:paraId="35871A99" w14:textId="77777777" w:rsidR="00954279" w:rsidRDefault="00A66714">
      <w:pPr>
        <w:ind w:left="144" w:right="144"/>
        <w:rPr>
          <w:sz w:val="20"/>
          <w:szCs w:val="20"/>
        </w:rPr>
      </w:pPr>
      <w:bookmarkStart w:id="2" w:name="Item1_and_BS"/>
      <w:bookmarkEnd w:id="2"/>
      <w:r>
        <w:rPr>
          <w:sz w:val="20"/>
          <w:szCs w:val="20"/>
        </w:rPr>
        <w:t>CONDENSED CONSOLIDATED BALANCE SHEETS (UNAUDITED)</w:t>
      </w:r>
    </w:p>
    <w:p w14:paraId="1B1434B5" w14:textId="77777777" w:rsidR="00954279" w:rsidRDefault="00A66714">
      <w:pPr>
        <w:ind w:left="144" w:right="144"/>
        <w:rPr>
          <w:sz w:val="20"/>
          <w:szCs w:val="20"/>
        </w:rPr>
      </w:pPr>
      <w:r>
        <w:rPr>
          <w:sz w:val="20"/>
          <w:szCs w:val="20"/>
        </w:rPr>
        <w:t>MRC GLOBAL INC.</w:t>
      </w:r>
    </w:p>
    <w:p w14:paraId="7136B50E" w14:textId="77777777" w:rsidR="00954279" w:rsidRDefault="00A66714">
      <w:pPr>
        <w:ind w:left="144" w:right="144"/>
        <w:rPr>
          <w:sz w:val="20"/>
          <w:szCs w:val="20"/>
        </w:rPr>
      </w:pPr>
      <w:r>
        <w:rPr>
          <w:i/>
          <w:iCs/>
          <w:sz w:val="20"/>
          <w:szCs w:val="20"/>
        </w:rPr>
        <w:t>(in millions, except per share amounts)</w:t>
      </w:r>
    </w:p>
    <w:p w14:paraId="5ACCC7DB" w14:textId="77777777" w:rsidR="00954279" w:rsidRDefault="00A66714">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7559"/>
        <w:gridCol w:w="107"/>
        <w:gridCol w:w="110"/>
        <w:gridCol w:w="1295"/>
        <w:gridCol w:w="107"/>
        <w:gridCol w:w="107"/>
        <w:gridCol w:w="111"/>
        <w:gridCol w:w="1296"/>
        <w:gridCol w:w="108"/>
      </w:tblGrid>
      <w:tr w:rsidR="00954279" w14:paraId="1C9357A0" w14:textId="77777777">
        <w:tc>
          <w:tcPr>
            <w:tcW w:w="0" w:type="auto"/>
            <w:tcMar>
              <w:top w:w="5" w:type="dxa"/>
              <w:left w:w="5" w:type="dxa"/>
              <w:bottom w:w="5" w:type="dxa"/>
              <w:right w:w="5" w:type="dxa"/>
            </w:tcMar>
            <w:vAlign w:val="bottom"/>
            <w:hideMark/>
          </w:tcPr>
          <w:p w14:paraId="7D1BFA7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563B1BE"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4CA6A70E" w14:textId="77777777" w:rsidR="00954279" w:rsidRDefault="00A66714">
            <w:pPr>
              <w:jc w:val="center"/>
              <w:rPr>
                <w:color w:val="000000"/>
                <w:sz w:val="20"/>
                <w:szCs w:val="20"/>
              </w:rPr>
            </w:pPr>
            <w:r>
              <w:rPr>
                <w:b/>
                <w:bCs/>
                <w:color w:val="000000"/>
                <w:sz w:val="20"/>
                <w:szCs w:val="20"/>
              </w:rPr>
              <w:t>June 30,</w:t>
            </w:r>
          </w:p>
        </w:tc>
        <w:tc>
          <w:tcPr>
            <w:tcW w:w="0" w:type="auto"/>
            <w:tcMar>
              <w:top w:w="5" w:type="dxa"/>
              <w:left w:w="5" w:type="dxa"/>
              <w:bottom w:w="5" w:type="dxa"/>
              <w:right w:w="5" w:type="dxa"/>
            </w:tcMar>
            <w:vAlign w:val="bottom"/>
            <w:hideMark/>
          </w:tcPr>
          <w:p w14:paraId="3063A68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9F8EFE5"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5E181661" w14:textId="77777777" w:rsidR="00954279" w:rsidRDefault="00A66714">
            <w:pPr>
              <w:jc w:val="center"/>
              <w:rPr>
                <w:color w:val="000000"/>
                <w:sz w:val="20"/>
                <w:szCs w:val="20"/>
              </w:rPr>
            </w:pPr>
            <w:r>
              <w:rPr>
                <w:b/>
                <w:bCs/>
                <w:color w:val="000000"/>
                <w:sz w:val="20"/>
                <w:szCs w:val="20"/>
              </w:rPr>
              <w:t>December 31,</w:t>
            </w:r>
          </w:p>
        </w:tc>
        <w:tc>
          <w:tcPr>
            <w:tcW w:w="0" w:type="auto"/>
            <w:tcMar>
              <w:top w:w="5" w:type="dxa"/>
              <w:left w:w="5" w:type="dxa"/>
              <w:bottom w:w="5" w:type="dxa"/>
              <w:right w:w="5" w:type="dxa"/>
            </w:tcMar>
            <w:vAlign w:val="bottom"/>
            <w:hideMark/>
          </w:tcPr>
          <w:p w14:paraId="5D1F808C" w14:textId="77777777" w:rsidR="00954279" w:rsidRDefault="00A66714">
            <w:pPr>
              <w:rPr>
                <w:color w:val="000000"/>
                <w:sz w:val="20"/>
                <w:szCs w:val="20"/>
              </w:rPr>
            </w:pPr>
            <w:r>
              <w:rPr>
                <w:color w:val="000000"/>
                <w:sz w:val="20"/>
                <w:szCs w:val="20"/>
              </w:rPr>
              <w:t> </w:t>
            </w:r>
          </w:p>
        </w:tc>
      </w:tr>
      <w:tr w:rsidR="00954279" w14:paraId="79D27D00" w14:textId="77777777">
        <w:tc>
          <w:tcPr>
            <w:tcW w:w="0" w:type="auto"/>
            <w:tcMar>
              <w:top w:w="5" w:type="dxa"/>
              <w:left w:w="5" w:type="dxa"/>
              <w:bottom w:w="5" w:type="dxa"/>
              <w:right w:w="5" w:type="dxa"/>
            </w:tcMar>
            <w:vAlign w:val="bottom"/>
            <w:hideMark/>
          </w:tcPr>
          <w:p w14:paraId="5B9543A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8515628"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3362F301" w14:textId="77777777" w:rsidR="00954279" w:rsidRDefault="00A66714">
            <w:pPr>
              <w:jc w:val="center"/>
              <w:rPr>
                <w:color w:val="000000"/>
                <w:sz w:val="20"/>
                <w:szCs w:val="20"/>
              </w:rPr>
            </w:pPr>
            <w:r>
              <w:rPr>
                <w:b/>
                <w:bCs/>
                <w:color w:val="000000"/>
                <w:sz w:val="20"/>
                <w:szCs w:val="20"/>
              </w:rPr>
              <w:t>2021</w:t>
            </w:r>
          </w:p>
        </w:tc>
        <w:tc>
          <w:tcPr>
            <w:tcW w:w="0" w:type="auto"/>
            <w:tcMar>
              <w:top w:w="5" w:type="dxa"/>
              <w:left w:w="5" w:type="dxa"/>
              <w:bottom w:w="20" w:type="dxa"/>
              <w:right w:w="5" w:type="dxa"/>
            </w:tcMar>
            <w:vAlign w:val="bottom"/>
            <w:hideMark/>
          </w:tcPr>
          <w:p w14:paraId="7611493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0330413"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103003D4" w14:textId="77777777" w:rsidR="00954279" w:rsidRDefault="00A66714">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1D0F94F7" w14:textId="77777777" w:rsidR="00954279" w:rsidRDefault="00A66714">
            <w:pPr>
              <w:rPr>
                <w:color w:val="000000"/>
                <w:sz w:val="20"/>
                <w:szCs w:val="20"/>
              </w:rPr>
            </w:pPr>
            <w:r>
              <w:rPr>
                <w:color w:val="000000"/>
                <w:sz w:val="20"/>
                <w:szCs w:val="20"/>
              </w:rPr>
              <w:t> </w:t>
            </w:r>
          </w:p>
        </w:tc>
      </w:tr>
      <w:tr w:rsidR="00954279" w14:paraId="3D9CD2FC" w14:textId="77777777">
        <w:tc>
          <w:tcPr>
            <w:tcW w:w="0" w:type="auto"/>
            <w:tcMar>
              <w:top w:w="5" w:type="dxa"/>
              <w:left w:w="5" w:type="dxa"/>
              <w:bottom w:w="5" w:type="dxa"/>
              <w:right w:w="5" w:type="dxa"/>
            </w:tcMar>
            <w:vAlign w:val="bottom"/>
            <w:hideMark/>
          </w:tcPr>
          <w:p w14:paraId="1B126ED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D32580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F67503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97E3C9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AE7D74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B3BB2B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C44C99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5F7547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C713221" w14:textId="77777777" w:rsidR="00954279" w:rsidRDefault="00A66714">
            <w:pPr>
              <w:rPr>
                <w:color w:val="000000"/>
                <w:sz w:val="20"/>
                <w:szCs w:val="20"/>
              </w:rPr>
            </w:pPr>
            <w:r>
              <w:rPr>
                <w:color w:val="000000"/>
                <w:sz w:val="20"/>
                <w:szCs w:val="20"/>
              </w:rPr>
              <w:t> </w:t>
            </w:r>
          </w:p>
        </w:tc>
      </w:tr>
      <w:tr w:rsidR="00954279" w14:paraId="6CF7AF02" w14:textId="77777777">
        <w:tc>
          <w:tcPr>
            <w:tcW w:w="3500" w:type="pct"/>
            <w:tcMar>
              <w:top w:w="5" w:type="dxa"/>
              <w:left w:w="5" w:type="dxa"/>
              <w:bottom w:w="5" w:type="dxa"/>
              <w:right w:w="5" w:type="dxa"/>
            </w:tcMar>
            <w:vAlign w:val="bottom"/>
            <w:hideMark/>
          </w:tcPr>
          <w:p w14:paraId="4456F3D3" w14:textId="77777777" w:rsidR="00954279" w:rsidRDefault="00A66714">
            <w:pPr>
              <w:rPr>
                <w:color w:val="000000"/>
                <w:sz w:val="20"/>
                <w:szCs w:val="20"/>
              </w:rPr>
            </w:pPr>
            <w:r>
              <w:rPr>
                <w:b/>
                <w:bCs/>
                <w:color w:val="000000"/>
                <w:sz w:val="20"/>
                <w:szCs w:val="20"/>
              </w:rPr>
              <w:t>Assets</w:t>
            </w:r>
          </w:p>
        </w:tc>
        <w:tc>
          <w:tcPr>
            <w:tcW w:w="0" w:type="auto"/>
            <w:tcMar>
              <w:top w:w="5" w:type="dxa"/>
              <w:left w:w="5" w:type="dxa"/>
              <w:bottom w:w="5" w:type="dxa"/>
              <w:right w:w="5" w:type="dxa"/>
            </w:tcMar>
            <w:vAlign w:val="bottom"/>
            <w:hideMark/>
          </w:tcPr>
          <w:p w14:paraId="56D4BD2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A69FA7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EBA1A32"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48BB2C7" w14:textId="77777777" w:rsidR="00954279" w:rsidRDefault="00A66714">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4E56422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E33AA8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F22D6C2"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695D41F" w14:textId="77777777" w:rsidR="00954279" w:rsidRDefault="00A66714">
            <w:pPr>
              <w:rPr>
                <w:color w:val="000000"/>
                <w:sz w:val="20"/>
                <w:szCs w:val="20"/>
              </w:rPr>
            </w:pPr>
            <w:r>
              <w:rPr>
                <w:b/>
                <w:bCs/>
                <w:color w:val="000000"/>
                <w:sz w:val="20"/>
                <w:szCs w:val="20"/>
              </w:rPr>
              <w:t> </w:t>
            </w:r>
          </w:p>
        </w:tc>
      </w:tr>
      <w:tr w:rsidR="00954279" w14:paraId="2FDBDB4C" w14:textId="77777777">
        <w:tc>
          <w:tcPr>
            <w:tcW w:w="0" w:type="auto"/>
            <w:tcMar>
              <w:top w:w="5" w:type="dxa"/>
              <w:left w:w="5" w:type="dxa"/>
              <w:bottom w:w="5" w:type="dxa"/>
              <w:right w:w="5" w:type="dxa"/>
            </w:tcMar>
            <w:vAlign w:val="bottom"/>
            <w:hideMark/>
          </w:tcPr>
          <w:p w14:paraId="7501C267" w14:textId="77777777" w:rsidR="00954279" w:rsidRDefault="00A66714">
            <w:pPr>
              <w:rPr>
                <w:color w:val="000000"/>
                <w:sz w:val="20"/>
                <w:szCs w:val="20"/>
              </w:rPr>
            </w:pPr>
            <w:r>
              <w:rPr>
                <w:color w:val="000000"/>
                <w:sz w:val="20"/>
                <w:szCs w:val="20"/>
              </w:rPr>
              <w:t>Current assets:</w:t>
            </w:r>
          </w:p>
        </w:tc>
        <w:tc>
          <w:tcPr>
            <w:tcW w:w="0" w:type="auto"/>
            <w:tcMar>
              <w:top w:w="5" w:type="dxa"/>
              <w:left w:w="5" w:type="dxa"/>
              <w:bottom w:w="5" w:type="dxa"/>
              <w:right w:w="5" w:type="dxa"/>
            </w:tcMar>
            <w:vAlign w:val="bottom"/>
            <w:hideMark/>
          </w:tcPr>
          <w:p w14:paraId="5F8BF22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6D5FBC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A28651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ABC24B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ED93AC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EB0A3E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98CDD4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C1229D7" w14:textId="77777777" w:rsidR="00954279" w:rsidRDefault="00A66714">
            <w:pPr>
              <w:rPr>
                <w:color w:val="000000"/>
                <w:sz w:val="20"/>
                <w:szCs w:val="20"/>
              </w:rPr>
            </w:pPr>
            <w:r>
              <w:rPr>
                <w:color w:val="000000"/>
                <w:sz w:val="20"/>
                <w:szCs w:val="20"/>
              </w:rPr>
              <w:t> </w:t>
            </w:r>
          </w:p>
        </w:tc>
      </w:tr>
      <w:tr w:rsidR="00954279" w14:paraId="65EFFED3" w14:textId="77777777">
        <w:tc>
          <w:tcPr>
            <w:tcW w:w="0" w:type="auto"/>
            <w:tcMar>
              <w:top w:w="5" w:type="dxa"/>
              <w:left w:w="5" w:type="dxa"/>
              <w:bottom w:w="5" w:type="dxa"/>
              <w:right w:w="5" w:type="dxa"/>
            </w:tcMar>
            <w:vAlign w:val="bottom"/>
            <w:hideMark/>
          </w:tcPr>
          <w:p w14:paraId="2078C34F" w14:textId="77777777" w:rsidR="00954279" w:rsidRDefault="00A66714">
            <w:pPr>
              <w:ind w:left="180"/>
              <w:rPr>
                <w:color w:val="000000"/>
                <w:sz w:val="20"/>
                <w:szCs w:val="20"/>
              </w:rPr>
            </w:pPr>
            <w:r>
              <w:rPr>
                <w:color w:val="000000"/>
                <w:sz w:val="20"/>
                <w:szCs w:val="20"/>
              </w:rPr>
              <w:t>Cash</w:t>
            </w:r>
          </w:p>
        </w:tc>
        <w:tc>
          <w:tcPr>
            <w:tcW w:w="50" w:type="pct"/>
            <w:tcMar>
              <w:top w:w="5" w:type="dxa"/>
              <w:left w:w="5" w:type="dxa"/>
              <w:bottom w:w="5" w:type="dxa"/>
              <w:right w:w="5" w:type="dxa"/>
            </w:tcMar>
            <w:vAlign w:val="bottom"/>
            <w:hideMark/>
          </w:tcPr>
          <w:p w14:paraId="53E9793A"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EDC8382" w14:textId="77777777" w:rsidR="00954279" w:rsidRDefault="00A66714">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2CADD91C" w14:textId="77777777" w:rsidR="00954279" w:rsidRDefault="00A66714">
            <w:pPr>
              <w:jc w:val="right"/>
              <w:rPr>
                <w:color w:val="000000"/>
                <w:sz w:val="20"/>
                <w:szCs w:val="20"/>
              </w:rPr>
            </w:pPr>
            <w:r>
              <w:rPr>
                <w:b/>
                <w:bCs/>
                <w:color w:val="000000"/>
                <w:sz w:val="20"/>
                <w:szCs w:val="20"/>
              </w:rPr>
              <w:t>63</w:t>
            </w:r>
          </w:p>
        </w:tc>
        <w:tc>
          <w:tcPr>
            <w:tcW w:w="50" w:type="pct"/>
            <w:noWrap/>
            <w:tcMar>
              <w:top w:w="5" w:type="dxa"/>
              <w:left w:w="5" w:type="dxa"/>
              <w:bottom w:w="5" w:type="dxa"/>
              <w:right w:w="5" w:type="dxa"/>
            </w:tcMar>
            <w:vAlign w:val="bottom"/>
            <w:hideMark/>
          </w:tcPr>
          <w:p w14:paraId="246EDA92"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BC3CCE2"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197DCA2" w14:textId="77777777" w:rsidR="00954279" w:rsidRDefault="00A66714">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29F80739" w14:textId="77777777" w:rsidR="00954279" w:rsidRDefault="00A66714">
            <w:pPr>
              <w:jc w:val="right"/>
              <w:rPr>
                <w:color w:val="000000"/>
                <w:sz w:val="20"/>
                <w:szCs w:val="20"/>
              </w:rPr>
            </w:pPr>
            <w:r>
              <w:rPr>
                <w:color w:val="000000"/>
                <w:sz w:val="20"/>
                <w:szCs w:val="20"/>
              </w:rPr>
              <w:t>119</w:t>
            </w:r>
          </w:p>
        </w:tc>
        <w:tc>
          <w:tcPr>
            <w:tcW w:w="50" w:type="pct"/>
            <w:noWrap/>
            <w:tcMar>
              <w:top w:w="5" w:type="dxa"/>
              <w:left w:w="5" w:type="dxa"/>
              <w:bottom w:w="5" w:type="dxa"/>
              <w:right w:w="5" w:type="dxa"/>
            </w:tcMar>
            <w:vAlign w:val="bottom"/>
            <w:hideMark/>
          </w:tcPr>
          <w:p w14:paraId="2B39DD6A" w14:textId="77777777" w:rsidR="00954279" w:rsidRDefault="00A66714">
            <w:pPr>
              <w:rPr>
                <w:color w:val="000000"/>
                <w:sz w:val="20"/>
                <w:szCs w:val="20"/>
              </w:rPr>
            </w:pPr>
            <w:r>
              <w:rPr>
                <w:color w:val="000000"/>
                <w:sz w:val="20"/>
                <w:szCs w:val="20"/>
              </w:rPr>
              <w:t> </w:t>
            </w:r>
          </w:p>
        </w:tc>
      </w:tr>
      <w:tr w:rsidR="00954279" w14:paraId="7A8DB7CE" w14:textId="77777777">
        <w:tc>
          <w:tcPr>
            <w:tcW w:w="0" w:type="auto"/>
            <w:tcMar>
              <w:top w:w="5" w:type="dxa"/>
              <w:left w:w="5" w:type="dxa"/>
              <w:bottom w:w="5" w:type="dxa"/>
              <w:right w:w="5" w:type="dxa"/>
            </w:tcMar>
            <w:vAlign w:val="bottom"/>
            <w:hideMark/>
          </w:tcPr>
          <w:p w14:paraId="430FE441" w14:textId="77777777" w:rsidR="00954279" w:rsidRDefault="00A66714">
            <w:pPr>
              <w:ind w:left="180"/>
              <w:rPr>
                <w:color w:val="000000"/>
                <w:sz w:val="20"/>
                <w:szCs w:val="20"/>
              </w:rPr>
            </w:pPr>
            <w:r>
              <w:rPr>
                <w:color w:val="000000"/>
                <w:sz w:val="20"/>
                <w:szCs w:val="20"/>
              </w:rPr>
              <w:t>Accounts receivable, net</w:t>
            </w:r>
          </w:p>
        </w:tc>
        <w:tc>
          <w:tcPr>
            <w:tcW w:w="50" w:type="pct"/>
            <w:tcMar>
              <w:top w:w="5" w:type="dxa"/>
              <w:left w:w="5" w:type="dxa"/>
              <w:bottom w:w="5" w:type="dxa"/>
              <w:right w:w="5" w:type="dxa"/>
            </w:tcMar>
            <w:vAlign w:val="bottom"/>
            <w:hideMark/>
          </w:tcPr>
          <w:p w14:paraId="53B4784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D769CB2"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A664A41" w14:textId="77777777" w:rsidR="00954279" w:rsidRDefault="00A66714">
            <w:pPr>
              <w:jc w:val="right"/>
              <w:rPr>
                <w:color w:val="000000"/>
                <w:sz w:val="20"/>
                <w:szCs w:val="20"/>
              </w:rPr>
            </w:pPr>
            <w:r>
              <w:rPr>
                <w:b/>
                <w:bCs/>
                <w:color w:val="000000"/>
                <w:sz w:val="20"/>
                <w:szCs w:val="20"/>
              </w:rPr>
              <w:t>382</w:t>
            </w:r>
          </w:p>
        </w:tc>
        <w:tc>
          <w:tcPr>
            <w:tcW w:w="50" w:type="pct"/>
            <w:noWrap/>
            <w:tcMar>
              <w:top w:w="5" w:type="dxa"/>
              <w:left w:w="5" w:type="dxa"/>
              <w:bottom w:w="5" w:type="dxa"/>
              <w:right w:w="5" w:type="dxa"/>
            </w:tcMar>
            <w:vAlign w:val="bottom"/>
            <w:hideMark/>
          </w:tcPr>
          <w:p w14:paraId="213B878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3CB9081"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3735066"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9E020FC" w14:textId="77777777" w:rsidR="00954279" w:rsidRDefault="00A66714">
            <w:pPr>
              <w:jc w:val="right"/>
              <w:rPr>
                <w:color w:val="000000"/>
                <w:sz w:val="20"/>
                <w:szCs w:val="20"/>
              </w:rPr>
            </w:pPr>
            <w:r>
              <w:rPr>
                <w:color w:val="000000"/>
                <w:sz w:val="20"/>
                <w:szCs w:val="20"/>
              </w:rPr>
              <w:t>319</w:t>
            </w:r>
          </w:p>
        </w:tc>
        <w:tc>
          <w:tcPr>
            <w:tcW w:w="50" w:type="pct"/>
            <w:noWrap/>
            <w:tcMar>
              <w:top w:w="5" w:type="dxa"/>
              <w:left w:w="5" w:type="dxa"/>
              <w:bottom w:w="5" w:type="dxa"/>
              <w:right w:w="5" w:type="dxa"/>
            </w:tcMar>
            <w:vAlign w:val="bottom"/>
            <w:hideMark/>
          </w:tcPr>
          <w:p w14:paraId="565E4BC5" w14:textId="77777777" w:rsidR="00954279" w:rsidRDefault="00A66714">
            <w:pPr>
              <w:rPr>
                <w:color w:val="000000"/>
                <w:sz w:val="20"/>
                <w:szCs w:val="20"/>
              </w:rPr>
            </w:pPr>
            <w:r>
              <w:rPr>
                <w:color w:val="000000"/>
                <w:sz w:val="20"/>
                <w:szCs w:val="20"/>
              </w:rPr>
              <w:t> </w:t>
            </w:r>
          </w:p>
        </w:tc>
      </w:tr>
      <w:tr w:rsidR="00954279" w14:paraId="7531BE5F" w14:textId="77777777">
        <w:tc>
          <w:tcPr>
            <w:tcW w:w="0" w:type="auto"/>
            <w:tcMar>
              <w:top w:w="5" w:type="dxa"/>
              <w:left w:w="5" w:type="dxa"/>
              <w:bottom w:w="5" w:type="dxa"/>
              <w:right w:w="5" w:type="dxa"/>
            </w:tcMar>
            <w:vAlign w:val="bottom"/>
            <w:hideMark/>
          </w:tcPr>
          <w:p w14:paraId="29D1419D" w14:textId="77777777" w:rsidR="00954279" w:rsidRDefault="00A66714">
            <w:pPr>
              <w:ind w:left="180"/>
              <w:rPr>
                <w:color w:val="000000"/>
                <w:sz w:val="20"/>
                <w:szCs w:val="20"/>
              </w:rPr>
            </w:pPr>
            <w:r>
              <w:rPr>
                <w:color w:val="000000"/>
                <w:sz w:val="20"/>
                <w:szCs w:val="20"/>
              </w:rPr>
              <w:t>Inventories, net</w:t>
            </w:r>
          </w:p>
        </w:tc>
        <w:tc>
          <w:tcPr>
            <w:tcW w:w="50" w:type="pct"/>
            <w:tcMar>
              <w:top w:w="5" w:type="dxa"/>
              <w:left w:w="5" w:type="dxa"/>
              <w:bottom w:w="5" w:type="dxa"/>
              <w:right w:w="5" w:type="dxa"/>
            </w:tcMar>
            <w:vAlign w:val="bottom"/>
            <w:hideMark/>
          </w:tcPr>
          <w:p w14:paraId="5BCEED8A"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C7BA83E"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EF21596" w14:textId="77777777" w:rsidR="00954279" w:rsidRDefault="00A66714">
            <w:pPr>
              <w:jc w:val="right"/>
              <w:rPr>
                <w:color w:val="000000"/>
                <w:sz w:val="20"/>
                <w:szCs w:val="20"/>
              </w:rPr>
            </w:pPr>
            <w:r>
              <w:rPr>
                <w:b/>
                <w:bCs/>
                <w:color w:val="000000"/>
                <w:sz w:val="20"/>
                <w:szCs w:val="20"/>
              </w:rPr>
              <w:t>484</w:t>
            </w:r>
          </w:p>
        </w:tc>
        <w:tc>
          <w:tcPr>
            <w:tcW w:w="50" w:type="pct"/>
            <w:noWrap/>
            <w:tcMar>
              <w:top w:w="5" w:type="dxa"/>
              <w:left w:w="5" w:type="dxa"/>
              <w:bottom w:w="5" w:type="dxa"/>
              <w:right w:w="5" w:type="dxa"/>
            </w:tcMar>
            <w:vAlign w:val="bottom"/>
            <w:hideMark/>
          </w:tcPr>
          <w:p w14:paraId="4832E4C6"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37F4C21"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59883C7"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7043172" w14:textId="77777777" w:rsidR="00954279" w:rsidRDefault="00A66714">
            <w:pPr>
              <w:jc w:val="right"/>
              <w:rPr>
                <w:color w:val="000000"/>
                <w:sz w:val="20"/>
                <w:szCs w:val="20"/>
              </w:rPr>
            </w:pPr>
            <w:r>
              <w:rPr>
                <w:color w:val="000000"/>
                <w:sz w:val="20"/>
                <w:szCs w:val="20"/>
              </w:rPr>
              <w:t>509</w:t>
            </w:r>
          </w:p>
        </w:tc>
        <w:tc>
          <w:tcPr>
            <w:tcW w:w="50" w:type="pct"/>
            <w:noWrap/>
            <w:tcMar>
              <w:top w:w="5" w:type="dxa"/>
              <w:left w:w="5" w:type="dxa"/>
              <w:bottom w:w="5" w:type="dxa"/>
              <w:right w:w="5" w:type="dxa"/>
            </w:tcMar>
            <w:vAlign w:val="bottom"/>
            <w:hideMark/>
          </w:tcPr>
          <w:p w14:paraId="26E9DF8C" w14:textId="77777777" w:rsidR="00954279" w:rsidRDefault="00A66714">
            <w:pPr>
              <w:rPr>
                <w:color w:val="000000"/>
                <w:sz w:val="20"/>
                <w:szCs w:val="20"/>
              </w:rPr>
            </w:pPr>
            <w:r>
              <w:rPr>
                <w:color w:val="000000"/>
                <w:sz w:val="20"/>
                <w:szCs w:val="20"/>
              </w:rPr>
              <w:t> </w:t>
            </w:r>
          </w:p>
        </w:tc>
      </w:tr>
      <w:tr w:rsidR="00954279" w14:paraId="7CC5F8B0" w14:textId="77777777">
        <w:tc>
          <w:tcPr>
            <w:tcW w:w="0" w:type="auto"/>
            <w:tcMar>
              <w:top w:w="5" w:type="dxa"/>
              <w:left w:w="5" w:type="dxa"/>
              <w:bottom w:w="5" w:type="dxa"/>
              <w:right w:w="5" w:type="dxa"/>
            </w:tcMar>
            <w:vAlign w:val="bottom"/>
            <w:hideMark/>
          </w:tcPr>
          <w:p w14:paraId="10612B6A" w14:textId="77777777" w:rsidR="00954279" w:rsidRDefault="00A66714">
            <w:pPr>
              <w:ind w:left="180"/>
              <w:rPr>
                <w:color w:val="000000"/>
                <w:sz w:val="20"/>
                <w:szCs w:val="20"/>
              </w:rPr>
            </w:pPr>
            <w:r>
              <w:rPr>
                <w:color w:val="000000"/>
                <w:sz w:val="20"/>
                <w:szCs w:val="20"/>
              </w:rPr>
              <w:t>Other current assets</w:t>
            </w:r>
          </w:p>
        </w:tc>
        <w:tc>
          <w:tcPr>
            <w:tcW w:w="50" w:type="pct"/>
            <w:tcMar>
              <w:top w:w="5" w:type="dxa"/>
              <w:left w:w="5" w:type="dxa"/>
              <w:bottom w:w="5" w:type="dxa"/>
              <w:right w:w="5" w:type="dxa"/>
            </w:tcMar>
            <w:vAlign w:val="bottom"/>
            <w:hideMark/>
          </w:tcPr>
          <w:p w14:paraId="7ACB405F"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271658F" w14:textId="77777777" w:rsidR="00954279" w:rsidRDefault="00A66714">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3521244" w14:textId="77777777" w:rsidR="00954279" w:rsidRDefault="00A66714">
            <w:pPr>
              <w:jc w:val="right"/>
              <w:rPr>
                <w:color w:val="000000"/>
                <w:sz w:val="20"/>
                <w:szCs w:val="20"/>
              </w:rPr>
            </w:pPr>
            <w:r>
              <w:rPr>
                <w:b/>
                <w:bCs/>
                <w:color w:val="000000"/>
                <w:sz w:val="20"/>
                <w:szCs w:val="20"/>
              </w:rPr>
              <w:t>32</w:t>
            </w:r>
          </w:p>
        </w:tc>
        <w:tc>
          <w:tcPr>
            <w:tcW w:w="50" w:type="pct"/>
            <w:noWrap/>
            <w:tcMar>
              <w:top w:w="5" w:type="dxa"/>
              <w:left w:w="5" w:type="dxa"/>
              <w:bottom w:w="20" w:type="dxa"/>
              <w:right w:w="5" w:type="dxa"/>
            </w:tcMar>
            <w:vAlign w:val="bottom"/>
            <w:hideMark/>
          </w:tcPr>
          <w:p w14:paraId="6E93831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C18A84D"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8FD6C90" w14:textId="77777777" w:rsidR="00954279" w:rsidRDefault="00A66714">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D3A9AF1" w14:textId="77777777" w:rsidR="00954279" w:rsidRDefault="00A66714">
            <w:pPr>
              <w:jc w:val="right"/>
              <w:rPr>
                <w:color w:val="000000"/>
                <w:sz w:val="20"/>
                <w:szCs w:val="20"/>
              </w:rPr>
            </w:pPr>
            <w:r>
              <w:rPr>
                <w:color w:val="000000"/>
                <w:sz w:val="20"/>
                <w:szCs w:val="20"/>
              </w:rPr>
              <w:t>19</w:t>
            </w:r>
          </w:p>
        </w:tc>
        <w:tc>
          <w:tcPr>
            <w:tcW w:w="50" w:type="pct"/>
            <w:noWrap/>
            <w:tcMar>
              <w:top w:w="5" w:type="dxa"/>
              <w:left w:w="5" w:type="dxa"/>
              <w:bottom w:w="20" w:type="dxa"/>
              <w:right w:w="5" w:type="dxa"/>
            </w:tcMar>
            <w:vAlign w:val="bottom"/>
            <w:hideMark/>
          </w:tcPr>
          <w:p w14:paraId="0C56E619" w14:textId="77777777" w:rsidR="00954279" w:rsidRDefault="00A66714">
            <w:pPr>
              <w:rPr>
                <w:color w:val="000000"/>
                <w:sz w:val="20"/>
                <w:szCs w:val="20"/>
              </w:rPr>
            </w:pPr>
            <w:r>
              <w:rPr>
                <w:color w:val="000000"/>
                <w:sz w:val="20"/>
                <w:szCs w:val="20"/>
              </w:rPr>
              <w:t> </w:t>
            </w:r>
          </w:p>
        </w:tc>
      </w:tr>
      <w:tr w:rsidR="00954279" w14:paraId="0E96A6CC" w14:textId="77777777">
        <w:tc>
          <w:tcPr>
            <w:tcW w:w="0" w:type="auto"/>
            <w:tcMar>
              <w:top w:w="5" w:type="dxa"/>
              <w:left w:w="5" w:type="dxa"/>
              <w:bottom w:w="5" w:type="dxa"/>
              <w:right w:w="5" w:type="dxa"/>
            </w:tcMar>
            <w:vAlign w:val="bottom"/>
            <w:hideMark/>
          </w:tcPr>
          <w:p w14:paraId="51E26D33" w14:textId="77777777" w:rsidR="00954279" w:rsidRDefault="00A66714">
            <w:pPr>
              <w:rPr>
                <w:color w:val="000000"/>
                <w:sz w:val="20"/>
                <w:szCs w:val="20"/>
              </w:rPr>
            </w:pPr>
            <w:r>
              <w:rPr>
                <w:color w:val="000000"/>
                <w:sz w:val="20"/>
                <w:szCs w:val="20"/>
              </w:rPr>
              <w:t>Total current assets</w:t>
            </w:r>
          </w:p>
        </w:tc>
        <w:tc>
          <w:tcPr>
            <w:tcW w:w="50" w:type="pct"/>
            <w:tcMar>
              <w:top w:w="5" w:type="dxa"/>
              <w:left w:w="5" w:type="dxa"/>
              <w:bottom w:w="5" w:type="dxa"/>
              <w:right w:w="5" w:type="dxa"/>
            </w:tcMar>
            <w:vAlign w:val="bottom"/>
            <w:hideMark/>
          </w:tcPr>
          <w:p w14:paraId="768421B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60DF0F9"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FE26098" w14:textId="77777777" w:rsidR="00954279" w:rsidRDefault="00A66714">
            <w:pPr>
              <w:jc w:val="right"/>
              <w:rPr>
                <w:color w:val="000000"/>
                <w:sz w:val="20"/>
                <w:szCs w:val="20"/>
              </w:rPr>
            </w:pPr>
            <w:r>
              <w:rPr>
                <w:b/>
                <w:bCs/>
                <w:color w:val="000000"/>
                <w:sz w:val="20"/>
                <w:szCs w:val="20"/>
              </w:rPr>
              <w:t>961</w:t>
            </w:r>
          </w:p>
        </w:tc>
        <w:tc>
          <w:tcPr>
            <w:tcW w:w="50" w:type="pct"/>
            <w:noWrap/>
            <w:tcMar>
              <w:top w:w="5" w:type="dxa"/>
              <w:left w:w="5" w:type="dxa"/>
              <w:bottom w:w="5" w:type="dxa"/>
              <w:right w:w="5" w:type="dxa"/>
            </w:tcMar>
            <w:vAlign w:val="bottom"/>
            <w:hideMark/>
          </w:tcPr>
          <w:p w14:paraId="4AA05C6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5064D5E"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DD2B01E"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6BB45BD" w14:textId="77777777" w:rsidR="00954279" w:rsidRDefault="00A66714">
            <w:pPr>
              <w:jc w:val="right"/>
              <w:rPr>
                <w:color w:val="000000"/>
                <w:sz w:val="20"/>
                <w:szCs w:val="20"/>
              </w:rPr>
            </w:pPr>
            <w:r>
              <w:rPr>
                <w:color w:val="000000"/>
                <w:sz w:val="20"/>
                <w:szCs w:val="20"/>
              </w:rPr>
              <w:t>966</w:t>
            </w:r>
          </w:p>
        </w:tc>
        <w:tc>
          <w:tcPr>
            <w:tcW w:w="50" w:type="pct"/>
            <w:noWrap/>
            <w:tcMar>
              <w:top w:w="5" w:type="dxa"/>
              <w:left w:w="5" w:type="dxa"/>
              <w:bottom w:w="5" w:type="dxa"/>
              <w:right w:w="5" w:type="dxa"/>
            </w:tcMar>
            <w:vAlign w:val="bottom"/>
            <w:hideMark/>
          </w:tcPr>
          <w:p w14:paraId="096F5182" w14:textId="77777777" w:rsidR="00954279" w:rsidRDefault="00A66714">
            <w:pPr>
              <w:rPr>
                <w:color w:val="000000"/>
                <w:sz w:val="20"/>
                <w:szCs w:val="20"/>
              </w:rPr>
            </w:pPr>
            <w:r>
              <w:rPr>
                <w:color w:val="000000"/>
                <w:sz w:val="20"/>
                <w:szCs w:val="20"/>
              </w:rPr>
              <w:t> </w:t>
            </w:r>
          </w:p>
        </w:tc>
      </w:tr>
      <w:tr w:rsidR="00954279" w14:paraId="4D71255F" w14:textId="77777777">
        <w:tc>
          <w:tcPr>
            <w:tcW w:w="0" w:type="auto"/>
            <w:tcMar>
              <w:top w:w="5" w:type="dxa"/>
              <w:left w:w="5" w:type="dxa"/>
              <w:bottom w:w="5" w:type="dxa"/>
              <w:right w:w="5" w:type="dxa"/>
            </w:tcMar>
            <w:vAlign w:val="bottom"/>
            <w:hideMark/>
          </w:tcPr>
          <w:p w14:paraId="448986E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B09E90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63D441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76B5B4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C98F8D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390738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7ADE1A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4B7BAF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78D292C" w14:textId="77777777" w:rsidR="00954279" w:rsidRDefault="00A66714">
            <w:pPr>
              <w:rPr>
                <w:color w:val="000000"/>
                <w:sz w:val="20"/>
                <w:szCs w:val="20"/>
              </w:rPr>
            </w:pPr>
            <w:r>
              <w:rPr>
                <w:color w:val="000000"/>
                <w:sz w:val="20"/>
                <w:szCs w:val="20"/>
              </w:rPr>
              <w:t> </w:t>
            </w:r>
          </w:p>
        </w:tc>
      </w:tr>
      <w:tr w:rsidR="00954279" w14:paraId="0770B854" w14:textId="77777777">
        <w:tc>
          <w:tcPr>
            <w:tcW w:w="0" w:type="auto"/>
            <w:tcMar>
              <w:top w:w="5" w:type="dxa"/>
              <w:left w:w="5" w:type="dxa"/>
              <w:bottom w:w="5" w:type="dxa"/>
              <w:right w:w="5" w:type="dxa"/>
            </w:tcMar>
            <w:vAlign w:val="bottom"/>
            <w:hideMark/>
          </w:tcPr>
          <w:p w14:paraId="08B383AF" w14:textId="77777777" w:rsidR="00954279" w:rsidRDefault="00A66714">
            <w:pPr>
              <w:rPr>
                <w:color w:val="000000"/>
                <w:sz w:val="20"/>
                <w:szCs w:val="20"/>
              </w:rPr>
            </w:pPr>
            <w:r>
              <w:rPr>
                <w:color w:val="000000"/>
                <w:sz w:val="20"/>
                <w:szCs w:val="20"/>
              </w:rPr>
              <w:t>Long-term assets:</w:t>
            </w:r>
          </w:p>
        </w:tc>
        <w:tc>
          <w:tcPr>
            <w:tcW w:w="0" w:type="auto"/>
            <w:tcMar>
              <w:top w:w="5" w:type="dxa"/>
              <w:left w:w="5" w:type="dxa"/>
              <w:bottom w:w="5" w:type="dxa"/>
              <w:right w:w="5" w:type="dxa"/>
            </w:tcMar>
            <w:vAlign w:val="bottom"/>
            <w:hideMark/>
          </w:tcPr>
          <w:p w14:paraId="69CF7FB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862FFE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8FFD66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9D1CC1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08F8CE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E1D987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06EF48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BA8D7EF" w14:textId="77777777" w:rsidR="00954279" w:rsidRDefault="00A66714">
            <w:pPr>
              <w:rPr>
                <w:color w:val="000000"/>
                <w:sz w:val="20"/>
                <w:szCs w:val="20"/>
              </w:rPr>
            </w:pPr>
            <w:r>
              <w:rPr>
                <w:color w:val="000000"/>
                <w:sz w:val="20"/>
                <w:szCs w:val="20"/>
              </w:rPr>
              <w:t> </w:t>
            </w:r>
          </w:p>
        </w:tc>
      </w:tr>
      <w:tr w:rsidR="00954279" w14:paraId="16C0D879" w14:textId="77777777">
        <w:tc>
          <w:tcPr>
            <w:tcW w:w="0" w:type="auto"/>
            <w:tcMar>
              <w:top w:w="5" w:type="dxa"/>
              <w:left w:w="5" w:type="dxa"/>
              <w:bottom w:w="5" w:type="dxa"/>
              <w:right w:w="5" w:type="dxa"/>
            </w:tcMar>
            <w:vAlign w:val="bottom"/>
            <w:hideMark/>
          </w:tcPr>
          <w:p w14:paraId="0A5C3374" w14:textId="77777777" w:rsidR="00954279" w:rsidRDefault="00A66714">
            <w:pPr>
              <w:ind w:left="180"/>
              <w:rPr>
                <w:color w:val="000000"/>
                <w:sz w:val="20"/>
                <w:szCs w:val="20"/>
              </w:rPr>
            </w:pPr>
            <w:r>
              <w:rPr>
                <w:color w:val="000000"/>
                <w:sz w:val="20"/>
                <w:szCs w:val="20"/>
              </w:rPr>
              <w:t>Operating lease assets</w:t>
            </w:r>
          </w:p>
        </w:tc>
        <w:tc>
          <w:tcPr>
            <w:tcW w:w="50" w:type="pct"/>
            <w:tcMar>
              <w:top w:w="5" w:type="dxa"/>
              <w:left w:w="5" w:type="dxa"/>
              <w:bottom w:w="5" w:type="dxa"/>
              <w:right w:w="5" w:type="dxa"/>
            </w:tcMar>
            <w:vAlign w:val="bottom"/>
            <w:hideMark/>
          </w:tcPr>
          <w:p w14:paraId="0E2EA0D1"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DDC23D4"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15754CE" w14:textId="77777777" w:rsidR="00954279" w:rsidRDefault="00A66714">
            <w:pPr>
              <w:jc w:val="right"/>
              <w:rPr>
                <w:color w:val="000000"/>
                <w:sz w:val="20"/>
                <w:szCs w:val="20"/>
              </w:rPr>
            </w:pPr>
            <w:r>
              <w:rPr>
                <w:b/>
                <w:bCs/>
                <w:color w:val="000000"/>
                <w:sz w:val="20"/>
                <w:szCs w:val="20"/>
              </w:rPr>
              <w:t>190</w:t>
            </w:r>
          </w:p>
        </w:tc>
        <w:tc>
          <w:tcPr>
            <w:tcW w:w="50" w:type="pct"/>
            <w:noWrap/>
            <w:tcMar>
              <w:top w:w="5" w:type="dxa"/>
              <w:left w:w="5" w:type="dxa"/>
              <w:bottom w:w="5" w:type="dxa"/>
              <w:right w:w="5" w:type="dxa"/>
            </w:tcMar>
            <w:vAlign w:val="bottom"/>
            <w:hideMark/>
          </w:tcPr>
          <w:p w14:paraId="3E5D460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B54DA5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1499E0A"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040BC54" w14:textId="77777777" w:rsidR="00954279" w:rsidRDefault="00A66714">
            <w:pPr>
              <w:jc w:val="right"/>
              <w:rPr>
                <w:color w:val="000000"/>
                <w:sz w:val="20"/>
                <w:szCs w:val="20"/>
              </w:rPr>
            </w:pPr>
            <w:r>
              <w:rPr>
                <w:color w:val="000000"/>
                <w:sz w:val="20"/>
                <w:szCs w:val="20"/>
              </w:rPr>
              <w:t>200</w:t>
            </w:r>
          </w:p>
        </w:tc>
        <w:tc>
          <w:tcPr>
            <w:tcW w:w="50" w:type="pct"/>
            <w:noWrap/>
            <w:tcMar>
              <w:top w:w="5" w:type="dxa"/>
              <w:left w:w="5" w:type="dxa"/>
              <w:bottom w:w="5" w:type="dxa"/>
              <w:right w:w="5" w:type="dxa"/>
            </w:tcMar>
            <w:vAlign w:val="bottom"/>
            <w:hideMark/>
          </w:tcPr>
          <w:p w14:paraId="6E859C0F" w14:textId="77777777" w:rsidR="00954279" w:rsidRDefault="00A66714">
            <w:pPr>
              <w:rPr>
                <w:color w:val="000000"/>
                <w:sz w:val="20"/>
                <w:szCs w:val="20"/>
              </w:rPr>
            </w:pPr>
            <w:r>
              <w:rPr>
                <w:color w:val="000000"/>
                <w:sz w:val="20"/>
                <w:szCs w:val="20"/>
              </w:rPr>
              <w:t> </w:t>
            </w:r>
          </w:p>
        </w:tc>
      </w:tr>
      <w:tr w:rsidR="00954279" w14:paraId="1F525C3D" w14:textId="77777777">
        <w:tc>
          <w:tcPr>
            <w:tcW w:w="0" w:type="auto"/>
            <w:tcMar>
              <w:top w:w="5" w:type="dxa"/>
              <w:left w:w="5" w:type="dxa"/>
              <w:bottom w:w="5" w:type="dxa"/>
              <w:right w:w="5" w:type="dxa"/>
            </w:tcMar>
            <w:vAlign w:val="bottom"/>
            <w:hideMark/>
          </w:tcPr>
          <w:p w14:paraId="7F3D5885" w14:textId="77777777" w:rsidR="00954279" w:rsidRDefault="00A66714">
            <w:pPr>
              <w:ind w:left="180"/>
              <w:rPr>
                <w:color w:val="000000"/>
                <w:sz w:val="20"/>
                <w:szCs w:val="20"/>
              </w:rPr>
            </w:pPr>
            <w:r>
              <w:rPr>
                <w:color w:val="000000"/>
                <w:sz w:val="20"/>
                <w:szCs w:val="20"/>
              </w:rPr>
              <w:t>Property, plant and equipment, net</w:t>
            </w:r>
          </w:p>
        </w:tc>
        <w:tc>
          <w:tcPr>
            <w:tcW w:w="50" w:type="pct"/>
            <w:tcMar>
              <w:top w:w="5" w:type="dxa"/>
              <w:left w:w="5" w:type="dxa"/>
              <w:bottom w:w="5" w:type="dxa"/>
              <w:right w:w="5" w:type="dxa"/>
            </w:tcMar>
            <w:vAlign w:val="bottom"/>
            <w:hideMark/>
          </w:tcPr>
          <w:p w14:paraId="6F79D9DA"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0A783FF"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57F9499" w14:textId="77777777" w:rsidR="00954279" w:rsidRDefault="00A66714">
            <w:pPr>
              <w:jc w:val="right"/>
              <w:rPr>
                <w:color w:val="000000"/>
                <w:sz w:val="20"/>
                <w:szCs w:val="20"/>
              </w:rPr>
            </w:pPr>
            <w:r>
              <w:rPr>
                <w:b/>
                <w:bCs/>
                <w:color w:val="000000"/>
                <w:sz w:val="20"/>
                <w:szCs w:val="20"/>
              </w:rPr>
              <w:t>95</w:t>
            </w:r>
          </w:p>
        </w:tc>
        <w:tc>
          <w:tcPr>
            <w:tcW w:w="50" w:type="pct"/>
            <w:noWrap/>
            <w:tcMar>
              <w:top w:w="5" w:type="dxa"/>
              <w:left w:w="5" w:type="dxa"/>
              <w:bottom w:w="5" w:type="dxa"/>
              <w:right w:w="5" w:type="dxa"/>
            </w:tcMar>
            <w:vAlign w:val="bottom"/>
            <w:hideMark/>
          </w:tcPr>
          <w:p w14:paraId="2A74659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E69E137"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EF1DDE3"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FDA1E50" w14:textId="77777777" w:rsidR="00954279" w:rsidRDefault="00A66714">
            <w:pPr>
              <w:jc w:val="right"/>
              <w:rPr>
                <w:color w:val="000000"/>
                <w:sz w:val="20"/>
                <w:szCs w:val="20"/>
              </w:rPr>
            </w:pPr>
            <w:r>
              <w:rPr>
                <w:color w:val="000000"/>
                <w:sz w:val="20"/>
                <w:szCs w:val="20"/>
              </w:rPr>
              <w:t>103</w:t>
            </w:r>
          </w:p>
        </w:tc>
        <w:tc>
          <w:tcPr>
            <w:tcW w:w="50" w:type="pct"/>
            <w:noWrap/>
            <w:tcMar>
              <w:top w:w="5" w:type="dxa"/>
              <w:left w:w="5" w:type="dxa"/>
              <w:bottom w:w="5" w:type="dxa"/>
              <w:right w:w="5" w:type="dxa"/>
            </w:tcMar>
            <w:vAlign w:val="bottom"/>
            <w:hideMark/>
          </w:tcPr>
          <w:p w14:paraId="5DC9BC86" w14:textId="77777777" w:rsidR="00954279" w:rsidRDefault="00A66714">
            <w:pPr>
              <w:rPr>
                <w:color w:val="000000"/>
                <w:sz w:val="20"/>
                <w:szCs w:val="20"/>
              </w:rPr>
            </w:pPr>
            <w:r>
              <w:rPr>
                <w:color w:val="000000"/>
                <w:sz w:val="20"/>
                <w:szCs w:val="20"/>
              </w:rPr>
              <w:t> </w:t>
            </w:r>
          </w:p>
        </w:tc>
      </w:tr>
      <w:tr w:rsidR="00954279" w14:paraId="4C2B196D" w14:textId="77777777">
        <w:tc>
          <w:tcPr>
            <w:tcW w:w="0" w:type="auto"/>
            <w:tcMar>
              <w:top w:w="5" w:type="dxa"/>
              <w:left w:w="5" w:type="dxa"/>
              <w:bottom w:w="5" w:type="dxa"/>
              <w:right w:w="5" w:type="dxa"/>
            </w:tcMar>
            <w:vAlign w:val="bottom"/>
            <w:hideMark/>
          </w:tcPr>
          <w:p w14:paraId="35A957CB" w14:textId="77777777" w:rsidR="00954279" w:rsidRDefault="00A66714">
            <w:pPr>
              <w:ind w:left="180"/>
              <w:rPr>
                <w:color w:val="000000"/>
                <w:sz w:val="20"/>
                <w:szCs w:val="20"/>
              </w:rPr>
            </w:pPr>
            <w:r>
              <w:rPr>
                <w:color w:val="000000"/>
                <w:sz w:val="20"/>
                <w:szCs w:val="20"/>
              </w:rPr>
              <w:t>Other assets</w:t>
            </w:r>
          </w:p>
        </w:tc>
        <w:tc>
          <w:tcPr>
            <w:tcW w:w="50" w:type="pct"/>
            <w:tcMar>
              <w:top w:w="5" w:type="dxa"/>
              <w:left w:w="5" w:type="dxa"/>
              <w:bottom w:w="5" w:type="dxa"/>
              <w:right w:w="5" w:type="dxa"/>
            </w:tcMar>
            <w:vAlign w:val="bottom"/>
            <w:hideMark/>
          </w:tcPr>
          <w:p w14:paraId="3C99D319"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4444371"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9DC2C53" w14:textId="77777777" w:rsidR="00954279" w:rsidRDefault="00A66714">
            <w:pPr>
              <w:jc w:val="right"/>
              <w:rPr>
                <w:color w:val="000000"/>
                <w:sz w:val="20"/>
                <w:szCs w:val="20"/>
              </w:rPr>
            </w:pPr>
            <w:r>
              <w:rPr>
                <w:b/>
                <w:bCs/>
                <w:color w:val="000000"/>
                <w:sz w:val="20"/>
                <w:szCs w:val="20"/>
              </w:rPr>
              <w:t>19</w:t>
            </w:r>
          </w:p>
        </w:tc>
        <w:tc>
          <w:tcPr>
            <w:tcW w:w="50" w:type="pct"/>
            <w:noWrap/>
            <w:tcMar>
              <w:top w:w="5" w:type="dxa"/>
              <w:left w:w="5" w:type="dxa"/>
              <w:bottom w:w="5" w:type="dxa"/>
              <w:right w:w="5" w:type="dxa"/>
            </w:tcMar>
            <w:vAlign w:val="bottom"/>
            <w:hideMark/>
          </w:tcPr>
          <w:p w14:paraId="0E9D6A1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7FC74AF"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B154679"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A3D7530" w14:textId="77777777" w:rsidR="00954279" w:rsidRDefault="00A66714">
            <w:pPr>
              <w:jc w:val="right"/>
              <w:rPr>
                <w:color w:val="000000"/>
                <w:sz w:val="20"/>
                <w:szCs w:val="20"/>
              </w:rPr>
            </w:pPr>
            <w:r>
              <w:rPr>
                <w:color w:val="000000"/>
                <w:sz w:val="20"/>
                <w:szCs w:val="20"/>
              </w:rPr>
              <w:t>19</w:t>
            </w:r>
          </w:p>
        </w:tc>
        <w:tc>
          <w:tcPr>
            <w:tcW w:w="50" w:type="pct"/>
            <w:noWrap/>
            <w:tcMar>
              <w:top w:w="5" w:type="dxa"/>
              <w:left w:w="5" w:type="dxa"/>
              <w:bottom w:w="5" w:type="dxa"/>
              <w:right w:w="5" w:type="dxa"/>
            </w:tcMar>
            <w:vAlign w:val="bottom"/>
            <w:hideMark/>
          </w:tcPr>
          <w:p w14:paraId="62C5751F" w14:textId="77777777" w:rsidR="00954279" w:rsidRDefault="00A66714">
            <w:pPr>
              <w:rPr>
                <w:color w:val="000000"/>
                <w:sz w:val="20"/>
                <w:szCs w:val="20"/>
              </w:rPr>
            </w:pPr>
            <w:r>
              <w:rPr>
                <w:color w:val="000000"/>
                <w:sz w:val="20"/>
                <w:szCs w:val="20"/>
              </w:rPr>
              <w:t> </w:t>
            </w:r>
          </w:p>
        </w:tc>
      </w:tr>
      <w:tr w:rsidR="00954279" w14:paraId="529A8793" w14:textId="77777777">
        <w:tc>
          <w:tcPr>
            <w:tcW w:w="0" w:type="auto"/>
            <w:tcMar>
              <w:top w:w="5" w:type="dxa"/>
              <w:left w:w="5" w:type="dxa"/>
              <w:bottom w:w="5" w:type="dxa"/>
              <w:right w:w="5" w:type="dxa"/>
            </w:tcMar>
            <w:vAlign w:val="bottom"/>
            <w:hideMark/>
          </w:tcPr>
          <w:p w14:paraId="2C7B4B6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108A25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34870A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D1634A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7EE7B7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302DEF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031858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6DD2C7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DFECA10" w14:textId="77777777" w:rsidR="00954279" w:rsidRDefault="00A66714">
            <w:pPr>
              <w:rPr>
                <w:color w:val="000000"/>
                <w:sz w:val="20"/>
                <w:szCs w:val="20"/>
              </w:rPr>
            </w:pPr>
            <w:r>
              <w:rPr>
                <w:color w:val="000000"/>
                <w:sz w:val="20"/>
                <w:szCs w:val="20"/>
              </w:rPr>
              <w:t> </w:t>
            </w:r>
          </w:p>
        </w:tc>
      </w:tr>
      <w:tr w:rsidR="00954279" w14:paraId="251DCDEF" w14:textId="77777777">
        <w:tc>
          <w:tcPr>
            <w:tcW w:w="0" w:type="auto"/>
            <w:tcMar>
              <w:top w:w="5" w:type="dxa"/>
              <w:left w:w="5" w:type="dxa"/>
              <w:bottom w:w="5" w:type="dxa"/>
              <w:right w:w="5" w:type="dxa"/>
            </w:tcMar>
            <w:vAlign w:val="bottom"/>
            <w:hideMark/>
          </w:tcPr>
          <w:p w14:paraId="0D500259" w14:textId="77777777" w:rsidR="00954279" w:rsidRDefault="00A66714">
            <w:pPr>
              <w:rPr>
                <w:color w:val="000000"/>
                <w:sz w:val="20"/>
                <w:szCs w:val="20"/>
              </w:rPr>
            </w:pPr>
            <w:r>
              <w:rPr>
                <w:color w:val="000000"/>
                <w:sz w:val="20"/>
                <w:szCs w:val="20"/>
              </w:rPr>
              <w:t>Intangible assets:</w:t>
            </w:r>
          </w:p>
        </w:tc>
        <w:tc>
          <w:tcPr>
            <w:tcW w:w="0" w:type="auto"/>
            <w:tcMar>
              <w:top w:w="5" w:type="dxa"/>
              <w:left w:w="5" w:type="dxa"/>
              <w:bottom w:w="5" w:type="dxa"/>
              <w:right w:w="5" w:type="dxa"/>
            </w:tcMar>
            <w:vAlign w:val="bottom"/>
            <w:hideMark/>
          </w:tcPr>
          <w:p w14:paraId="5176D20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664D54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557B4A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0B94D2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FD24BF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1B8A79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402C89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9D6162E" w14:textId="77777777" w:rsidR="00954279" w:rsidRDefault="00A66714">
            <w:pPr>
              <w:rPr>
                <w:color w:val="000000"/>
                <w:sz w:val="20"/>
                <w:szCs w:val="20"/>
              </w:rPr>
            </w:pPr>
            <w:r>
              <w:rPr>
                <w:color w:val="000000"/>
                <w:sz w:val="20"/>
                <w:szCs w:val="20"/>
              </w:rPr>
              <w:t> </w:t>
            </w:r>
          </w:p>
        </w:tc>
      </w:tr>
      <w:tr w:rsidR="00954279" w14:paraId="3F8FA4CF" w14:textId="77777777">
        <w:tc>
          <w:tcPr>
            <w:tcW w:w="0" w:type="auto"/>
            <w:tcMar>
              <w:top w:w="5" w:type="dxa"/>
              <w:left w:w="5" w:type="dxa"/>
              <w:bottom w:w="5" w:type="dxa"/>
              <w:right w:w="5" w:type="dxa"/>
            </w:tcMar>
            <w:vAlign w:val="bottom"/>
            <w:hideMark/>
          </w:tcPr>
          <w:p w14:paraId="037220F8" w14:textId="77777777" w:rsidR="00954279" w:rsidRDefault="00A66714">
            <w:pPr>
              <w:ind w:left="180"/>
              <w:rPr>
                <w:color w:val="000000"/>
                <w:sz w:val="20"/>
                <w:szCs w:val="20"/>
              </w:rPr>
            </w:pPr>
            <w:r>
              <w:rPr>
                <w:color w:val="000000"/>
                <w:sz w:val="20"/>
                <w:szCs w:val="20"/>
              </w:rPr>
              <w:t>Goodwill, net</w:t>
            </w:r>
          </w:p>
        </w:tc>
        <w:tc>
          <w:tcPr>
            <w:tcW w:w="50" w:type="pct"/>
            <w:tcMar>
              <w:top w:w="5" w:type="dxa"/>
              <w:left w:w="5" w:type="dxa"/>
              <w:bottom w:w="5" w:type="dxa"/>
              <w:right w:w="5" w:type="dxa"/>
            </w:tcMar>
            <w:vAlign w:val="bottom"/>
            <w:hideMark/>
          </w:tcPr>
          <w:p w14:paraId="4C678716"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AB62B4A"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9A7769E" w14:textId="77777777" w:rsidR="00954279" w:rsidRDefault="00A66714">
            <w:pPr>
              <w:jc w:val="right"/>
              <w:rPr>
                <w:color w:val="000000"/>
                <w:sz w:val="20"/>
                <w:szCs w:val="20"/>
              </w:rPr>
            </w:pPr>
            <w:r>
              <w:rPr>
                <w:b/>
                <w:bCs/>
                <w:color w:val="000000"/>
                <w:sz w:val="20"/>
                <w:szCs w:val="20"/>
              </w:rPr>
              <w:t>264</w:t>
            </w:r>
          </w:p>
        </w:tc>
        <w:tc>
          <w:tcPr>
            <w:tcW w:w="50" w:type="pct"/>
            <w:noWrap/>
            <w:tcMar>
              <w:top w:w="5" w:type="dxa"/>
              <w:left w:w="5" w:type="dxa"/>
              <w:bottom w:w="5" w:type="dxa"/>
              <w:right w:w="5" w:type="dxa"/>
            </w:tcMar>
            <w:vAlign w:val="bottom"/>
            <w:hideMark/>
          </w:tcPr>
          <w:p w14:paraId="287E893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96268D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F5C7E28"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A60A903" w14:textId="77777777" w:rsidR="00954279" w:rsidRDefault="00A66714">
            <w:pPr>
              <w:jc w:val="right"/>
              <w:rPr>
                <w:color w:val="000000"/>
                <w:sz w:val="20"/>
                <w:szCs w:val="20"/>
              </w:rPr>
            </w:pPr>
            <w:r>
              <w:rPr>
                <w:color w:val="000000"/>
                <w:sz w:val="20"/>
                <w:szCs w:val="20"/>
              </w:rPr>
              <w:t>264</w:t>
            </w:r>
          </w:p>
        </w:tc>
        <w:tc>
          <w:tcPr>
            <w:tcW w:w="50" w:type="pct"/>
            <w:noWrap/>
            <w:tcMar>
              <w:top w:w="5" w:type="dxa"/>
              <w:left w:w="5" w:type="dxa"/>
              <w:bottom w:w="5" w:type="dxa"/>
              <w:right w:w="5" w:type="dxa"/>
            </w:tcMar>
            <w:vAlign w:val="bottom"/>
            <w:hideMark/>
          </w:tcPr>
          <w:p w14:paraId="7940A1E4" w14:textId="77777777" w:rsidR="00954279" w:rsidRDefault="00A66714">
            <w:pPr>
              <w:rPr>
                <w:color w:val="000000"/>
                <w:sz w:val="20"/>
                <w:szCs w:val="20"/>
              </w:rPr>
            </w:pPr>
            <w:r>
              <w:rPr>
                <w:color w:val="000000"/>
                <w:sz w:val="20"/>
                <w:szCs w:val="20"/>
              </w:rPr>
              <w:t> </w:t>
            </w:r>
          </w:p>
        </w:tc>
      </w:tr>
      <w:tr w:rsidR="00954279" w14:paraId="38CFB239" w14:textId="77777777">
        <w:tc>
          <w:tcPr>
            <w:tcW w:w="0" w:type="auto"/>
            <w:tcMar>
              <w:top w:w="5" w:type="dxa"/>
              <w:left w:w="5" w:type="dxa"/>
              <w:bottom w:w="5" w:type="dxa"/>
              <w:right w:w="5" w:type="dxa"/>
            </w:tcMar>
            <w:vAlign w:val="bottom"/>
            <w:hideMark/>
          </w:tcPr>
          <w:p w14:paraId="04B27225" w14:textId="77777777" w:rsidR="00954279" w:rsidRDefault="00A66714">
            <w:pPr>
              <w:ind w:left="180"/>
              <w:rPr>
                <w:color w:val="000000"/>
                <w:sz w:val="20"/>
                <w:szCs w:val="20"/>
              </w:rPr>
            </w:pPr>
            <w:r>
              <w:rPr>
                <w:color w:val="000000"/>
                <w:sz w:val="20"/>
                <w:szCs w:val="20"/>
              </w:rPr>
              <w:t>Other intangible assets, net</w:t>
            </w:r>
          </w:p>
        </w:tc>
        <w:tc>
          <w:tcPr>
            <w:tcW w:w="50" w:type="pct"/>
            <w:tcMar>
              <w:top w:w="5" w:type="dxa"/>
              <w:left w:w="5" w:type="dxa"/>
              <w:bottom w:w="5" w:type="dxa"/>
              <w:right w:w="5" w:type="dxa"/>
            </w:tcMar>
            <w:vAlign w:val="bottom"/>
            <w:hideMark/>
          </w:tcPr>
          <w:p w14:paraId="4CD199DB"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0084B0A" w14:textId="77777777" w:rsidR="00954279" w:rsidRDefault="00A66714">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7933885C" w14:textId="77777777" w:rsidR="00954279" w:rsidRDefault="00A66714">
            <w:pPr>
              <w:jc w:val="right"/>
              <w:rPr>
                <w:color w:val="000000"/>
                <w:sz w:val="20"/>
                <w:szCs w:val="20"/>
              </w:rPr>
            </w:pPr>
            <w:r>
              <w:rPr>
                <w:b/>
                <w:bCs/>
                <w:color w:val="000000"/>
                <w:sz w:val="20"/>
                <w:szCs w:val="20"/>
              </w:rPr>
              <w:t>216</w:t>
            </w:r>
          </w:p>
        </w:tc>
        <w:tc>
          <w:tcPr>
            <w:tcW w:w="50" w:type="pct"/>
            <w:noWrap/>
            <w:tcMar>
              <w:top w:w="5" w:type="dxa"/>
              <w:left w:w="5" w:type="dxa"/>
              <w:bottom w:w="20" w:type="dxa"/>
              <w:right w:w="5" w:type="dxa"/>
            </w:tcMar>
            <w:vAlign w:val="bottom"/>
            <w:hideMark/>
          </w:tcPr>
          <w:p w14:paraId="4903276F"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90CAA76"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5F4423E" w14:textId="77777777" w:rsidR="00954279" w:rsidRDefault="00A66714">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69E020A" w14:textId="77777777" w:rsidR="00954279" w:rsidRDefault="00A66714">
            <w:pPr>
              <w:jc w:val="right"/>
              <w:rPr>
                <w:color w:val="000000"/>
                <w:sz w:val="20"/>
                <w:szCs w:val="20"/>
              </w:rPr>
            </w:pPr>
            <w:r>
              <w:rPr>
                <w:color w:val="000000"/>
                <w:sz w:val="20"/>
                <w:szCs w:val="20"/>
              </w:rPr>
              <w:t>229</w:t>
            </w:r>
          </w:p>
        </w:tc>
        <w:tc>
          <w:tcPr>
            <w:tcW w:w="50" w:type="pct"/>
            <w:noWrap/>
            <w:tcMar>
              <w:top w:w="5" w:type="dxa"/>
              <w:left w:w="5" w:type="dxa"/>
              <w:bottom w:w="20" w:type="dxa"/>
              <w:right w:w="5" w:type="dxa"/>
            </w:tcMar>
            <w:vAlign w:val="bottom"/>
            <w:hideMark/>
          </w:tcPr>
          <w:p w14:paraId="06C11859" w14:textId="77777777" w:rsidR="00954279" w:rsidRDefault="00A66714">
            <w:pPr>
              <w:rPr>
                <w:color w:val="000000"/>
                <w:sz w:val="20"/>
                <w:szCs w:val="20"/>
              </w:rPr>
            </w:pPr>
            <w:r>
              <w:rPr>
                <w:color w:val="000000"/>
                <w:sz w:val="20"/>
                <w:szCs w:val="20"/>
              </w:rPr>
              <w:t> </w:t>
            </w:r>
          </w:p>
        </w:tc>
      </w:tr>
      <w:tr w:rsidR="00954279" w14:paraId="144D44AB" w14:textId="77777777">
        <w:tc>
          <w:tcPr>
            <w:tcW w:w="0" w:type="auto"/>
            <w:tcMar>
              <w:top w:w="5" w:type="dxa"/>
              <w:left w:w="5" w:type="dxa"/>
              <w:bottom w:w="5" w:type="dxa"/>
              <w:right w:w="5" w:type="dxa"/>
            </w:tcMar>
            <w:vAlign w:val="bottom"/>
            <w:hideMark/>
          </w:tcPr>
          <w:p w14:paraId="12F50EC6"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E448224"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5419279" w14:textId="77777777" w:rsidR="00954279" w:rsidRDefault="00A66714">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3F9CD4F1" w14:textId="77777777" w:rsidR="00954279" w:rsidRDefault="00A66714">
            <w:pPr>
              <w:jc w:val="right"/>
              <w:rPr>
                <w:color w:val="000000"/>
                <w:sz w:val="20"/>
                <w:szCs w:val="20"/>
              </w:rPr>
            </w:pPr>
            <w:r>
              <w:rPr>
                <w:b/>
                <w:bCs/>
                <w:color w:val="000000"/>
                <w:sz w:val="20"/>
                <w:szCs w:val="20"/>
              </w:rPr>
              <w:t>1,745</w:t>
            </w:r>
          </w:p>
        </w:tc>
        <w:tc>
          <w:tcPr>
            <w:tcW w:w="50" w:type="pct"/>
            <w:noWrap/>
            <w:tcMar>
              <w:top w:w="5" w:type="dxa"/>
              <w:left w:w="5" w:type="dxa"/>
              <w:bottom w:w="50" w:type="dxa"/>
              <w:right w:w="5" w:type="dxa"/>
            </w:tcMar>
            <w:vAlign w:val="bottom"/>
            <w:hideMark/>
          </w:tcPr>
          <w:p w14:paraId="7EA20919"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9440556"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18D7475" w14:textId="77777777" w:rsidR="00954279" w:rsidRDefault="00A66714">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1AB97988" w14:textId="77777777" w:rsidR="00954279" w:rsidRDefault="00A66714">
            <w:pPr>
              <w:jc w:val="right"/>
              <w:rPr>
                <w:color w:val="000000"/>
                <w:sz w:val="20"/>
                <w:szCs w:val="20"/>
              </w:rPr>
            </w:pPr>
            <w:r>
              <w:rPr>
                <w:color w:val="000000"/>
                <w:sz w:val="20"/>
                <w:szCs w:val="20"/>
              </w:rPr>
              <w:t>1,781</w:t>
            </w:r>
          </w:p>
        </w:tc>
        <w:tc>
          <w:tcPr>
            <w:tcW w:w="50" w:type="pct"/>
            <w:noWrap/>
            <w:tcMar>
              <w:top w:w="5" w:type="dxa"/>
              <w:left w:w="5" w:type="dxa"/>
              <w:bottom w:w="50" w:type="dxa"/>
              <w:right w:w="5" w:type="dxa"/>
            </w:tcMar>
            <w:vAlign w:val="bottom"/>
            <w:hideMark/>
          </w:tcPr>
          <w:p w14:paraId="587825C1" w14:textId="77777777" w:rsidR="00954279" w:rsidRDefault="00A66714">
            <w:pPr>
              <w:rPr>
                <w:color w:val="000000"/>
                <w:sz w:val="20"/>
                <w:szCs w:val="20"/>
              </w:rPr>
            </w:pPr>
            <w:r>
              <w:rPr>
                <w:color w:val="000000"/>
                <w:sz w:val="20"/>
                <w:szCs w:val="20"/>
              </w:rPr>
              <w:t> </w:t>
            </w:r>
          </w:p>
        </w:tc>
      </w:tr>
      <w:tr w:rsidR="00954279" w14:paraId="0E0D110B" w14:textId="77777777">
        <w:tc>
          <w:tcPr>
            <w:tcW w:w="0" w:type="auto"/>
            <w:tcMar>
              <w:top w:w="5" w:type="dxa"/>
              <w:left w:w="5" w:type="dxa"/>
              <w:bottom w:w="5" w:type="dxa"/>
              <w:right w:w="5" w:type="dxa"/>
            </w:tcMar>
            <w:vAlign w:val="bottom"/>
            <w:hideMark/>
          </w:tcPr>
          <w:p w14:paraId="735008A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068887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547437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9F44C6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C24D8C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C9D025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E6F985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A3478E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A0E34D0" w14:textId="77777777" w:rsidR="00954279" w:rsidRDefault="00A66714">
            <w:pPr>
              <w:rPr>
                <w:color w:val="000000"/>
                <w:sz w:val="20"/>
                <w:szCs w:val="20"/>
              </w:rPr>
            </w:pPr>
            <w:r>
              <w:rPr>
                <w:color w:val="000000"/>
                <w:sz w:val="20"/>
                <w:szCs w:val="20"/>
              </w:rPr>
              <w:t> </w:t>
            </w:r>
          </w:p>
        </w:tc>
      </w:tr>
      <w:tr w:rsidR="00954279" w14:paraId="13D3777D" w14:textId="77777777">
        <w:tc>
          <w:tcPr>
            <w:tcW w:w="0" w:type="auto"/>
            <w:tcMar>
              <w:top w:w="5" w:type="dxa"/>
              <w:left w:w="5" w:type="dxa"/>
              <w:bottom w:w="5" w:type="dxa"/>
              <w:right w:w="5" w:type="dxa"/>
            </w:tcMar>
            <w:vAlign w:val="bottom"/>
            <w:hideMark/>
          </w:tcPr>
          <w:p w14:paraId="265381AE" w14:textId="77777777" w:rsidR="00954279" w:rsidRDefault="00A66714">
            <w:pPr>
              <w:rPr>
                <w:color w:val="000000"/>
                <w:sz w:val="20"/>
                <w:szCs w:val="20"/>
              </w:rPr>
            </w:pPr>
            <w:r>
              <w:rPr>
                <w:b/>
                <w:bCs/>
                <w:color w:val="000000"/>
                <w:sz w:val="20"/>
                <w:szCs w:val="20"/>
              </w:rPr>
              <w:t>Liabilities and stockholders' equity</w:t>
            </w:r>
          </w:p>
        </w:tc>
        <w:tc>
          <w:tcPr>
            <w:tcW w:w="0" w:type="auto"/>
            <w:tcMar>
              <w:top w:w="5" w:type="dxa"/>
              <w:left w:w="5" w:type="dxa"/>
              <w:bottom w:w="5" w:type="dxa"/>
              <w:right w:w="5" w:type="dxa"/>
            </w:tcMar>
            <w:vAlign w:val="bottom"/>
            <w:hideMark/>
          </w:tcPr>
          <w:p w14:paraId="6CA2A9E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75CFDE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584571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10CCEBD" w14:textId="77777777" w:rsidR="00954279" w:rsidRDefault="00A66714">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2363FEE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E36C06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57F28A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A463E5F" w14:textId="77777777" w:rsidR="00954279" w:rsidRDefault="00A66714">
            <w:pPr>
              <w:rPr>
                <w:color w:val="000000"/>
                <w:sz w:val="20"/>
                <w:szCs w:val="20"/>
              </w:rPr>
            </w:pPr>
            <w:r>
              <w:rPr>
                <w:b/>
                <w:bCs/>
                <w:color w:val="000000"/>
                <w:sz w:val="20"/>
                <w:szCs w:val="20"/>
              </w:rPr>
              <w:t> </w:t>
            </w:r>
          </w:p>
        </w:tc>
      </w:tr>
      <w:tr w:rsidR="00954279" w14:paraId="3098CABB" w14:textId="77777777">
        <w:tc>
          <w:tcPr>
            <w:tcW w:w="0" w:type="auto"/>
            <w:tcMar>
              <w:top w:w="5" w:type="dxa"/>
              <w:left w:w="5" w:type="dxa"/>
              <w:bottom w:w="5" w:type="dxa"/>
              <w:right w:w="5" w:type="dxa"/>
            </w:tcMar>
            <w:vAlign w:val="bottom"/>
            <w:hideMark/>
          </w:tcPr>
          <w:p w14:paraId="329BB9FF" w14:textId="77777777" w:rsidR="00954279" w:rsidRDefault="00A66714">
            <w:pPr>
              <w:rPr>
                <w:color w:val="000000"/>
                <w:sz w:val="20"/>
                <w:szCs w:val="20"/>
              </w:rPr>
            </w:pPr>
            <w:r>
              <w:rPr>
                <w:color w:val="000000"/>
                <w:sz w:val="20"/>
                <w:szCs w:val="20"/>
              </w:rPr>
              <w:t>Current liabilities:</w:t>
            </w:r>
          </w:p>
        </w:tc>
        <w:tc>
          <w:tcPr>
            <w:tcW w:w="0" w:type="auto"/>
            <w:tcMar>
              <w:top w:w="5" w:type="dxa"/>
              <w:left w:w="5" w:type="dxa"/>
              <w:bottom w:w="5" w:type="dxa"/>
              <w:right w:w="5" w:type="dxa"/>
            </w:tcMar>
            <w:vAlign w:val="bottom"/>
            <w:hideMark/>
          </w:tcPr>
          <w:p w14:paraId="1B3B3F5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AF9759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F2140A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9B9365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167210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C6B70A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0CC647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C3822B9" w14:textId="77777777" w:rsidR="00954279" w:rsidRDefault="00A66714">
            <w:pPr>
              <w:rPr>
                <w:color w:val="000000"/>
                <w:sz w:val="20"/>
                <w:szCs w:val="20"/>
              </w:rPr>
            </w:pPr>
            <w:r>
              <w:rPr>
                <w:color w:val="000000"/>
                <w:sz w:val="20"/>
                <w:szCs w:val="20"/>
              </w:rPr>
              <w:t> </w:t>
            </w:r>
          </w:p>
        </w:tc>
      </w:tr>
      <w:tr w:rsidR="00954279" w14:paraId="70B158DE" w14:textId="77777777">
        <w:tc>
          <w:tcPr>
            <w:tcW w:w="0" w:type="auto"/>
            <w:tcMar>
              <w:top w:w="5" w:type="dxa"/>
              <w:left w:w="5" w:type="dxa"/>
              <w:bottom w:w="5" w:type="dxa"/>
              <w:right w:w="5" w:type="dxa"/>
            </w:tcMar>
            <w:vAlign w:val="bottom"/>
            <w:hideMark/>
          </w:tcPr>
          <w:p w14:paraId="70A63243" w14:textId="77777777" w:rsidR="00954279" w:rsidRDefault="00A66714">
            <w:pPr>
              <w:ind w:left="180"/>
              <w:rPr>
                <w:color w:val="000000"/>
                <w:sz w:val="20"/>
                <w:szCs w:val="20"/>
              </w:rPr>
            </w:pPr>
            <w:r>
              <w:rPr>
                <w:color w:val="000000"/>
                <w:sz w:val="20"/>
                <w:szCs w:val="20"/>
              </w:rPr>
              <w:t>Trade accounts payable</w:t>
            </w:r>
          </w:p>
        </w:tc>
        <w:tc>
          <w:tcPr>
            <w:tcW w:w="50" w:type="pct"/>
            <w:tcMar>
              <w:top w:w="5" w:type="dxa"/>
              <w:left w:w="5" w:type="dxa"/>
              <w:bottom w:w="5" w:type="dxa"/>
              <w:right w:w="5" w:type="dxa"/>
            </w:tcMar>
            <w:vAlign w:val="bottom"/>
            <w:hideMark/>
          </w:tcPr>
          <w:p w14:paraId="32E31560"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CB7C00B" w14:textId="77777777" w:rsidR="00954279" w:rsidRDefault="00A66714">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404F3A5E" w14:textId="77777777" w:rsidR="00954279" w:rsidRDefault="00A66714">
            <w:pPr>
              <w:jc w:val="right"/>
              <w:rPr>
                <w:color w:val="000000"/>
                <w:sz w:val="20"/>
                <w:szCs w:val="20"/>
              </w:rPr>
            </w:pPr>
            <w:r>
              <w:rPr>
                <w:b/>
                <w:bCs/>
                <w:color w:val="000000"/>
                <w:sz w:val="20"/>
                <w:szCs w:val="20"/>
              </w:rPr>
              <w:t>350</w:t>
            </w:r>
          </w:p>
        </w:tc>
        <w:tc>
          <w:tcPr>
            <w:tcW w:w="50" w:type="pct"/>
            <w:noWrap/>
            <w:tcMar>
              <w:top w:w="5" w:type="dxa"/>
              <w:left w:w="5" w:type="dxa"/>
              <w:bottom w:w="5" w:type="dxa"/>
              <w:right w:w="5" w:type="dxa"/>
            </w:tcMar>
            <w:vAlign w:val="bottom"/>
            <w:hideMark/>
          </w:tcPr>
          <w:p w14:paraId="3A7EEFD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2C477E1"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637CBFB" w14:textId="77777777" w:rsidR="00954279" w:rsidRDefault="00A66714">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15991C7A" w14:textId="77777777" w:rsidR="00954279" w:rsidRDefault="00A66714">
            <w:pPr>
              <w:jc w:val="right"/>
              <w:rPr>
                <w:color w:val="000000"/>
                <w:sz w:val="20"/>
                <w:szCs w:val="20"/>
              </w:rPr>
            </w:pPr>
            <w:r>
              <w:rPr>
                <w:color w:val="000000"/>
                <w:sz w:val="20"/>
                <w:szCs w:val="20"/>
              </w:rPr>
              <w:t>264</w:t>
            </w:r>
          </w:p>
        </w:tc>
        <w:tc>
          <w:tcPr>
            <w:tcW w:w="50" w:type="pct"/>
            <w:noWrap/>
            <w:tcMar>
              <w:top w:w="5" w:type="dxa"/>
              <w:left w:w="5" w:type="dxa"/>
              <w:bottom w:w="5" w:type="dxa"/>
              <w:right w:w="5" w:type="dxa"/>
            </w:tcMar>
            <w:vAlign w:val="bottom"/>
            <w:hideMark/>
          </w:tcPr>
          <w:p w14:paraId="2DE621F4" w14:textId="77777777" w:rsidR="00954279" w:rsidRDefault="00A66714">
            <w:pPr>
              <w:rPr>
                <w:color w:val="000000"/>
                <w:sz w:val="20"/>
                <w:szCs w:val="20"/>
              </w:rPr>
            </w:pPr>
            <w:r>
              <w:rPr>
                <w:color w:val="000000"/>
                <w:sz w:val="20"/>
                <w:szCs w:val="20"/>
              </w:rPr>
              <w:t> </w:t>
            </w:r>
          </w:p>
        </w:tc>
      </w:tr>
      <w:tr w:rsidR="00954279" w14:paraId="14E896E4" w14:textId="77777777">
        <w:tc>
          <w:tcPr>
            <w:tcW w:w="0" w:type="auto"/>
            <w:tcMar>
              <w:top w:w="5" w:type="dxa"/>
              <w:left w:w="5" w:type="dxa"/>
              <w:bottom w:w="5" w:type="dxa"/>
              <w:right w:w="5" w:type="dxa"/>
            </w:tcMar>
            <w:vAlign w:val="bottom"/>
            <w:hideMark/>
          </w:tcPr>
          <w:p w14:paraId="5EAB2493" w14:textId="77777777" w:rsidR="00954279" w:rsidRDefault="00A66714">
            <w:pPr>
              <w:ind w:left="180"/>
              <w:rPr>
                <w:color w:val="000000"/>
                <w:sz w:val="20"/>
                <w:szCs w:val="20"/>
              </w:rPr>
            </w:pPr>
            <w:r>
              <w:rPr>
                <w:color w:val="000000"/>
                <w:sz w:val="20"/>
                <w:szCs w:val="20"/>
              </w:rPr>
              <w:t>Accrued expenses and other current liabilities</w:t>
            </w:r>
          </w:p>
        </w:tc>
        <w:tc>
          <w:tcPr>
            <w:tcW w:w="50" w:type="pct"/>
            <w:tcMar>
              <w:top w:w="5" w:type="dxa"/>
              <w:left w:w="5" w:type="dxa"/>
              <w:bottom w:w="5" w:type="dxa"/>
              <w:right w:w="5" w:type="dxa"/>
            </w:tcMar>
            <w:vAlign w:val="bottom"/>
            <w:hideMark/>
          </w:tcPr>
          <w:p w14:paraId="66A6F2D7"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DBF2156"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86EA40E" w14:textId="77777777" w:rsidR="00954279" w:rsidRDefault="00A66714">
            <w:pPr>
              <w:jc w:val="right"/>
              <w:rPr>
                <w:color w:val="000000"/>
                <w:sz w:val="20"/>
                <w:szCs w:val="20"/>
              </w:rPr>
            </w:pPr>
            <w:r>
              <w:rPr>
                <w:b/>
                <w:bCs/>
                <w:color w:val="000000"/>
                <w:sz w:val="20"/>
                <w:szCs w:val="20"/>
              </w:rPr>
              <w:t>81</w:t>
            </w:r>
          </w:p>
        </w:tc>
        <w:tc>
          <w:tcPr>
            <w:tcW w:w="50" w:type="pct"/>
            <w:noWrap/>
            <w:tcMar>
              <w:top w:w="5" w:type="dxa"/>
              <w:left w:w="5" w:type="dxa"/>
              <w:bottom w:w="5" w:type="dxa"/>
              <w:right w:w="5" w:type="dxa"/>
            </w:tcMar>
            <w:vAlign w:val="bottom"/>
            <w:hideMark/>
          </w:tcPr>
          <w:p w14:paraId="67986F52"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DF38C81"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3622A65"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801565C" w14:textId="77777777" w:rsidR="00954279" w:rsidRDefault="00A66714">
            <w:pPr>
              <w:jc w:val="right"/>
              <w:rPr>
                <w:color w:val="000000"/>
                <w:sz w:val="20"/>
                <w:szCs w:val="20"/>
              </w:rPr>
            </w:pPr>
            <w:r>
              <w:rPr>
                <w:color w:val="000000"/>
                <w:sz w:val="20"/>
                <w:szCs w:val="20"/>
              </w:rPr>
              <w:t>94</w:t>
            </w:r>
          </w:p>
        </w:tc>
        <w:tc>
          <w:tcPr>
            <w:tcW w:w="50" w:type="pct"/>
            <w:noWrap/>
            <w:tcMar>
              <w:top w:w="5" w:type="dxa"/>
              <w:left w:w="5" w:type="dxa"/>
              <w:bottom w:w="5" w:type="dxa"/>
              <w:right w:w="5" w:type="dxa"/>
            </w:tcMar>
            <w:vAlign w:val="bottom"/>
            <w:hideMark/>
          </w:tcPr>
          <w:p w14:paraId="765ACFF3" w14:textId="77777777" w:rsidR="00954279" w:rsidRDefault="00A66714">
            <w:pPr>
              <w:rPr>
                <w:color w:val="000000"/>
                <w:sz w:val="20"/>
                <w:szCs w:val="20"/>
              </w:rPr>
            </w:pPr>
            <w:r>
              <w:rPr>
                <w:color w:val="000000"/>
                <w:sz w:val="20"/>
                <w:szCs w:val="20"/>
              </w:rPr>
              <w:t> </w:t>
            </w:r>
          </w:p>
        </w:tc>
      </w:tr>
      <w:tr w:rsidR="00954279" w14:paraId="426F316A" w14:textId="77777777">
        <w:tc>
          <w:tcPr>
            <w:tcW w:w="0" w:type="auto"/>
            <w:tcMar>
              <w:top w:w="5" w:type="dxa"/>
              <w:left w:w="5" w:type="dxa"/>
              <w:bottom w:w="5" w:type="dxa"/>
              <w:right w:w="5" w:type="dxa"/>
            </w:tcMar>
            <w:vAlign w:val="bottom"/>
            <w:hideMark/>
          </w:tcPr>
          <w:p w14:paraId="39F154D0" w14:textId="77777777" w:rsidR="00954279" w:rsidRDefault="00A66714">
            <w:pPr>
              <w:ind w:left="180"/>
              <w:rPr>
                <w:color w:val="000000"/>
                <w:sz w:val="20"/>
                <w:szCs w:val="20"/>
              </w:rPr>
            </w:pPr>
            <w:r>
              <w:rPr>
                <w:color w:val="000000"/>
                <w:sz w:val="20"/>
                <w:szCs w:val="20"/>
              </w:rPr>
              <w:t>Operating lease liabilities</w:t>
            </w:r>
          </w:p>
        </w:tc>
        <w:tc>
          <w:tcPr>
            <w:tcW w:w="50" w:type="pct"/>
            <w:tcMar>
              <w:top w:w="5" w:type="dxa"/>
              <w:left w:w="5" w:type="dxa"/>
              <w:bottom w:w="5" w:type="dxa"/>
              <w:right w:w="5" w:type="dxa"/>
            </w:tcMar>
            <w:vAlign w:val="bottom"/>
            <w:hideMark/>
          </w:tcPr>
          <w:p w14:paraId="7A4F7AF0"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62C3F0C"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A7BA4EB" w14:textId="77777777" w:rsidR="00954279" w:rsidRDefault="00A66714">
            <w:pPr>
              <w:jc w:val="right"/>
              <w:rPr>
                <w:color w:val="000000"/>
                <w:sz w:val="20"/>
                <w:szCs w:val="20"/>
              </w:rPr>
            </w:pPr>
            <w:r>
              <w:rPr>
                <w:b/>
                <w:bCs/>
                <w:color w:val="000000"/>
                <w:sz w:val="20"/>
                <w:szCs w:val="20"/>
              </w:rPr>
              <w:t>34</w:t>
            </w:r>
          </w:p>
        </w:tc>
        <w:tc>
          <w:tcPr>
            <w:tcW w:w="50" w:type="pct"/>
            <w:noWrap/>
            <w:tcMar>
              <w:top w:w="5" w:type="dxa"/>
              <w:left w:w="5" w:type="dxa"/>
              <w:bottom w:w="5" w:type="dxa"/>
              <w:right w:w="5" w:type="dxa"/>
            </w:tcMar>
            <w:vAlign w:val="bottom"/>
            <w:hideMark/>
          </w:tcPr>
          <w:p w14:paraId="7472CB59"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2EFF876"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B1BACB1"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FBCFCCE" w14:textId="77777777" w:rsidR="00954279" w:rsidRDefault="00A66714">
            <w:pPr>
              <w:jc w:val="right"/>
              <w:rPr>
                <w:color w:val="000000"/>
                <w:sz w:val="20"/>
                <w:szCs w:val="20"/>
              </w:rPr>
            </w:pPr>
            <w:r>
              <w:rPr>
                <w:color w:val="000000"/>
                <w:sz w:val="20"/>
                <w:szCs w:val="20"/>
              </w:rPr>
              <w:t>37</w:t>
            </w:r>
          </w:p>
        </w:tc>
        <w:tc>
          <w:tcPr>
            <w:tcW w:w="50" w:type="pct"/>
            <w:noWrap/>
            <w:tcMar>
              <w:top w:w="5" w:type="dxa"/>
              <w:left w:w="5" w:type="dxa"/>
              <w:bottom w:w="5" w:type="dxa"/>
              <w:right w:w="5" w:type="dxa"/>
            </w:tcMar>
            <w:vAlign w:val="bottom"/>
            <w:hideMark/>
          </w:tcPr>
          <w:p w14:paraId="403B6A70" w14:textId="77777777" w:rsidR="00954279" w:rsidRDefault="00A66714">
            <w:pPr>
              <w:rPr>
                <w:color w:val="000000"/>
                <w:sz w:val="20"/>
                <w:szCs w:val="20"/>
              </w:rPr>
            </w:pPr>
            <w:r>
              <w:rPr>
                <w:color w:val="000000"/>
                <w:sz w:val="20"/>
                <w:szCs w:val="20"/>
              </w:rPr>
              <w:t> </w:t>
            </w:r>
          </w:p>
        </w:tc>
      </w:tr>
      <w:tr w:rsidR="00954279" w14:paraId="238D3844" w14:textId="77777777">
        <w:tc>
          <w:tcPr>
            <w:tcW w:w="0" w:type="auto"/>
            <w:tcMar>
              <w:top w:w="5" w:type="dxa"/>
              <w:left w:w="5" w:type="dxa"/>
              <w:bottom w:w="5" w:type="dxa"/>
              <w:right w:w="5" w:type="dxa"/>
            </w:tcMar>
            <w:vAlign w:val="bottom"/>
            <w:hideMark/>
          </w:tcPr>
          <w:p w14:paraId="3EC78A79" w14:textId="77777777" w:rsidR="00954279" w:rsidRDefault="00A66714">
            <w:pPr>
              <w:ind w:left="180"/>
              <w:rPr>
                <w:color w:val="000000"/>
                <w:sz w:val="20"/>
                <w:szCs w:val="20"/>
              </w:rPr>
            </w:pPr>
            <w:r>
              <w:rPr>
                <w:color w:val="000000"/>
                <w:sz w:val="20"/>
                <w:szCs w:val="20"/>
              </w:rPr>
              <w:t>Current portion of long-term debt</w:t>
            </w:r>
          </w:p>
        </w:tc>
        <w:tc>
          <w:tcPr>
            <w:tcW w:w="50" w:type="pct"/>
            <w:tcMar>
              <w:top w:w="5" w:type="dxa"/>
              <w:left w:w="5" w:type="dxa"/>
              <w:bottom w:w="5" w:type="dxa"/>
              <w:right w:w="5" w:type="dxa"/>
            </w:tcMar>
            <w:vAlign w:val="bottom"/>
            <w:hideMark/>
          </w:tcPr>
          <w:p w14:paraId="08180B11"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D6D4D1D" w14:textId="77777777" w:rsidR="00954279" w:rsidRDefault="00A66714">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05342562" w14:textId="77777777" w:rsidR="00954279" w:rsidRDefault="00A66714">
            <w:pPr>
              <w:jc w:val="right"/>
              <w:rPr>
                <w:color w:val="000000"/>
                <w:sz w:val="20"/>
                <w:szCs w:val="20"/>
              </w:rPr>
            </w:pPr>
            <w:r>
              <w:rPr>
                <w:b/>
                <w:bCs/>
                <w:color w:val="000000"/>
                <w:sz w:val="20"/>
                <w:szCs w:val="20"/>
              </w:rPr>
              <w:t>1</w:t>
            </w:r>
          </w:p>
        </w:tc>
        <w:tc>
          <w:tcPr>
            <w:tcW w:w="50" w:type="pct"/>
            <w:noWrap/>
            <w:tcMar>
              <w:top w:w="5" w:type="dxa"/>
              <w:left w:w="5" w:type="dxa"/>
              <w:bottom w:w="20" w:type="dxa"/>
              <w:right w:w="5" w:type="dxa"/>
            </w:tcMar>
            <w:vAlign w:val="bottom"/>
            <w:hideMark/>
          </w:tcPr>
          <w:p w14:paraId="3C8ADDE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66F63FF"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A5C0440" w14:textId="77777777" w:rsidR="00954279" w:rsidRDefault="00A66714">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671C0A8D" w14:textId="77777777" w:rsidR="00954279" w:rsidRDefault="00A66714">
            <w:pPr>
              <w:jc w:val="right"/>
              <w:rPr>
                <w:color w:val="000000"/>
                <w:sz w:val="20"/>
                <w:szCs w:val="20"/>
              </w:rPr>
            </w:pPr>
            <w:r>
              <w:rPr>
                <w:color w:val="000000"/>
                <w:sz w:val="20"/>
                <w:szCs w:val="20"/>
              </w:rPr>
              <w:t>4</w:t>
            </w:r>
          </w:p>
        </w:tc>
        <w:tc>
          <w:tcPr>
            <w:tcW w:w="50" w:type="pct"/>
            <w:noWrap/>
            <w:tcMar>
              <w:top w:w="5" w:type="dxa"/>
              <w:left w:w="5" w:type="dxa"/>
              <w:bottom w:w="20" w:type="dxa"/>
              <w:right w:w="5" w:type="dxa"/>
            </w:tcMar>
            <w:vAlign w:val="bottom"/>
            <w:hideMark/>
          </w:tcPr>
          <w:p w14:paraId="39CDB45D" w14:textId="77777777" w:rsidR="00954279" w:rsidRDefault="00A66714">
            <w:pPr>
              <w:rPr>
                <w:color w:val="000000"/>
                <w:sz w:val="20"/>
                <w:szCs w:val="20"/>
              </w:rPr>
            </w:pPr>
            <w:r>
              <w:rPr>
                <w:color w:val="000000"/>
                <w:sz w:val="20"/>
                <w:szCs w:val="20"/>
              </w:rPr>
              <w:t> </w:t>
            </w:r>
          </w:p>
        </w:tc>
      </w:tr>
      <w:tr w:rsidR="00954279" w14:paraId="746AAD12" w14:textId="77777777">
        <w:tc>
          <w:tcPr>
            <w:tcW w:w="0" w:type="auto"/>
            <w:tcMar>
              <w:top w:w="5" w:type="dxa"/>
              <w:left w:w="5" w:type="dxa"/>
              <w:bottom w:w="5" w:type="dxa"/>
              <w:right w:w="5" w:type="dxa"/>
            </w:tcMar>
            <w:vAlign w:val="bottom"/>
            <w:hideMark/>
          </w:tcPr>
          <w:p w14:paraId="7BB4526E" w14:textId="77777777" w:rsidR="00954279" w:rsidRDefault="00A66714">
            <w:pPr>
              <w:rPr>
                <w:color w:val="000000"/>
                <w:sz w:val="20"/>
                <w:szCs w:val="20"/>
              </w:rPr>
            </w:pPr>
            <w:r>
              <w:rPr>
                <w:color w:val="000000"/>
                <w:sz w:val="20"/>
                <w:szCs w:val="20"/>
              </w:rPr>
              <w:t>Total current liabilities</w:t>
            </w:r>
          </w:p>
        </w:tc>
        <w:tc>
          <w:tcPr>
            <w:tcW w:w="50" w:type="pct"/>
            <w:tcMar>
              <w:top w:w="5" w:type="dxa"/>
              <w:left w:w="5" w:type="dxa"/>
              <w:bottom w:w="5" w:type="dxa"/>
              <w:right w:w="5" w:type="dxa"/>
            </w:tcMar>
            <w:vAlign w:val="bottom"/>
            <w:hideMark/>
          </w:tcPr>
          <w:p w14:paraId="4FCB3BF9"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2C89C98"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52C4498" w14:textId="77777777" w:rsidR="00954279" w:rsidRDefault="00A66714">
            <w:pPr>
              <w:jc w:val="right"/>
              <w:rPr>
                <w:color w:val="000000"/>
                <w:sz w:val="20"/>
                <w:szCs w:val="20"/>
              </w:rPr>
            </w:pPr>
            <w:r>
              <w:rPr>
                <w:b/>
                <w:bCs/>
                <w:color w:val="000000"/>
                <w:sz w:val="20"/>
                <w:szCs w:val="20"/>
              </w:rPr>
              <w:t>466</w:t>
            </w:r>
          </w:p>
        </w:tc>
        <w:tc>
          <w:tcPr>
            <w:tcW w:w="50" w:type="pct"/>
            <w:noWrap/>
            <w:tcMar>
              <w:top w:w="5" w:type="dxa"/>
              <w:left w:w="5" w:type="dxa"/>
              <w:bottom w:w="5" w:type="dxa"/>
              <w:right w:w="5" w:type="dxa"/>
            </w:tcMar>
            <w:vAlign w:val="bottom"/>
            <w:hideMark/>
          </w:tcPr>
          <w:p w14:paraId="2E5038B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69D6301"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EEC0DFA"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0E1303F" w14:textId="77777777" w:rsidR="00954279" w:rsidRDefault="00A66714">
            <w:pPr>
              <w:jc w:val="right"/>
              <w:rPr>
                <w:color w:val="000000"/>
                <w:sz w:val="20"/>
                <w:szCs w:val="20"/>
              </w:rPr>
            </w:pPr>
            <w:r>
              <w:rPr>
                <w:color w:val="000000"/>
                <w:sz w:val="20"/>
                <w:szCs w:val="20"/>
              </w:rPr>
              <w:t>399</w:t>
            </w:r>
          </w:p>
        </w:tc>
        <w:tc>
          <w:tcPr>
            <w:tcW w:w="50" w:type="pct"/>
            <w:noWrap/>
            <w:tcMar>
              <w:top w:w="5" w:type="dxa"/>
              <w:left w:w="5" w:type="dxa"/>
              <w:bottom w:w="5" w:type="dxa"/>
              <w:right w:w="5" w:type="dxa"/>
            </w:tcMar>
            <w:vAlign w:val="bottom"/>
            <w:hideMark/>
          </w:tcPr>
          <w:p w14:paraId="0A04C79E" w14:textId="77777777" w:rsidR="00954279" w:rsidRDefault="00A66714">
            <w:pPr>
              <w:rPr>
                <w:color w:val="000000"/>
                <w:sz w:val="20"/>
                <w:szCs w:val="20"/>
              </w:rPr>
            </w:pPr>
            <w:r>
              <w:rPr>
                <w:color w:val="000000"/>
                <w:sz w:val="20"/>
                <w:szCs w:val="20"/>
              </w:rPr>
              <w:t> </w:t>
            </w:r>
          </w:p>
        </w:tc>
      </w:tr>
      <w:tr w:rsidR="00954279" w14:paraId="24A245B7" w14:textId="77777777">
        <w:tc>
          <w:tcPr>
            <w:tcW w:w="0" w:type="auto"/>
            <w:tcMar>
              <w:top w:w="5" w:type="dxa"/>
              <w:left w:w="5" w:type="dxa"/>
              <w:bottom w:w="5" w:type="dxa"/>
              <w:right w:w="5" w:type="dxa"/>
            </w:tcMar>
            <w:vAlign w:val="bottom"/>
            <w:hideMark/>
          </w:tcPr>
          <w:p w14:paraId="3B7E7FF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F007E2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0F459F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92C0A6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998220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C5E561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A1A5BC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03F681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B89E850" w14:textId="77777777" w:rsidR="00954279" w:rsidRDefault="00A66714">
            <w:pPr>
              <w:rPr>
                <w:color w:val="000000"/>
                <w:sz w:val="20"/>
                <w:szCs w:val="20"/>
              </w:rPr>
            </w:pPr>
            <w:r>
              <w:rPr>
                <w:color w:val="000000"/>
                <w:sz w:val="20"/>
                <w:szCs w:val="20"/>
              </w:rPr>
              <w:t> </w:t>
            </w:r>
          </w:p>
        </w:tc>
      </w:tr>
      <w:tr w:rsidR="00954279" w14:paraId="0106000E" w14:textId="77777777">
        <w:tc>
          <w:tcPr>
            <w:tcW w:w="0" w:type="auto"/>
            <w:tcMar>
              <w:top w:w="5" w:type="dxa"/>
              <w:left w:w="5" w:type="dxa"/>
              <w:bottom w:w="5" w:type="dxa"/>
              <w:right w:w="5" w:type="dxa"/>
            </w:tcMar>
            <w:vAlign w:val="bottom"/>
            <w:hideMark/>
          </w:tcPr>
          <w:p w14:paraId="005952AE" w14:textId="77777777" w:rsidR="00954279" w:rsidRDefault="00A66714">
            <w:pPr>
              <w:rPr>
                <w:color w:val="000000"/>
                <w:sz w:val="20"/>
                <w:szCs w:val="20"/>
              </w:rPr>
            </w:pPr>
            <w:r>
              <w:rPr>
                <w:color w:val="000000"/>
                <w:sz w:val="20"/>
                <w:szCs w:val="20"/>
              </w:rPr>
              <w:t>Long-term liabilities:</w:t>
            </w:r>
          </w:p>
        </w:tc>
        <w:tc>
          <w:tcPr>
            <w:tcW w:w="0" w:type="auto"/>
            <w:tcMar>
              <w:top w:w="5" w:type="dxa"/>
              <w:left w:w="5" w:type="dxa"/>
              <w:bottom w:w="5" w:type="dxa"/>
              <w:right w:w="5" w:type="dxa"/>
            </w:tcMar>
            <w:vAlign w:val="bottom"/>
            <w:hideMark/>
          </w:tcPr>
          <w:p w14:paraId="7DC57E7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C92010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83EA21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5DD34C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23FA49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E9B1CD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FAD221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002A87A" w14:textId="77777777" w:rsidR="00954279" w:rsidRDefault="00A66714">
            <w:pPr>
              <w:rPr>
                <w:color w:val="000000"/>
                <w:sz w:val="20"/>
                <w:szCs w:val="20"/>
              </w:rPr>
            </w:pPr>
            <w:r>
              <w:rPr>
                <w:color w:val="000000"/>
                <w:sz w:val="20"/>
                <w:szCs w:val="20"/>
              </w:rPr>
              <w:t> </w:t>
            </w:r>
          </w:p>
        </w:tc>
      </w:tr>
      <w:tr w:rsidR="00954279" w14:paraId="276639F3" w14:textId="77777777">
        <w:tc>
          <w:tcPr>
            <w:tcW w:w="0" w:type="auto"/>
            <w:tcMar>
              <w:top w:w="5" w:type="dxa"/>
              <w:left w:w="5" w:type="dxa"/>
              <w:bottom w:w="5" w:type="dxa"/>
              <w:right w:w="5" w:type="dxa"/>
            </w:tcMar>
            <w:vAlign w:val="bottom"/>
            <w:hideMark/>
          </w:tcPr>
          <w:p w14:paraId="5E3CC13F" w14:textId="77777777" w:rsidR="00954279" w:rsidRDefault="00A66714">
            <w:pPr>
              <w:ind w:left="180"/>
              <w:rPr>
                <w:color w:val="000000"/>
                <w:sz w:val="20"/>
                <w:szCs w:val="20"/>
              </w:rPr>
            </w:pPr>
            <w:r>
              <w:rPr>
                <w:color w:val="000000"/>
                <w:sz w:val="20"/>
                <w:szCs w:val="20"/>
              </w:rPr>
              <w:t>Long-term debt, net</w:t>
            </w:r>
          </w:p>
        </w:tc>
        <w:tc>
          <w:tcPr>
            <w:tcW w:w="50" w:type="pct"/>
            <w:tcMar>
              <w:top w:w="5" w:type="dxa"/>
              <w:left w:w="5" w:type="dxa"/>
              <w:bottom w:w="5" w:type="dxa"/>
              <w:right w:w="5" w:type="dxa"/>
            </w:tcMar>
            <w:vAlign w:val="bottom"/>
            <w:hideMark/>
          </w:tcPr>
          <w:p w14:paraId="5BCE8359"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C91C41A"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F1CD9F6" w14:textId="77777777" w:rsidR="00954279" w:rsidRDefault="00A66714">
            <w:pPr>
              <w:jc w:val="right"/>
              <w:rPr>
                <w:color w:val="000000"/>
                <w:sz w:val="20"/>
                <w:szCs w:val="20"/>
              </w:rPr>
            </w:pPr>
            <w:r>
              <w:rPr>
                <w:b/>
                <w:bCs/>
                <w:color w:val="000000"/>
                <w:sz w:val="20"/>
                <w:szCs w:val="20"/>
              </w:rPr>
              <w:t>296</w:t>
            </w:r>
          </w:p>
        </w:tc>
        <w:tc>
          <w:tcPr>
            <w:tcW w:w="50" w:type="pct"/>
            <w:noWrap/>
            <w:tcMar>
              <w:top w:w="5" w:type="dxa"/>
              <w:left w:w="5" w:type="dxa"/>
              <w:bottom w:w="5" w:type="dxa"/>
              <w:right w:w="5" w:type="dxa"/>
            </w:tcMar>
            <w:vAlign w:val="bottom"/>
            <w:hideMark/>
          </w:tcPr>
          <w:p w14:paraId="30E274E8"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AABA72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6381F7E"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21CF1B9" w14:textId="77777777" w:rsidR="00954279" w:rsidRDefault="00A66714">
            <w:pPr>
              <w:jc w:val="right"/>
              <w:rPr>
                <w:color w:val="000000"/>
                <w:sz w:val="20"/>
                <w:szCs w:val="20"/>
              </w:rPr>
            </w:pPr>
            <w:r>
              <w:rPr>
                <w:color w:val="000000"/>
                <w:sz w:val="20"/>
                <w:szCs w:val="20"/>
              </w:rPr>
              <w:t>379</w:t>
            </w:r>
          </w:p>
        </w:tc>
        <w:tc>
          <w:tcPr>
            <w:tcW w:w="50" w:type="pct"/>
            <w:noWrap/>
            <w:tcMar>
              <w:top w:w="5" w:type="dxa"/>
              <w:left w:w="5" w:type="dxa"/>
              <w:bottom w:w="5" w:type="dxa"/>
              <w:right w:w="5" w:type="dxa"/>
            </w:tcMar>
            <w:vAlign w:val="bottom"/>
            <w:hideMark/>
          </w:tcPr>
          <w:p w14:paraId="3B7234F4" w14:textId="77777777" w:rsidR="00954279" w:rsidRDefault="00A66714">
            <w:pPr>
              <w:rPr>
                <w:color w:val="000000"/>
                <w:sz w:val="20"/>
                <w:szCs w:val="20"/>
              </w:rPr>
            </w:pPr>
            <w:r>
              <w:rPr>
                <w:color w:val="000000"/>
                <w:sz w:val="20"/>
                <w:szCs w:val="20"/>
              </w:rPr>
              <w:t> </w:t>
            </w:r>
          </w:p>
        </w:tc>
      </w:tr>
      <w:tr w:rsidR="00954279" w14:paraId="023212E2" w14:textId="77777777">
        <w:tc>
          <w:tcPr>
            <w:tcW w:w="0" w:type="auto"/>
            <w:tcMar>
              <w:top w:w="5" w:type="dxa"/>
              <w:left w:w="5" w:type="dxa"/>
              <w:bottom w:w="5" w:type="dxa"/>
              <w:right w:w="5" w:type="dxa"/>
            </w:tcMar>
            <w:vAlign w:val="bottom"/>
            <w:hideMark/>
          </w:tcPr>
          <w:p w14:paraId="17C9F9CB" w14:textId="77777777" w:rsidR="00954279" w:rsidRDefault="00A66714">
            <w:pPr>
              <w:ind w:left="180"/>
              <w:rPr>
                <w:color w:val="000000"/>
                <w:sz w:val="20"/>
                <w:szCs w:val="20"/>
              </w:rPr>
            </w:pPr>
            <w:r>
              <w:rPr>
                <w:color w:val="000000"/>
                <w:sz w:val="20"/>
                <w:szCs w:val="20"/>
              </w:rPr>
              <w:t>Operating lease liabilities</w:t>
            </w:r>
          </w:p>
        </w:tc>
        <w:tc>
          <w:tcPr>
            <w:tcW w:w="50" w:type="pct"/>
            <w:tcMar>
              <w:top w:w="5" w:type="dxa"/>
              <w:left w:w="5" w:type="dxa"/>
              <w:bottom w:w="5" w:type="dxa"/>
              <w:right w:w="5" w:type="dxa"/>
            </w:tcMar>
            <w:vAlign w:val="bottom"/>
            <w:hideMark/>
          </w:tcPr>
          <w:p w14:paraId="3A80A468"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4300471"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1275B02" w14:textId="77777777" w:rsidR="00954279" w:rsidRDefault="00A66714">
            <w:pPr>
              <w:jc w:val="right"/>
              <w:rPr>
                <w:color w:val="000000"/>
                <w:sz w:val="20"/>
                <w:szCs w:val="20"/>
              </w:rPr>
            </w:pPr>
            <w:r>
              <w:rPr>
                <w:b/>
                <w:bCs/>
                <w:color w:val="000000"/>
                <w:sz w:val="20"/>
                <w:szCs w:val="20"/>
              </w:rPr>
              <w:t>177</w:t>
            </w:r>
          </w:p>
        </w:tc>
        <w:tc>
          <w:tcPr>
            <w:tcW w:w="50" w:type="pct"/>
            <w:noWrap/>
            <w:tcMar>
              <w:top w:w="5" w:type="dxa"/>
              <w:left w:w="5" w:type="dxa"/>
              <w:bottom w:w="5" w:type="dxa"/>
              <w:right w:w="5" w:type="dxa"/>
            </w:tcMar>
            <w:vAlign w:val="bottom"/>
            <w:hideMark/>
          </w:tcPr>
          <w:p w14:paraId="0DDB5497"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248D7E2"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F8EC754"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381AD45" w14:textId="77777777" w:rsidR="00954279" w:rsidRDefault="00A66714">
            <w:pPr>
              <w:jc w:val="right"/>
              <w:rPr>
                <w:color w:val="000000"/>
                <w:sz w:val="20"/>
                <w:szCs w:val="20"/>
              </w:rPr>
            </w:pPr>
            <w:r>
              <w:rPr>
                <w:color w:val="000000"/>
                <w:sz w:val="20"/>
                <w:szCs w:val="20"/>
              </w:rPr>
              <w:t>187</w:t>
            </w:r>
          </w:p>
        </w:tc>
        <w:tc>
          <w:tcPr>
            <w:tcW w:w="50" w:type="pct"/>
            <w:noWrap/>
            <w:tcMar>
              <w:top w:w="5" w:type="dxa"/>
              <w:left w:w="5" w:type="dxa"/>
              <w:bottom w:w="5" w:type="dxa"/>
              <w:right w:w="5" w:type="dxa"/>
            </w:tcMar>
            <w:vAlign w:val="bottom"/>
            <w:hideMark/>
          </w:tcPr>
          <w:p w14:paraId="70E0FC0B" w14:textId="77777777" w:rsidR="00954279" w:rsidRDefault="00A66714">
            <w:pPr>
              <w:rPr>
                <w:color w:val="000000"/>
                <w:sz w:val="20"/>
                <w:szCs w:val="20"/>
              </w:rPr>
            </w:pPr>
            <w:r>
              <w:rPr>
                <w:color w:val="000000"/>
                <w:sz w:val="20"/>
                <w:szCs w:val="20"/>
              </w:rPr>
              <w:t> </w:t>
            </w:r>
          </w:p>
        </w:tc>
      </w:tr>
      <w:tr w:rsidR="00954279" w14:paraId="2B3C35B4" w14:textId="77777777">
        <w:tc>
          <w:tcPr>
            <w:tcW w:w="0" w:type="auto"/>
            <w:tcMar>
              <w:top w:w="5" w:type="dxa"/>
              <w:left w:w="5" w:type="dxa"/>
              <w:bottom w:w="5" w:type="dxa"/>
              <w:right w:w="5" w:type="dxa"/>
            </w:tcMar>
            <w:vAlign w:val="bottom"/>
            <w:hideMark/>
          </w:tcPr>
          <w:p w14:paraId="560B1655" w14:textId="77777777" w:rsidR="00954279" w:rsidRDefault="00A66714">
            <w:pPr>
              <w:ind w:left="180"/>
              <w:rPr>
                <w:color w:val="000000"/>
                <w:sz w:val="20"/>
                <w:szCs w:val="20"/>
              </w:rPr>
            </w:pPr>
            <w:r>
              <w:rPr>
                <w:color w:val="000000"/>
                <w:sz w:val="20"/>
                <w:szCs w:val="20"/>
              </w:rPr>
              <w:t>Deferred income taxes</w:t>
            </w:r>
          </w:p>
        </w:tc>
        <w:tc>
          <w:tcPr>
            <w:tcW w:w="50" w:type="pct"/>
            <w:tcMar>
              <w:top w:w="5" w:type="dxa"/>
              <w:left w:w="5" w:type="dxa"/>
              <w:bottom w:w="5" w:type="dxa"/>
              <w:right w:w="5" w:type="dxa"/>
            </w:tcMar>
            <w:vAlign w:val="bottom"/>
            <w:hideMark/>
          </w:tcPr>
          <w:p w14:paraId="0264977F"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8149ABB"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980EF98" w14:textId="77777777" w:rsidR="00954279" w:rsidRDefault="00A66714">
            <w:pPr>
              <w:jc w:val="right"/>
              <w:rPr>
                <w:color w:val="000000"/>
                <w:sz w:val="20"/>
                <w:szCs w:val="20"/>
              </w:rPr>
            </w:pPr>
            <w:r>
              <w:rPr>
                <w:b/>
                <w:bCs/>
                <w:color w:val="000000"/>
                <w:sz w:val="20"/>
                <w:szCs w:val="20"/>
              </w:rPr>
              <w:t>70</w:t>
            </w:r>
          </w:p>
        </w:tc>
        <w:tc>
          <w:tcPr>
            <w:tcW w:w="50" w:type="pct"/>
            <w:noWrap/>
            <w:tcMar>
              <w:top w:w="5" w:type="dxa"/>
              <w:left w:w="5" w:type="dxa"/>
              <w:bottom w:w="5" w:type="dxa"/>
              <w:right w:w="5" w:type="dxa"/>
            </w:tcMar>
            <w:vAlign w:val="bottom"/>
            <w:hideMark/>
          </w:tcPr>
          <w:p w14:paraId="62748E22"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C7D8831"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6DE9178"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37FA85A" w14:textId="77777777" w:rsidR="00954279" w:rsidRDefault="00A66714">
            <w:pPr>
              <w:jc w:val="right"/>
              <w:rPr>
                <w:color w:val="000000"/>
                <w:sz w:val="20"/>
                <w:szCs w:val="20"/>
              </w:rPr>
            </w:pPr>
            <w:r>
              <w:rPr>
                <w:color w:val="000000"/>
                <w:sz w:val="20"/>
                <w:szCs w:val="20"/>
              </w:rPr>
              <w:t>70</w:t>
            </w:r>
          </w:p>
        </w:tc>
        <w:tc>
          <w:tcPr>
            <w:tcW w:w="50" w:type="pct"/>
            <w:noWrap/>
            <w:tcMar>
              <w:top w:w="5" w:type="dxa"/>
              <w:left w:w="5" w:type="dxa"/>
              <w:bottom w:w="5" w:type="dxa"/>
              <w:right w:w="5" w:type="dxa"/>
            </w:tcMar>
            <w:vAlign w:val="bottom"/>
            <w:hideMark/>
          </w:tcPr>
          <w:p w14:paraId="536A2C8E" w14:textId="77777777" w:rsidR="00954279" w:rsidRDefault="00A66714">
            <w:pPr>
              <w:rPr>
                <w:color w:val="000000"/>
                <w:sz w:val="20"/>
                <w:szCs w:val="20"/>
              </w:rPr>
            </w:pPr>
            <w:r>
              <w:rPr>
                <w:color w:val="000000"/>
                <w:sz w:val="20"/>
                <w:szCs w:val="20"/>
              </w:rPr>
              <w:t> </w:t>
            </w:r>
          </w:p>
        </w:tc>
      </w:tr>
      <w:tr w:rsidR="00954279" w14:paraId="28EE7989" w14:textId="77777777">
        <w:tc>
          <w:tcPr>
            <w:tcW w:w="0" w:type="auto"/>
            <w:tcMar>
              <w:top w:w="5" w:type="dxa"/>
              <w:left w:w="5" w:type="dxa"/>
              <w:bottom w:w="5" w:type="dxa"/>
              <w:right w:w="5" w:type="dxa"/>
            </w:tcMar>
            <w:vAlign w:val="bottom"/>
            <w:hideMark/>
          </w:tcPr>
          <w:p w14:paraId="3FE5065E" w14:textId="77777777" w:rsidR="00954279" w:rsidRDefault="00A66714">
            <w:pPr>
              <w:ind w:left="180"/>
              <w:rPr>
                <w:color w:val="000000"/>
                <w:sz w:val="20"/>
                <w:szCs w:val="20"/>
              </w:rPr>
            </w:pPr>
            <w:r>
              <w:rPr>
                <w:color w:val="000000"/>
                <w:sz w:val="20"/>
                <w:szCs w:val="20"/>
              </w:rPr>
              <w:t>Other liabilities</w:t>
            </w:r>
          </w:p>
        </w:tc>
        <w:tc>
          <w:tcPr>
            <w:tcW w:w="50" w:type="pct"/>
            <w:tcMar>
              <w:top w:w="5" w:type="dxa"/>
              <w:left w:w="5" w:type="dxa"/>
              <w:bottom w:w="5" w:type="dxa"/>
              <w:right w:w="5" w:type="dxa"/>
            </w:tcMar>
            <w:vAlign w:val="bottom"/>
            <w:hideMark/>
          </w:tcPr>
          <w:p w14:paraId="50322508"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EC3786D"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BEFC33E" w14:textId="77777777" w:rsidR="00954279" w:rsidRDefault="00A66714">
            <w:pPr>
              <w:jc w:val="right"/>
              <w:rPr>
                <w:color w:val="000000"/>
                <w:sz w:val="20"/>
                <w:szCs w:val="20"/>
              </w:rPr>
            </w:pPr>
            <w:r>
              <w:rPr>
                <w:b/>
                <w:bCs/>
                <w:color w:val="000000"/>
                <w:sz w:val="20"/>
                <w:szCs w:val="20"/>
              </w:rPr>
              <w:t>34</w:t>
            </w:r>
          </w:p>
        </w:tc>
        <w:tc>
          <w:tcPr>
            <w:tcW w:w="50" w:type="pct"/>
            <w:noWrap/>
            <w:tcMar>
              <w:top w:w="5" w:type="dxa"/>
              <w:left w:w="5" w:type="dxa"/>
              <w:bottom w:w="5" w:type="dxa"/>
              <w:right w:w="5" w:type="dxa"/>
            </w:tcMar>
            <w:vAlign w:val="bottom"/>
            <w:hideMark/>
          </w:tcPr>
          <w:p w14:paraId="5821EC9A"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87EA9F0"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E4A156F"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B251479" w14:textId="77777777" w:rsidR="00954279" w:rsidRDefault="00A66714">
            <w:pPr>
              <w:jc w:val="right"/>
              <w:rPr>
                <w:color w:val="000000"/>
                <w:sz w:val="20"/>
                <w:szCs w:val="20"/>
              </w:rPr>
            </w:pPr>
            <w:r>
              <w:rPr>
                <w:color w:val="000000"/>
                <w:sz w:val="20"/>
                <w:szCs w:val="20"/>
              </w:rPr>
              <w:t>41</w:t>
            </w:r>
          </w:p>
        </w:tc>
        <w:tc>
          <w:tcPr>
            <w:tcW w:w="50" w:type="pct"/>
            <w:noWrap/>
            <w:tcMar>
              <w:top w:w="5" w:type="dxa"/>
              <w:left w:w="5" w:type="dxa"/>
              <w:bottom w:w="5" w:type="dxa"/>
              <w:right w:w="5" w:type="dxa"/>
            </w:tcMar>
            <w:vAlign w:val="bottom"/>
            <w:hideMark/>
          </w:tcPr>
          <w:p w14:paraId="788F34EE" w14:textId="77777777" w:rsidR="00954279" w:rsidRDefault="00A66714">
            <w:pPr>
              <w:rPr>
                <w:color w:val="000000"/>
                <w:sz w:val="20"/>
                <w:szCs w:val="20"/>
              </w:rPr>
            </w:pPr>
            <w:r>
              <w:rPr>
                <w:color w:val="000000"/>
                <w:sz w:val="20"/>
                <w:szCs w:val="20"/>
              </w:rPr>
              <w:t> </w:t>
            </w:r>
          </w:p>
        </w:tc>
      </w:tr>
      <w:tr w:rsidR="00954279" w14:paraId="4822ED4E" w14:textId="77777777">
        <w:tc>
          <w:tcPr>
            <w:tcW w:w="0" w:type="auto"/>
            <w:tcMar>
              <w:top w:w="5" w:type="dxa"/>
              <w:left w:w="5" w:type="dxa"/>
              <w:bottom w:w="5" w:type="dxa"/>
              <w:right w:w="5" w:type="dxa"/>
            </w:tcMar>
            <w:vAlign w:val="bottom"/>
            <w:hideMark/>
          </w:tcPr>
          <w:p w14:paraId="5FB945F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1BE4D0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C9EE5A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6DC3FA2"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A82042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8E5AE32"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E589B3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846774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25A956A" w14:textId="77777777" w:rsidR="00954279" w:rsidRDefault="00A66714">
            <w:pPr>
              <w:rPr>
                <w:color w:val="000000"/>
                <w:sz w:val="20"/>
                <w:szCs w:val="20"/>
              </w:rPr>
            </w:pPr>
            <w:r>
              <w:rPr>
                <w:color w:val="000000"/>
                <w:sz w:val="20"/>
                <w:szCs w:val="20"/>
              </w:rPr>
              <w:t> </w:t>
            </w:r>
          </w:p>
        </w:tc>
      </w:tr>
      <w:tr w:rsidR="00954279" w14:paraId="4AC1B73C" w14:textId="77777777">
        <w:tc>
          <w:tcPr>
            <w:tcW w:w="0" w:type="auto"/>
            <w:tcMar>
              <w:top w:w="5" w:type="dxa"/>
              <w:left w:w="5" w:type="dxa"/>
              <w:bottom w:w="5" w:type="dxa"/>
              <w:right w:w="5" w:type="dxa"/>
            </w:tcMar>
            <w:vAlign w:val="bottom"/>
            <w:hideMark/>
          </w:tcPr>
          <w:p w14:paraId="7EF6B574" w14:textId="77777777" w:rsidR="00954279" w:rsidRDefault="00A66714">
            <w:pPr>
              <w:rPr>
                <w:color w:val="000000"/>
                <w:sz w:val="20"/>
                <w:szCs w:val="20"/>
              </w:rPr>
            </w:pPr>
            <w:r>
              <w:rPr>
                <w:color w:val="000000"/>
                <w:sz w:val="20"/>
                <w:szCs w:val="20"/>
              </w:rPr>
              <w:t>Commitments and contingencies</w:t>
            </w:r>
          </w:p>
        </w:tc>
        <w:tc>
          <w:tcPr>
            <w:tcW w:w="0" w:type="auto"/>
            <w:tcMar>
              <w:top w:w="5" w:type="dxa"/>
              <w:left w:w="5" w:type="dxa"/>
              <w:bottom w:w="5" w:type="dxa"/>
              <w:right w:w="5" w:type="dxa"/>
            </w:tcMar>
            <w:vAlign w:val="bottom"/>
            <w:hideMark/>
          </w:tcPr>
          <w:p w14:paraId="599C277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6A2D1A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F52C4B2"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550BB4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52C773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5E75C1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7C3CA2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D2EE2DB" w14:textId="77777777" w:rsidR="00954279" w:rsidRDefault="00A66714">
            <w:pPr>
              <w:rPr>
                <w:color w:val="000000"/>
                <w:sz w:val="20"/>
                <w:szCs w:val="20"/>
              </w:rPr>
            </w:pPr>
            <w:r>
              <w:rPr>
                <w:color w:val="000000"/>
                <w:sz w:val="20"/>
                <w:szCs w:val="20"/>
              </w:rPr>
              <w:t> </w:t>
            </w:r>
          </w:p>
        </w:tc>
      </w:tr>
      <w:tr w:rsidR="00954279" w14:paraId="20856DF2" w14:textId="77777777">
        <w:tc>
          <w:tcPr>
            <w:tcW w:w="0" w:type="auto"/>
            <w:tcMar>
              <w:top w:w="5" w:type="dxa"/>
              <w:left w:w="5" w:type="dxa"/>
              <w:bottom w:w="5" w:type="dxa"/>
              <w:right w:w="5" w:type="dxa"/>
            </w:tcMar>
            <w:vAlign w:val="bottom"/>
            <w:hideMark/>
          </w:tcPr>
          <w:p w14:paraId="049F642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1D2AA9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9E8904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9F3804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D8E16F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F14BBE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9797E9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4FA090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738FE6D" w14:textId="77777777" w:rsidR="00954279" w:rsidRDefault="00A66714">
            <w:pPr>
              <w:rPr>
                <w:color w:val="000000"/>
                <w:sz w:val="20"/>
                <w:szCs w:val="20"/>
              </w:rPr>
            </w:pPr>
            <w:r>
              <w:rPr>
                <w:color w:val="000000"/>
                <w:sz w:val="20"/>
                <w:szCs w:val="20"/>
              </w:rPr>
              <w:t> </w:t>
            </w:r>
          </w:p>
        </w:tc>
      </w:tr>
      <w:tr w:rsidR="00954279" w14:paraId="19932E3C" w14:textId="77777777">
        <w:tc>
          <w:tcPr>
            <w:tcW w:w="0" w:type="auto"/>
            <w:tcMar>
              <w:top w:w="5" w:type="dxa"/>
              <w:left w:w="5" w:type="dxa"/>
              <w:bottom w:w="5" w:type="dxa"/>
              <w:right w:w="5" w:type="dxa"/>
            </w:tcMar>
            <w:vAlign w:val="bottom"/>
            <w:hideMark/>
          </w:tcPr>
          <w:p w14:paraId="39D7A84B" w14:textId="77777777" w:rsidR="00954279" w:rsidRDefault="00A66714">
            <w:pPr>
              <w:rPr>
                <w:color w:val="000000"/>
                <w:sz w:val="20"/>
                <w:szCs w:val="20"/>
              </w:rPr>
            </w:pPr>
            <w:r>
              <w:rPr>
                <w:color w:val="000000"/>
                <w:sz w:val="20"/>
                <w:szCs w:val="20"/>
              </w:rPr>
              <w:t>6.5% Series A Convertible Perpetual Preferred Stock, $0.01 par value; authorized 363,000 shares; 363,000 shares issued and outstanding</w:t>
            </w:r>
          </w:p>
        </w:tc>
        <w:tc>
          <w:tcPr>
            <w:tcW w:w="50" w:type="pct"/>
            <w:tcMar>
              <w:top w:w="5" w:type="dxa"/>
              <w:left w:w="5" w:type="dxa"/>
              <w:bottom w:w="5" w:type="dxa"/>
              <w:right w:w="5" w:type="dxa"/>
            </w:tcMar>
            <w:vAlign w:val="bottom"/>
            <w:hideMark/>
          </w:tcPr>
          <w:p w14:paraId="216014BF"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E08B282"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EB51E3D" w14:textId="77777777" w:rsidR="00954279" w:rsidRDefault="00A66714">
            <w:pPr>
              <w:jc w:val="right"/>
              <w:rPr>
                <w:color w:val="000000"/>
                <w:sz w:val="20"/>
                <w:szCs w:val="20"/>
              </w:rPr>
            </w:pPr>
            <w:r>
              <w:rPr>
                <w:b/>
                <w:bCs/>
                <w:color w:val="000000"/>
                <w:sz w:val="20"/>
                <w:szCs w:val="20"/>
              </w:rPr>
              <w:t>355</w:t>
            </w:r>
          </w:p>
        </w:tc>
        <w:tc>
          <w:tcPr>
            <w:tcW w:w="50" w:type="pct"/>
            <w:noWrap/>
            <w:tcMar>
              <w:top w:w="5" w:type="dxa"/>
              <w:left w:w="5" w:type="dxa"/>
              <w:bottom w:w="5" w:type="dxa"/>
              <w:right w:w="5" w:type="dxa"/>
            </w:tcMar>
            <w:vAlign w:val="bottom"/>
            <w:hideMark/>
          </w:tcPr>
          <w:p w14:paraId="7555CB1F"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75E509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8473D52"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0086C19" w14:textId="77777777" w:rsidR="00954279" w:rsidRDefault="00A66714">
            <w:pPr>
              <w:jc w:val="right"/>
              <w:rPr>
                <w:color w:val="000000"/>
                <w:sz w:val="20"/>
                <w:szCs w:val="20"/>
              </w:rPr>
            </w:pPr>
            <w:r>
              <w:rPr>
                <w:color w:val="000000"/>
                <w:sz w:val="20"/>
                <w:szCs w:val="20"/>
              </w:rPr>
              <w:t>355</w:t>
            </w:r>
          </w:p>
        </w:tc>
        <w:tc>
          <w:tcPr>
            <w:tcW w:w="50" w:type="pct"/>
            <w:noWrap/>
            <w:tcMar>
              <w:top w:w="5" w:type="dxa"/>
              <w:left w:w="5" w:type="dxa"/>
              <w:bottom w:w="5" w:type="dxa"/>
              <w:right w:w="5" w:type="dxa"/>
            </w:tcMar>
            <w:vAlign w:val="bottom"/>
            <w:hideMark/>
          </w:tcPr>
          <w:p w14:paraId="3E27D7EB" w14:textId="77777777" w:rsidR="00954279" w:rsidRDefault="00A66714">
            <w:pPr>
              <w:rPr>
                <w:color w:val="000000"/>
                <w:sz w:val="20"/>
                <w:szCs w:val="20"/>
              </w:rPr>
            </w:pPr>
            <w:r>
              <w:rPr>
                <w:color w:val="000000"/>
                <w:sz w:val="20"/>
                <w:szCs w:val="20"/>
              </w:rPr>
              <w:t> </w:t>
            </w:r>
          </w:p>
        </w:tc>
      </w:tr>
      <w:tr w:rsidR="00954279" w14:paraId="09721228" w14:textId="77777777">
        <w:tc>
          <w:tcPr>
            <w:tcW w:w="0" w:type="auto"/>
            <w:tcMar>
              <w:top w:w="5" w:type="dxa"/>
              <w:left w:w="5" w:type="dxa"/>
              <w:bottom w:w="5" w:type="dxa"/>
              <w:right w:w="5" w:type="dxa"/>
            </w:tcMar>
            <w:vAlign w:val="bottom"/>
            <w:hideMark/>
          </w:tcPr>
          <w:p w14:paraId="3E6181C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DBD4C52"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225BE22"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CFBD7C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490997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A5C7DB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94EB4C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B795EE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A3B8BE0" w14:textId="77777777" w:rsidR="00954279" w:rsidRDefault="00A66714">
            <w:pPr>
              <w:rPr>
                <w:color w:val="000000"/>
                <w:sz w:val="20"/>
                <w:szCs w:val="20"/>
              </w:rPr>
            </w:pPr>
            <w:r>
              <w:rPr>
                <w:color w:val="000000"/>
                <w:sz w:val="20"/>
                <w:szCs w:val="20"/>
              </w:rPr>
              <w:t> </w:t>
            </w:r>
          </w:p>
        </w:tc>
      </w:tr>
      <w:tr w:rsidR="00954279" w14:paraId="29325616" w14:textId="77777777">
        <w:tc>
          <w:tcPr>
            <w:tcW w:w="0" w:type="auto"/>
            <w:tcMar>
              <w:top w:w="5" w:type="dxa"/>
              <w:left w:w="5" w:type="dxa"/>
              <w:bottom w:w="5" w:type="dxa"/>
              <w:right w:w="5" w:type="dxa"/>
            </w:tcMar>
            <w:vAlign w:val="bottom"/>
            <w:hideMark/>
          </w:tcPr>
          <w:p w14:paraId="782F2CB8" w14:textId="77777777" w:rsidR="00954279" w:rsidRDefault="00A66714">
            <w:pPr>
              <w:rPr>
                <w:color w:val="000000"/>
                <w:sz w:val="20"/>
                <w:szCs w:val="20"/>
              </w:rPr>
            </w:pPr>
            <w:r>
              <w:rPr>
                <w:color w:val="000000"/>
                <w:sz w:val="20"/>
                <w:szCs w:val="20"/>
              </w:rPr>
              <w:t>Stockholders' equity:</w:t>
            </w:r>
          </w:p>
        </w:tc>
        <w:tc>
          <w:tcPr>
            <w:tcW w:w="0" w:type="auto"/>
            <w:tcMar>
              <w:top w:w="5" w:type="dxa"/>
              <w:left w:w="5" w:type="dxa"/>
              <w:bottom w:w="5" w:type="dxa"/>
              <w:right w:w="5" w:type="dxa"/>
            </w:tcMar>
            <w:vAlign w:val="bottom"/>
            <w:hideMark/>
          </w:tcPr>
          <w:p w14:paraId="44D384C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199C2E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2D6CE0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5AA4ED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19F55D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8AD38D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869D30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ED1FF0D" w14:textId="77777777" w:rsidR="00954279" w:rsidRDefault="00A66714">
            <w:pPr>
              <w:rPr>
                <w:color w:val="000000"/>
                <w:sz w:val="20"/>
                <w:szCs w:val="20"/>
              </w:rPr>
            </w:pPr>
            <w:r>
              <w:rPr>
                <w:color w:val="000000"/>
                <w:sz w:val="20"/>
                <w:szCs w:val="20"/>
              </w:rPr>
              <w:t> </w:t>
            </w:r>
          </w:p>
        </w:tc>
      </w:tr>
      <w:tr w:rsidR="00954279" w14:paraId="18C99A76" w14:textId="77777777">
        <w:tc>
          <w:tcPr>
            <w:tcW w:w="0" w:type="auto"/>
            <w:tcMar>
              <w:top w:w="5" w:type="dxa"/>
              <w:left w:w="5" w:type="dxa"/>
              <w:bottom w:w="5" w:type="dxa"/>
              <w:right w:w="5" w:type="dxa"/>
            </w:tcMar>
            <w:vAlign w:val="bottom"/>
            <w:hideMark/>
          </w:tcPr>
          <w:p w14:paraId="0B1D64F5" w14:textId="77777777" w:rsidR="00954279" w:rsidRDefault="00A66714">
            <w:pPr>
              <w:ind w:left="180"/>
              <w:rPr>
                <w:color w:val="000000"/>
                <w:sz w:val="20"/>
                <w:szCs w:val="20"/>
              </w:rPr>
            </w:pPr>
            <w:r>
              <w:rPr>
                <w:color w:val="000000"/>
                <w:sz w:val="20"/>
                <w:szCs w:val="20"/>
              </w:rPr>
              <w:t>Common stock, $0.01 par value per share: 500 million shares authorized, 106,881,767 and 106,315,296 issued, respectively</w:t>
            </w:r>
          </w:p>
        </w:tc>
        <w:tc>
          <w:tcPr>
            <w:tcW w:w="50" w:type="pct"/>
            <w:tcMar>
              <w:top w:w="5" w:type="dxa"/>
              <w:left w:w="5" w:type="dxa"/>
              <w:bottom w:w="5" w:type="dxa"/>
              <w:right w:w="5" w:type="dxa"/>
            </w:tcMar>
            <w:vAlign w:val="bottom"/>
            <w:hideMark/>
          </w:tcPr>
          <w:p w14:paraId="01B6D21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DA76478"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9C649CD" w14:textId="77777777" w:rsidR="00954279" w:rsidRDefault="00A66714">
            <w:pPr>
              <w:jc w:val="right"/>
              <w:rPr>
                <w:color w:val="000000"/>
                <w:sz w:val="20"/>
                <w:szCs w:val="20"/>
              </w:rPr>
            </w:pPr>
            <w:r>
              <w:rPr>
                <w:b/>
                <w:bCs/>
                <w:color w:val="000000"/>
                <w:sz w:val="20"/>
                <w:szCs w:val="20"/>
              </w:rPr>
              <w:t>1</w:t>
            </w:r>
          </w:p>
        </w:tc>
        <w:tc>
          <w:tcPr>
            <w:tcW w:w="50" w:type="pct"/>
            <w:noWrap/>
            <w:tcMar>
              <w:top w:w="5" w:type="dxa"/>
              <w:left w:w="5" w:type="dxa"/>
              <w:bottom w:w="5" w:type="dxa"/>
              <w:right w:w="5" w:type="dxa"/>
            </w:tcMar>
            <w:vAlign w:val="bottom"/>
            <w:hideMark/>
          </w:tcPr>
          <w:p w14:paraId="470A3821"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E183129"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122F6AB"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55DD2DE" w14:textId="77777777" w:rsidR="00954279" w:rsidRDefault="00A66714">
            <w:pPr>
              <w:jc w:val="right"/>
              <w:rPr>
                <w:color w:val="000000"/>
                <w:sz w:val="20"/>
                <w:szCs w:val="20"/>
              </w:rPr>
            </w:pPr>
            <w:r>
              <w:rPr>
                <w:color w:val="000000"/>
                <w:sz w:val="20"/>
                <w:szCs w:val="20"/>
              </w:rPr>
              <w:t>1</w:t>
            </w:r>
          </w:p>
        </w:tc>
        <w:tc>
          <w:tcPr>
            <w:tcW w:w="50" w:type="pct"/>
            <w:noWrap/>
            <w:tcMar>
              <w:top w:w="5" w:type="dxa"/>
              <w:left w:w="5" w:type="dxa"/>
              <w:bottom w:w="5" w:type="dxa"/>
              <w:right w:w="5" w:type="dxa"/>
            </w:tcMar>
            <w:vAlign w:val="bottom"/>
            <w:hideMark/>
          </w:tcPr>
          <w:p w14:paraId="1B6F52D6" w14:textId="77777777" w:rsidR="00954279" w:rsidRDefault="00A66714">
            <w:pPr>
              <w:rPr>
                <w:color w:val="000000"/>
                <w:sz w:val="20"/>
                <w:szCs w:val="20"/>
              </w:rPr>
            </w:pPr>
            <w:r>
              <w:rPr>
                <w:color w:val="000000"/>
                <w:sz w:val="20"/>
                <w:szCs w:val="20"/>
              </w:rPr>
              <w:t> </w:t>
            </w:r>
          </w:p>
        </w:tc>
      </w:tr>
      <w:tr w:rsidR="00954279" w14:paraId="6709D019" w14:textId="77777777">
        <w:tc>
          <w:tcPr>
            <w:tcW w:w="0" w:type="auto"/>
            <w:tcMar>
              <w:top w:w="5" w:type="dxa"/>
              <w:left w:w="5" w:type="dxa"/>
              <w:bottom w:w="5" w:type="dxa"/>
              <w:right w:w="5" w:type="dxa"/>
            </w:tcMar>
            <w:vAlign w:val="bottom"/>
            <w:hideMark/>
          </w:tcPr>
          <w:p w14:paraId="0937559F" w14:textId="77777777" w:rsidR="00954279" w:rsidRDefault="00A66714">
            <w:pPr>
              <w:ind w:left="180"/>
              <w:rPr>
                <w:color w:val="000000"/>
                <w:sz w:val="20"/>
                <w:szCs w:val="20"/>
              </w:rPr>
            </w:pPr>
            <w:r>
              <w:rPr>
                <w:color w:val="000000"/>
                <w:sz w:val="20"/>
                <w:szCs w:val="20"/>
              </w:rPr>
              <w:t>Additional paid-in capital</w:t>
            </w:r>
          </w:p>
        </w:tc>
        <w:tc>
          <w:tcPr>
            <w:tcW w:w="50" w:type="pct"/>
            <w:tcMar>
              <w:top w:w="5" w:type="dxa"/>
              <w:left w:w="5" w:type="dxa"/>
              <w:bottom w:w="5" w:type="dxa"/>
              <w:right w:w="5" w:type="dxa"/>
            </w:tcMar>
            <w:vAlign w:val="bottom"/>
            <w:hideMark/>
          </w:tcPr>
          <w:p w14:paraId="2ADC6372"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3DFC61B"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ABFF4C5" w14:textId="77777777" w:rsidR="00954279" w:rsidRDefault="00A66714">
            <w:pPr>
              <w:jc w:val="right"/>
              <w:rPr>
                <w:color w:val="000000"/>
                <w:sz w:val="20"/>
                <w:szCs w:val="20"/>
              </w:rPr>
            </w:pPr>
            <w:r>
              <w:rPr>
                <w:b/>
                <w:bCs/>
                <w:color w:val="000000"/>
                <w:sz w:val="20"/>
                <w:szCs w:val="20"/>
              </w:rPr>
              <w:t>1,744</w:t>
            </w:r>
          </w:p>
        </w:tc>
        <w:tc>
          <w:tcPr>
            <w:tcW w:w="50" w:type="pct"/>
            <w:noWrap/>
            <w:tcMar>
              <w:top w:w="5" w:type="dxa"/>
              <w:left w:w="5" w:type="dxa"/>
              <w:bottom w:w="5" w:type="dxa"/>
              <w:right w:w="5" w:type="dxa"/>
            </w:tcMar>
            <w:vAlign w:val="bottom"/>
            <w:hideMark/>
          </w:tcPr>
          <w:p w14:paraId="511DDFD0"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2201BE3"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4DA8778"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E8BBC51" w14:textId="77777777" w:rsidR="00954279" w:rsidRDefault="00A66714">
            <w:pPr>
              <w:jc w:val="right"/>
              <w:rPr>
                <w:color w:val="000000"/>
                <w:sz w:val="20"/>
                <w:szCs w:val="20"/>
              </w:rPr>
            </w:pPr>
            <w:r>
              <w:rPr>
                <w:color w:val="000000"/>
                <w:sz w:val="20"/>
                <w:szCs w:val="20"/>
              </w:rPr>
              <w:t>1,739</w:t>
            </w:r>
          </w:p>
        </w:tc>
        <w:tc>
          <w:tcPr>
            <w:tcW w:w="50" w:type="pct"/>
            <w:noWrap/>
            <w:tcMar>
              <w:top w:w="5" w:type="dxa"/>
              <w:left w:w="5" w:type="dxa"/>
              <w:bottom w:w="5" w:type="dxa"/>
              <w:right w:w="5" w:type="dxa"/>
            </w:tcMar>
            <w:vAlign w:val="bottom"/>
            <w:hideMark/>
          </w:tcPr>
          <w:p w14:paraId="01C46957" w14:textId="77777777" w:rsidR="00954279" w:rsidRDefault="00A66714">
            <w:pPr>
              <w:rPr>
                <w:color w:val="000000"/>
                <w:sz w:val="20"/>
                <w:szCs w:val="20"/>
              </w:rPr>
            </w:pPr>
            <w:r>
              <w:rPr>
                <w:color w:val="000000"/>
                <w:sz w:val="20"/>
                <w:szCs w:val="20"/>
              </w:rPr>
              <w:t> </w:t>
            </w:r>
          </w:p>
        </w:tc>
      </w:tr>
      <w:tr w:rsidR="00954279" w14:paraId="380716FC" w14:textId="77777777">
        <w:tc>
          <w:tcPr>
            <w:tcW w:w="0" w:type="auto"/>
            <w:tcMar>
              <w:top w:w="5" w:type="dxa"/>
              <w:left w:w="5" w:type="dxa"/>
              <w:bottom w:w="5" w:type="dxa"/>
              <w:right w:w="5" w:type="dxa"/>
            </w:tcMar>
            <w:vAlign w:val="bottom"/>
            <w:hideMark/>
          </w:tcPr>
          <w:p w14:paraId="7E813056" w14:textId="77777777" w:rsidR="00954279" w:rsidRDefault="00A66714">
            <w:pPr>
              <w:ind w:left="180"/>
              <w:rPr>
                <w:color w:val="000000"/>
                <w:sz w:val="20"/>
                <w:szCs w:val="20"/>
              </w:rPr>
            </w:pPr>
            <w:r>
              <w:rPr>
                <w:color w:val="000000"/>
                <w:sz w:val="20"/>
                <w:szCs w:val="20"/>
              </w:rPr>
              <w:t>Retained deficit</w:t>
            </w:r>
          </w:p>
        </w:tc>
        <w:tc>
          <w:tcPr>
            <w:tcW w:w="50" w:type="pct"/>
            <w:tcMar>
              <w:top w:w="5" w:type="dxa"/>
              <w:left w:w="5" w:type="dxa"/>
              <w:bottom w:w="5" w:type="dxa"/>
              <w:right w:w="5" w:type="dxa"/>
            </w:tcMar>
            <w:vAlign w:val="bottom"/>
            <w:hideMark/>
          </w:tcPr>
          <w:p w14:paraId="3D28619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13555A5"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62368B9" w14:textId="77777777" w:rsidR="00954279" w:rsidRDefault="00A66714">
            <w:pPr>
              <w:jc w:val="right"/>
              <w:rPr>
                <w:color w:val="000000"/>
                <w:sz w:val="20"/>
                <w:szCs w:val="20"/>
              </w:rPr>
            </w:pPr>
            <w:r>
              <w:rPr>
                <w:b/>
                <w:bCs/>
                <w:color w:val="000000"/>
                <w:sz w:val="20"/>
                <w:szCs w:val="20"/>
              </w:rPr>
              <w:t>(792</w:t>
            </w:r>
          </w:p>
        </w:tc>
        <w:tc>
          <w:tcPr>
            <w:tcW w:w="50" w:type="pct"/>
            <w:noWrap/>
            <w:tcMar>
              <w:top w:w="5" w:type="dxa"/>
              <w:left w:w="5" w:type="dxa"/>
              <w:bottom w:w="5" w:type="dxa"/>
              <w:right w:w="5" w:type="dxa"/>
            </w:tcMar>
            <w:vAlign w:val="bottom"/>
            <w:hideMark/>
          </w:tcPr>
          <w:p w14:paraId="17752327"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03D24D83"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5F452DD"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91BAB91" w14:textId="77777777" w:rsidR="00954279" w:rsidRDefault="00A66714">
            <w:pPr>
              <w:jc w:val="right"/>
              <w:rPr>
                <w:color w:val="000000"/>
                <w:sz w:val="20"/>
                <w:szCs w:val="20"/>
              </w:rPr>
            </w:pPr>
            <w:r>
              <w:rPr>
                <w:color w:val="000000"/>
                <w:sz w:val="20"/>
                <w:szCs w:val="20"/>
              </w:rPr>
              <w:t>(781</w:t>
            </w:r>
          </w:p>
        </w:tc>
        <w:tc>
          <w:tcPr>
            <w:tcW w:w="50" w:type="pct"/>
            <w:noWrap/>
            <w:tcMar>
              <w:top w:w="5" w:type="dxa"/>
              <w:left w:w="5" w:type="dxa"/>
              <w:bottom w:w="5" w:type="dxa"/>
              <w:right w:w="5" w:type="dxa"/>
            </w:tcMar>
            <w:vAlign w:val="bottom"/>
            <w:hideMark/>
          </w:tcPr>
          <w:p w14:paraId="3591DE3A" w14:textId="77777777" w:rsidR="00954279" w:rsidRDefault="00A66714">
            <w:pPr>
              <w:rPr>
                <w:color w:val="000000"/>
                <w:sz w:val="20"/>
                <w:szCs w:val="20"/>
              </w:rPr>
            </w:pPr>
            <w:r>
              <w:rPr>
                <w:color w:val="000000"/>
                <w:sz w:val="20"/>
                <w:szCs w:val="20"/>
              </w:rPr>
              <w:t>)</w:t>
            </w:r>
          </w:p>
        </w:tc>
      </w:tr>
      <w:tr w:rsidR="00954279" w14:paraId="5120F288" w14:textId="77777777">
        <w:tc>
          <w:tcPr>
            <w:tcW w:w="0" w:type="auto"/>
            <w:tcMar>
              <w:top w:w="5" w:type="dxa"/>
              <w:left w:w="5" w:type="dxa"/>
              <w:bottom w:w="5" w:type="dxa"/>
              <w:right w:w="5" w:type="dxa"/>
            </w:tcMar>
            <w:vAlign w:val="bottom"/>
            <w:hideMark/>
          </w:tcPr>
          <w:p w14:paraId="03099911" w14:textId="77777777" w:rsidR="00954279" w:rsidRDefault="00A66714">
            <w:pPr>
              <w:ind w:left="180"/>
              <w:rPr>
                <w:color w:val="000000"/>
                <w:sz w:val="20"/>
                <w:szCs w:val="20"/>
              </w:rPr>
            </w:pPr>
            <w:r>
              <w:rPr>
                <w:color w:val="000000"/>
                <w:sz w:val="20"/>
                <w:szCs w:val="20"/>
              </w:rPr>
              <w:t>Less: Treasury stock at cost: 24,216,330 shares</w:t>
            </w:r>
          </w:p>
        </w:tc>
        <w:tc>
          <w:tcPr>
            <w:tcW w:w="50" w:type="pct"/>
            <w:tcMar>
              <w:top w:w="5" w:type="dxa"/>
              <w:left w:w="5" w:type="dxa"/>
              <w:bottom w:w="5" w:type="dxa"/>
              <w:right w:w="5" w:type="dxa"/>
            </w:tcMar>
            <w:vAlign w:val="bottom"/>
            <w:hideMark/>
          </w:tcPr>
          <w:p w14:paraId="2241DAA6"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36DD1FF"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71DFD40" w14:textId="77777777" w:rsidR="00954279" w:rsidRDefault="00A66714">
            <w:pPr>
              <w:jc w:val="right"/>
              <w:rPr>
                <w:color w:val="000000"/>
                <w:sz w:val="20"/>
                <w:szCs w:val="20"/>
              </w:rPr>
            </w:pPr>
            <w:r>
              <w:rPr>
                <w:b/>
                <w:bCs/>
                <w:color w:val="000000"/>
                <w:sz w:val="20"/>
                <w:szCs w:val="20"/>
              </w:rPr>
              <w:t>(375</w:t>
            </w:r>
          </w:p>
        </w:tc>
        <w:tc>
          <w:tcPr>
            <w:tcW w:w="50" w:type="pct"/>
            <w:noWrap/>
            <w:tcMar>
              <w:top w:w="5" w:type="dxa"/>
              <w:left w:w="5" w:type="dxa"/>
              <w:bottom w:w="5" w:type="dxa"/>
              <w:right w:w="5" w:type="dxa"/>
            </w:tcMar>
            <w:vAlign w:val="bottom"/>
            <w:hideMark/>
          </w:tcPr>
          <w:p w14:paraId="14896362"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75B665F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1738E5F"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929CF44" w14:textId="77777777" w:rsidR="00954279" w:rsidRDefault="00A66714">
            <w:pPr>
              <w:jc w:val="right"/>
              <w:rPr>
                <w:color w:val="000000"/>
                <w:sz w:val="20"/>
                <w:szCs w:val="20"/>
              </w:rPr>
            </w:pPr>
            <w:r>
              <w:rPr>
                <w:color w:val="000000"/>
                <w:sz w:val="20"/>
                <w:szCs w:val="20"/>
              </w:rPr>
              <w:t>(375</w:t>
            </w:r>
          </w:p>
        </w:tc>
        <w:tc>
          <w:tcPr>
            <w:tcW w:w="50" w:type="pct"/>
            <w:noWrap/>
            <w:tcMar>
              <w:top w:w="5" w:type="dxa"/>
              <w:left w:w="5" w:type="dxa"/>
              <w:bottom w:w="5" w:type="dxa"/>
              <w:right w:w="5" w:type="dxa"/>
            </w:tcMar>
            <w:vAlign w:val="bottom"/>
            <w:hideMark/>
          </w:tcPr>
          <w:p w14:paraId="54014E2D" w14:textId="77777777" w:rsidR="00954279" w:rsidRDefault="00A66714">
            <w:pPr>
              <w:rPr>
                <w:color w:val="000000"/>
                <w:sz w:val="20"/>
                <w:szCs w:val="20"/>
              </w:rPr>
            </w:pPr>
            <w:r>
              <w:rPr>
                <w:color w:val="000000"/>
                <w:sz w:val="20"/>
                <w:szCs w:val="20"/>
              </w:rPr>
              <w:t>)</w:t>
            </w:r>
          </w:p>
        </w:tc>
      </w:tr>
      <w:tr w:rsidR="00954279" w14:paraId="188D1E1B" w14:textId="77777777">
        <w:tc>
          <w:tcPr>
            <w:tcW w:w="0" w:type="auto"/>
            <w:tcMar>
              <w:top w:w="5" w:type="dxa"/>
              <w:left w:w="5" w:type="dxa"/>
              <w:bottom w:w="5" w:type="dxa"/>
              <w:right w:w="5" w:type="dxa"/>
            </w:tcMar>
            <w:vAlign w:val="bottom"/>
            <w:hideMark/>
          </w:tcPr>
          <w:p w14:paraId="7805319B" w14:textId="77777777" w:rsidR="00954279" w:rsidRDefault="00A66714">
            <w:pPr>
              <w:ind w:left="180"/>
              <w:rPr>
                <w:color w:val="000000"/>
                <w:sz w:val="20"/>
                <w:szCs w:val="20"/>
              </w:rPr>
            </w:pPr>
            <w:r>
              <w:rPr>
                <w:color w:val="000000"/>
                <w:sz w:val="20"/>
                <w:szCs w:val="20"/>
              </w:rPr>
              <w:t>Accumulated other comprehensive loss</w:t>
            </w:r>
          </w:p>
        </w:tc>
        <w:tc>
          <w:tcPr>
            <w:tcW w:w="50" w:type="pct"/>
            <w:tcMar>
              <w:top w:w="5" w:type="dxa"/>
              <w:left w:w="5" w:type="dxa"/>
              <w:bottom w:w="5" w:type="dxa"/>
              <w:right w:w="5" w:type="dxa"/>
            </w:tcMar>
            <w:vAlign w:val="bottom"/>
            <w:hideMark/>
          </w:tcPr>
          <w:p w14:paraId="7A4CFE37"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6C18E5F" w14:textId="77777777" w:rsidR="00954279" w:rsidRDefault="00A66714">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7A7FBF3B" w14:textId="77777777" w:rsidR="00954279" w:rsidRDefault="00A66714">
            <w:pPr>
              <w:jc w:val="right"/>
              <w:rPr>
                <w:color w:val="000000"/>
                <w:sz w:val="20"/>
                <w:szCs w:val="20"/>
              </w:rPr>
            </w:pPr>
            <w:r>
              <w:rPr>
                <w:b/>
                <w:bCs/>
                <w:color w:val="000000"/>
                <w:sz w:val="20"/>
                <w:szCs w:val="20"/>
              </w:rPr>
              <w:t>(231</w:t>
            </w:r>
          </w:p>
        </w:tc>
        <w:tc>
          <w:tcPr>
            <w:tcW w:w="50" w:type="pct"/>
            <w:noWrap/>
            <w:tcMar>
              <w:top w:w="5" w:type="dxa"/>
              <w:left w:w="5" w:type="dxa"/>
              <w:bottom w:w="20" w:type="dxa"/>
              <w:right w:w="5" w:type="dxa"/>
            </w:tcMar>
            <w:vAlign w:val="bottom"/>
            <w:hideMark/>
          </w:tcPr>
          <w:p w14:paraId="11D829DB"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2CCA6DEF"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CE82637" w14:textId="77777777" w:rsidR="00954279" w:rsidRDefault="00A66714">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210EF542" w14:textId="77777777" w:rsidR="00954279" w:rsidRDefault="00A66714">
            <w:pPr>
              <w:jc w:val="right"/>
              <w:rPr>
                <w:color w:val="000000"/>
                <w:sz w:val="20"/>
                <w:szCs w:val="20"/>
              </w:rPr>
            </w:pPr>
            <w:r>
              <w:rPr>
                <w:color w:val="000000"/>
                <w:sz w:val="20"/>
                <w:szCs w:val="20"/>
              </w:rPr>
              <w:t>(234</w:t>
            </w:r>
          </w:p>
        </w:tc>
        <w:tc>
          <w:tcPr>
            <w:tcW w:w="50" w:type="pct"/>
            <w:noWrap/>
            <w:tcMar>
              <w:top w:w="5" w:type="dxa"/>
              <w:left w:w="5" w:type="dxa"/>
              <w:bottom w:w="20" w:type="dxa"/>
              <w:right w:w="5" w:type="dxa"/>
            </w:tcMar>
            <w:vAlign w:val="bottom"/>
            <w:hideMark/>
          </w:tcPr>
          <w:p w14:paraId="55E3A065" w14:textId="77777777" w:rsidR="00954279" w:rsidRDefault="00A66714">
            <w:pPr>
              <w:rPr>
                <w:color w:val="000000"/>
                <w:sz w:val="20"/>
                <w:szCs w:val="20"/>
              </w:rPr>
            </w:pPr>
            <w:r>
              <w:rPr>
                <w:color w:val="000000"/>
                <w:sz w:val="20"/>
                <w:szCs w:val="20"/>
              </w:rPr>
              <w:t>)</w:t>
            </w:r>
          </w:p>
        </w:tc>
      </w:tr>
      <w:tr w:rsidR="00954279" w14:paraId="56AEBD98" w14:textId="77777777">
        <w:tc>
          <w:tcPr>
            <w:tcW w:w="0" w:type="auto"/>
            <w:tcMar>
              <w:top w:w="5" w:type="dxa"/>
              <w:left w:w="5" w:type="dxa"/>
              <w:bottom w:w="5" w:type="dxa"/>
              <w:right w:w="5" w:type="dxa"/>
            </w:tcMar>
            <w:vAlign w:val="bottom"/>
            <w:hideMark/>
          </w:tcPr>
          <w:p w14:paraId="78C8BC5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7EF0B5C"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8939EAA" w14:textId="77777777" w:rsidR="00954279" w:rsidRDefault="00A66714">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123ABC39" w14:textId="77777777" w:rsidR="00954279" w:rsidRDefault="00A66714">
            <w:pPr>
              <w:jc w:val="right"/>
              <w:rPr>
                <w:color w:val="000000"/>
                <w:sz w:val="20"/>
                <w:szCs w:val="20"/>
              </w:rPr>
            </w:pPr>
            <w:r>
              <w:rPr>
                <w:b/>
                <w:bCs/>
                <w:color w:val="000000"/>
                <w:sz w:val="20"/>
                <w:szCs w:val="20"/>
              </w:rPr>
              <w:t>347</w:t>
            </w:r>
          </w:p>
        </w:tc>
        <w:tc>
          <w:tcPr>
            <w:tcW w:w="50" w:type="pct"/>
            <w:noWrap/>
            <w:tcMar>
              <w:top w:w="5" w:type="dxa"/>
              <w:left w:w="5" w:type="dxa"/>
              <w:bottom w:w="20" w:type="dxa"/>
              <w:right w:w="5" w:type="dxa"/>
            </w:tcMar>
            <w:vAlign w:val="bottom"/>
            <w:hideMark/>
          </w:tcPr>
          <w:p w14:paraId="72538FBA"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ABDB52E"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ADC5AB0" w14:textId="77777777" w:rsidR="00954279" w:rsidRDefault="00A66714">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628FD585" w14:textId="77777777" w:rsidR="00954279" w:rsidRDefault="00A66714">
            <w:pPr>
              <w:jc w:val="right"/>
              <w:rPr>
                <w:color w:val="000000"/>
                <w:sz w:val="20"/>
                <w:szCs w:val="20"/>
              </w:rPr>
            </w:pPr>
            <w:r>
              <w:rPr>
                <w:color w:val="000000"/>
                <w:sz w:val="20"/>
                <w:szCs w:val="20"/>
              </w:rPr>
              <w:t>350</w:t>
            </w:r>
          </w:p>
        </w:tc>
        <w:tc>
          <w:tcPr>
            <w:tcW w:w="50" w:type="pct"/>
            <w:noWrap/>
            <w:tcMar>
              <w:top w:w="5" w:type="dxa"/>
              <w:left w:w="5" w:type="dxa"/>
              <w:bottom w:w="20" w:type="dxa"/>
              <w:right w:w="5" w:type="dxa"/>
            </w:tcMar>
            <w:vAlign w:val="bottom"/>
            <w:hideMark/>
          </w:tcPr>
          <w:p w14:paraId="42FF4960" w14:textId="77777777" w:rsidR="00954279" w:rsidRDefault="00A66714">
            <w:pPr>
              <w:rPr>
                <w:color w:val="000000"/>
                <w:sz w:val="20"/>
                <w:szCs w:val="20"/>
              </w:rPr>
            </w:pPr>
            <w:r>
              <w:rPr>
                <w:color w:val="000000"/>
                <w:sz w:val="20"/>
                <w:szCs w:val="20"/>
              </w:rPr>
              <w:t> </w:t>
            </w:r>
          </w:p>
        </w:tc>
      </w:tr>
      <w:tr w:rsidR="00954279" w14:paraId="67B635F3" w14:textId="77777777">
        <w:tc>
          <w:tcPr>
            <w:tcW w:w="0" w:type="auto"/>
            <w:tcMar>
              <w:top w:w="5" w:type="dxa"/>
              <w:left w:w="5" w:type="dxa"/>
              <w:bottom w:w="5" w:type="dxa"/>
              <w:right w:w="5" w:type="dxa"/>
            </w:tcMar>
            <w:vAlign w:val="bottom"/>
            <w:hideMark/>
          </w:tcPr>
          <w:p w14:paraId="08AC424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3770092"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75DC106" w14:textId="77777777" w:rsidR="00954279" w:rsidRDefault="00A66714">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02C2D0CF" w14:textId="77777777" w:rsidR="00954279" w:rsidRDefault="00A66714">
            <w:pPr>
              <w:jc w:val="right"/>
              <w:rPr>
                <w:color w:val="000000"/>
                <w:sz w:val="20"/>
                <w:szCs w:val="20"/>
              </w:rPr>
            </w:pPr>
            <w:r>
              <w:rPr>
                <w:b/>
                <w:bCs/>
                <w:color w:val="000000"/>
                <w:sz w:val="20"/>
                <w:szCs w:val="20"/>
              </w:rPr>
              <w:t>1,745</w:t>
            </w:r>
          </w:p>
        </w:tc>
        <w:tc>
          <w:tcPr>
            <w:tcW w:w="50" w:type="pct"/>
            <w:noWrap/>
            <w:tcMar>
              <w:top w:w="5" w:type="dxa"/>
              <w:left w:w="5" w:type="dxa"/>
              <w:bottom w:w="50" w:type="dxa"/>
              <w:right w:w="5" w:type="dxa"/>
            </w:tcMar>
            <w:vAlign w:val="bottom"/>
            <w:hideMark/>
          </w:tcPr>
          <w:p w14:paraId="06D14F92"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6E65AA0"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E2F7AA3" w14:textId="77777777" w:rsidR="00954279" w:rsidRDefault="00A66714">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2E80BDF5" w14:textId="77777777" w:rsidR="00954279" w:rsidRDefault="00A66714">
            <w:pPr>
              <w:jc w:val="right"/>
              <w:rPr>
                <w:color w:val="000000"/>
                <w:sz w:val="20"/>
                <w:szCs w:val="20"/>
              </w:rPr>
            </w:pPr>
            <w:r>
              <w:rPr>
                <w:color w:val="000000"/>
                <w:sz w:val="20"/>
                <w:szCs w:val="20"/>
              </w:rPr>
              <w:t>1,781</w:t>
            </w:r>
          </w:p>
        </w:tc>
        <w:tc>
          <w:tcPr>
            <w:tcW w:w="50" w:type="pct"/>
            <w:noWrap/>
            <w:tcMar>
              <w:top w:w="5" w:type="dxa"/>
              <w:left w:w="5" w:type="dxa"/>
              <w:bottom w:w="50" w:type="dxa"/>
              <w:right w:w="5" w:type="dxa"/>
            </w:tcMar>
            <w:vAlign w:val="bottom"/>
            <w:hideMark/>
          </w:tcPr>
          <w:p w14:paraId="1C04301B" w14:textId="77777777" w:rsidR="00954279" w:rsidRDefault="00A66714">
            <w:pPr>
              <w:rPr>
                <w:color w:val="000000"/>
                <w:sz w:val="20"/>
                <w:szCs w:val="20"/>
              </w:rPr>
            </w:pPr>
            <w:r>
              <w:rPr>
                <w:color w:val="000000"/>
                <w:sz w:val="20"/>
                <w:szCs w:val="20"/>
              </w:rPr>
              <w:t> </w:t>
            </w:r>
          </w:p>
        </w:tc>
      </w:tr>
    </w:tbl>
    <w:p w14:paraId="5440A9AE" w14:textId="77777777" w:rsidR="00954279" w:rsidRDefault="00A66714">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10800"/>
      </w:tblGrid>
      <w:tr w:rsidR="00954279" w14:paraId="3C601213" w14:textId="77777777">
        <w:tc>
          <w:tcPr>
            <w:tcW w:w="0" w:type="auto"/>
            <w:tcMar>
              <w:top w:w="5" w:type="dxa"/>
              <w:left w:w="5" w:type="dxa"/>
              <w:bottom w:w="5" w:type="dxa"/>
              <w:right w:w="5" w:type="dxa"/>
            </w:tcMar>
            <w:vAlign w:val="bottom"/>
            <w:hideMark/>
          </w:tcPr>
          <w:p w14:paraId="4FBA6275" w14:textId="77777777" w:rsidR="00954279" w:rsidRDefault="00A66714">
            <w:pPr>
              <w:rPr>
                <w:color w:val="000000"/>
                <w:sz w:val="20"/>
                <w:szCs w:val="20"/>
              </w:rPr>
            </w:pPr>
            <w:r>
              <w:rPr>
                <w:i/>
                <w:iCs/>
                <w:color w:val="000000"/>
                <w:sz w:val="20"/>
                <w:szCs w:val="20"/>
              </w:rPr>
              <w:t>See notes to condensed consolidated financial statements.</w:t>
            </w:r>
          </w:p>
        </w:tc>
      </w:tr>
    </w:tbl>
    <w:p w14:paraId="03EA9A44" w14:textId="77777777" w:rsidR="00954279" w:rsidRDefault="00A66714">
      <w:pPr>
        <w:ind w:left="144" w:right="144"/>
        <w:jc w:val="center"/>
        <w:rPr>
          <w:sz w:val="20"/>
          <w:szCs w:val="20"/>
        </w:rPr>
      </w:pPr>
      <w:r>
        <w:rPr>
          <w:sz w:val="20"/>
          <w:szCs w:val="20"/>
        </w:rPr>
        <w:t>1</w:t>
      </w:r>
    </w:p>
    <w:p w14:paraId="5A2CC41F" w14:textId="77777777" w:rsidR="00954279" w:rsidRDefault="00A66714">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026CB38E" w14:textId="77777777" w:rsidR="00954279" w:rsidRDefault="00A66714">
      <w:pPr>
        <w:ind w:left="144" w:right="144"/>
        <w:rPr>
          <w:sz w:val="20"/>
          <w:szCs w:val="20"/>
        </w:rPr>
      </w:pPr>
      <w:r>
        <w:rPr>
          <w:sz w:val="20"/>
          <w:szCs w:val="20"/>
        </w:rPr>
        <w:t> </w:t>
      </w:r>
    </w:p>
    <w:p w14:paraId="1F30FD58" w14:textId="77777777" w:rsidR="00954279" w:rsidRDefault="00A66714">
      <w:pPr>
        <w:ind w:left="144" w:right="144"/>
        <w:rPr>
          <w:sz w:val="20"/>
          <w:szCs w:val="20"/>
        </w:rPr>
      </w:pPr>
      <w:r>
        <w:rPr>
          <w:sz w:val="20"/>
          <w:szCs w:val="20"/>
        </w:rPr>
        <w:t> </w:t>
      </w:r>
    </w:p>
    <w:p w14:paraId="3573D9A3" w14:textId="77777777" w:rsidR="00954279" w:rsidRDefault="00A66714">
      <w:pPr>
        <w:ind w:left="144" w:right="144"/>
        <w:rPr>
          <w:sz w:val="20"/>
          <w:szCs w:val="20"/>
        </w:rPr>
      </w:pPr>
      <w:bookmarkStart w:id="3" w:name="Operations"/>
      <w:bookmarkEnd w:id="3"/>
      <w:r>
        <w:rPr>
          <w:sz w:val="20"/>
          <w:szCs w:val="20"/>
        </w:rPr>
        <w:t>CONDENSED CONSOLIDATED STATEMENTS OF OPERATIONS (UNAUDITED)</w:t>
      </w:r>
    </w:p>
    <w:p w14:paraId="38710354" w14:textId="77777777" w:rsidR="00954279" w:rsidRDefault="00A66714">
      <w:pPr>
        <w:ind w:left="144" w:right="144"/>
        <w:rPr>
          <w:sz w:val="20"/>
          <w:szCs w:val="20"/>
        </w:rPr>
      </w:pPr>
      <w:r>
        <w:rPr>
          <w:sz w:val="20"/>
          <w:szCs w:val="20"/>
        </w:rPr>
        <w:t>MRC GLOBAL INC.</w:t>
      </w:r>
    </w:p>
    <w:p w14:paraId="6299816F" w14:textId="77777777" w:rsidR="00954279" w:rsidRDefault="00A66714">
      <w:pPr>
        <w:ind w:left="144" w:right="144"/>
        <w:rPr>
          <w:sz w:val="20"/>
          <w:szCs w:val="20"/>
        </w:rPr>
      </w:pPr>
      <w:r>
        <w:rPr>
          <w:i/>
          <w:iCs/>
          <w:sz w:val="20"/>
          <w:szCs w:val="20"/>
        </w:rPr>
        <w:t>(in millions, except per share amounts)</w:t>
      </w:r>
    </w:p>
    <w:p w14:paraId="360769F3" w14:textId="77777777" w:rsidR="00954279" w:rsidRDefault="00A66714">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5615"/>
        <w:gridCol w:w="107"/>
        <w:gridCol w:w="110"/>
        <w:gridCol w:w="971"/>
        <w:gridCol w:w="107"/>
        <w:gridCol w:w="107"/>
        <w:gridCol w:w="110"/>
        <w:gridCol w:w="971"/>
        <w:gridCol w:w="107"/>
        <w:gridCol w:w="107"/>
        <w:gridCol w:w="110"/>
        <w:gridCol w:w="972"/>
        <w:gridCol w:w="108"/>
        <w:gridCol w:w="108"/>
        <w:gridCol w:w="110"/>
        <w:gridCol w:w="972"/>
        <w:gridCol w:w="108"/>
      </w:tblGrid>
      <w:tr w:rsidR="00954279" w14:paraId="0614AAC2" w14:textId="77777777">
        <w:tc>
          <w:tcPr>
            <w:tcW w:w="0" w:type="auto"/>
            <w:tcMar>
              <w:top w:w="5" w:type="dxa"/>
              <w:left w:w="5" w:type="dxa"/>
              <w:bottom w:w="5" w:type="dxa"/>
              <w:right w:w="5" w:type="dxa"/>
            </w:tcMar>
            <w:vAlign w:val="bottom"/>
            <w:hideMark/>
          </w:tcPr>
          <w:p w14:paraId="557854F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460385D" w14:textId="77777777" w:rsidR="00954279" w:rsidRDefault="00A66714">
            <w:pPr>
              <w:rPr>
                <w:color w:val="000000"/>
                <w:sz w:val="20"/>
                <w:szCs w:val="20"/>
              </w:rPr>
            </w:pPr>
            <w:r>
              <w:rPr>
                <w:color w:val="000000"/>
                <w:sz w:val="20"/>
                <w:szCs w:val="20"/>
              </w:rPr>
              <w:t> </w:t>
            </w:r>
          </w:p>
        </w:tc>
        <w:tc>
          <w:tcPr>
            <w:tcW w:w="0" w:type="auto"/>
            <w:gridSpan w:val="6"/>
            <w:tcBorders>
              <w:bottom w:val="single" w:sz="6" w:space="0" w:color="000000"/>
            </w:tcBorders>
            <w:tcMar>
              <w:top w:w="5" w:type="dxa"/>
              <w:left w:w="5" w:type="dxa"/>
              <w:bottom w:w="8" w:type="dxa"/>
              <w:right w:w="5" w:type="dxa"/>
            </w:tcMar>
            <w:vAlign w:val="bottom"/>
            <w:hideMark/>
          </w:tcPr>
          <w:p w14:paraId="7A5EF6D6" w14:textId="77777777" w:rsidR="00954279" w:rsidRDefault="00A66714">
            <w:pPr>
              <w:jc w:val="center"/>
              <w:rPr>
                <w:color w:val="000000"/>
                <w:sz w:val="20"/>
                <w:szCs w:val="20"/>
              </w:rPr>
            </w:pPr>
            <w:r>
              <w:rPr>
                <w:b/>
                <w:bCs/>
                <w:color w:val="000000"/>
                <w:sz w:val="20"/>
                <w:szCs w:val="20"/>
              </w:rPr>
              <w:t>Three Months Ended</w:t>
            </w:r>
          </w:p>
        </w:tc>
        <w:tc>
          <w:tcPr>
            <w:tcW w:w="0" w:type="auto"/>
            <w:tcMar>
              <w:top w:w="5" w:type="dxa"/>
              <w:left w:w="5" w:type="dxa"/>
              <w:bottom w:w="20" w:type="dxa"/>
              <w:right w:w="5" w:type="dxa"/>
            </w:tcMar>
            <w:vAlign w:val="bottom"/>
            <w:hideMark/>
          </w:tcPr>
          <w:p w14:paraId="283072A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5AAE401" w14:textId="77777777" w:rsidR="00954279" w:rsidRDefault="00A66714">
            <w:pPr>
              <w:rPr>
                <w:color w:val="000000"/>
                <w:sz w:val="20"/>
                <w:szCs w:val="20"/>
              </w:rPr>
            </w:pPr>
            <w:r>
              <w:rPr>
                <w:color w:val="000000"/>
                <w:sz w:val="20"/>
                <w:szCs w:val="20"/>
              </w:rPr>
              <w:t> </w:t>
            </w:r>
          </w:p>
        </w:tc>
        <w:tc>
          <w:tcPr>
            <w:tcW w:w="0" w:type="auto"/>
            <w:gridSpan w:val="6"/>
            <w:tcBorders>
              <w:bottom w:val="single" w:sz="6" w:space="0" w:color="000000"/>
            </w:tcBorders>
            <w:tcMar>
              <w:top w:w="5" w:type="dxa"/>
              <w:left w:w="5" w:type="dxa"/>
              <w:bottom w:w="8" w:type="dxa"/>
              <w:right w:w="5" w:type="dxa"/>
            </w:tcMar>
            <w:vAlign w:val="bottom"/>
            <w:hideMark/>
          </w:tcPr>
          <w:p w14:paraId="67F9DFD0" w14:textId="77777777" w:rsidR="00954279" w:rsidRDefault="00A66714">
            <w:pPr>
              <w:jc w:val="center"/>
              <w:rPr>
                <w:color w:val="000000"/>
                <w:sz w:val="20"/>
                <w:szCs w:val="20"/>
              </w:rPr>
            </w:pPr>
            <w:r>
              <w:rPr>
                <w:b/>
                <w:bCs/>
                <w:color w:val="000000"/>
                <w:sz w:val="20"/>
                <w:szCs w:val="20"/>
              </w:rPr>
              <w:t>Six Months Ended</w:t>
            </w:r>
          </w:p>
        </w:tc>
        <w:tc>
          <w:tcPr>
            <w:tcW w:w="0" w:type="auto"/>
            <w:tcMar>
              <w:top w:w="5" w:type="dxa"/>
              <w:left w:w="5" w:type="dxa"/>
              <w:bottom w:w="20" w:type="dxa"/>
              <w:right w:w="5" w:type="dxa"/>
            </w:tcMar>
            <w:vAlign w:val="bottom"/>
            <w:hideMark/>
          </w:tcPr>
          <w:p w14:paraId="780C2C84" w14:textId="77777777" w:rsidR="00954279" w:rsidRDefault="00A66714">
            <w:pPr>
              <w:rPr>
                <w:color w:val="000000"/>
                <w:sz w:val="20"/>
                <w:szCs w:val="20"/>
              </w:rPr>
            </w:pPr>
            <w:r>
              <w:rPr>
                <w:color w:val="000000"/>
                <w:sz w:val="20"/>
                <w:szCs w:val="20"/>
              </w:rPr>
              <w:t> </w:t>
            </w:r>
          </w:p>
        </w:tc>
      </w:tr>
      <w:tr w:rsidR="00954279" w14:paraId="54CC4F2F" w14:textId="77777777">
        <w:tc>
          <w:tcPr>
            <w:tcW w:w="0" w:type="auto"/>
            <w:tcMar>
              <w:top w:w="5" w:type="dxa"/>
              <w:left w:w="5" w:type="dxa"/>
              <w:bottom w:w="5" w:type="dxa"/>
              <w:right w:w="5" w:type="dxa"/>
            </w:tcMar>
            <w:vAlign w:val="bottom"/>
            <w:hideMark/>
          </w:tcPr>
          <w:p w14:paraId="61E7900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B8DDF59"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5CBE1BA4" w14:textId="77777777" w:rsidR="00954279" w:rsidRDefault="00A66714">
            <w:pPr>
              <w:jc w:val="center"/>
              <w:rPr>
                <w:color w:val="000000"/>
                <w:sz w:val="20"/>
                <w:szCs w:val="20"/>
              </w:rPr>
            </w:pPr>
            <w:r>
              <w:rPr>
                <w:b/>
                <w:bCs/>
                <w:color w:val="000000"/>
                <w:sz w:val="20"/>
                <w:szCs w:val="20"/>
              </w:rPr>
              <w:t>June 30,</w:t>
            </w:r>
          </w:p>
        </w:tc>
        <w:tc>
          <w:tcPr>
            <w:tcW w:w="0" w:type="auto"/>
            <w:tcMar>
              <w:top w:w="5" w:type="dxa"/>
              <w:left w:w="5" w:type="dxa"/>
              <w:bottom w:w="5" w:type="dxa"/>
              <w:right w:w="5" w:type="dxa"/>
            </w:tcMar>
            <w:vAlign w:val="bottom"/>
            <w:hideMark/>
          </w:tcPr>
          <w:p w14:paraId="0437594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A6854C0"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6F883BCA" w14:textId="77777777" w:rsidR="00954279" w:rsidRDefault="00A66714">
            <w:pPr>
              <w:jc w:val="center"/>
              <w:rPr>
                <w:color w:val="000000"/>
                <w:sz w:val="20"/>
                <w:szCs w:val="20"/>
              </w:rPr>
            </w:pPr>
            <w:r>
              <w:rPr>
                <w:b/>
                <w:bCs/>
                <w:color w:val="000000"/>
                <w:sz w:val="20"/>
                <w:szCs w:val="20"/>
              </w:rPr>
              <w:t>June 30,</w:t>
            </w:r>
          </w:p>
        </w:tc>
        <w:tc>
          <w:tcPr>
            <w:tcW w:w="0" w:type="auto"/>
            <w:tcMar>
              <w:top w:w="5" w:type="dxa"/>
              <w:left w:w="5" w:type="dxa"/>
              <w:bottom w:w="5" w:type="dxa"/>
              <w:right w:w="5" w:type="dxa"/>
            </w:tcMar>
            <w:vAlign w:val="bottom"/>
            <w:hideMark/>
          </w:tcPr>
          <w:p w14:paraId="586A9FC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D7F9432"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7264F6E9" w14:textId="77777777" w:rsidR="00954279" w:rsidRDefault="00A66714">
            <w:pPr>
              <w:jc w:val="center"/>
              <w:rPr>
                <w:color w:val="000000"/>
                <w:sz w:val="20"/>
                <w:szCs w:val="20"/>
              </w:rPr>
            </w:pPr>
            <w:r>
              <w:rPr>
                <w:b/>
                <w:bCs/>
                <w:color w:val="000000"/>
                <w:sz w:val="20"/>
                <w:szCs w:val="20"/>
              </w:rPr>
              <w:t>June 30,</w:t>
            </w:r>
          </w:p>
        </w:tc>
        <w:tc>
          <w:tcPr>
            <w:tcW w:w="0" w:type="auto"/>
            <w:tcMar>
              <w:top w:w="5" w:type="dxa"/>
              <w:left w:w="5" w:type="dxa"/>
              <w:bottom w:w="5" w:type="dxa"/>
              <w:right w:w="5" w:type="dxa"/>
            </w:tcMar>
            <w:vAlign w:val="bottom"/>
            <w:hideMark/>
          </w:tcPr>
          <w:p w14:paraId="2661440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C7C86DA"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504E5B1F" w14:textId="77777777" w:rsidR="00954279" w:rsidRDefault="00A66714">
            <w:pPr>
              <w:jc w:val="center"/>
              <w:rPr>
                <w:color w:val="000000"/>
                <w:sz w:val="20"/>
                <w:szCs w:val="20"/>
              </w:rPr>
            </w:pPr>
            <w:r>
              <w:rPr>
                <w:b/>
                <w:bCs/>
                <w:color w:val="000000"/>
                <w:sz w:val="20"/>
                <w:szCs w:val="20"/>
              </w:rPr>
              <w:t>June 30,</w:t>
            </w:r>
          </w:p>
        </w:tc>
        <w:tc>
          <w:tcPr>
            <w:tcW w:w="0" w:type="auto"/>
            <w:tcMar>
              <w:top w:w="5" w:type="dxa"/>
              <w:left w:w="5" w:type="dxa"/>
              <w:bottom w:w="5" w:type="dxa"/>
              <w:right w:w="5" w:type="dxa"/>
            </w:tcMar>
            <w:vAlign w:val="bottom"/>
            <w:hideMark/>
          </w:tcPr>
          <w:p w14:paraId="690A8CE6" w14:textId="77777777" w:rsidR="00954279" w:rsidRDefault="00A66714">
            <w:pPr>
              <w:rPr>
                <w:color w:val="000000"/>
                <w:sz w:val="20"/>
                <w:szCs w:val="20"/>
              </w:rPr>
            </w:pPr>
            <w:r>
              <w:rPr>
                <w:color w:val="000000"/>
                <w:sz w:val="20"/>
                <w:szCs w:val="20"/>
              </w:rPr>
              <w:t> </w:t>
            </w:r>
          </w:p>
        </w:tc>
      </w:tr>
      <w:tr w:rsidR="00954279" w14:paraId="6FBF72CA" w14:textId="77777777">
        <w:tc>
          <w:tcPr>
            <w:tcW w:w="0" w:type="auto"/>
            <w:tcMar>
              <w:top w:w="5" w:type="dxa"/>
              <w:left w:w="5" w:type="dxa"/>
              <w:bottom w:w="5" w:type="dxa"/>
              <w:right w:w="5" w:type="dxa"/>
            </w:tcMar>
            <w:vAlign w:val="bottom"/>
            <w:hideMark/>
          </w:tcPr>
          <w:p w14:paraId="3D06B30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50F4EDD"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77515204" w14:textId="77777777" w:rsidR="00954279" w:rsidRDefault="00A66714">
            <w:pPr>
              <w:jc w:val="center"/>
              <w:rPr>
                <w:color w:val="000000"/>
                <w:sz w:val="20"/>
                <w:szCs w:val="20"/>
              </w:rPr>
            </w:pPr>
            <w:r>
              <w:rPr>
                <w:b/>
                <w:bCs/>
                <w:color w:val="000000"/>
                <w:sz w:val="20"/>
                <w:szCs w:val="20"/>
              </w:rPr>
              <w:t>2021</w:t>
            </w:r>
          </w:p>
        </w:tc>
        <w:tc>
          <w:tcPr>
            <w:tcW w:w="0" w:type="auto"/>
            <w:tcMar>
              <w:top w:w="5" w:type="dxa"/>
              <w:left w:w="5" w:type="dxa"/>
              <w:bottom w:w="20" w:type="dxa"/>
              <w:right w:w="5" w:type="dxa"/>
            </w:tcMar>
            <w:vAlign w:val="bottom"/>
            <w:hideMark/>
          </w:tcPr>
          <w:p w14:paraId="05C46C9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B860676"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3FB2CC83" w14:textId="77777777" w:rsidR="00954279" w:rsidRDefault="00A66714">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495C89C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E1F002B"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6566025" w14:textId="77777777" w:rsidR="00954279" w:rsidRDefault="00A66714">
            <w:pPr>
              <w:jc w:val="center"/>
              <w:rPr>
                <w:color w:val="000000"/>
                <w:sz w:val="20"/>
                <w:szCs w:val="20"/>
              </w:rPr>
            </w:pPr>
            <w:r>
              <w:rPr>
                <w:b/>
                <w:bCs/>
                <w:color w:val="000000"/>
                <w:sz w:val="20"/>
                <w:szCs w:val="20"/>
              </w:rPr>
              <w:t>2021</w:t>
            </w:r>
          </w:p>
        </w:tc>
        <w:tc>
          <w:tcPr>
            <w:tcW w:w="0" w:type="auto"/>
            <w:tcMar>
              <w:top w:w="5" w:type="dxa"/>
              <w:left w:w="5" w:type="dxa"/>
              <w:bottom w:w="20" w:type="dxa"/>
              <w:right w:w="5" w:type="dxa"/>
            </w:tcMar>
            <w:vAlign w:val="bottom"/>
            <w:hideMark/>
          </w:tcPr>
          <w:p w14:paraId="3AB31BE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442F438"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179FC6C3" w14:textId="77777777" w:rsidR="00954279" w:rsidRDefault="00A66714">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6798E614" w14:textId="77777777" w:rsidR="00954279" w:rsidRDefault="00A66714">
            <w:pPr>
              <w:rPr>
                <w:color w:val="000000"/>
                <w:sz w:val="20"/>
                <w:szCs w:val="20"/>
              </w:rPr>
            </w:pPr>
            <w:r>
              <w:rPr>
                <w:color w:val="000000"/>
                <w:sz w:val="20"/>
                <w:szCs w:val="20"/>
              </w:rPr>
              <w:t> </w:t>
            </w:r>
          </w:p>
        </w:tc>
      </w:tr>
      <w:tr w:rsidR="00954279" w14:paraId="4A94E1AF" w14:textId="77777777">
        <w:tc>
          <w:tcPr>
            <w:tcW w:w="0" w:type="auto"/>
            <w:tcMar>
              <w:top w:w="5" w:type="dxa"/>
              <w:left w:w="5" w:type="dxa"/>
              <w:bottom w:w="5" w:type="dxa"/>
              <w:right w:w="5" w:type="dxa"/>
            </w:tcMar>
            <w:vAlign w:val="bottom"/>
            <w:hideMark/>
          </w:tcPr>
          <w:p w14:paraId="1EA3B44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948F72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F3EF68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D836A1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589A2C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C37D0B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44EDD8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094CD0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78B12C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D5B8EA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C7D091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3D1AE0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E0D84F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7B252A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F193AC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5F12FB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0C0AC0B" w14:textId="77777777" w:rsidR="00954279" w:rsidRDefault="00A66714">
            <w:pPr>
              <w:rPr>
                <w:color w:val="000000"/>
                <w:sz w:val="20"/>
                <w:szCs w:val="20"/>
              </w:rPr>
            </w:pPr>
            <w:r>
              <w:rPr>
                <w:color w:val="000000"/>
                <w:sz w:val="20"/>
                <w:szCs w:val="20"/>
              </w:rPr>
              <w:t> </w:t>
            </w:r>
          </w:p>
        </w:tc>
      </w:tr>
      <w:tr w:rsidR="00954279" w14:paraId="4B5ED345" w14:textId="77777777">
        <w:tc>
          <w:tcPr>
            <w:tcW w:w="2600" w:type="pct"/>
            <w:tcMar>
              <w:top w:w="5" w:type="dxa"/>
              <w:left w:w="5" w:type="dxa"/>
              <w:bottom w:w="5" w:type="dxa"/>
              <w:right w:w="5" w:type="dxa"/>
            </w:tcMar>
            <w:vAlign w:val="bottom"/>
            <w:hideMark/>
          </w:tcPr>
          <w:p w14:paraId="4CA2DF8C" w14:textId="77777777" w:rsidR="00954279" w:rsidRDefault="00A66714">
            <w:pPr>
              <w:rPr>
                <w:color w:val="000000"/>
                <w:sz w:val="20"/>
                <w:szCs w:val="20"/>
              </w:rPr>
            </w:pPr>
            <w:r>
              <w:rPr>
                <w:color w:val="000000"/>
                <w:sz w:val="20"/>
                <w:szCs w:val="20"/>
              </w:rPr>
              <w:t>Sales</w:t>
            </w:r>
          </w:p>
        </w:tc>
        <w:tc>
          <w:tcPr>
            <w:tcW w:w="50" w:type="pct"/>
            <w:tcMar>
              <w:top w:w="5" w:type="dxa"/>
              <w:left w:w="5" w:type="dxa"/>
              <w:bottom w:w="5" w:type="dxa"/>
              <w:right w:w="5" w:type="dxa"/>
            </w:tcMar>
            <w:vAlign w:val="bottom"/>
            <w:hideMark/>
          </w:tcPr>
          <w:p w14:paraId="1F66EA0F"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A2E0004"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61C366A1" w14:textId="77777777" w:rsidR="00954279" w:rsidRDefault="00A66714">
            <w:pPr>
              <w:jc w:val="right"/>
              <w:rPr>
                <w:color w:val="000000"/>
                <w:sz w:val="20"/>
                <w:szCs w:val="20"/>
              </w:rPr>
            </w:pPr>
            <w:r>
              <w:rPr>
                <w:b/>
                <w:bCs/>
                <w:color w:val="000000"/>
                <w:sz w:val="20"/>
                <w:szCs w:val="20"/>
              </w:rPr>
              <w:t>686</w:t>
            </w:r>
          </w:p>
        </w:tc>
        <w:tc>
          <w:tcPr>
            <w:tcW w:w="50" w:type="pct"/>
            <w:noWrap/>
            <w:tcMar>
              <w:top w:w="5" w:type="dxa"/>
              <w:left w:w="5" w:type="dxa"/>
              <w:bottom w:w="5" w:type="dxa"/>
              <w:right w:w="5" w:type="dxa"/>
            </w:tcMar>
            <w:vAlign w:val="bottom"/>
            <w:hideMark/>
          </w:tcPr>
          <w:p w14:paraId="20450BC7"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3E18A3E"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E8121CC"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4AFA6E91" w14:textId="77777777" w:rsidR="00954279" w:rsidRDefault="00A66714">
            <w:pPr>
              <w:jc w:val="right"/>
              <w:rPr>
                <w:color w:val="000000"/>
                <w:sz w:val="20"/>
                <w:szCs w:val="20"/>
              </w:rPr>
            </w:pPr>
            <w:r>
              <w:rPr>
                <w:color w:val="000000"/>
                <w:sz w:val="20"/>
                <w:szCs w:val="20"/>
              </w:rPr>
              <w:t>602</w:t>
            </w:r>
          </w:p>
        </w:tc>
        <w:tc>
          <w:tcPr>
            <w:tcW w:w="50" w:type="pct"/>
            <w:noWrap/>
            <w:tcMar>
              <w:top w:w="5" w:type="dxa"/>
              <w:left w:w="5" w:type="dxa"/>
              <w:bottom w:w="5" w:type="dxa"/>
              <w:right w:w="5" w:type="dxa"/>
            </w:tcMar>
            <w:vAlign w:val="bottom"/>
            <w:hideMark/>
          </w:tcPr>
          <w:p w14:paraId="04709A41"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EDA6077"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AB39F8E"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67FCDAD5" w14:textId="77777777" w:rsidR="00954279" w:rsidRDefault="00A66714">
            <w:pPr>
              <w:jc w:val="right"/>
              <w:rPr>
                <w:color w:val="000000"/>
                <w:sz w:val="20"/>
                <w:szCs w:val="20"/>
              </w:rPr>
            </w:pPr>
            <w:r>
              <w:rPr>
                <w:b/>
                <w:bCs/>
                <w:color w:val="000000"/>
                <w:sz w:val="20"/>
                <w:szCs w:val="20"/>
              </w:rPr>
              <w:t>1,295</w:t>
            </w:r>
          </w:p>
        </w:tc>
        <w:tc>
          <w:tcPr>
            <w:tcW w:w="50" w:type="pct"/>
            <w:noWrap/>
            <w:tcMar>
              <w:top w:w="5" w:type="dxa"/>
              <w:left w:w="5" w:type="dxa"/>
              <w:bottom w:w="5" w:type="dxa"/>
              <w:right w:w="5" w:type="dxa"/>
            </w:tcMar>
            <w:vAlign w:val="bottom"/>
            <w:hideMark/>
          </w:tcPr>
          <w:p w14:paraId="6A640BD2"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B266D7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C41BFC7"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7166F774" w14:textId="77777777" w:rsidR="00954279" w:rsidRDefault="00A66714">
            <w:pPr>
              <w:jc w:val="right"/>
              <w:rPr>
                <w:color w:val="000000"/>
                <w:sz w:val="20"/>
                <w:szCs w:val="20"/>
              </w:rPr>
            </w:pPr>
            <w:r>
              <w:rPr>
                <w:color w:val="000000"/>
                <w:sz w:val="20"/>
                <w:szCs w:val="20"/>
              </w:rPr>
              <w:t>1,396</w:t>
            </w:r>
          </w:p>
        </w:tc>
        <w:tc>
          <w:tcPr>
            <w:tcW w:w="50" w:type="pct"/>
            <w:noWrap/>
            <w:tcMar>
              <w:top w:w="5" w:type="dxa"/>
              <w:left w:w="5" w:type="dxa"/>
              <w:bottom w:w="5" w:type="dxa"/>
              <w:right w:w="5" w:type="dxa"/>
            </w:tcMar>
            <w:vAlign w:val="bottom"/>
            <w:hideMark/>
          </w:tcPr>
          <w:p w14:paraId="163005E5" w14:textId="77777777" w:rsidR="00954279" w:rsidRDefault="00A66714">
            <w:pPr>
              <w:rPr>
                <w:color w:val="000000"/>
                <w:sz w:val="20"/>
                <w:szCs w:val="20"/>
              </w:rPr>
            </w:pPr>
            <w:r>
              <w:rPr>
                <w:color w:val="000000"/>
                <w:sz w:val="20"/>
                <w:szCs w:val="20"/>
              </w:rPr>
              <w:t> </w:t>
            </w:r>
          </w:p>
        </w:tc>
      </w:tr>
      <w:tr w:rsidR="00954279" w14:paraId="05B67774" w14:textId="77777777">
        <w:tc>
          <w:tcPr>
            <w:tcW w:w="0" w:type="auto"/>
            <w:tcMar>
              <w:top w:w="5" w:type="dxa"/>
              <w:left w:w="5" w:type="dxa"/>
              <w:bottom w:w="5" w:type="dxa"/>
              <w:right w:w="5" w:type="dxa"/>
            </w:tcMar>
            <w:vAlign w:val="bottom"/>
            <w:hideMark/>
          </w:tcPr>
          <w:p w14:paraId="0FDBD6EF" w14:textId="77777777" w:rsidR="00954279" w:rsidRDefault="00A66714">
            <w:pPr>
              <w:rPr>
                <w:color w:val="000000"/>
                <w:sz w:val="20"/>
                <w:szCs w:val="20"/>
              </w:rPr>
            </w:pPr>
            <w:r>
              <w:rPr>
                <w:color w:val="000000"/>
                <w:sz w:val="20"/>
                <w:szCs w:val="20"/>
              </w:rPr>
              <w:t>Cost of sales</w:t>
            </w:r>
          </w:p>
        </w:tc>
        <w:tc>
          <w:tcPr>
            <w:tcW w:w="50" w:type="pct"/>
            <w:tcMar>
              <w:top w:w="5" w:type="dxa"/>
              <w:left w:w="5" w:type="dxa"/>
              <w:bottom w:w="5" w:type="dxa"/>
              <w:right w:w="5" w:type="dxa"/>
            </w:tcMar>
            <w:vAlign w:val="bottom"/>
            <w:hideMark/>
          </w:tcPr>
          <w:p w14:paraId="7FD152A1"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C5BF974"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0F7DA080" w14:textId="77777777" w:rsidR="00954279" w:rsidRDefault="00A66714">
            <w:pPr>
              <w:jc w:val="right"/>
              <w:rPr>
                <w:color w:val="000000"/>
                <w:sz w:val="20"/>
                <w:szCs w:val="20"/>
              </w:rPr>
            </w:pPr>
            <w:r>
              <w:rPr>
                <w:b/>
                <w:bCs/>
                <w:color w:val="000000"/>
                <w:sz w:val="20"/>
                <w:szCs w:val="20"/>
              </w:rPr>
              <w:t>574</w:t>
            </w:r>
          </w:p>
        </w:tc>
        <w:tc>
          <w:tcPr>
            <w:tcW w:w="50" w:type="pct"/>
            <w:noWrap/>
            <w:tcMar>
              <w:top w:w="5" w:type="dxa"/>
              <w:left w:w="5" w:type="dxa"/>
              <w:bottom w:w="20" w:type="dxa"/>
              <w:right w:w="5" w:type="dxa"/>
            </w:tcMar>
            <w:vAlign w:val="bottom"/>
            <w:hideMark/>
          </w:tcPr>
          <w:p w14:paraId="6182FB4E"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8EFD100"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331DBE5"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4ACDB370" w14:textId="77777777" w:rsidR="00954279" w:rsidRDefault="00A66714">
            <w:pPr>
              <w:jc w:val="right"/>
              <w:rPr>
                <w:color w:val="000000"/>
                <w:sz w:val="20"/>
                <w:szCs w:val="20"/>
              </w:rPr>
            </w:pPr>
            <w:r>
              <w:rPr>
                <w:color w:val="000000"/>
                <w:sz w:val="20"/>
                <w:szCs w:val="20"/>
              </w:rPr>
              <w:t>523</w:t>
            </w:r>
          </w:p>
        </w:tc>
        <w:tc>
          <w:tcPr>
            <w:tcW w:w="50" w:type="pct"/>
            <w:noWrap/>
            <w:tcMar>
              <w:top w:w="5" w:type="dxa"/>
              <w:left w:w="5" w:type="dxa"/>
              <w:bottom w:w="20" w:type="dxa"/>
              <w:right w:w="5" w:type="dxa"/>
            </w:tcMar>
            <w:vAlign w:val="bottom"/>
            <w:hideMark/>
          </w:tcPr>
          <w:p w14:paraId="5069A1F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F771EC6"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7E48BEA"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35D85EC2" w14:textId="77777777" w:rsidR="00954279" w:rsidRDefault="00A66714">
            <w:pPr>
              <w:jc w:val="right"/>
              <w:rPr>
                <w:color w:val="000000"/>
                <w:sz w:val="20"/>
                <w:szCs w:val="20"/>
              </w:rPr>
            </w:pPr>
            <w:r>
              <w:rPr>
                <w:b/>
                <w:bCs/>
                <w:color w:val="000000"/>
                <w:sz w:val="20"/>
                <w:szCs w:val="20"/>
              </w:rPr>
              <w:t>1,080</w:t>
            </w:r>
          </w:p>
        </w:tc>
        <w:tc>
          <w:tcPr>
            <w:tcW w:w="50" w:type="pct"/>
            <w:noWrap/>
            <w:tcMar>
              <w:top w:w="5" w:type="dxa"/>
              <w:left w:w="5" w:type="dxa"/>
              <w:bottom w:w="20" w:type="dxa"/>
              <w:right w:w="5" w:type="dxa"/>
            </w:tcMar>
            <w:vAlign w:val="bottom"/>
            <w:hideMark/>
          </w:tcPr>
          <w:p w14:paraId="48B80EA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816A56F"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7D576D3"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533C853F" w14:textId="77777777" w:rsidR="00954279" w:rsidRDefault="00A66714">
            <w:pPr>
              <w:jc w:val="right"/>
              <w:rPr>
                <w:color w:val="000000"/>
                <w:sz w:val="20"/>
                <w:szCs w:val="20"/>
              </w:rPr>
            </w:pPr>
            <w:r>
              <w:rPr>
                <w:color w:val="000000"/>
                <w:sz w:val="20"/>
                <w:szCs w:val="20"/>
              </w:rPr>
              <w:t>1,169</w:t>
            </w:r>
          </w:p>
        </w:tc>
        <w:tc>
          <w:tcPr>
            <w:tcW w:w="50" w:type="pct"/>
            <w:noWrap/>
            <w:tcMar>
              <w:top w:w="5" w:type="dxa"/>
              <w:left w:w="5" w:type="dxa"/>
              <w:bottom w:w="20" w:type="dxa"/>
              <w:right w:w="5" w:type="dxa"/>
            </w:tcMar>
            <w:vAlign w:val="bottom"/>
            <w:hideMark/>
          </w:tcPr>
          <w:p w14:paraId="53D0A0D2" w14:textId="77777777" w:rsidR="00954279" w:rsidRDefault="00A66714">
            <w:pPr>
              <w:rPr>
                <w:color w:val="000000"/>
                <w:sz w:val="20"/>
                <w:szCs w:val="20"/>
              </w:rPr>
            </w:pPr>
            <w:r>
              <w:rPr>
                <w:color w:val="000000"/>
                <w:sz w:val="20"/>
                <w:szCs w:val="20"/>
              </w:rPr>
              <w:t> </w:t>
            </w:r>
          </w:p>
        </w:tc>
      </w:tr>
      <w:tr w:rsidR="00954279" w14:paraId="3B03EE18" w14:textId="77777777">
        <w:tc>
          <w:tcPr>
            <w:tcW w:w="0" w:type="auto"/>
            <w:tcMar>
              <w:top w:w="5" w:type="dxa"/>
              <w:left w:w="5" w:type="dxa"/>
              <w:bottom w:w="5" w:type="dxa"/>
              <w:right w:w="5" w:type="dxa"/>
            </w:tcMar>
            <w:vAlign w:val="bottom"/>
            <w:hideMark/>
          </w:tcPr>
          <w:p w14:paraId="4411447A" w14:textId="77777777" w:rsidR="00954279" w:rsidRDefault="00A66714">
            <w:pPr>
              <w:rPr>
                <w:color w:val="000000"/>
                <w:sz w:val="20"/>
                <w:szCs w:val="20"/>
              </w:rPr>
            </w:pPr>
            <w:r>
              <w:rPr>
                <w:color w:val="000000"/>
                <w:sz w:val="20"/>
                <w:szCs w:val="20"/>
              </w:rPr>
              <w:t>Gross profit</w:t>
            </w:r>
          </w:p>
        </w:tc>
        <w:tc>
          <w:tcPr>
            <w:tcW w:w="50" w:type="pct"/>
            <w:tcMar>
              <w:top w:w="5" w:type="dxa"/>
              <w:left w:w="5" w:type="dxa"/>
              <w:bottom w:w="5" w:type="dxa"/>
              <w:right w:w="5" w:type="dxa"/>
            </w:tcMar>
            <w:vAlign w:val="bottom"/>
            <w:hideMark/>
          </w:tcPr>
          <w:p w14:paraId="657CE40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3447CA5"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56E7DD6" w14:textId="77777777" w:rsidR="00954279" w:rsidRDefault="00A66714">
            <w:pPr>
              <w:jc w:val="right"/>
              <w:rPr>
                <w:color w:val="000000"/>
                <w:sz w:val="20"/>
                <w:szCs w:val="20"/>
              </w:rPr>
            </w:pPr>
            <w:r>
              <w:rPr>
                <w:b/>
                <w:bCs/>
                <w:color w:val="000000"/>
                <w:sz w:val="20"/>
                <w:szCs w:val="20"/>
              </w:rPr>
              <w:t>112</w:t>
            </w:r>
          </w:p>
        </w:tc>
        <w:tc>
          <w:tcPr>
            <w:tcW w:w="50" w:type="pct"/>
            <w:noWrap/>
            <w:tcMar>
              <w:top w:w="5" w:type="dxa"/>
              <w:left w:w="5" w:type="dxa"/>
              <w:bottom w:w="5" w:type="dxa"/>
              <w:right w:w="5" w:type="dxa"/>
            </w:tcMar>
            <w:vAlign w:val="bottom"/>
            <w:hideMark/>
          </w:tcPr>
          <w:p w14:paraId="2ADE67E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1455F70"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D6B26F3"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2C21B42" w14:textId="77777777" w:rsidR="00954279" w:rsidRDefault="00A66714">
            <w:pPr>
              <w:jc w:val="right"/>
              <w:rPr>
                <w:color w:val="000000"/>
                <w:sz w:val="20"/>
                <w:szCs w:val="20"/>
              </w:rPr>
            </w:pPr>
            <w:r>
              <w:rPr>
                <w:color w:val="000000"/>
                <w:sz w:val="20"/>
                <w:szCs w:val="20"/>
              </w:rPr>
              <w:t>79</w:t>
            </w:r>
          </w:p>
        </w:tc>
        <w:tc>
          <w:tcPr>
            <w:tcW w:w="50" w:type="pct"/>
            <w:noWrap/>
            <w:tcMar>
              <w:top w:w="5" w:type="dxa"/>
              <w:left w:w="5" w:type="dxa"/>
              <w:bottom w:w="5" w:type="dxa"/>
              <w:right w:w="5" w:type="dxa"/>
            </w:tcMar>
            <w:vAlign w:val="bottom"/>
            <w:hideMark/>
          </w:tcPr>
          <w:p w14:paraId="0B9C8AC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F856318"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B373EED"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175CE35" w14:textId="77777777" w:rsidR="00954279" w:rsidRDefault="00A66714">
            <w:pPr>
              <w:jc w:val="right"/>
              <w:rPr>
                <w:color w:val="000000"/>
                <w:sz w:val="20"/>
                <w:szCs w:val="20"/>
              </w:rPr>
            </w:pPr>
            <w:r>
              <w:rPr>
                <w:b/>
                <w:bCs/>
                <w:color w:val="000000"/>
                <w:sz w:val="20"/>
                <w:szCs w:val="20"/>
              </w:rPr>
              <w:t>215</w:t>
            </w:r>
          </w:p>
        </w:tc>
        <w:tc>
          <w:tcPr>
            <w:tcW w:w="50" w:type="pct"/>
            <w:noWrap/>
            <w:tcMar>
              <w:top w:w="5" w:type="dxa"/>
              <w:left w:w="5" w:type="dxa"/>
              <w:bottom w:w="5" w:type="dxa"/>
              <w:right w:w="5" w:type="dxa"/>
            </w:tcMar>
            <w:vAlign w:val="bottom"/>
            <w:hideMark/>
          </w:tcPr>
          <w:p w14:paraId="7F74A55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8F8C00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9EB5490"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417DC80" w14:textId="77777777" w:rsidR="00954279" w:rsidRDefault="00A66714">
            <w:pPr>
              <w:jc w:val="right"/>
              <w:rPr>
                <w:color w:val="000000"/>
                <w:sz w:val="20"/>
                <w:szCs w:val="20"/>
              </w:rPr>
            </w:pPr>
            <w:r>
              <w:rPr>
                <w:color w:val="000000"/>
                <w:sz w:val="20"/>
                <w:szCs w:val="20"/>
              </w:rPr>
              <w:t>227</w:t>
            </w:r>
          </w:p>
        </w:tc>
        <w:tc>
          <w:tcPr>
            <w:tcW w:w="50" w:type="pct"/>
            <w:noWrap/>
            <w:tcMar>
              <w:top w:w="5" w:type="dxa"/>
              <w:left w:w="5" w:type="dxa"/>
              <w:bottom w:w="5" w:type="dxa"/>
              <w:right w:w="5" w:type="dxa"/>
            </w:tcMar>
            <w:vAlign w:val="bottom"/>
            <w:hideMark/>
          </w:tcPr>
          <w:p w14:paraId="7272D936" w14:textId="77777777" w:rsidR="00954279" w:rsidRDefault="00A66714">
            <w:pPr>
              <w:rPr>
                <w:color w:val="000000"/>
                <w:sz w:val="20"/>
                <w:szCs w:val="20"/>
              </w:rPr>
            </w:pPr>
            <w:r>
              <w:rPr>
                <w:color w:val="000000"/>
                <w:sz w:val="20"/>
                <w:szCs w:val="20"/>
              </w:rPr>
              <w:t> </w:t>
            </w:r>
          </w:p>
        </w:tc>
      </w:tr>
      <w:tr w:rsidR="00954279" w14:paraId="26987F6C" w14:textId="77777777">
        <w:tc>
          <w:tcPr>
            <w:tcW w:w="0" w:type="auto"/>
            <w:tcMar>
              <w:top w:w="5" w:type="dxa"/>
              <w:left w:w="5" w:type="dxa"/>
              <w:bottom w:w="5" w:type="dxa"/>
              <w:right w:w="5" w:type="dxa"/>
            </w:tcMar>
            <w:vAlign w:val="bottom"/>
            <w:hideMark/>
          </w:tcPr>
          <w:p w14:paraId="20D1E3C4" w14:textId="77777777" w:rsidR="00954279" w:rsidRDefault="00A66714">
            <w:pPr>
              <w:rPr>
                <w:color w:val="000000"/>
                <w:sz w:val="20"/>
                <w:szCs w:val="20"/>
              </w:rPr>
            </w:pPr>
            <w:r>
              <w:rPr>
                <w:color w:val="000000"/>
                <w:sz w:val="20"/>
                <w:szCs w:val="20"/>
              </w:rPr>
              <w:t>Selling, general and administrative expenses</w:t>
            </w:r>
          </w:p>
        </w:tc>
        <w:tc>
          <w:tcPr>
            <w:tcW w:w="50" w:type="pct"/>
            <w:tcMar>
              <w:top w:w="5" w:type="dxa"/>
              <w:left w:w="5" w:type="dxa"/>
              <w:bottom w:w="5" w:type="dxa"/>
              <w:right w:w="5" w:type="dxa"/>
            </w:tcMar>
            <w:vAlign w:val="bottom"/>
            <w:hideMark/>
          </w:tcPr>
          <w:p w14:paraId="2F1B8FE6"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F6C3F26"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6BF716B" w14:textId="77777777" w:rsidR="00954279" w:rsidRDefault="00A66714">
            <w:pPr>
              <w:jc w:val="right"/>
              <w:rPr>
                <w:color w:val="000000"/>
                <w:sz w:val="20"/>
                <w:szCs w:val="20"/>
              </w:rPr>
            </w:pPr>
            <w:r>
              <w:rPr>
                <w:b/>
                <w:bCs/>
                <w:color w:val="000000"/>
                <w:sz w:val="20"/>
                <w:szCs w:val="20"/>
              </w:rPr>
              <w:t>102</w:t>
            </w:r>
          </w:p>
        </w:tc>
        <w:tc>
          <w:tcPr>
            <w:tcW w:w="50" w:type="pct"/>
            <w:noWrap/>
            <w:tcMar>
              <w:top w:w="5" w:type="dxa"/>
              <w:left w:w="5" w:type="dxa"/>
              <w:bottom w:w="5" w:type="dxa"/>
              <w:right w:w="5" w:type="dxa"/>
            </w:tcMar>
            <w:vAlign w:val="bottom"/>
            <w:hideMark/>
          </w:tcPr>
          <w:p w14:paraId="796EDCD3"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D1A8B61"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E61E479"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C86E6CD" w14:textId="77777777" w:rsidR="00954279" w:rsidRDefault="00A66714">
            <w:pPr>
              <w:jc w:val="right"/>
              <w:rPr>
                <w:color w:val="000000"/>
                <w:sz w:val="20"/>
                <w:szCs w:val="20"/>
              </w:rPr>
            </w:pPr>
            <w:r>
              <w:rPr>
                <w:color w:val="000000"/>
                <w:sz w:val="20"/>
                <w:szCs w:val="20"/>
              </w:rPr>
              <w:t>126</w:t>
            </w:r>
          </w:p>
        </w:tc>
        <w:tc>
          <w:tcPr>
            <w:tcW w:w="50" w:type="pct"/>
            <w:noWrap/>
            <w:tcMar>
              <w:top w:w="5" w:type="dxa"/>
              <w:left w:w="5" w:type="dxa"/>
              <w:bottom w:w="5" w:type="dxa"/>
              <w:right w:w="5" w:type="dxa"/>
            </w:tcMar>
            <w:vAlign w:val="bottom"/>
            <w:hideMark/>
          </w:tcPr>
          <w:p w14:paraId="1E510F3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6C20C39"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D5BAC9D"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0F9EEEF" w14:textId="77777777" w:rsidR="00954279" w:rsidRDefault="00A66714">
            <w:pPr>
              <w:jc w:val="right"/>
              <w:rPr>
                <w:color w:val="000000"/>
                <w:sz w:val="20"/>
                <w:szCs w:val="20"/>
              </w:rPr>
            </w:pPr>
            <w:r>
              <w:rPr>
                <w:b/>
                <w:bCs/>
                <w:color w:val="000000"/>
                <w:sz w:val="20"/>
                <w:szCs w:val="20"/>
              </w:rPr>
              <w:t>202</w:t>
            </w:r>
          </w:p>
        </w:tc>
        <w:tc>
          <w:tcPr>
            <w:tcW w:w="50" w:type="pct"/>
            <w:noWrap/>
            <w:tcMar>
              <w:top w:w="5" w:type="dxa"/>
              <w:left w:w="5" w:type="dxa"/>
              <w:bottom w:w="5" w:type="dxa"/>
              <w:right w:w="5" w:type="dxa"/>
            </w:tcMar>
            <w:vAlign w:val="bottom"/>
            <w:hideMark/>
          </w:tcPr>
          <w:p w14:paraId="4F500FE1"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D7E0866"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7150CD7"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D9A817F" w14:textId="77777777" w:rsidR="00954279" w:rsidRDefault="00A66714">
            <w:pPr>
              <w:jc w:val="right"/>
              <w:rPr>
                <w:color w:val="000000"/>
                <w:sz w:val="20"/>
                <w:szCs w:val="20"/>
              </w:rPr>
            </w:pPr>
            <w:r>
              <w:rPr>
                <w:color w:val="000000"/>
                <w:sz w:val="20"/>
                <w:szCs w:val="20"/>
              </w:rPr>
              <w:t>252</w:t>
            </w:r>
          </w:p>
        </w:tc>
        <w:tc>
          <w:tcPr>
            <w:tcW w:w="50" w:type="pct"/>
            <w:noWrap/>
            <w:tcMar>
              <w:top w:w="5" w:type="dxa"/>
              <w:left w:w="5" w:type="dxa"/>
              <w:bottom w:w="5" w:type="dxa"/>
              <w:right w:w="5" w:type="dxa"/>
            </w:tcMar>
            <w:vAlign w:val="bottom"/>
            <w:hideMark/>
          </w:tcPr>
          <w:p w14:paraId="2B66ECD5" w14:textId="77777777" w:rsidR="00954279" w:rsidRDefault="00A66714">
            <w:pPr>
              <w:rPr>
                <w:color w:val="000000"/>
                <w:sz w:val="20"/>
                <w:szCs w:val="20"/>
              </w:rPr>
            </w:pPr>
            <w:r>
              <w:rPr>
                <w:color w:val="000000"/>
                <w:sz w:val="20"/>
                <w:szCs w:val="20"/>
              </w:rPr>
              <w:t> </w:t>
            </w:r>
          </w:p>
        </w:tc>
      </w:tr>
      <w:tr w:rsidR="00954279" w14:paraId="0000C953" w14:textId="77777777">
        <w:tc>
          <w:tcPr>
            <w:tcW w:w="0" w:type="auto"/>
            <w:tcMar>
              <w:top w:w="5" w:type="dxa"/>
              <w:left w:w="5" w:type="dxa"/>
              <w:bottom w:w="5" w:type="dxa"/>
              <w:right w:w="5" w:type="dxa"/>
            </w:tcMar>
            <w:vAlign w:val="bottom"/>
            <w:hideMark/>
          </w:tcPr>
          <w:p w14:paraId="435D161F" w14:textId="77777777" w:rsidR="00954279" w:rsidRDefault="00A66714">
            <w:pPr>
              <w:rPr>
                <w:color w:val="000000"/>
                <w:sz w:val="20"/>
                <w:szCs w:val="20"/>
              </w:rPr>
            </w:pPr>
            <w:r>
              <w:rPr>
                <w:color w:val="000000"/>
                <w:sz w:val="20"/>
                <w:szCs w:val="20"/>
              </w:rPr>
              <w:t>Goodwill and intangible asset impairment</w:t>
            </w:r>
          </w:p>
        </w:tc>
        <w:tc>
          <w:tcPr>
            <w:tcW w:w="50" w:type="pct"/>
            <w:tcMar>
              <w:top w:w="5" w:type="dxa"/>
              <w:left w:w="5" w:type="dxa"/>
              <w:bottom w:w="20" w:type="dxa"/>
              <w:right w:w="5" w:type="dxa"/>
            </w:tcMar>
            <w:vAlign w:val="bottom"/>
            <w:hideMark/>
          </w:tcPr>
          <w:p w14:paraId="65266C77"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E1BFCD5"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62BF248F" w14:textId="77777777" w:rsidR="00954279" w:rsidRDefault="00A66714">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59EA7018" w14:textId="77777777" w:rsidR="00954279" w:rsidRDefault="00A66714">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11DB2303"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EDAD8D9"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4CBDBD7F" w14:textId="77777777" w:rsidR="00954279" w:rsidRDefault="00A66714">
            <w:pPr>
              <w:jc w:val="right"/>
              <w:rPr>
                <w:color w:val="000000"/>
                <w:sz w:val="20"/>
                <w:szCs w:val="20"/>
              </w:rPr>
            </w:pPr>
            <w:r>
              <w:rPr>
                <w:color w:val="000000"/>
                <w:sz w:val="20"/>
                <w:szCs w:val="20"/>
              </w:rPr>
              <w:t>242</w:t>
            </w:r>
          </w:p>
        </w:tc>
        <w:tc>
          <w:tcPr>
            <w:tcW w:w="50" w:type="pct"/>
            <w:noWrap/>
            <w:tcMar>
              <w:top w:w="5" w:type="dxa"/>
              <w:left w:w="5" w:type="dxa"/>
              <w:bottom w:w="20" w:type="dxa"/>
              <w:right w:w="5" w:type="dxa"/>
            </w:tcMar>
            <w:vAlign w:val="bottom"/>
            <w:hideMark/>
          </w:tcPr>
          <w:p w14:paraId="261B819D" w14:textId="77777777" w:rsidR="00954279" w:rsidRDefault="00A66714">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08481AA9"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13388D4"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41151923" w14:textId="77777777" w:rsidR="00954279" w:rsidRDefault="00A66714">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617231AC" w14:textId="77777777" w:rsidR="00954279" w:rsidRDefault="00A66714">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74E88B24"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82EE75B"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5A6E4A86" w14:textId="77777777" w:rsidR="00954279" w:rsidRDefault="00A66714">
            <w:pPr>
              <w:jc w:val="right"/>
              <w:rPr>
                <w:color w:val="000000"/>
                <w:sz w:val="20"/>
                <w:szCs w:val="20"/>
              </w:rPr>
            </w:pPr>
            <w:r>
              <w:rPr>
                <w:color w:val="000000"/>
                <w:sz w:val="20"/>
                <w:szCs w:val="20"/>
              </w:rPr>
              <w:t>242</w:t>
            </w:r>
          </w:p>
        </w:tc>
        <w:tc>
          <w:tcPr>
            <w:tcW w:w="50" w:type="pct"/>
            <w:noWrap/>
            <w:tcMar>
              <w:top w:w="5" w:type="dxa"/>
              <w:left w:w="5" w:type="dxa"/>
              <w:bottom w:w="20" w:type="dxa"/>
              <w:right w:w="5" w:type="dxa"/>
            </w:tcMar>
            <w:vAlign w:val="bottom"/>
            <w:hideMark/>
          </w:tcPr>
          <w:p w14:paraId="542DE6EC" w14:textId="77777777" w:rsidR="00954279" w:rsidRDefault="00A66714">
            <w:pPr>
              <w:rPr>
                <w:color w:val="000000"/>
                <w:sz w:val="20"/>
                <w:szCs w:val="20"/>
              </w:rPr>
            </w:pPr>
            <w:r>
              <w:rPr>
                <w:color w:val="000000"/>
                <w:sz w:val="20"/>
                <w:szCs w:val="20"/>
              </w:rPr>
              <w:t> </w:t>
            </w:r>
          </w:p>
        </w:tc>
      </w:tr>
      <w:tr w:rsidR="00954279" w14:paraId="4030EC24" w14:textId="77777777">
        <w:tc>
          <w:tcPr>
            <w:tcW w:w="0" w:type="auto"/>
            <w:tcMar>
              <w:top w:w="5" w:type="dxa"/>
              <w:left w:w="5" w:type="dxa"/>
              <w:bottom w:w="5" w:type="dxa"/>
              <w:right w:w="5" w:type="dxa"/>
            </w:tcMar>
            <w:vAlign w:val="bottom"/>
            <w:hideMark/>
          </w:tcPr>
          <w:p w14:paraId="3938239C" w14:textId="77777777" w:rsidR="00954279" w:rsidRDefault="00A66714">
            <w:pPr>
              <w:rPr>
                <w:color w:val="000000"/>
                <w:sz w:val="20"/>
                <w:szCs w:val="20"/>
              </w:rPr>
            </w:pPr>
            <w:r>
              <w:rPr>
                <w:color w:val="000000"/>
                <w:sz w:val="20"/>
                <w:szCs w:val="20"/>
              </w:rPr>
              <w:t>Operating income (loss)</w:t>
            </w:r>
          </w:p>
        </w:tc>
        <w:tc>
          <w:tcPr>
            <w:tcW w:w="50" w:type="pct"/>
            <w:tcMar>
              <w:top w:w="5" w:type="dxa"/>
              <w:left w:w="5" w:type="dxa"/>
              <w:bottom w:w="5" w:type="dxa"/>
              <w:right w:w="5" w:type="dxa"/>
            </w:tcMar>
            <w:vAlign w:val="bottom"/>
            <w:hideMark/>
          </w:tcPr>
          <w:p w14:paraId="39BAE2D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19CA765"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1CEB95E" w14:textId="77777777" w:rsidR="00954279" w:rsidRDefault="00A66714">
            <w:pPr>
              <w:jc w:val="right"/>
              <w:rPr>
                <w:color w:val="000000"/>
                <w:sz w:val="20"/>
                <w:szCs w:val="20"/>
              </w:rPr>
            </w:pPr>
            <w:r>
              <w:rPr>
                <w:b/>
                <w:bCs/>
                <w:color w:val="000000"/>
                <w:sz w:val="20"/>
                <w:szCs w:val="20"/>
              </w:rPr>
              <w:t>10</w:t>
            </w:r>
          </w:p>
        </w:tc>
        <w:tc>
          <w:tcPr>
            <w:tcW w:w="50" w:type="pct"/>
            <w:noWrap/>
            <w:tcMar>
              <w:top w:w="5" w:type="dxa"/>
              <w:left w:w="5" w:type="dxa"/>
              <w:bottom w:w="5" w:type="dxa"/>
              <w:right w:w="5" w:type="dxa"/>
            </w:tcMar>
            <w:vAlign w:val="bottom"/>
            <w:hideMark/>
          </w:tcPr>
          <w:p w14:paraId="72A9FF4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EB3F0A2"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8236884"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16D7EEC" w14:textId="77777777" w:rsidR="00954279" w:rsidRDefault="00A66714">
            <w:pPr>
              <w:jc w:val="right"/>
              <w:rPr>
                <w:color w:val="000000"/>
                <w:sz w:val="20"/>
                <w:szCs w:val="20"/>
              </w:rPr>
            </w:pPr>
            <w:r>
              <w:rPr>
                <w:color w:val="000000"/>
                <w:sz w:val="20"/>
                <w:szCs w:val="20"/>
              </w:rPr>
              <w:t>(289</w:t>
            </w:r>
          </w:p>
        </w:tc>
        <w:tc>
          <w:tcPr>
            <w:tcW w:w="50" w:type="pct"/>
            <w:noWrap/>
            <w:tcMar>
              <w:top w:w="5" w:type="dxa"/>
              <w:left w:w="5" w:type="dxa"/>
              <w:bottom w:w="5" w:type="dxa"/>
              <w:right w:w="5" w:type="dxa"/>
            </w:tcMar>
            <w:vAlign w:val="bottom"/>
            <w:hideMark/>
          </w:tcPr>
          <w:p w14:paraId="40AAFDF3"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7ADD216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0583DC0"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44598A3" w14:textId="77777777" w:rsidR="00954279" w:rsidRDefault="00A66714">
            <w:pPr>
              <w:jc w:val="right"/>
              <w:rPr>
                <w:color w:val="000000"/>
                <w:sz w:val="20"/>
                <w:szCs w:val="20"/>
              </w:rPr>
            </w:pPr>
            <w:r>
              <w:rPr>
                <w:b/>
                <w:bCs/>
                <w:color w:val="000000"/>
                <w:sz w:val="20"/>
                <w:szCs w:val="20"/>
              </w:rPr>
              <w:t>13</w:t>
            </w:r>
          </w:p>
        </w:tc>
        <w:tc>
          <w:tcPr>
            <w:tcW w:w="50" w:type="pct"/>
            <w:noWrap/>
            <w:tcMar>
              <w:top w:w="5" w:type="dxa"/>
              <w:left w:w="5" w:type="dxa"/>
              <w:bottom w:w="5" w:type="dxa"/>
              <w:right w:w="5" w:type="dxa"/>
            </w:tcMar>
            <w:vAlign w:val="bottom"/>
            <w:hideMark/>
          </w:tcPr>
          <w:p w14:paraId="1CFD6D4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156CC69"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9EC9CC8"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54766D1" w14:textId="77777777" w:rsidR="00954279" w:rsidRDefault="00A66714">
            <w:pPr>
              <w:jc w:val="right"/>
              <w:rPr>
                <w:color w:val="000000"/>
                <w:sz w:val="20"/>
                <w:szCs w:val="20"/>
              </w:rPr>
            </w:pPr>
            <w:r>
              <w:rPr>
                <w:color w:val="000000"/>
                <w:sz w:val="20"/>
                <w:szCs w:val="20"/>
              </w:rPr>
              <w:t>(267</w:t>
            </w:r>
          </w:p>
        </w:tc>
        <w:tc>
          <w:tcPr>
            <w:tcW w:w="50" w:type="pct"/>
            <w:noWrap/>
            <w:tcMar>
              <w:top w:w="5" w:type="dxa"/>
              <w:left w:w="5" w:type="dxa"/>
              <w:bottom w:w="5" w:type="dxa"/>
              <w:right w:w="5" w:type="dxa"/>
            </w:tcMar>
            <w:vAlign w:val="bottom"/>
            <w:hideMark/>
          </w:tcPr>
          <w:p w14:paraId="5F4048AD" w14:textId="77777777" w:rsidR="00954279" w:rsidRDefault="00A66714">
            <w:pPr>
              <w:rPr>
                <w:color w:val="000000"/>
                <w:sz w:val="20"/>
                <w:szCs w:val="20"/>
              </w:rPr>
            </w:pPr>
            <w:r>
              <w:rPr>
                <w:color w:val="000000"/>
                <w:sz w:val="20"/>
                <w:szCs w:val="20"/>
              </w:rPr>
              <w:t>)</w:t>
            </w:r>
          </w:p>
        </w:tc>
      </w:tr>
      <w:tr w:rsidR="00954279" w14:paraId="4168909B" w14:textId="77777777">
        <w:tc>
          <w:tcPr>
            <w:tcW w:w="0" w:type="auto"/>
            <w:tcMar>
              <w:top w:w="5" w:type="dxa"/>
              <w:left w:w="5" w:type="dxa"/>
              <w:bottom w:w="5" w:type="dxa"/>
              <w:right w:w="5" w:type="dxa"/>
            </w:tcMar>
            <w:vAlign w:val="bottom"/>
            <w:hideMark/>
          </w:tcPr>
          <w:p w14:paraId="2FDFEC02" w14:textId="77777777" w:rsidR="00954279" w:rsidRDefault="00A66714">
            <w:pPr>
              <w:rPr>
                <w:color w:val="000000"/>
                <w:sz w:val="20"/>
                <w:szCs w:val="20"/>
              </w:rPr>
            </w:pPr>
            <w:r>
              <w:rPr>
                <w:color w:val="000000"/>
                <w:sz w:val="20"/>
                <w:szCs w:val="20"/>
              </w:rPr>
              <w:t>Other (expense) income:</w:t>
            </w:r>
          </w:p>
        </w:tc>
        <w:tc>
          <w:tcPr>
            <w:tcW w:w="0" w:type="auto"/>
            <w:tcMar>
              <w:top w:w="5" w:type="dxa"/>
              <w:left w:w="5" w:type="dxa"/>
              <w:bottom w:w="5" w:type="dxa"/>
              <w:right w:w="5" w:type="dxa"/>
            </w:tcMar>
            <w:vAlign w:val="bottom"/>
            <w:hideMark/>
          </w:tcPr>
          <w:p w14:paraId="3C6DD4C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C88BE2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4F361D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7FD4B2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B37D22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7871A7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50EDBF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61A387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6F46ED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A4C160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3F4E25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49B92A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F56A88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A8C06E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8F2A1A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F30E25A" w14:textId="77777777" w:rsidR="00954279" w:rsidRDefault="00A66714">
            <w:pPr>
              <w:rPr>
                <w:color w:val="000000"/>
                <w:sz w:val="20"/>
                <w:szCs w:val="20"/>
              </w:rPr>
            </w:pPr>
            <w:r>
              <w:rPr>
                <w:color w:val="000000"/>
                <w:sz w:val="20"/>
                <w:szCs w:val="20"/>
              </w:rPr>
              <w:t> </w:t>
            </w:r>
          </w:p>
        </w:tc>
      </w:tr>
      <w:tr w:rsidR="00954279" w14:paraId="05E7E13A" w14:textId="77777777">
        <w:tc>
          <w:tcPr>
            <w:tcW w:w="0" w:type="auto"/>
            <w:tcMar>
              <w:top w:w="5" w:type="dxa"/>
              <w:left w:w="5" w:type="dxa"/>
              <w:bottom w:w="5" w:type="dxa"/>
              <w:right w:w="5" w:type="dxa"/>
            </w:tcMar>
            <w:vAlign w:val="bottom"/>
            <w:hideMark/>
          </w:tcPr>
          <w:p w14:paraId="6380522A" w14:textId="77777777" w:rsidR="00954279" w:rsidRDefault="00A66714">
            <w:pPr>
              <w:rPr>
                <w:color w:val="000000"/>
                <w:sz w:val="20"/>
                <w:szCs w:val="20"/>
              </w:rPr>
            </w:pPr>
            <w:r>
              <w:rPr>
                <w:color w:val="000000"/>
                <w:sz w:val="20"/>
                <w:szCs w:val="20"/>
              </w:rPr>
              <w:t>Interest expense</w:t>
            </w:r>
          </w:p>
        </w:tc>
        <w:tc>
          <w:tcPr>
            <w:tcW w:w="50" w:type="pct"/>
            <w:tcMar>
              <w:top w:w="5" w:type="dxa"/>
              <w:left w:w="5" w:type="dxa"/>
              <w:bottom w:w="5" w:type="dxa"/>
              <w:right w:w="5" w:type="dxa"/>
            </w:tcMar>
            <w:vAlign w:val="bottom"/>
            <w:hideMark/>
          </w:tcPr>
          <w:p w14:paraId="4CDCF68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3E9F6F3"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1B3AFAD" w14:textId="77777777" w:rsidR="00954279" w:rsidRDefault="00A66714">
            <w:pPr>
              <w:jc w:val="right"/>
              <w:rPr>
                <w:color w:val="000000"/>
                <w:sz w:val="20"/>
                <w:szCs w:val="20"/>
              </w:rPr>
            </w:pPr>
            <w:r>
              <w:rPr>
                <w:b/>
                <w:bCs/>
                <w:color w:val="000000"/>
                <w:sz w:val="20"/>
                <w:szCs w:val="20"/>
              </w:rPr>
              <w:t>(6</w:t>
            </w:r>
          </w:p>
        </w:tc>
        <w:tc>
          <w:tcPr>
            <w:tcW w:w="50" w:type="pct"/>
            <w:noWrap/>
            <w:tcMar>
              <w:top w:w="5" w:type="dxa"/>
              <w:left w:w="5" w:type="dxa"/>
              <w:bottom w:w="5" w:type="dxa"/>
              <w:right w:w="5" w:type="dxa"/>
            </w:tcMar>
            <w:vAlign w:val="bottom"/>
            <w:hideMark/>
          </w:tcPr>
          <w:p w14:paraId="75677329"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1CB9DAA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1058B0A"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CB3C0B8" w14:textId="77777777" w:rsidR="00954279" w:rsidRDefault="00A66714">
            <w:pPr>
              <w:jc w:val="right"/>
              <w:rPr>
                <w:color w:val="000000"/>
                <w:sz w:val="20"/>
                <w:szCs w:val="20"/>
              </w:rPr>
            </w:pPr>
            <w:r>
              <w:rPr>
                <w:color w:val="000000"/>
                <w:sz w:val="20"/>
                <w:szCs w:val="20"/>
              </w:rPr>
              <w:t>(7</w:t>
            </w:r>
          </w:p>
        </w:tc>
        <w:tc>
          <w:tcPr>
            <w:tcW w:w="50" w:type="pct"/>
            <w:noWrap/>
            <w:tcMar>
              <w:top w:w="5" w:type="dxa"/>
              <w:left w:w="5" w:type="dxa"/>
              <w:bottom w:w="5" w:type="dxa"/>
              <w:right w:w="5" w:type="dxa"/>
            </w:tcMar>
            <w:vAlign w:val="bottom"/>
            <w:hideMark/>
          </w:tcPr>
          <w:p w14:paraId="46F534A0"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47F0B99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90D8D8E"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7FC7268" w14:textId="77777777" w:rsidR="00954279" w:rsidRDefault="00A66714">
            <w:pPr>
              <w:jc w:val="right"/>
              <w:rPr>
                <w:color w:val="000000"/>
                <w:sz w:val="20"/>
                <w:szCs w:val="20"/>
              </w:rPr>
            </w:pPr>
            <w:r>
              <w:rPr>
                <w:b/>
                <w:bCs/>
                <w:color w:val="000000"/>
                <w:sz w:val="20"/>
                <w:szCs w:val="20"/>
              </w:rPr>
              <w:t>(12</w:t>
            </w:r>
          </w:p>
        </w:tc>
        <w:tc>
          <w:tcPr>
            <w:tcW w:w="50" w:type="pct"/>
            <w:noWrap/>
            <w:tcMar>
              <w:top w:w="5" w:type="dxa"/>
              <w:left w:w="5" w:type="dxa"/>
              <w:bottom w:w="5" w:type="dxa"/>
              <w:right w:w="5" w:type="dxa"/>
            </w:tcMar>
            <w:vAlign w:val="bottom"/>
            <w:hideMark/>
          </w:tcPr>
          <w:p w14:paraId="4ABDAFF6" w14:textId="77777777" w:rsidR="00954279" w:rsidRDefault="00A66714">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6A144256"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641D282"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63582F8" w14:textId="77777777" w:rsidR="00954279" w:rsidRDefault="00A66714">
            <w:pPr>
              <w:jc w:val="right"/>
              <w:rPr>
                <w:color w:val="000000"/>
                <w:sz w:val="20"/>
                <w:szCs w:val="20"/>
              </w:rPr>
            </w:pPr>
            <w:r>
              <w:rPr>
                <w:color w:val="000000"/>
                <w:sz w:val="20"/>
                <w:szCs w:val="20"/>
              </w:rPr>
              <w:t>(15</w:t>
            </w:r>
          </w:p>
        </w:tc>
        <w:tc>
          <w:tcPr>
            <w:tcW w:w="50" w:type="pct"/>
            <w:noWrap/>
            <w:tcMar>
              <w:top w:w="5" w:type="dxa"/>
              <w:left w:w="5" w:type="dxa"/>
              <w:bottom w:w="5" w:type="dxa"/>
              <w:right w:w="5" w:type="dxa"/>
            </w:tcMar>
            <w:vAlign w:val="bottom"/>
            <w:hideMark/>
          </w:tcPr>
          <w:p w14:paraId="0DEE3159" w14:textId="77777777" w:rsidR="00954279" w:rsidRDefault="00A66714">
            <w:pPr>
              <w:rPr>
                <w:color w:val="000000"/>
                <w:sz w:val="20"/>
                <w:szCs w:val="20"/>
              </w:rPr>
            </w:pPr>
            <w:r>
              <w:rPr>
                <w:color w:val="000000"/>
                <w:sz w:val="20"/>
                <w:szCs w:val="20"/>
              </w:rPr>
              <w:t>)</w:t>
            </w:r>
          </w:p>
        </w:tc>
      </w:tr>
      <w:tr w:rsidR="00954279" w14:paraId="77516DCA" w14:textId="77777777">
        <w:tc>
          <w:tcPr>
            <w:tcW w:w="0" w:type="auto"/>
            <w:tcMar>
              <w:top w:w="5" w:type="dxa"/>
              <w:left w:w="5" w:type="dxa"/>
              <w:bottom w:w="5" w:type="dxa"/>
              <w:right w:w="5" w:type="dxa"/>
            </w:tcMar>
            <w:vAlign w:val="bottom"/>
            <w:hideMark/>
          </w:tcPr>
          <w:p w14:paraId="2BB822E5" w14:textId="77777777" w:rsidR="00954279" w:rsidRDefault="00A66714">
            <w:pPr>
              <w:rPr>
                <w:color w:val="000000"/>
                <w:sz w:val="20"/>
                <w:szCs w:val="20"/>
              </w:rPr>
            </w:pPr>
            <w:r>
              <w:rPr>
                <w:color w:val="000000"/>
                <w:sz w:val="20"/>
                <w:szCs w:val="20"/>
              </w:rPr>
              <w:t>Other, net</w:t>
            </w:r>
          </w:p>
        </w:tc>
        <w:tc>
          <w:tcPr>
            <w:tcW w:w="50" w:type="pct"/>
            <w:tcMar>
              <w:top w:w="5" w:type="dxa"/>
              <w:left w:w="5" w:type="dxa"/>
              <w:bottom w:w="5" w:type="dxa"/>
              <w:right w:w="5" w:type="dxa"/>
            </w:tcMar>
            <w:vAlign w:val="bottom"/>
            <w:hideMark/>
          </w:tcPr>
          <w:p w14:paraId="521F8734"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E92B1D4"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7CBCE6FB" w14:textId="77777777" w:rsidR="00954279" w:rsidRDefault="00A66714">
            <w:pPr>
              <w:jc w:val="right"/>
              <w:rPr>
                <w:color w:val="000000"/>
                <w:sz w:val="20"/>
                <w:szCs w:val="20"/>
              </w:rPr>
            </w:pPr>
            <w:r>
              <w:rPr>
                <w:b/>
                <w:bCs/>
                <w:color w:val="000000"/>
                <w:sz w:val="20"/>
                <w:szCs w:val="20"/>
              </w:rPr>
              <w:t>1</w:t>
            </w:r>
          </w:p>
        </w:tc>
        <w:tc>
          <w:tcPr>
            <w:tcW w:w="50" w:type="pct"/>
            <w:noWrap/>
            <w:tcMar>
              <w:top w:w="5" w:type="dxa"/>
              <w:left w:w="5" w:type="dxa"/>
              <w:bottom w:w="20" w:type="dxa"/>
              <w:right w:w="5" w:type="dxa"/>
            </w:tcMar>
            <w:vAlign w:val="bottom"/>
            <w:hideMark/>
          </w:tcPr>
          <w:p w14:paraId="75F62AA2"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FCE8800"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14471A5"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29C89458" w14:textId="77777777" w:rsidR="00954279" w:rsidRDefault="00A66714">
            <w:pPr>
              <w:jc w:val="right"/>
              <w:rPr>
                <w:color w:val="000000"/>
                <w:sz w:val="20"/>
                <w:szCs w:val="20"/>
              </w:rPr>
            </w:pPr>
            <w:r>
              <w:rPr>
                <w:color w:val="000000"/>
                <w:sz w:val="20"/>
                <w:szCs w:val="20"/>
              </w:rPr>
              <w:t>(2</w:t>
            </w:r>
          </w:p>
        </w:tc>
        <w:tc>
          <w:tcPr>
            <w:tcW w:w="50" w:type="pct"/>
            <w:noWrap/>
            <w:tcMar>
              <w:top w:w="5" w:type="dxa"/>
              <w:left w:w="5" w:type="dxa"/>
              <w:bottom w:w="20" w:type="dxa"/>
              <w:right w:w="5" w:type="dxa"/>
            </w:tcMar>
            <w:vAlign w:val="bottom"/>
            <w:hideMark/>
          </w:tcPr>
          <w:p w14:paraId="0EEFBFCD"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1E9DC80F"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6109DD9"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668462B9" w14:textId="77777777" w:rsidR="00954279" w:rsidRDefault="00A66714">
            <w:pPr>
              <w:jc w:val="right"/>
              <w:rPr>
                <w:color w:val="000000"/>
                <w:sz w:val="20"/>
                <w:szCs w:val="20"/>
              </w:rPr>
            </w:pPr>
            <w:r>
              <w:rPr>
                <w:b/>
                <w:bCs/>
                <w:color w:val="000000"/>
                <w:sz w:val="20"/>
                <w:szCs w:val="20"/>
              </w:rPr>
              <w:t>1</w:t>
            </w:r>
          </w:p>
        </w:tc>
        <w:tc>
          <w:tcPr>
            <w:tcW w:w="50" w:type="pct"/>
            <w:noWrap/>
            <w:tcMar>
              <w:top w:w="5" w:type="dxa"/>
              <w:left w:w="5" w:type="dxa"/>
              <w:bottom w:w="20" w:type="dxa"/>
              <w:right w:w="5" w:type="dxa"/>
            </w:tcMar>
            <w:vAlign w:val="bottom"/>
            <w:hideMark/>
          </w:tcPr>
          <w:p w14:paraId="7FCC4BB0"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B80A223"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0D8F4A6"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4E2E7FA3" w14:textId="77777777" w:rsidR="00954279" w:rsidRDefault="00A66714">
            <w:pPr>
              <w:jc w:val="right"/>
              <w:rPr>
                <w:color w:val="000000"/>
                <w:sz w:val="20"/>
                <w:szCs w:val="20"/>
              </w:rPr>
            </w:pPr>
            <w:r>
              <w:rPr>
                <w:color w:val="000000"/>
                <w:sz w:val="20"/>
                <w:szCs w:val="20"/>
              </w:rPr>
              <w:t>(2</w:t>
            </w:r>
          </w:p>
        </w:tc>
        <w:tc>
          <w:tcPr>
            <w:tcW w:w="50" w:type="pct"/>
            <w:noWrap/>
            <w:tcMar>
              <w:top w:w="5" w:type="dxa"/>
              <w:left w:w="5" w:type="dxa"/>
              <w:bottom w:w="20" w:type="dxa"/>
              <w:right w:w="5" w:type="dxa"/>
            </w:tcMar>
            <w:vAlign w:val="bottom"/>
            <w:hideMark/>
          </w:tcPr>
          <w:p w14:paraId="68E36974" w14:textId="77777777" w:rsidR="00954279" w:rsidRDefault="00A66714">
            <w:pPr>
              <w:rPr>
                <w:color w:val="000000"/>
                <w:sz w:val="20"/>
                <w:szCs w:val="20"/>
              </w:rPr>
            </w:pPr>
            <w:r>
              <w:rPr>
                <w:color w:val="000000"/>
                <w:sz w:val="20"/>
                <w:szCs w:val="20"/>
              </w:rPr>
              <w:t>)</w:t>
            </w:r>
          </w:p>
        </w:tc>
      </w:tr>
      <w:tr w:rsidR="00954279" w14:paraId="1361959B" w14:textId="77777777">
        <w:tc>
          <w:tcPr>
            <w:tcW w:w="0" w:type="auto"/>
            <w:tcMar>
              <w:top w:w="5" w:type="dxa"/>
              <w:left w:w="5" w:type="dxa"/>
              <w:bottom w:w="5" w:type="dxa"/>
              <w:right w:w="5" w:type="dxa"/>
            </w:tcMar>
            <w:vAlign w:val="bottom"/>
            <w:hideMark/>
          </w:tcPr>
          <w:p w14:paraId="09EDD8B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4A0BC5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565AB0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85FBE9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C20129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575A28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CE95BC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F71C9D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B59F97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5C3ACC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EC8661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901A71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F733D2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2FDABF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8BA7E9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598381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BAD534E" w14:textId="77777777" w:rsidR="00954279" w:rsidRDefault="00A66714">
            <w:pPr>
              <w:rPr>
                <w:color w:val="000000"/>
                <w:sz w:val="20"/>
                <w:szCs w:val="20"/>
              </w:rPr>
            </w:pPr>
            <w:r>
              <w:rPr>
                <w:color w:val="000000"/>
                <w:sz w:val="20"/>
                <w:szCs w:val="20"/>
              </w:rPr>
              <w:t> </w:t>
            </w:r>
          </w:p>
        </w:tc>
      </w:tr>
      <w:tr w:rsidR="00954279" w14:paraId="74685825" w14:textId="77777777">
        <w:tc>
          <w:tcPr>
            <w:tcW w:w="0" w:type="auto"/>
            <w:tcMar>
              <w:top w:w="5" w:type="dxa"/>
              <w:left w:w="5" w:type="dxa"/>
              <w:bottom w:w="5" w:type="dxa"/>
              <w:right w:w="5" w:type="dxa"/>
            </w:tcMar>
            <w:vAlign w:val="bottom"/>
            <w:hideMark/>
          </w:tcPr>
          <w:p w14:paraId="21B50C9D" w14:textId="77777777" w:rsidR="00954279" w:rsidRDefault="00A66714">
            <w:pPr>
              <w:rPr>
                <w:color w:val="000000"/>
                <w:sz w:val="20"/>
                <w:szCs w:val="20"/>
              </w:rPr>
            </w:pPr>
            <w:r>
              <w:rPr>
                <w:color w:val="000000"/>
                <w:sz w:val="20"/>
                <w:szCs w:val="20"/>
              </w:rPr>
              <w:t>Income (loss) before income taxes</w:t>
            </w:r>
          </w:p>
        </w:tc>
        <w:tc>
          <w:tcPr>
            <w:tcW w:w="50" w:type="pct"/>
            <w:tcMar>
              <w:top w:w="5" w:type="dxa"/>
              <w:left w:w="5" w:type="dxa"/>
              <w:bottom w:w="5" w:type="dxa"/>
              <w:right w:w="5" w:type="dxa"/>
            </w:tcMar>
            <w:vAlign w:val="bottom"/>
            <w:hideMark/>
          </w:tcPr>
          <w:p w14:paraId="39B1AA71"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FE48EDC"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E4977A6" w14:textId="77777777" w:rsidR="00954279" w:rsidRDefault="00A66714">
            <w:pPr>
              <w:jc w:val="right"/>
              <w:rPr>
                <w:color w:val="000000"/>
                <w:sz w:val="20"/>
                <w:szCs w:val="20"/>
              </w:rPr>
            </w:pPr>
            <w:r>
              <w:rPr>
                <w:b/>
                <w:bCs/>
                <w:color w:val="000000"/>
                <w:sz w:val="20"/>
                <w:szCs w:val="20"/>
              </w:rPr>
              <w:t>5</w:t>
            </w:r>
          </w:p>
        </w:tc>
        <w:tc>
          <w:tcPr>
            <w:tcW w:w="50" w:type="pct"/>
            <w:noWrap/>
            <w:tcMar>
              <w:top w:w="5" w:type="dxa"/>
              <w:left w:w="5" w:type="dxa"/>
              <w:bottom w:w="5" w:type="dxa"/>
              <w:right w:w="5" w:type="dxa"/>
            </w:tcMar>
            <w:vAlign w:val="bottom"/>
            <w:hideMark/>
          </w:tcPr>
          <w:p w14:paraId="537FDA2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AE18CA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9DE6F49"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5602468" w14:textId="77777777" w:rsidR="00954279" w:rsidRDefault="00A66714">
            <w:pPr>
              <w:jc w:val="right"/>
              <w:rPr>
                <w:color w:val="000000"/>
                <w:sz w:val="20"/>
                <w:szCs w:val="20"/>
              </w:rPr>
            </w:pPr>
            <w:r>
              <w:rPr>
                <w:color w:val="000000"/>
                <w:sz w:val="20"/>
                <w:szCs w:val="20"/>
              </w:rPr>
              <w:t>(298</w:t>
            </w:r>
          </w:p>
        </w:tc>
        <w:tc>
          <w:tcPr>
            <w:tcW w:w="50" w:type="pct"/>
            <w:noWrap/>
            <w:tcMar>
              <w:top w:w="5" w:type="dxa"/>
              <w:left w:w="5" w:type="dxa"/>
              <w:bottom w:w="5" w:type="dxa"/>
              <w:right w:w="5" w:type="dxa"/>
            </w:tcMar>
            <w:vAlign w:val="bottom"/>
            <w:hideMark/>
          </w:tcPr>
          <w:p w14:paraId="246157F0"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457767D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0D72176"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82B5F7F" w14:textId="77777777" w:rsidR="00954279" w:rsidRDefault="00A66714">
            <w:pPr>
              <w:jc w:val="right"/>
              <w:rPr>
                <w:color w:val="000000"/>
                <w:sz w:val="20"/>
                <w:szCs w:val="20"/>
              </w:rPr>
            </w:pPr>
            <w:r>
              <w:rPr>
                <w:b/>
                <w:bCs/>
                <w:color w:val="000000"/>
                <w:sz w:val="20"/>
                <w:szCs w:val="20"/>
              </w:rPr>
              <w:t>2</w:t>
            </w:r>
          </w:p>
        </w:tc>
        <w:tc>
          <w:tcPr>
            <w:tcW w:w="50" w:type="pct"/>
            <w:noWrap/>
            <w:tcMar>
              <w:top w:w="5" w:type="dxa"/>
              <w:left w:w="5" w:type="dxa"/>
              <w:bottom w:w="5" w:type="dxa"/>
              <w:right w:w="5" w:type="dxa"/>
            </w:tcMar>
            <w:vAlign w:val="bottom"/>
            <w:hideMark/>
          </w:tcPr>
          <w:p w14:paraId="22FB4462"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C7B34C0"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DA378BA"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35B3C48" w14:textId="77777777" w:rsidR="00954279" w:rsidRDefault="00A66714">
            <w:pPr>
              <w:jc w:val="right"/>
              <w:rPr>
                <w:color w:val="000000"/>
                <w:sz w:val="20"/>
                <w:szCs w:val="20"/>
              </w:rPr>
            </w:pPr>
            <w:r>
              <w:rPr>
                <w:color w:val="000000"/>
                <w:sz w:val="20"/>
                <w:szCs w:val="20"/>
              </w:rPr>
              <w:t>(284</w:t>
            </w:r>
          </w:p>
        </w:tc>
        <w:tc>
          <w:tcPr>
            <w:tcW w:w="50" w:type="pct"/>
            <w:noWrap/>
            <w:tcMar>
              <w:top w:w="5" w:type="dxa"/>
              <w:left w:w="5" w:type="dxa"/>
              <w:bottom w:w="5" w:type="dxa"/>
              <w:right w:w="5" w:type="dxa"/>
            </w:tcMar>
            <w:vAlign w:val="bottom"/>
            <w:hideMark/>
          </w:tcPr>
          <w:p w14:paraId="1E245F4A" w14:textId="77777777" w:rsidR="00954279" w:rsidRDefault="00A66714">
            <w:pPr>
              <w:rPr>
                <w:color w:val="000000"/>
                <w:sz w:val="20"/>
                <w:szCs w:val="20"/>
              </w:rPr>
            </w:pPr>
            <w:r>
              <w:rPr>
                <w:color w:val="000000"/>
                <w:sz w:val="20"/>
                <w:szCs w:val="20"/>
              </w:rPr>
              <w:t>)</w:t>
            </w:r>
          </w:p>
        </w:tc>
      </w:tr>
      <w:tr w:rsidR="00954279" w14:paraId="7C7475C3" w14:textId="77777777">
        <w:tc>
          <w:tcPr>
            <w:tcW w:w="0" w:type="auto"/>
            <w:tcMar>
              <w:top w:w="5" w:type="dxa"/>
              <w:left w:w="5" w:type="dxa"/>
              <w:bottom w:w="5" w:type="dxa"/>
              <w:right w:w="5" w:type="dxa"/>
            </w:tcMar>
            <w:vAlign w:val="bottom"/>
            <w:hideMark/>
          </w:tcPr>
          <w:p w14:paraId="620A8178" w14:textId="77777777" w:rsidR="00954279" w:rsidRDefault="00A66714">
            <w:pPr>
              <w:rPr>
                <w:color w:val="000000"/>
                <w:sz w:val="20"/>
                <w:szCs w:val="20"/>
              </w:rPr>
            </w:pPr>
            <w:r>
              <w:rPr>
                <w:color w:val="000000"/>
                <w:sz w:val="20"/>
                <w:szCs w:val="20"/>
              </w:rPr>
              <w:t>Income tax expense (benefit)</w:t>
            </w:r>
          </w:p>
        </w:tc>
        <w:tc>
          <w:tcPr>
            <w:tcW w:w="50" w:type="pct"/>
            <w:tcMar>
              <w:top w:w="5" w:type="dxa"/>
              <w:left w:w="5" w:type="dxa"/>
              <w:bottom w:w="5" w:type="dxa"/>
              <w:right w:w="5" w:type="dxa"/>
            </w:tcMar>
            <w:vAlign w:val="bottom"/>
            <w:hideMark/>
          </w:tcPr>
          <w:p w14:paraId="4815C683"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66D7B57"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312173BA" w14:textId="77777777" w:rsidR="00954279" w:rsidRDefault="00A66714">
            <w:pPr>
              <w:jc w:val="right"/>
              <w:rPr>
                <w:color w:val="000000"/>
                <w:sz w:val="20"/>
                <w:szCs w:val="20"/>
              </w:rPr>
            </w:pPr>
            <w:r>
              <w:rPr>
                <w:b/>
                <w:bCs/>
                <w:color w:val="000000"/>
                <w:sz w:val="20"/>
                <w:szCs w:val="20"/>
              </w:rPr>
              <w:t>1</w:t>
            </w:r>
          </w:p>
        </w:tc>
        <w:tc>
          <w:tcPr>
            <w:tcW w:w="50" w:type="pct"/>
            <w:noWrap/>
            <w:tcMar>
              <w:top w:w="5" w:type="dxa"/>
              <w:left w:w="5" w:type="dxa"/>
              <w:bottom w:w="20" w:type="dxa"/>
              <w:right w:w="5" w:type="dxa"/>
            </w:tcMar>
            <w:vAlign w:val="bottom"/>
            <w:hideMark/>
          </w:tcPr>
          <w:p w14:paraId="6B61661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2971B36"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9FBB4C4"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5852AE59" w14:textId="77777777" w:rsidR="00954279" w:rsidRDefault="00A66714">
            <w:pPr>
              <w:jc w:val="right"/>
              <w:rPr>
                <w:color w:val="000000"/>
                <w:sz w:val="20"/>
                <w:szCs w:val="20"/>
              </w:rPr>
            </w:pPr>
            <w:r>
              <w:rPr>
                <w:color w:val="000000"/>
                <w:sz w:val="20"/>
                <w:szCs w:val="20"/>
              </w:rPr>
              <w:t>(17</w:t>
            </w:r>
          </w:p>
        </w:tc>
        <w:tc>
          <w:tcPr>
            <w:tcW w:w="50" w:type="pct"/>
            <w:noWrap/>
            <w:tcMar>
              <w:top w:w="5" w:type="dxa"/>
              <w:left w:w="5" w:type="dxa"/>
              <w:bottom w:w="20" w:type="dxa"/>
              <w:right w:w="5" w:type="dxa"/>
            </w:tcMar>
            <w:vAlign w:val="bottom"/>
            <w:hideMark/>
          </w:tcPr>
          <w:p w14:paraId="76F782CA"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10618642"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86843A8"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22F847EB" w14:textId="77777777" w:rsidR="00954279" w:rsidRDefault="00A66714">
            <w:pPr>
              <w:jc w:val="right"/>
              <w:rPr>
                <w:color w:val="000000"/>
                <w:sz w:val="20"/>
                <w:szCs w:val="20"/>
              </w:rPr>
            </w:pPr>
            <w:r>
              <w:rPr>
                <w:b/>
                <w:bCs/>
                <w:color w:val="000000"/>
                <w:sz w:val="20"/>
                <w:szCs w:val="20"/>
              </w:rPr>
              <w:t>1</w:t>
            </w:r>
          </w:p>
        </w:tc>
        <w:tc>
          <w:tcPr>
            <w:tcW w:w="50" w:type="pct"/>
            <w:noWrap/>
            <w:tcMar>
              <w:top w:w="5" w:type="dxa"/>
              <w:left w:w="5" w:type="dxa"/>
              <w:bottom w:w="20" w:type="dxa"/>
              <w:right w:w="5" w:type="dxa"/>
            </w:tcMar>
            <w:vAlign w:val="bottom"/>
            <w:hideMark/>
          </w:tcPr>
          <w:p w14:paraId="29EBCB9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5EDB200"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AD27D8C"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18272BA5" w14:textId="77777777" w:rsidR="00954279" w:rsidRDefault="00A66714">
            <w:pPr>
              <w:jc w:val="right"/>
              <w:rPr>
                <w:color w:val="000000"/>
                <w:sz w:val="20"/>
                <w:szCs w:val="20"/>
              </w:rPr>
            </w:pPr>
            <w:r>
              <w:rPr>
                <w:color w:val="000000"/>
                <w:sz w:val="20"/>
                <w:szCs w:val="20"/>
              </w:rPr>
              <w:t>(12</w:t>
            </w:r>
          </w:p>
        </w:tc>
        <w:tc>
          <w:tcPr>
            <w:tcW w:w="50" w:type="pct"/>
            <w:noWrap/>
            <w:tcMar>
              <w:top w:w="5" w:type="dxa"/>
              <w:left w:w="5" w:type="dxa"/>
              <w:bottom w:w="20" w:type="dxa"/>
              <w:right w:w="5" w:type="dxa"/>
            </w:tcMar>
            <w:vAlign w:val="bottom"/>
            <w:hideMark/>
          </w:tcPr>
          <w:p w14:paraId="31C20CDE" w14:textId="77777777" w:rsidR="00954279" w:rsidRDefault="00A66714">
            <w:pPr>
              <w:rPr>
                <w:color w:val="000000"/>
                <w:sz w:val="20"/>
                <w:szCs w:val="20"/>
              </w:rPr>
            </w:pPr>
            <w:r>
              <w:rPr>
                <w:color w:val="000000"/>
                <w:sz w:val="20"/>
                <w:szCs w:val="20"/>
              </w:rPr>
              <w:t>)</w:t>
            </w:r>
          </w:p>
        </w:tc>
      </w:tr>
      <w:tr w:rsidR="00954279" w14:paraId="5BE02C7C" w14:textId="77777777">
        <w:tc>
          <w:tcPr>
            <w:tcW w:w="0" w:type="auto"/>
            <w:tcMar>
              <w:top w:w="5" w:type="dxa"/>
              <w:left w:w="5" w:type="dxa"/>
              <w:bottom w:w="5" w:type="dxa"/>
              <w:right w:w="5" w:type="dxa"/>
            </w:tcMar>
            <w:vAlign w:val="bottom"/>
            <w:hideMark/>
          </w:tcPr>
          <w:p w14:paraId="1AD6C73B" w14:textId="77777777" w:rsidR="00954279" w:rsidRDefault="00A66714">
            <w:pPr>
              <w:rPr>
                <w:color w:val="000000"/>
                <w:sz w:val="20"/>
                <w:szCs w:val="20"/>
              </w:rPr>
            </w:pPr>
            <w:r>
              <w:rPr>
                <w:color w:val="000000"/>
                <w:sz w:val="20"/>
                <w:szCs w:val="20"/>
              </w:rPr>
              <w:t>Net income (loss)</w:t>
            </w:r>
          </w:p>
        </w:tc>
        <w:tc>
          <w:tcPr>
            <w:tcW w:w="50" w:type="pct"/>
            <w:tcMar>
              <w:top w:w="5" w:type="dxa"/>
              <w:left w:w="5" w:type="dxa"/>
              <w:bottom w:w="5" w:type="dxa"/>
              <w:right w:w="5" w:type="dxa"/>
            </w:tcMar>
            <w:vAlign w:val="bottom"/>
            <w:hideMark/>
          </w:tcPr>
          <w:p w14:paraId="3CA5F2F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5676B23"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B860365" w14:textId="77777777" w:rsidR="00954279" w:rsidRDefault="00A66714">
            <w:pPr>
              <w:jc w:val="right"/>
              <w:rPr>
                <w:color w:val="000000"/>
                <w:sz w:val="20"/>
                <w:szCs w:val="20"/>
              </w:rPr>
            </w:pPr>
            <w:r>
              <w:rPr>
                <w:b/>
                <w:bCs/>
                <w:color w:val="000000"/>
                <w:sz w:val="20"/>
                <w:szCs w:val="20"/>
              </w:rPr>
              <w:t>4</w:t>
            </w:r>
          </w:p>
        </w:tc>
        <w:tc>
          <w:tcPr>
            <w:tcW w:w="50" w:type="pct"/>
            <w:noWrap/>
            <w:tcMar>
              <w:top w:w="5" w:type="dxa"/>
              <w:left w:w="5" w:type="dxa"/>
              <w:bottom w:w="5" w:type="dxa"/>
              <w:right w:w="5" w:type="dxa"/>
            </w:tcMar>
            <w:vAlign w:val="bottom"/>
            <w:hideMark/>
          </w:tcPr>
          <w:p w14:paraId="4F3CFFD3"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22F1C17"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455816A"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F527814" w14:textId="77777777" w:rsidR="00954279" w:rsidRDefault="00A66714">
            <w:pPr>
              <w:jc w:val="right"/>
              <w:rPr>
                <w:color w:val="000000"/>
                <w:sz w:val="20"/>
                <w:szCs w:val="20"/>
              </w:rPr>
            </w:pPr>
            <w:r>
              <w:rPr>
                <w:color w:val="000000"/>
                <w:sz w:val="20"/>
                <w:szCs w:val="20"/>
              </w:rPr>
              <w:t>(281</w:t>
            </w:r>
          </w:p>
        </w:tc>
        <w:tc>
          <w:tcPr>
            <w:tcW w:w="50" w:type="pct"/>
            <w:noWrap/>
            <w:tcMar>
              <w:top w:w="5" w:type="dxa"/>
              <w:left w:w="5" w:type="dxa"/>
              <w:bottom w:w="5" w:type="dxa"/>
              <w:right w:w="5" w:type="dxa"/>
            </w:tcMar>
            <w:vAlign w:val="bottom"/>
            <w:hideMark/>
          </w:tcPr>
          <w:p w14:paraId="09D5766E"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5D2D014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297A850"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F20C786" w14:textId="77777777" w:rsidR="00954279" w:rsidRDefault="00A66714">
            <w:pPr>
              <w:jc w:val="right"/>
              <w:rPr>
                <w:color w:val="000000"/>
                <w:sz w:val="20"/>
                <w:szCs w:val="20"/>
              </w:rPr>
            </w:pPr>
            <w:r>
              <w:rPr>
                <w:b/>
                <w:bCs/>
                <w:color w:val="000000"/>
                <w:sz w:val="20"/>
                <w:szCs w:val="20"/>
              </w:rPr>
              <w:t>1</w:t>
            </w:r>
          </w:p>
        </w:tc>
        <w:tc>
          <w:tcPr>
            <w:tcW w:w="50" w:type="pct"/>
            <w:noWrap/>
            <w:tcMar>
              <w:top w:w="5" w:type="dxa"/>
              <w:left w:w="5" w:type="dxa"/>
              <w:bottom w:w="5" w:type="dxa"/>
              <w:right w:w="5" w:type="dxa"/>
            </w:tcMar>
            <w:vAlign w:val="bottom"/>
            <w:hideMark/>
          </w:tcPr>
          <w:p w14:paraId="17933DF1"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6BC0D5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7594ED8"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832BF29" w14:textId="77777777" w:rsidR="00954279" w:rsidRDefault="00A66714">
            <w:pPr>
              <w:jc w:val="right"/>
              <w:rPr>
                <w:color w:val="000000"/>
                <w:sz w:val="20"/>
                <w:szCs w:val="20"/>
              </w:rPr>
            </w:pPr>
            <w:r>
              <w:rPr>
                <w:color w:val="000000"/>
                <w:sz w:val="20"/>
                <w:szCs w:val="20"/>
              </w:rPr>
              <w:t>(272</w:t>
            </w:r>
          </w:p>
        </w:tc>
        <w:tc>
          <w:tcPr>
            <w:tcW w:w="50" w:type="pct"/>
            <w:noWrap/>
            <w:tcMar>
              <w:top w:w="5" w:type="dxa"/>
              <w:left w:w="5" w:type="dxa"/>
              <w:bottom w:w="5" w:type="dxa"/>
              <w:right w:w="5" w:type="dxa"/>
            </w:tcMar>
            <w:vAlign w:val="bottom"/>
            <w:hideMark/>
          </w:tcPr>
          <w:p w14:paraId="0DDC6A21" w14:textId="77777777" w:rsidR="00954279" w:rsidRDefault="00A66714">
            <w:pPr>
              <w:rPr>
                <w:color w:val="000000"/>
                <w:sz w:val="20"/>
                <w:szCs w:val="20"/>
              </w:rPr>
            </w:pPr>
            <w:r>
              <w:rPr>
                <w:color w:val="000000"/>
                <w:sz w:val="20"/>
                <w:szCs w:val="20"/>
              </w:rPr>
              <w:t>)</w:t>
            </w:r>
          </w:p>
        </w:tc>
      </w:tr>
      <w:tr w:rsidR="00954279" w14:paraId="4D5E4AE6" w14:textId="77777777">
        <w:tc>
          <w:tcPr>
            <w:tcW w:w="0" w:type="auto"/>
            <w:tcMar>
              <w:top w:w="5" w:type="dxa"/>
              <w:left w:w="5" w:type="dxa"/>
              <w:bottom w:w="5" w:type="dxa"/>
              <w:right w:w="5" w:type="dxa"/>
            </w:tcMar>
            <w:vAlign w:val="bottom"/>
            <w:hideMark/>
          </w:tcPr>
          <w:p w14:paraId="4217693D" w14:textId="77777777" w:rsidR="00954279" w:rsidRDefault="00A66714">
            <w:pPr>
              <w:rPr>
                <w:color w:val="000000"/>
                <w:sz w:val="20"/>
                <w:szCs w:val="20"/>
              </w:rPr>
            </w:pPr>
            <w:r>
              <w:rPr>
                <w:color w:val="000000"/>
                <w:sz w:val="20"/>
                <w:szCs w:val="20"/>
              </w:rPr>
              <w:t>Series A preferred stock dividends</w:t>
            </w:r>
          </w:p>
        </w:tc>
        <w:tc>
          <w:tcPr>
            <w:tcW w:w="50" w:type="pct"/>
            <w:tcMar>
              <w:top w:w="5" w:type="dxa"/>
              <w:left w:w="5" w:type="dxa"/>
              <w:bottom w:w="5" w:type="dxa"/>
              <w:right w:w="5" w:type="dxa"/>
            </w:tcMar>
            <w:vAlign w:val="bottom"/>
            <w:hideMark/>
          </w:tcPr>
          <w:p w14:paraId="172D1AFC"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870F683"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60ADC592" w14:textId="77777777" w:rsidR="00954279" w:rsidRDefault="00A66714">
            <w:pPr>
              <w:jc w:val="right"/>
              <w:rPr>
                <w:color w:val="000000"/>
                <w:sz w:val="20"/>
                <w:szCs w:val="20"/>
              </w:rPr>
            </w:pPr>
            <w:r>
              <w:rPr>
                <w:b/>
                <w:bCs/>
                <w:color w:val="000000"/>
                <w:sz w:val="20"/>
                <w:szCs w:val="20"/>
              </w:rPr>
              <w:t>6</w:t>
            </w:r>
          </w:p>
        </w:tc>
        <w:tc>
          <w:tcPr>
            <w:tcW w:w="50" w:type="pct"/>
            <w:noWrap/>
            <w:tcMar>
              <w:top w:w="5" w:type="dxa"/>
              <w:left w:w="5" w:type="dxa"/>
              <w:bottom w:w="20" w:type="dxa"/>
              <w:right w:w="5" w:type="dxa"/>
            </w:tcMar>
            <w:vAlign w:val="bottom"/>
            <w:hideMark/>
          </w:tcPr>
          <w:p w14:paraId="058164E8"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008DD37"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F1B6503"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58FF22B8" w14:textId="77777777" w:rsidR="00954279" w:rsidRDefault="00A66714">
            <w:pPr>
              <w:jc w:val="right"/>
              <w:rPr>
                <w:color w:val="000000"/>
                <w:sz w:val="20"/>
                <w:szCs w:val="20"/>
              </w:rPr>
            </w:pPr>
            <w:r>
              <w:rPr>
                <w:color w:val="000000"/>
                <w:sz w:val="20"/>
                <w:szCs w:val="20"/>
              </w:rPr>
              <w:t>6</w:t>
            </w:r>
          </w:p>
        </w:tc>
        <w:tc>
          <w:tcPr>
            <w:tcW w:w="50" w:type="pct"/>
            <w:noWrap/>
            <w:tcMar>
              <w:top w:w="5" w:type="dxa"/>
              <w:left w:w="5" w:type="dxa"/>
              <w:bottom w:w="20" w:type="dxa"/>
              <w:right w:w="5" w:type="dxa"/>
            </w:tcMar>
            <w:vAlign w:val="bottom"/>
            <w:hideMark/>
          </w:tcPr>
          <w:p w14:paraId="4EE3C5C8"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3277ACD"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C9EC896"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22821296" w14:textId="77777777" w:rsidR="00954279" w:rsidRDefault="00A66714">
            <w:pPr>
              <w:jc w:val="right"/>
              <w:rPr>
                <w:color w:val="000000"/>
                <w:sz w:val="20"/>
                <w:szCs w:val="20"/>
              </w:rPr>
            </w:pPr>
            <w:r>
              <w:rPr>
                <w:b/>
                <w:bCs/>
                <w:color w:val="000000"/>
                <w:sz w:val="20"/>
                <w:szCs w:val="20"/>
              </w:rPr>
              <w:t>12</w:t>
            </w:r>
          </w:p>
        </w:tc>
        <w:tc>
          <w:tcPr>
            <w:tcW w:w="50" w:type="pct"/>
            <w:noWrap/>
            <w:tcMar>
              <w:top w:w="5" w:type="dxa"/>
              <w:left w:w="5" w:type="dxa"/>
              <w:bottom w:w="20" w:type="dxa"/>
              <w:right w:w="5" w:type="dxa"/>
            </w:tcMar>
            <w:vAlign w:val="bottom"/>
            <w:hideMark/>
          </w:tcPr>
          <w:p w14:paraId="730FD423"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14A4624"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9719DA1"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76B91F6C" w14:textId="77777777" w:rsidR="00954279" w:rsidRDefault="00A66714">
            <w:pPr>
              <w:jc w:val="right"/>
              <w:rPr>
                <w:color w:val="000000"/>
                <w:sz w:val="20"/>
                <w:szCs w:val="20"/>
              </w:rPr>
            </w:pPr>
            <w:r>
              <w:rPr>
                <w:color w:val="000000"/>
                <w:sz w:val="20"/>
                <w:szCs w:val="20"/>
              </w:rPr>
              <w:t>12</w:t>
            </w:r>
          </w:p>
        </w:tc>
        <w:tc>
          <w:tcPr>
            <w:tcW w:w="50" w:type="pct"/>
            <w:noWrap/>
            <w:tcMar>
              <w:top w:w="5" w:type="dxa"/>
              <w:left w:w="5" w:type="dxa"/>
              <w:bottom w:w="20" w:type="dxa"/>
              <w:right w:w="5" w:type="dxa"/>
            </w:tcMar>
            <w:vAlign w:val="bottom"/>
            <w:hideMark/>
          </w:tcPr>
          <w:p w14:paraId="36F76EB1" w14:textId="77777777" w:rsidR="00954279" w:rsidRDefault="00A66714">
            <w:pPr>
              <w:rPr>
                <w:color w:val="000000"/>
                <w:sz w:val="20"/>
                <w:szCs w:val="20"/>
              </w:rPr>
            </w:pPr>
            <w:r>
              <w:rPr>
                <w:color w:val="000000"/>
                <w:sz w:val="20"/>
                <w:szCs w:val="20"/>
              </w:rPr>
              <w:t> </w:t>
            </w:r>
          </w:p>
        </w:tc>
      </w:tr>
      <w:tr w:rsidR="00954279" w14:paraId="6C80E756" w14:textId="77777777">
        <w:tc>
          <w:tcPr>
            <w:tcW w:w="0" w:type="auto"/>
            <w:tcMar>
              <w:top w:w="5" w:type="dxa"/>
              <w:left w:w="5" w:type="dxa"/>
              <w:bottom w:w="5" w:type="dxa"/>
              <w:right w:w="5" w:type="dxa"/>
            </w:tcMar>
            <w:vAlign w:val="bottom"/>
            <w:hideMark/>
          </w:tcPr>
          <w:p w14:paraId="356C4826" w14:textId="77777777" w:rsidR="00954279" w:rsidRDefault="00A66714">
            <w:pPr>
              <w:rPr>
                <w:color w:val="000000"/>
                <w:sz w:val="20"/>
                <w:szCs w:val="20"/>
              </w:rPr>
            </w:pPr>
            <w:r>
              <w:rPr>
                <w:color w:val="000000"/>
                <w:sz w:val="20"/>
                <w:szCs w:val="20"/>
              </w:rPr>
              <w:t>Net loss attributable to common stockholders</w:t>
            </w:r>
          </w:p>
        </w:tc>
        <w:tc>
          <w:tcPr>
            <w:tcW w:w="50" w:type="pct"/>
            <w:tcMar>
              <w:top w:w="5" w:type="dxa"/>
              <w:left w:w="5" w:type="dxa"/>
              <w:bottom w:w="5" w:type="dxa"/>
              <w:right w:w="5" w:type="dxa"/>
            </w:tcMar>
            <w:vAlign w:val="bottom"/>
            <w:hideMark/>
          </w:tcPr>
          <w:p w14:paraId="1618B78B"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D460BE3"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1342ECBE" w14:textId="77777777" w:rsidR="00954279" w:rsidRDefault="00A66714">
            <w:pPr>
              <w:jc w:val="right"/>
              <w:rPr>
                <w:color w:val="000000"/>
                <w:sz w:val="20"/>
                <w:szCs w:val="20"/>
              </w:rPr>
            </w:pPr>
            <w:r>
              <w:rPr>
                <w:b/>
                <w:bCs/>
                <w:color w:val="000000"/>
                <w:sz w:val="20"/>
                <w:szCs w:val="20"/>
              </w:rPr>
              <w:t>(2</w:t>
            </w:r>
          </w:p>
        </w:tc>
        <w:tc>
          <w:tcPr>
            <w:tcW w:w="50" w:type="pct"/>
            <w:noWrap/>
            <w:tcMar>
              <w:top w:w="5" w:type="dxa"/>
              <w:left w:w="5" w:type="dxa"/>
              <w:bottom w:w="50" w:type="dxa"/>
              <w:right w:w="5" w:type="dxa"/>
            </w:tcMar>
            <w:vAlign w:val="bottom"/>
            <w:hideMark/>
          </w:tcPr>
          <w:p w14:paraId="0980F05F"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32921A98"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A1307E5"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3722AB64" w14:textId="77777777" w:rsidR="00954279" w:rsidRDefault="00A66714">
            <w:pPr>
              <w:jc w:val="right"/>
              <w:rPr>
                <w:color w:val="000000"/>
                <w:sz w:val="20"/>
                <w:szCs w:val="20"/>
              </w:rPr>
            </w:pPr>
            <w:r>
              <w:rPr>
                <w:color w:val="000000"/>
                <w:sz w:val="20"/>
                <w:szCs w:val="20"/>
              </w:rPr>
              <w:t>(287</w:t>
            </w:r>
          </w:p>
        </w:tc>
        <w:tc>
          <w:tcPr>
            <w:tcW w:w="50" w:type="pct"/>
            <w:noWrap/>
            <w:tcMar>
              <w:top w:w="5" w:type="dxa"/>
              <w:left w:w="5" w:type="dxa"/>
              <w:bottom w:w="50" w:type="dxa"/>
              <w:right w:w="5" w:type="dxa"/>
            </w:tcMar>
            <w:vAlign w:val="bottom"/>
            <w:hideMark/>
          </w:tcPr>
          <w:p w14:paraId="4815F4F1"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0D62A4AF"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C548CF7"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72B0ACD4" w14:textId="77777777" w:rsidR="00954279" w:rsidRDefault="00A66714">
            <w:pPr>
              <w:jc w:val="right"/>
              <w:rPr>
                <w:color w:val="000000"/>
                <w:sz w:val="20"/>
                <w:szCs w:val="20"/>
              </w:rPr>
            </w:pPr>
            <w:r>
              <w:rPr>
                <w:b/>
                <w:bCs/>
                <w:color w:val="000000"/>
                <w:sz w:val="20"/>
                <w:szCs w:val="20"/>
              </w:rPr>
              <w:t>(11</w:t>
            </w:r>
          </w:p>
        </w:tc>
        <w:tc>
          <w:tcPr>
            <w:tcW w:w="50" w:type="pct"/>
            <w:noWrap/>
            <w:tcMar>
              <w:top w:w="5" w:type="dxa"/>
              <w:left w:w="5" w:type="dxa"/>
              <w:bottom w:w="50" w:type="dxa"/>
              <w:right w:w="5" w:type="dxa"/>
            </w:tcMar>
            <w:vAlign w:val="bottom"/>
            <w:hideMark/>
          </w:tcPr>
          <w:p w14:paraId="7EE33DB1" w14:textId="77777777" w:rsidR="00954279" w:rsidRDefault="00A66714">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6EC2B917"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F43A90F"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21B9681D" w14:textId="77777777" w:rsidR="00954279" w:rsidRDefault="00A66714">
            <w:pPr>
              <w:jc w:val="right"/>
              <w:rPr>
                <w:color w:val="000000"/>
                <w:sz w:val="20"/>
                <w:szCs w:val="20"/>
              </w:rPr>
            </w:pPr>
            <w:r>
              <w:rPr>
                <w:color w:val="000000"/>
                <w:sz w:val="20"/>
                <w:szCs w:val="20"/>
              </w:rPr>
              <w:t>(284</w:t>
            </w:r>
          </w:p>
        </w:tc>
        <w:tc>
          <w:tcPr>
            <w:tcW w:w="50" w:type="pct"/>
            <w:noWrap/>
            <w:tcMar>
              <w:top w:w="5" w:type="dxa"/>
              <w:left w:w="5" w:type="dxa"/>
              <w:bottom w:w="50" w:type="dxa"/>
              <w:right w:w="5" w:type="dxa"/>
            </w:tcMar>
            <w:vAlign w:val="bottom"/>
            <w:hideMark/>
          </w:tcPr>
          <w:p w14:paraId="60DBD4D5" w14:textId="77777777" w:rsidR="00954279" w:rsidRDefault="00A66714">
            <w:pPr>
              <w:rPr>
                <w:color w:val="000000"/>
                <w:sz w:val="20"/>
                <w:szCs w:val="20"/>
              </w:rPr>
            </w:pPr>
            <w:r>
              <w:rPr>
                <w:color w:val="000000"/>
                <w:sz w:val="20"/>
                <w:szCs w:val="20"/>
              </w:rPr>
              <w:t>)</w:t>
            </w:r>
          </w:p>
        </w:tc>
      </w:tr>
      <w:tr w:rsidR="00954279" w14:paraId="324F89DD" w14:textId="77777777">
        <w:tc>
          <w:tcPr>
            <w:tcW w:w="0" w:type="auto"/>
            <w:tcMar>
              <w:top w:w="5" w:type="dxa"/>
              <w:left w:w="5" w:type="dxa"/>
              <w:bottom w:w="5" w:type="dxa"/>
              <w:right w:w="5" w:type="dxa"/>
            </w:tcMar>
            <w:vAlign w:val="bottom"/>
            <w:hideMark/>
          </w:tcPr>
          <w:p w14:paraId="2837C70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EDB29E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8E2DB3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2004FE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1062DF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51EC0B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7D4E23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CF7EDE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E6E126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FC5CE3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2840B8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EBB698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6CC22F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065CC5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C5D46C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1710EF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9580F4B" w14:textId="77777777" w:rsidR="00954279" w:rsidRDefault="00A66714">
            <w:pPr>
              <w:rPr>
                <w:color w:val="000000"/>
                <w:sz w:val="20"/>
                <w:szCs w:val="20"/>
              </w:rPr>
            </w:pPr>
            <w:r>
              <w:rPr>
                <w:color w:val="000000"/>
                <w:sz w:val="20"/>
                <w:szCs w:val="20"/>
              </w:rPr>
              <w:t> </w:t>
            </w:r>
          </w:p>
        </w:tc>
      </w:tr>
      <w:tr w:rsidR="00954279" w14:paraId="47289BE0" w14:textId="77777777">
        <w:tc>
          <w:tcPr>
            <w:tcW w:w="0" w:type="auto"/>
            <w:tcMar>
              <w:top w:w="5" w:type="dxa"/>
              <w:left w:w="5" w:type="dxa"/>
              <w:bottom w:w="5" w:type="dxa"/>
              <w:right w:w="5" w:type="dxa"/>
            </w:tcMar>
            <w:vAlign w:val="bottom"/>
            <w:hideMark/>
          </w:tcPr>
          <w:p w14:paraId="3068A00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8D0F87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3D92D6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DB05E8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2282AA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9F92402"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5E7246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F6BC4A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463261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AB8EC7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35550B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B06B6D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BA0B2E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EFBA09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64C402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6470C8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EB9C0DC" w14:textId="77777777" w:rsidR="00954279" w:rsidRDefault="00A66714">
            <w:pPr>
              <w:rPr>
                <w:color w:val="000000"/>
                <w:sz w:val="20"/>
                <w:szCs w:val="20"/>
              </w:rPr>
            </w:pPr>
            <w:r>
              <w:rPr>
                <w:color w:val="000000"/>
                <w:sz w:val="20"/>
                <w:szCs w:val="20"/>
              </w:rPr>
              <w:t> </w:t>
            </w:r>
          </w:p>
        </w:tc>
      </w:tr>
      <w:tr w:rsidR="00954279" w14:paraId="7E6231C2" w14:textId="77777777">
        <w:tc>
          <w:tcPr>
            <w:tcW w:w="0" w:type="auto"/>
            <w:tcMar>
              <w:top w:w="5" w:type="dxa"/>
              <w:left w:w="5" w:type="dxa"/>
              <w:bottom w:w="5" w:type="dxa"/>
              <w:right w:w="5" w:type="dxa"/>
            </w:tcMar>
            <w:vAlign w:val="bottom"/>
            <w:hideMark/>
          </w:tcPr>
          <w:p w14:paraId="7BF0C60D" w14:textId="77777777" w:rsidR="00954279" w:rsidRDefault="00A66714">
            <w:pPr>
              <w:rPr>
                <w:color w:val="000000"/>
                <w:sz w:val="20"/>
                <w:szCs w:val="20"/>
              </w:rPr>
            </w:pPr>
            <w:r>
              <w:rPr>
                <w:color w:val="000000"/>
                <w:sz w:val="20"/>
                <w:szCs w:val="20"/>
              </w:rPr>
              <w:t>Basic loss per common share</w:t>
            </w:r>
          </w:p>
        </w:tc>
        <w:tc>
          <w:tcPr>
            <w:tcW w:w="50" w:type="pct"/>
            <w:tcMar>
              <w:top w:w="5" w:type="dxa"/>
              <w:left w:w="5" w:type="dxa"/>
              <w:bottom w:w="5" w:type="dxa"/>
              <w:right w:w="5" w:type="dxa"/>
            </w:tcMar>
            <w:vAlign w:val="bottom"/>
            <w:hideMark/>
          </w:tcPr>
          <w:p w14:paraId="5EEACD38"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0CFB7C8"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6BCA56B6" w14:textId="77777777" w:rsidR="00954279" w:rsidRDefault="00A66714">
            <w:pPr>
              <w:jc w:val="right"/>
              <w:rPr>
                <w:color w:val="000000"/>
                <w:sz w:val="20"/>
                <w:szCs w:val="20"/>
              </w:rPr>
            </w:pPr>
            <w:r>
              <w:rPr>
                <w:b/>
                <w:bCs/>
                <w:color w:val="000000"/>
                <w:sz w:val="20"/>
                <w:szCs w:val="20"/>
              </w:rPr>
              <w:t>(0.02</w:t>
            </w:r>
          </w:p>
        </w:tc>
        <w:tc>
          <w:tcPr>
            <w:tcW w:w="50" w:type="pct"/>
            <w:noWrap/>
            <w:tcMar>
              <w:top w:w="5" w:type="dxa"/>
              <w:left w:w="5" w:type="dxa"/>
              <w:bottom w:w="5" w:type="dxa"/>
              <w:right w:w="5" w:type="dxa"/>
            </w:tcMar>
            <w:vAlign w:val="bottom"/>
            <w:hideMark/>
          </w:tcPr>
          <w:p w14:paraId="4C6D630D"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1B7DC8F6"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39333AC"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01323111" w14:textId="77777777" w:rsidR="00954279" w:rsidRDefault="00A66714">
            <w:pPr>
              <w:jc w:val="right"/>
              <w:rPr>
                <w:color w:val="000000"/>
                <w:sz w:val="20"/>
                <w:szCs w:val="20"/>
              </w:rPr>
            </w:pPr>
            <w:r>
              <w:rPr>
                <w:color w:val="000000"/>
                <w:sz w:val="20"/>
                <w:szCs w:val="20"/>
              </w:rPr>
              <w:t>(3.50</w:t>
            </w:r>
          </w:p>
        </w:tc>
        <w:tc>
          <w:tcPr>
            <w:tcW w:w="50" w:type="pct"/>
            <w:noWrap/>
            <w:tcMar>
              <w:top w:w="5" w:type="dxa"/>
              <w:left w:w="5" w:type="dxa"/>
              <w:bottom w:w="5" w:type="dxa"/>
              <w:right w:w="5" w:type="dxa"/>
            </w:tcMar>
            <w:vAlign w:val="bottom"/>
            <w:hideMark/>
          </w:tcPr>
          <w:p w14:paraId="7D911C02"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42EC79D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50A9E33"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0363B863" w14:textId="77777777" w:rsidR="00954279" w:rsidRDefault="00A66714">
            <w:pPr>
              <w:jc w:val="right"/>
              <w:rPr>
                <w:color w:val="000000"/>
                <w:sz w:val="20"/>
                <w:szCs w:val="20"/>
              </w:rPr>
            </w:pPr>
            <w:r>
              <w:rPr>
                <w:b/>
                <w:bCs/>
                <w:color w:val="000000"/>
                <w:sz w:val="20"/>
                <w:szCs w:val="20"/>
              </w:rPr>
              <w:t>(0.13</w:t>
            </w:r>
          </w:p>
        </w:tc>
        <w:tc>
          <w:tcPr>
            <w:tcW w:w="50" w:type="pct"/>
            <w:noWrap/>
            <w:tcMar>
              <w:top w:w="5" w:type="dxa"/>
              <w:left w:w="5" w:type="dxa"/>
              <w:bottom w:w="5" w:type="dxa"/>
              <w:right w:w="5" w:type="dxa"/>
            </w:tcMar>
            <w:vAlign w:val="bottom"/>
            <w:hideMark/>
          </w:tcPr>
          <w:p w14:paraId="23A567BD" w14:textId="77777777" w:rsidR="00954279" w:rsidRDefault="00A66714">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1B8972D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3083A6B"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6DB5BBD6" w14:textId="77777777" w:rsidR="00954279" w:rsidRDefault="00A66714">
            <w:pPr>
              <w:jc w:val="right"/>
              <w:rPr>
                <w:color w:val="000000"/>
                <w:sz w:val="20"/>
                <w:szCs w:val="20"/>
              </w:rPr>
            </w:pPr>
            <w:r>
              <w:rPr>
                <w:color w:val="000000"/>
                <w:sz w:val="20"/>
                <w:szCs w:val="20"/>
              </w:rPr>
              <w:t>(3.47</w:t>
            </w:r>
          </w:p>
        </w:tc>
        <w:tc>
          <w:tcPr>
            <w:tcW w:w="50" w:type="pct"/>
            <w:noWrap/>
            <w:tcMar>
              <w:top w:w="5" w:type="dxa"/>
              <w:left w:w="5" w:type="dxa"/>
              <w:bottom w:w="5" w:type="dxa"/>
              <w:right w:w="5" w:type="dxa"/>
            </w:tcMar>
            <w:vAlign w:val="bottom"/>
            <w:hideMark/>
          </w:tcPr>
          <w:p w14:paraId="6FF3FDF2" w14:textId="77777777" w:rsidR="00954279" w:rsidRDefault="00A66714">
            <w:pPr>
              <w:rPr>
                <w:color w:val="000000"/>
                <w:sz w:val="20"/>
                <w:szCs w:val="20"/>
              </w:rPr>
            </w:pPr>
            <w:r>
              <w:rPr>
                <w:color w:val="000000"/>
                <w:sz w:val="20"/>
                <w:szCs w:val="20"/>
              </w:rPr>
              <w:t>)</w:t>
            </w:r>
          </w:p>
        </w:tc>
      </w:tr>
      <w:tr w:rsidR="00954279" w14:paraId="0C2477D9" w14:textId="77777777">
        <w:tc>
          <w:tcPr>
            <w:tcW w:w="0" w:type="auto"/>
            <w:tcMar>
              <w:top w:w="5" w:type="dxa"/>
              <w:left w:w="5" w:type="dxa"/>
              <w:bottom w:w="5" w:type="dxa"/>
              <w:right w:w="5" w:type="dxa"/>
            </w:tcMar>
            <w:vAlign w:val="bottom"/>
            <w:hideMark/>
          </w:tcPr>
          <w:p w14:paraId="181BE1A1" w14:textId="77777777" w:rsidR="00954279" w:rsidRDefault="00A66714">
            <w:pPr>
              <w:rPr>
                <w:color w:val="000000"/>
                <w:sz w:val="20"/>
                <w:szCs w:val="20"/>
              </w:rPr>
            </w:pPr>
            <w:r>
              <w:rPr>
                <w:color w:val="000000"/>
                <w:sz w:val="20"/>
                <w:szCs w:val="20"/>
              </w:rPr>
              <w:t>Diluted loss per common share</w:t>
            </w:r>
          </w:p>
        </w:tc>
        <w:tc>
          <w:tcPr>
            <w:tcW w:w="50" w:type="pct"/>
            <w:tcMar>
              <w:top w:w="5" w:type="dxa"/>
              <w:left w:w="5" w:type="dxa"/>
              <w:bottom w:w="5" w:type="dxa"/>
              <w:right w:w="5" w:type="dxa"/>
            </w:tcMar>
            <w:vAlign w:val="bottom"/>
            <w:hideMark/>
          </w:tcPr>
          <w:p w14:paraId="00ABA499"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3D64385"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5DE91929" w14:textId="77777777" w:rsidR="00954279" w:rsidRDefault="00A66714">
            <w:pPr>
              <w:jc w:val="right"/>
              <w:rPr>
                <w:color w:val="000000"/>
                <w:sz w:val="20"/>
                <w:szCs w:val="20"/>
              </w:rPr>
            </w:pPr>
            <w:r>
              <w:rPr>
                <w:b/>
                <w:bCs/>
                <w:color w:val="000000"/>
                <w:sz w:val="20"/>
                <w:szCs w:val="20"/>
              </w:rPr>
              <w:t>(0.02</w:t>
            </w:r>
          </w:p>
        </w:tc>
        <w:tc>
          <w:tcPr>
            <w:tcW w:w="50" w:type="pct"/>
            <w:noWrap/>
            <w:tcMar>
              <w:top w:w="5" w:type="dxa"/>
              <w:left w:w="5" w:type="dxa"/>
              <w:bottom w:w="5" w:type="dxa"/>
              <w:right w:w="5" w:type="dxa"/>
            </w:tcMar>
            <w:vAlign w:val="bottom"/>
            <w:hideMark/>
          </w:tcPr>
          <w:p w14:paraId="52772903"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406D403E"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A46506F"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368877DC" w14:textId="77777777" w:rsidR="00954279" w:rsidRDefault="00A66714">
            <w:pPr>
              <w:jc w:val="right"/>
              <w:rPr>
                <w:color w:val="000000"/>
                <w:sz w:val="20"/>
                <w:szCs w:val="20"/>
              </w:rPr>
            </w:pPr>
            <w:r>
              <w:rPr>
                <w:color w:val="000000"/>
                <w:sz w:val="20"/>
                <w:szCs w:val="20"/>
              </w:rPr>
              <w:t>(3.50</w:t>
            </w:r>
          </w:p>
        </w:tc>
        <w:tc>
          <w:tcPr>
            <w:tcW w:w="50" w:type="pct"/>
            <w:noWrap/>
            <w:tcMar>
              <w:top w:w="5" w:type="dxa"/>
              <w:left w:w="5" w:type="dxa"/>
              <w:bottom w:w="5" w:type="dxa"/>
              <w:right w:w="5" w:type="dxa"/>
            </w:tcMar>
            <w:vAlign w:val="bottom"/>
            <w:hideMark/>
          </w:tcPr>
          <w:p w14:paraId="2C6AFBFA"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1F51837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52DE179"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1C2FA5FE" w14:textId="77777777" w:rsidR="00954279" w:rsidRDefault="00A66714">
            <w:pPr>
              <w:jc w:val="right"/>
              <w:rPr>
                <w:color w:val="000000"/>
                <w:sz w:val="20"/>
                <w:szCs w:val="20"/>
              </w:rPr>
            </w:pPr>
            <w:r>
              <w:rPr>
                <w:b/>
                <w:bCs/>
                <w:color w:val="000000"/>
                <w:sz w:val="20"/>
                <w:szCs w:val="20"/>
              </w:rPr>
              <w:t>(0.13</w:t>
            </w:r>
          </w:p>
        </w:tc>
        <w:tc>
          <w:tcPr>
            <w:tcW w:w="50" w:type="pct"/>
            <w:noWrap/>
            <w:tcMar>
              <w:top w:w="5" w:type="dxa"/>
              <w:left w:w="5" w:type="dxa"/>
              <w:bottom w:w="5" w:type="dxa"/>
              <w:right w:w="5" w:type="dxa"/>
            </w:tcMar>
            <w:vAlign w:val="bottom"/>
            <w:hideMark/>
          </w:tcPr>
          <w:p w14:paraId="6AFFBC3D" w14:textId="77777777" w:rsidR="00954279" w:rsidRDefault="00A66714">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6FE56E7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FCC94D7"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7676D771" w14:textId="77777777" w:rsidR="00954279" w:rsidRDefault="00A66714">
            <w:pPr>
              <w:jc w:val="right"/>
              <w:rPr>
                <w:color w:val="000000"/>
                <w:sz w:val="20"/>
                <w:szCs w:val="20"/>
              </w:rPr>
            </w:pPr>
            <w:r>
              <w:rPr>
                <w:color w:val="000000"/>
                <w:sz w:val="20"/>
                <w:szCs w:val="20"/>
              </w:rPr>
              <w:t>(3.47</w:t>
            </w:r>
          </w:p>
        </w:tc>
        <w:tc>
          <w:tcPr>
            <w:tcW w:w="50" w:type="pct"/>
            <w:noWrap/>
            <w:tcMar>
              <w:top w:w="5" w:type="dxa"/>
              <w:left w:w="5" w:type="dxa"/>
              <w:bottom w:w="5" w:type="dxa"/>
              <w:right w:w="5" w:type="dxa"/>
            </w:tcMar>
            <w:vAlign w:val="bottom"/>
            <w:hideMark/>
          </w:tcPr>
          <w:p w14:paraId="4833F400" w14:textId="77777777" w:rsidR="00954279" w:rsidRDefault="00A66714">
            <w:pPr>
              <w:rPr>
                <w:color w:val="000000"/>
                <w:sz w:val="20"/>
                <w:szCs w:val="20"/>
              </w:rPr>
            </w:pPr>
            <w:r>
              <w:rPr>
                <w:color w:val="000000"/>
                <w:sz w:val="20"/>
                <w:szCs w:val="20"/>
              </w:rPr>
              <w:t>)</w:t>
            </w:r>
          </w:p>
        </w:tc>
      </w:tr>
      <w:tr w:rsidR="00954279" w14:paraId="6F3E229A" w14:textId="77777777">
        <w:tc>
          <w:tcPr>
            <w:tcW w:w="0" w:type="auto"/>
            <w:tcMar>
              <w:top w:w="5" w:type="dxa"/>
              <w:left w:w="5" w:type="dxa"/>
              <w:bottom w:w="5" w:type="dxa"/>
              <w:right w:w="5" w:type="dxa"/>
            </w:tcMar>
            <w:vAlign w:val="bottom"/>
            <w:hideMark/>
          </w:tcPr>
          <w:p w14:paraId="6E167D1F" w14:textId="77777777" w:rsidR="00954279" w:rsidRDefault="00A66714">
            <w:pPr>
              <w:rPr>
                <w:color w:val="000000"/>
                <w:sz w:val="20"/>
                <w:szCs w:val="20"/>
              </w:rPr>
            </w:pPr>
            <w:r>
              <w:rPr>
                <w:color w:val="000000"/>
                <w:sz w:val="20"/>
                <w:szCs w:val="20"/>
              </w:rPr>
              <w:t>Weighted-average common shares, basic</w:t>
            </w:r>
          </w:p>
        </w:tc>
        <w:tc>
          <w:tcPr>
            <w:tcW w:w="50" w:type="pct"/>
            <w:tcMar>
              <w:top w:w="5" w:type="dxa"/>
              <w:left w:w="5" w:type="dxa"/>
              <w:bottom w:w="5" w:type="dxa"/>
              <w:right w:w="5" w:type="dxa"/>
            </w:tcMar>
            <w:vAlign w:val="bottom"/>
            <w:hideMark/>
          </w:tcPr>
          <w:p w14:paraId="6FCAFE6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98F98A7"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4E01EA6" w14:textId="77777777" w:rsidR="00954279" w:rsidRDefault="00A66714">
            <w:pPr>
              <w:jc w:val="right"/>
              <w:rPr>
                <w:color w:val="000000"/>
                <w:sz w:val="20"/>
                <w:szCs w:val="20"/>
              </w:rPr>
            </w:pPr>
            <w:r>
              <w:rPr>
                <w:b/>
                <w:bCs/>
                <w:color w:val="000000"/>
                <w:sz w:val="20"/>
                <w:szCs w:val="20"/>
              </w:rPr>
              <w:t>82.6</w:t>
            </w:r>
          </w:p>
        </w:tc>
        <w:tc>
          <w:tcPr>
            <w:tcW w:w="50" w:type="pct"/>
            <w:noWrap/>
            <w:tcMar>
              <w:top w:w="5" w:type="dxa"/>
              <w:left w:w="5" w:type="dxa"/>
              <w:bottom w:w="5" w:type="dxa"/>
              <w:right w:w="5" w:type="dxa"/>
            </w:tcMar>
            <w:vAlign w:val="bottom"/>
            <w:hideMark/>
          </w:tcPr>
          <w:p w14:paraId="5504BA4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16BAFF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B4AF6C5"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5E99B16" w14:textId="77777777" w:rsidR="00954279" w:rsidRDefault="00A66714">
            <w:pPr>
              <w:jc w:val="right"/>
              <w:rPr>
                <w:color w:val="000000"/>
                <w:sz w:val="20"/>
                <w:szCs w:val="20"/>
              </w:rPr>
            </w:pPr>
            <w:r>
              <w:rPr>
                <w:color w:val="000000"/>
                <w:sz w:val="20"/>
                <w:szCs w:val="20"/>
              </w:rPr>
              <w:t>82.0</w:t>
            </w:r>
          </w:p>
        </w:tc>
        <w:tc>
          <w:tcPr>
            <w:tcW w:w="50" w:type="pct"/>
            <w:noWrap/>
            <w:tcMar>
              <w:top w:w="5" w:type="dxa"/>
              <w:left w:w="5" w:type="dxa"/>
              <w:bottom w:w="5" w:type="dxa"/>
              <w:right w:w="5" w:type="dxa"/>
            </w:tcMar>
            <w:vAlign w:val="bottom"/>
            <w:hideMark/>
          </w:tcPr>
          <w:p w14:paraId="7DEF8BAE"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9CE999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5E7B1D7"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49E597A" w14:textId="77777777" w:rsidR="00954279" w:rsidRDefault="00A66714">
            <w:pPr>
              <w:jc w:val="right"/>
              <w:rPr>
                <w:color w:val="000000"/>
                <w:sz w:val="20"/>
                <w:szCs w:val="20"/>
              </w:rPr>
            </w:pPr>
            <w:r>
              <w:rPr>
                <w:b/>
                <w:bCs/>
                <w:color w:val="000000"/>
                <w:sz w:val="20"/>
                <w:szCs w:val="20"/>
              </w:rPr>
              <w:t>82.5</w:t>
            </w:r>
          </w:p>
        </w:tc>
        <w:tc>
          <w:tcPr>
            <w:tcW w:w="50" w:type="pct"/>
            <w:noWrap/>
            <w:tcMar>
              <w:top w:w="5" w:type="dxa"/>
              <w:left w:w="5" w:type="dxa"/>
              <w:bottom w:w="5" w:type="dxa"/>
              <w:right w:w="5" w:type="dxa"/>
            </w:tcMar>
            <w:vAlign w:val="bottom"/>
            <w:hideMark/>
          </w:tcPr>
          <w:p w14:paraId="19DB6508"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0BF90DE"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0254787"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135C655" w14:textId="77777777" w:rsidR="00954279" w:rsidRDefault="00A66714">
            <w:pPr>
              <w:jc w:val="right"/>
              <w:rPr>
                <w:color w:val="000000"/>
                <w:sz w:val="20"/>
                <w:szCs w:val="20"/>
              </w:rPr>
            </w:pPr>
            <w:r>
              <w:rPr>
                <w:color w:val="000000"/>
                <w:sz w:val="20"/>
                <w:szCs w:val="20"/>
              </w:rPr>
              <w:t>81.9</w:t>
            </w:r>
          </w:p>
        </w:tc>
        <w:tc>
          <w:tcPr>
            <w:tcW w:w="50" w:type="pct"/>
            <w:noWrap/>
            <w:tcMar>
              <w:top w:w="5" w:type="dxa"/>
              <w:left w:w="5" w:type="dxa"/>
              <w:bottom w:w="5" w:type="dxa"/>
              <w:right w:w="5" w:type="dxa"/>
            </w:tcMar>
            <w:vAlign w:val="bottom"/>
            <w:hideMark/>
          </w:tcPr>
          <w:p w14:paraId="17067EE0" w14:textId="77777777" w:rsidR="00954279" w:rsidRDefault="00A66714">
            <w:pPr>
              <w:rPr>
                <w:color w:val="000000"/>
                <w:sz w:val="20"/>
                <w:szCs w:val="20"/>
              </w:rPr>
            </w:pPr>
            <w:r>
              <w:rPr>
                <w:color w:val="000000"/>
                <w:sz w:val="20"/>
                <w:szCs w:val="20"/>
              </w:rPr>
              <w:t> </w:t>
            </w:r>
          </w:p>
        </w:tc>
      </w:tr>
      <w:tr w:rsidR="00954279" w14:paraId="3888BC2E" w14:textId="77777777">
        <w:tc>
          <w:tcPr>
            <w:tcW w:w="0" w:type="auto"/>
            <w:tcMar>
              <w:top w:w="5" w:type="dxa"/>
              <w:left w:w="5" w:type="dxa"/>
              <w:bottom w:w="5" w:type="dxa"/>
              <w:right w:w="5" w:type="dxa"/>
            </w:tcMar>
            <w:vAlign w:val="bottom"/>
            <w:hideMark/>
          </w:tcPr>
          <w:p w14:paraId="3DC255DF" w14:textId="77777777" w:rsidR="00954279" w:rsidRDefault="00A66714">
            <w:pPr>
              <w:rPr>
                <w:color w:val="000000"/>
                <w:sz w:val="20"/>
                <w:szCs w:val="20"/>
              </w:rPr>
            </w:pPr>
            <w:r>
              <w:rPr>
                <w:color w:val="000000"/>
                <w:sz w:val="20"/>
                <w:szCs w:val="20"/>
              </w:rPr>
              <w:t>Weighted-average common shares, diluted</w:t>
            </w:r>
          </w:p>
        </w:tc>
        <w:tc>
          <w:tcPr>
            <w:tcW w:w="50" w:type="pct"/>
            <w:tcMar>
              <w:top w:w="5" w:type="dxa"/>
              <w:left w:w="5" w:type="dxa"/>
              <w:bottom w:w="5" w:type="dxa"/>
              <w:right w:w="5" w:type="dxa"/>
            </w:tcMar>
            <w:vAlign w:val="bottom"/>
            <w:hideMark/>
          </w:tcPr>
          <w:p w14:paraId="6365237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A0DF202"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409FA89" w14:textId="77777777" w:rsidR="00954279" w:rsidRDefault="00A66714">
            <w:pPr>
              <w:jc w:val="right"/>
              <w:rPr>
                <w:color w:val="000000"/>
                <w:sz w:val="20"/>
                <w:szCs w:val="20"/>
              </w:rPr>
            </w:pPr>
            <w:r>
              <w:rPr>
                <w:b/>
                <w:bCs/>
                <w:color w:val="000000"/>
                <w:sz w:val="20"/>
                <w:szCs w:val="20"/>
              </w:rPr>
              <w:t>82.6</w:t>
            </w:r>
          </w:p>
        </w:tc>
        <w:tc>
          <w:tcPr>
            <w:tcW w:w="50" w:type="pct"/>
            <w:noWrap/>
            <w:tcMar>
              <w:top w:w="5" w:type="dxa"/>
              <w:left w:w="5" w:type="dxa"/>
              <w:bottom w:w="5" w:type="dxa"/>
              <w:right w:w="5" w:type="dxa"/>
            </w:tcMar>
            <w:vAlign w:val="bottom"/>
            <w:hideMark/>
          </w:tcPr>
          <w:p w14:paraId="4DDD425E"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C47FFDE"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12FBAD2"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F1ED598" w14:textId="77777777" w:rsidR="00954279" w:rsidRDefault="00A66714">
            <w:pPr>
              <w:jc w:val="right"/>
              <w:rPr>
                <w:color w:val="000000"/>
                <w:sz w:val="20"/>
                <w:szCs w:val="20"/>
              </w:rPr>
            </w:pPr>
            <w:r>
              <w:rPr>
                <w:color w:val="000000"/>
                <w:sz w:val="20"/>
                <w:szCs w:val="20"/>
              </w:rPr>
              <w:t>82.0</w:t>
            </w:r>
          </w:p>
        </w:tc>
        <w:tc>
          <w:tcPr>
            <w:tcW w:w="50" w:type="pct"/>
            <w:noWrap/>
            <w:tcMar>
              <w:top w:w="5" w:type="dxa"/>
              <w:left w:w="5" w:type="dxa"/>
              <w:bottom w:w="5" w:type="dxa"/>
              <w:right w:w="5" w:type="dxa"/>
            </w:tcMar>
            <w:vAlign w:val="bottom"/>
            <w:hideMark/>
          </w:tcPr>
          <w:p w14:paraId="2CF4F0C0"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BC4C8FF"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75FB0E8"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D129F0F" w14:textId="77777777" w:rsidR="00954279" w:rsidRDefault="00A66714">
            <w:pPr>
              <w:jc w:val="right"/>
              <w:rPr>
                <w:color w:val="000000"/>
                <w:sz w:val="20"/>
                <w:szCs w:val="20"/>
              </w:rPr>
            </w:pPr>
            <w:r>
              <w:rPr>
                <w:b/>
                <w:bCs/>
                <w:color w:val="000000"/>
                <w:sz w:val="20"/>
                <w:szCs w:val="20"/>
              </w:rPr>
              <w:t>82.5</w:t>
            </w:r>
          </w:p>
        </w:tc>
        <w:tc>
          <w:tcPr>
            <w:tcW w:w="50" w:type="pct"/>
            <w:noWrap/>
            <w:tcMar>
              <w:top w:w="5" w:type="dxa"/>
              <w:left w:w="5" w:type="dxa"/>
              <w:bottom w:w="5" w:type="dxa"/>
              <w:right w:w="5" w:type="dxa"/>
            </w:tcMar>
            <w:vAlign w:val="bottom"/>
            <w:hideMark/>
          </w:tcPr>
          <w:p w14:paraId="1E6CAFB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A9D8181"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77E0809"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906F066" w14:textId="77777777" w:rsidR="00954279" w:rsidRDefault="00A66714">
            <w:pPr>
              <w:jc w:val="right"/>
              <w:rPr>
                <w:color w:val="000000"/>
                <w:sz w:val="20"/>
                <w:szCs w:val="20"/>
              </w:rPr>
            </w:pPr>
            <w:r>
              <w:rPr>
                <w:color w:val="000000"/>
                <w:sz w:val="20"/>
                <w:szCs w:val="20"/>
              </w:rPr>
              <w:t>81.9</w:t>
            </w:r>
          </w:p>
        </w:tc>
        <w:tc>
          <w:tcPr>
            <w:tcW w:w="50" w:type="pct"/>
            <w:noWrap/>
            <w:tcMar>
              <w:top w:w="5" w:type="dxa"/>
              <w:left w:w="5" w:type="dxa"/>
              <w:bottom w:w="5" w:type="dxa"/>
              <w:right w:w="5" w:type="dxa"/>
            </w:tcMar>
            <w:vAlign w:val="bottom"/>
            <w:hideMark/>
          </w:tcPr>
          <w:p w14:paraId="7A415C8E" w14:textId="77777777" w:rsidR="00954279" w:rsidRDefault="00A66714">
            <w:pPr>
              <w:rPr>
                <w:color w:val="000000"/>
                <w:sz w:val="20"/>
                <w:szCs w:val="20"/>
              </w:rPr>
            </w:pPr>
            <w:r>
              <w:rPr>
                <w:color w:val="000000"/>
                <w:sz w:val="20"/>
                <w:szCs w:val="20"/>
              </w:rPr>
              <w:t> </w:t>
            </w:r>
          </w:p>
        </w:tc>
      </w:tr>
    </w:tbl>
    <w:p w14:paraId="70A80FA4" w14:textId="77777777" w:rsidR="00954279" w:rsidRDefault="00A66714">
      <w:pPr>
        <w:ind w:left="144" w:right="144"/>
        <w:rPr>
          <w:sz w:val="20"/>
          <w:szCs w:val="20"/>
        </w:rPr>
      </w:pPr>
      <w:r>
        <w:rPr>
          <w:sz w:val="20"/>
          <w:szCs w:val="20"/>
        </w:rPr>
        <w:t> </w:t>
      </w:r>
    </w:p>
    <w:p w14:paraId="7A6D0C19" w14:textId="77777777" w:rsidR="00954279" w:rsidRDefault="00A66714">
      <w:pPr>
        <w:ind w:left="144" w:right="144"/>
        <w:rPr>
          <w:sz w:val="20"/>
          <w:szCs w:val="20"/>
        </w:rPr>
      </w:pPr>
      <w:r>
        <w:rPr>
          <w:i/>
          <w:iCs/>
          <w:sz w:val="20"/>
          <w:szCs w:val="20"/>
        </w:rPr>
        <w:t>See notes to condensed consolidated financial statements.</w:t>
      </w:r>
    </w:p>
    <w:p w14:paraId="44760F4C" w14:textId="77777777" w:rsidR="00954279" w:rsidRDefault="00A66714">
      <w:pPr>
        <w:ind w:left="144" w:right="144"/>
        <w:jc w:val="center"/>
        <w:rPr>
          <w:sz w:val="20"/>
          <w:szCs w:val="20"/>
        </w:rPr>
      </w:pPr>
      <w:r>
        <w:rPr>
          <w:sz w:val="20"/>
          <w:szCs w:val="20"/>
        </w:rPr>
        <w:t> </w:t>
      </w:r>
    </w:p>
    <w:p w14:paraId="0035A5F6" w14:textId="77777777" w:rsidR="00954279" w:rsidRDefault="00A66714">
      <w:pPr>
        <w:ind w:left="144" w:right="144"/>
        <w:jc w:val="center"/>
        <w:rPr>
          <w:sz w:val="20"/>
          <w:szCs w:val="20"/>
        </w:rPr>
      </w:pPr>
      <w:r>
        <w:rPr>
          <w:sz w:val="20"/>
          <w:szCs w:val="20"/>
        </w:rPr>
        <w:t>2</w:t>
      </w:r>
    </w:p>
    <w:p w14:paraId="252C8F8F" w14:textId="77777777" w:rsidR="00954279" w:rsidRDefault="00A66714">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398C157A" w14:textId="77777777" w:rsidR="00954279" w:rsidRDefault="00A66714">
      <w:pPr>
        <w:ind w:left="144" w:right="144"/>
        <w:rPr>
          <w:sz w:val="20"/>
          <w:szCs w:val="20"/>
        </w:rPr>
      </w:pPr>
      <w:r>
        <w:rPr>
          <w:sz w:val="20"/>
          <w:szCs w:val="20"/>
        </w:rPr>
        <w:t> </w:t>
      </w:r>
    </w:p>
    <w:p w14:paraId="4E20B7D8" w14:textId="77777777" w:rsidR="00954279" w:rsidRDefault="00A66714">
      <w:pPr>
        <w:ind w:left="144" w:right="144"/>
        <w:rPr>
          <w:sz w:val="20"/>
          <w:szCs w:val="20"/>
        </w:rPr>
      </w:pPr>
      <w:r>
        <w:rPr>
          <w:sz w:val="20"/>
          <w:szCs w:val="20"/>
        </w:rPr>
        <w:t> </w:t>
      </w:r>
    </w:p>
    <w:p w14:paraId="5839C118" w14:textId="77777777" w:rsidR="00954279" w:rsidRDefault="00A66714">
      <w:pPr>
        <w:ind w:left="144" w:right="144"/>
        <w:rPr>
          <w:sz w:val="20"/>
          <w:szCs w:val="20"/>
        </w:rPr>
      </w:pPr>
      <w:bookmarkStart w:id="4" w:name="Comp_Inc"/>
      <w:bookmarkEnd w:id="4"/>
      <w:r>
        <w:rPr>
          <w:sz w:val="20"/>
          <w:szCs w:val="20"/>
        </w:rPr>
        <w:t>CONDENSED CONSOLIDATED STATEMENTS OF COMPREHENSIVE INCOME (LOSS) (UNAUDITED)</w:t>
      </w:r>
    </w:p>
    <w:p w14:paraId="3AB19793" w14:textId="77777777" w:rsidR="00954279" w:rsidRDefault="00A66714">
      <w:pPr>
        <w:ind w:left="144" w:right="144"/>
        <w:rPr>
          <w:sz w:val="20"/>
          <w:szCs w:val="20"/>
        </w:rPr>
      </w:pPr>
      <w:r>
        <w:rPr>
          <w:sz w:val="20"/>
          <w:szCs w:val="20"/>
        </w:rPr>
        <w:t>MRC GLOBAL INC.</w:t>
      </w:r>
    </w:p>
    <w:p w14:paraId="4A10C4C8" w14:textId="77777777" w:rsidR="00954279" w:rsidRDefault="00A66714">
      <w:pPr>
        <w:ind w:left="144" w:right="144"/>
        <w:rPr>
          <w:sz w:val="20"/>
          <w:szCs w:val="20"/>
        </w:rPr>
      </w:pPr>
      <w:r>
        <w:rPr>
          <w:i/>
          <w:iCs/>
          <w:sz w:val="20"/>
          <w:szCs w:val="20"/>
        </w:rPr>
        <w:t>(in millions)</w:t>
      </w:r>
    </w:p>
    <w:p w14:paraId="005A1975" w14:textId="77777777" w:rsidR="00954279" w:rsidRDefault="00A66714">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5615"/>
        <w:gridCol w:w="107"/>
        <w:gridCol w:w="111"/>
        <w:gridCol w:w="971"/>
        <w:gridCol w:w="107"/>
        <w:gridCol w:w="107"/>
        <w:gridCol w:w="110"/>
        <w:gridCol w:w="971"/>
        <w:gridCol w:w="107"/>
        <w:gridCol w:w="107"/>
        <w:gridCol w:w="111"/>
        <w:gridCol w:w="971"/>
        <w:gridCol w:w="107"/>
        <w:gridCol w:w="108"/>
        <w:gridCol w:w="110"/>
        <w:gridCol w:w="972"/>
        <w:gridCol w:w="108"/>
      </w:tblGrid>
      <w:tr w:rsidR="00954279" w14:paraId="1FCC4B2F" w14:textId="77777777">
        <w:tc>
          <w:tcPr>
            <w:tcW w:w="0" w:type="auto"/>
            <w:tcMar>
              <w:top w:w="5" w:type="dxa"/>
              <w:left w:w="5" w:type="dxa"/>
              <w:bottom w:w="5" w:type="dxa"/>
              <w:right w:w="5" w:type="dxa"/>
            </w:tcMar>
            <w:vAlign w:val="bottom"/>
            <w:hideMark/>
          </w:tcPr>
          <w:p w14:paraId="1B8F471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2A70FED" w14:textId="77777777" w:rsidR="00954279" w:rsidRDefault="00A66714">
            <w:pPr>
              <w:rPr>
                <w:color w:val="000000"/>
                <w:sz w:val="20"/>
                <w:szCs w:val="20"/>
              </w:rPr>
            </w:pPr>
            <w:r>
              <w:rPr>
                <w:color w:val="000000"/>
                <w:sz w:val="20"/>
                <w:szCs w:val="20"/>
              </w:rPr>
              <w:t> </w:t>
            </w:r>
          </w:p>
        </w:tc>
        <w:tc>
          <w:tcPr>
            <w:tcW w:w="0" w:type="auto"/>
            <w:gridSpan w:val="6"/>
            <w:tcBorders>
              <w:bottom w:val="single" w:sz="6" w:space="0" w:color="000000"/>
            </w:tcBorders>
            <w:tcMar>
              <w:top w:w="5" w:type="dxa"/>
              <w:left w:w="5" w:type="dxa"/>
              <w:bottom w:w="8" w:type="dxa"/>
              <w:right w:w="5" w:type="dxa"/>
            </w:tcMar>
            <w:vAlign w:val="bottom"/>
            <w:hideMark/>
          </w:tcPr>
          <w:p w14:paraId="3E1AE5C4" w14:textId="77777777" w:rsidR="00954279" w:rsidRDefault="00A66714">
            <w:pPr>
              <w:jc w:val="center"/>
              <w:rPr>
                <w:color w:val="000000"/>
                <w:sz w:val="20"/>
                <w:szCs w:val="20"/>
              </w:rPr>
            </w:pPr>
            <w:r>
              <w:rPr>
                <w:b/>
                <w:bCs/>
                <w:color w:val="000000"/>
                <w:sz w:val="20"/>
                <w:szCs w:val="20"/>
              </w:rPr>
              <w:t>Three Months Ended</w:t>
            </w:r>
          </w:p>
        </w:tc>
        <w:tc>
          <w:tcPr>
            <w:tcW w:w="0" w:type="auto"/>
            <w:tcMar>
              <w:top w:w="5" w:type="dxa"/>
              <w:left w:w="5" w:type="dxa"/>
              <w:bottom w:w="20" w:type="dxa"/>
              <w:right w:w="5" w:type="dxa"/>
            </w:tcMar>
            <w:vAlign w:val="bottom"/>
            <w:hideMark/>
          </w:tcPr>
          <w:p w14:paraId="28ED74E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8AAC6EB" w14:textId="77777777" w:rsidR="00954279" w:rsidRDefault="00A66714">
            <w:pPr>
              <w:rPr>
                <w:color w:val="000000"/>
                <w:sz w:val="20"/>
                <w:szCs w:val="20"/>
              </w:rPr>
            </w:pPr>
            <w:r>
              <w:rPr>
                <w:color w:val="000000"/>
                <w:sz w:val="20"/>
                <w:szCs w:val="20"/>
              </w:rPr>
              <w:t> </w:t>
            </w:r>
          </w:p>
        </w:tc>
        <w:tc>
          <w:tcPr>
            <w:tcW w:w="0" w:type="auto"/>
            <w:gridSpan w:val="6"/>
            <w:tcBorders>
              <w:bottom w:val="single" w:sz="6" w:space="0" w:color="000000"/>
            </w:tcBorders>
            <w:tcMar>
              <w:top w:w="5" w:type="dxa"/>
              <w:left w:w="5" w:type="dxa"/>
              <w:bottom w:w="8" w:type="dxa"/>
              <w:right w:w="5" w:type="dxa"/>
            </w:tcMar>
            <w:vAlign w:val="bottom"/>
            <w:hideMark/>
          </w:tcPr>
          <w:p w14:paraId="0A9DE8A9" w14:textId="77777777" w:rsidR="00954279" w:rsidRDefault="00A66714">
            <w:pPr>
              <w:jc w:val="center"/>
              <w:rPr>
                <w:color w:val="000000"/>
                <w:sz w:val="20"/>
                <w:szCs w:val="20"/>
              </w:rPr>
            </w:pPr>
            <w:r>
              <w:rPr>
                <w:b/>
                <w:bCs/>
                <w:color w:val="000000"/>
                <w:sz w:val="20"/>
                <w:szCs w:val="20"/>
              </w:rPr>
              <w:t>Six Months Ended</w:t>
            </w:r>
          </w:p>
        </w:tc>
        <w:tc>
          <w:tcPr>
            <w:tcW w:w="0" w:type="auto"/>
            <w:tcMar>
              <w:top w:w="5" w:type="dxa"/>
              <w:left w:w="5" w:type="dxa"/>
              <w:bottom w:w="20" w:type="dxa"/>
              <w:right w:w="5" w:type="dxa"/>
            </w:tcMar>
            <w:vAlign w:val="bottom"/>
            <w:hideMark/>
          </w:tcPr>
          <w:p w14:paraId="66F35337" w14:textId="77777777" w:rsidR="00954279" w:rsidRDefault="00A66714">
            <w:pPr>
              <w:rPr>
                <w:color w:val="000000"/>
                <w:sz w:val="20"/>
                <w:szCs w:val="20"/>
              </w:rPr>
            </w:pPr>
            <w:r>
              <w:rPr>
                <w:color w:val="000000"/>
                <w:sz w:val="20"/>
                <w:szCs w:val="20"/>
              </w:rPr>
              <w:t> </w:t>
            </w:r>
          </w:p>
        </w:tc>
      </w:tr>
      <w:tr w:rsidR="00954279" w14:paraId="4E5907AB" w14:textId="77777777">
        <w:tc>
          <w:tcPr>
            <w:tcW w:w="0" w:type="auto"/>
            <w:tcMar>
              <w:top w:w="5" w:type="dxa"/>
              <w:left w:w="5" w:type="dxa"/>
              <w:bottom w:w="5" w:type="dxa"/>
              <w:right w:w="5" w:type="dxa"/>
            </w:tcMar>
            <w:vAlign w:val="bottom"/>
            <w:hideMark/>
          </w:tcPr>
          <w:p w14:paraId="7B6D1A9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3A329B8"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4584374F" w14:textId="77777777" w:rsidR="00954279" w:rsidRDefault="00A66714">
            <w:pPr>
              <w:jc w:val="center"/>
              <w:rPr>
                <w:color w:val="000000"/>
                <w:sz w:val="20"/>
                <w:szCs w:val="20"/>
              </w:rPr>
            </w:pPr>
            <w:r>
              <w:rPr>
                <w:b/>
                <w:bCs/>
                <w:color w:val="000000"/>
                <w:sz w:val="20"/>
                <w:szCs w:val="20"/>
              </w:rPr>
              <w:t>June 30,</w:t>
            </w:r>
          </w:p>
        </w:tc>
        <w:tc>
          <w:tcPr>
            <w:tcW w:w="0" w:type="auto"/>
            <w:tcMar>
              <w:top w:w="5" w:type="dxa"/>
              <w:left w:w="5" w:type="dxa"/>
              <w:bottom w:w="5" w:type="dxa"/>
              <w:right w:w="5" w:type="dxa"/>
            </w:tcMar>
            <w:vAlign w:val="bottom"/>
            <w:hideMark/>
          </w:tcPr>
          <w:p w14:paraId="7C4AA5C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6C648C3"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0FE244B9" w14:textId="77777777" w:rsidR="00954279" w:rsidRDefault="00A66714">
            <w:pPr>
              <w:jc w:val="center"/>
              <w:rPr>
                <w:color w:val="000000"/>
                <w:sz w:val="20"/>
                <w:szCs w:val="20"/>
              </w:rPr>
            </w:pPr>
            <w:r>
              <w:rPr>
                <w:b/>
                <w:bCs/>
                <w:color w:val="000000"/>
                <w:sz w:val="20"/>
                <w:szCs w:val="20"/>
              </w:rPr>
              <w:t>June 30,</w:t>
            </w:r>
          </w:p>
        </w:tc>
        <w:tc>
          <w:tcPr>
            <w:tcW w:w="0" w:type="auto"/>
            <w:tcMar>
              <w:top w:w="5" w:type="dxa"/>
              <w:left w:w="5" w:type="dxa"/>
              <w:bottom w:w="5" w:type="dxa"/>
              <w:right w:w="5" w:type="dxa"/>
            </w:tcMar>
            <w:vAlign w:val="bottom"/>
            <w:hideMark/>
          </w:tcPr>
          <w:p w14:paraId="7673258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A7482D7"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22CC4C3F" w14:textId="77777777" w:rsidR="00954279" w:rsidRDefault="00A66714">
            <w:pPr>
              <w:jc w:val="center"/>
              <w:rPr>
                <w:color w:val="000000"/>
                <w:sz w:val="20"/>
                <w:szCs w:val="20"/>
              </w:rPr>
            </w:pPr>
            <w:r>
              <w:rPr>
                <w:b/>
                <w:bCs/>
                <w:color w:val="000000"/>
                <w:sz w:val="20"/>
                <w:szCs w:val="20"/>
              </w:rPr>
              <w:t>June 30,</w:t>
            </w:r>
          </w:p>
        </w:tc>
        <w:tc>
          <w:tcPr>
            <w:tcW w:w="0" w:type="auto"/>
            <w:tcMar>
              <w:top w:w="5" w:type="dxa"/>
              <w:left w:w="5" w:type="dxa"/>
              <w:bottom w:w="5" w:type="dxa"/>
              <w:right w:w="5" w:type="dxa"/>
            </w:tcMar>
            <w:vAlign w:val="bottom"/>
            <w:hideMark/>
          </w:tcPr>
          <w:p w14:paraId="1295D412"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8F57F72"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1D270824" w14:textId="77777777" w:rsidR="00954279" w:rsidRDefault="00A66714">
            <w:pPr>
              <w:jc w:val="center"/>
              <w:rPr>
                <w:color w:val="000000"/>
                <w:sz w:val="20"/>
                <w:szCs w:val="20"/>
              </w:rPr>
            </w:pPr>
            <w:r>
              <w:rPr>
                <w:b/>
                <w:bCs/>
                <w:color w:val="000000"/>
                <w:sz w:val="20"/>
                <w:szCs w:val="20"/>
              </w:rPr>
              <w:t>June 30,</w:t>
            </w:r>
          </w:p>
        </w:tc>
        <w:tc>
          <w:tcPr>
            <w:tcW w:w="0" w:type="auto"/>
            <w:tcMar>
              <w:top w:w="5" w:type="dxa"/>
              <w:left w:w="5" w:type="dxa"/>
              <w:bottom w:w="5" w:type="dxa"/>
              <w:right w:w="5" w:type="dxa"/>
            </w:tcMar>
            <w:vAlign w:val="bottom"/>
            <w:hideMark/>
          </w:tcPr>
          <w:p w14:paraId="7D700ABE" w14:textId="77777777" w:rsidR="00954279" w:rsidRDefault="00A66714">
            <w:pPr>
              <w:rPr>
                <w:color w:val="000000"/>
                <w:sz w:val="20"/>
                <w:szCs w:val="20"/>
              </w:rPr>
            </w:pPr>
            <w:r>
              <w:rPr>
                <w:color w:val="000000"/>
                <w:sz w:val="20"/>
                <w:szCs w:val="20"/>
              </w:rPr>
              <w:t> </w:t>
            </w:r>
          </w:p>
        </w:tc>
      </w:tr>
      <w:tr w:rsidR="00954279" w14:paraId="3D73F12C" w14:textId="77777777">
        <w:tc>
          <w:tcPr>
            <w:tcW w:w="0" w:type="auto"/>
            <w:tcMar>
              <w:top w:w="5" w:type="dxa"/>
              <w:left w:w="5" w:type="dxa"/>
              <w:bottom w:w="5" w:type="dxa"/>
              <w:right w:w="5" w:type="dxa"/>
            </w:tcMar>
            <w:vAlign w:val="bottom"/>
            <w:hideMark/>
          </w:tcPr>
          <w:p w14:paraId="488813A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76689B1"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23BD2298" w14:textId="77777777" w:rsidR="00954279" w:rsidRDefault="00A66714">
            <w:pPr>
              <w:jc w:val="center"/>
              <w:rPr>
                <w:color w:val="000000"/>
                <w:sz w:val="20"/>
                <w:szCs w:val="20"/>
              </w:rPr>
            </w:pPr>
            <w:r>
              <w:rPr>
                <w:b/>
                <w:bCs/>
                <w:color w:val="000000"/>
                <w:sz w:val="20"/>
                <w:szCs w:val="20"/>
              </w:rPr>
              <w:t>2021</w:t>
            </w:r>
          </w:p>
        </w:tc>
        <w:tc>
          <w:tcPr>
            <w:tcW w:w="0" w:type="auto"/>
            <w:tcMar>
              <w:top w:w="5" w:type="dxa"/>
              <w:left w:w="5" w:type="dxa"/>
              <w:bottom w:w="20" w:type="dxa"/>
              <w:right w:w="5" w:type="dxa"/>
            </w:tcMar>
            <w:vAlign w:val="bottom"/>
            <w:hideMark/>
          </w:tcPr>
          <w:p w14:paraId="29E4EC2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E4439DB"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2A6C6E69" w14:textId="77777777" w:rsidR="00954279" w:rsidRDefault="00A66714">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1CD4828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FA0E484"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7A6B6382" w14:textId="77777777" w:rsidR="00954279" w:rsidRDefault="00A66714">
            <w:pPr>
              <w:jc w:val="center"/>
              <w:rPr>
                <w:color w:val="000000"/>
                <w:sz w:val="20"/>
                <w:szCs w:val="20"/>
              </w:rPr>
            </w:pPr>
            <w:r>
              <w:rPr>
                <w:b/>
                <w:bCs/>
                <w:color w:val="000000"/>
                <w:sz w:val="20"/>
                <w:szCs w:val="20"/>
              </w:rPr>
              <w:t>2021</w:t>
            </w:r>
          </w:p>
        </w:tc>
        <w:tc>
          <w:tcPr>
            <w:tcW w:w="0" w:type="auto"/>
            <w:tcMar>
              <w:top w:w="5" w:type="dxa"/>
              <w:left w:w="5" w:type="dxa"/>
              <w:bottom w:w="20" w:type="dxa"/>
              <w:right w:w="5" w:type="dxa"/>
            </w:tcMar>
            <w:vAlign w:val="bottom"/>
            <w:hideMark/>
          </w:tcPr>
          <w:p w14:paraId="04D55DF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882FB18"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23E76ED5" w14:textId="77777777" w:rsidR="00954279" w:rsidRDefault="00A66714">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0093B42E" w14:textId="77777777" w:rsidR="00954279" w:rsidRDefault="00A66714">
            <w:pPr>
              <w:rPr>
                <w:color w:val="000000"/>
                <w:sz w:val="20"/>
                <w:szCs w:val="20"/>
              </w:rPr>
            </w:pPr>
            <w:r>
              <w:rPr>
                <w:color w:val="000000"/>
                <w:sz w:val="20"/>
                <w:szCs w:val="20"/>
              </w:rPr>
              <w:t> </w:t>
            </w:r>
          </w:p>
        </w:tc>
      </w:tr>
      <w:tr w:rsidR="00954279" w14:paraId="5847DA2A" w14:textId="77777777">
        <w:tc>
          <w:tcPr>
            <w:tcW w:w="0" w:type="auto"/>
            <w:tcMar>
              <w:top w:w="5" w:type="dxa"/>
              <w:left w:w="5" w:type="dxa"/>
              <w:bottom w:w="5" w:type="dxa"/>
              <w:right w:w="5" w:type="dxa"/>
            </w:tcMar>
            <w:vAlign w:val="bottom"/>
            <w:hideMark/>
          </w:tcPr>
          <w:p w14:paraId="23F8022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C763C1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EEC66F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E36201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D78F0F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3C0DD7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8FCFED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CC8509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BC7D72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C96563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E75CAC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7F01AF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14843D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C5F401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D2B4412"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FDF2E7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00699D2" w14:textId="77777777" w:rsidR="00954279" w:rsidRDefault="00A66714">
            <w:pPr>
              <w:rPr>
                <w:color w:val="000000"/>
                <w:sz w:val="20"/>
                <w:szCs w:val="20"/>
              </w:rPr>
            </w:pPr>
            <w:r>
              <w:rPr>
                <w:color w:val="000000"/>
                <w:sz w:val="20"/>
                <w:szCs w:val="20"/>
              </w:rPr>
              <w:t> </w:t>
            </w:r>
          </w:p>
        </w:tc>
      </w:tr>
      <w:tr w:rsidR="00954279" w14:paraId="4CABB21E" w14:textId="77777777">
        <w:tc>
          <w:tcPr>
            <w:tcW w:w="2600" w:type="pct"/>
            <w:tcMar>
              <w:top w:w="5" w:type="dxa"/>
              <w:left w:w="5" w:type="dxa"/>
              <w:bottom w:w="5" w:type="dxa"/>
              <w:right w:w="5" w:type="dxa"/>
            </w:tcMar>
            <w:vAlign w:val="bottom"/>
            <w:hideMark/>
          </w:tcPr>
          <w:p w14:paraId="57896508" w14:textId="77777777" w:rsidR="00954279" w:rsidRDefault="00A66714">
            <w:pPr>
              <w:rPr>
                <w:color w:val="000000"/>
                <w:sz w:val="20"/>
                <w:szCs w:val="20"/>
              </w:rPr>
            </w:pPr>
            <w:r>
              <w:rPr>
                <w:color w:val="000000"/>
                <w:sz w:val="20"/>
                <w:szCs w:val="20"/>
              </w:rPr>
              <w:t>Net income (loss)</w:t>
            </w:r>
          </w:p>
        </w:tc>
        <w:tc>
          <w:tcPr>
            <w:tcW w:w="50" w:type="pct"/>
            <w:tcMar>
              <w:top w:w="5" w:type="dxa"/>
              <w:left w:w="5" w:type="dxa"/>
              <w:bottom w:w="5" w:type="dxa"/>
              <w:right w:w="5" w:type="dxa"/>
            </w:tcMar>
            <w:vAlign w:val="bottom"/>
            <w:hideMark/>
          </w:tcPr>
          <w:p w14:paraId="4CF5D3B3"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DC7542B"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32F4BCCE" w14:textId="77777777" w:rsidR="00954279" w:rsidRDefault="00A66714">
            <w:pPr>
              <w:jc w:val="right"/>
              <w:rPr>
                <w:color w:val="000000"/>
                <w:sz w:val="20"/>
                <w:szCs w:val="20"/>
              </w:rPr>
            </w:pPr>
            <w:r>
              <w:rPr>
                <w:b/>
                <w:bCs/>
                <w:color w:val="000000"/>
                <w:sz w:val="20"/>
                <w:szCs w:val="20"/>
              </w:rPr>
              <w:t>4</w:t>
            </w:r>
          </w:p>
        </w:tc>
        <w:tc>
          <w:tcPr>
            <w:tcW w:w="50" w:type="pct"/>
            <w:noWrap/>
            <w:tcMar>
              <w:top w:w="5" w:type="dxa"/>
              <w:left w:w="5" w:type="dxa"/>
              <w:bottom w:w="5" w:type="dxa"/>
              <w:right w:w="5" w:type="dxa"/>
            </w:tcMar>
            <w:vAlign w:val="bottom"/>
            <w:hideMark/>
          </w:tcPr>
          <w:p w14:paraId="71FBF3B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9C28FBF"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811766A"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00F8AD28" w14:textId="77777777" w:rsidR="00954279" w:rsidRDefault="00A66714">
            <w:pPr>
              <w:jc w:val="right"/>
              <w:rPr>
                <w:color w:val="000000"/>
                <w:sz w:val="20"/>
                <w:szCs w:val="20"/>
              </w:rPr>
            </w:pPr>
            <w:r>
              <w:rPr>
                <w:color w:val="000000"/>
                <w:sz w:val="20"/>
                <w:szCs w:val="20"/>
              </w:rPr>
              <w:t>(281</w:t>
            </w:r>
          </w:p>
        </w:tc>
        <w:tc>
          <w:tcPr>
            <w:tcW w:w="50" w:type="pct"/>
            <w:noWrap/>
            <w:tcMar>
              <w:top w:w="5" w:type="dxa"/>
              <w:left w:w="5" w:type="dxa"/>
              <w:bottom w:w="5" w:type="dxa"/>
              <w:right w:w="5" w:type="dxa"/>
            </w:tcMar>
            <w:vAlign w:val="bottom"/>
            <w:hideMark/>
          </w:tcPr>
          <w:p w14:paraId="5F17998B"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276A4450"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2CB75B3"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426F1630" w14:textId="77777777" w:rsidR="00954279" w:rsidRDefault="00A66714">
            <w:pPr>
              <w:jc w:val="right"/>
              <w:rPr>
                <w:color w:val="000000"/>
                <w:sz w:val="20"/>
                <w:szCs w:val="20"/>
              </w:rPr>
            </w:pPr>
            <w:r>
              <w:rPr>
                <w:b/>
                <w:bCs/>
                <w:color w:val="000000"/>
                <w:sz w:val="20"/>
                <w:szCs w:val="20"/>
              </w:rPr>
              <w:t>1</w:t>
            </w:r>
          </w:p>
        </w:tc>
        <w:tc>
          <w:tcPr>
            <w:tcW w:w="50" w:type="pct"/>
            <w:noWrap/>
            <w:tcMar>
              <w:top w:w="5" w:type="dxa"/>
              <w:left w:w="5" w:type="dxa"/>
              <w:bottom w:w="5" w:type="dxa"/>
              <w:right w:w="5" w:type="dxa"/>
            </w:tcMar>
            <w:vAlign w:val="bottom"/>
            <w:hideMark/>
          </w:tcPr>
          <w:p w14:paraId="3AB31830"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3B3C0B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1F590DD"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64C33A56" w14:textId="77777777" w:rsidR="00954279" w:rsidRDefault="00A66714">
            <w:pPr>
              <w:jc w:val="right"/>
              <w:rPr>
                <w:color w:val="000000"/>
                <w:sz w:val="20"/>
                <w:szCs w:val="20"/>
              </w:rPr>
            </w:pPr>
            <w:r>
              <w:rPr>
                <w:color w:val="000000"/>
                <w:sz w:val="20"/>
                <w:szCs w:val="20"/>
              </w:rPr>
              <w:t>(272</w:t>
            </w:r>
          </w:p>
        </w:tc>
        <w:tc>
          <w:tcPr>
            <w:tcW w:w="50" w:type="pct"/>
            <w:noWrap/>
            <w:tcMar>
              <w:top w:w="5" w:type="dxa"/>
              <w:left w:w="5" w:type="dxa"/>
              <w:bottom w:w="5" w:type="dxa"/>
              <w:right w:w="5" w:type="dxa"/>
            </w:tcMar>
            <w:vAlign w:val="bottom"/>
            <w:hideMark/>
          </w:tcPr>
          <w:p w14:paraId="30A1DD18" w14:textId="77777777" w:rsidR="00954279" w:rsidRDefault="00A66714">
            <w:pPr>
              <w:rPr>
                <w:color w:val="000000"/>
                <w:sz w:val="20"/>
                <w:szCs w:val="20"/>
              </w:rPr>
            </w:pPr>
            <w:r>
              <w:rPr>
                <w:color w:val="000000"/>
                <w:sz w:val="20"/>
                <w:szCs w:val="20"/>
              </w:rPr>
              <w:t>)</w:t>
            </w:r>
          </w:p>
        </w:tc>
      </w:tr>
      <w:tr w:rsidR="00954279" w14:paraId="1AB01026" w14:textId="77777777">
        <w:tc>
          <w:tcPr>
            <w:tcW w:w="0" w:type="auto"/>
            <w:tcMar>
              <w:top w:w="5" w:type="dxa"/>
              <w:left w:w="5" w:type="dxa"/>
              <w:bottom w:w="5" w:type="dxa"/>
              <w:right w:w="5" w:type="dxa"/>
            </w:tcMar>
            <w:vAlign w:val="bottom"/>
            <w:hideMark/>
          </w:tcPr>
          <w:p w14:paraId="71DCFEE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62C44E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B5D23E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F37D6D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C39181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55D45F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6516C3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CB089B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BA0EDC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7CDD3A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E3CFBD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49648F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479E7B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3BC773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035160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F9AB6C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D61C42F" w14:textId="77777777" w:rsidR="00954279" w:rsidRDefault="00A66714">
            <w:pPr>
              <w:rPr>
                <w:color w:val="000000"/>
                <w:sz w:val="20"/>
                <w:szCs w:val="20"/>
              </w:rPr>
            </w:pPr>
            <w:r>
              <w:rPr>
                <w:color w:val="000000"/>
                <w:sz w:val="20"/>
                <w:szCs w:val="20"/>
              </w:rPr>
              <w:t> </w:t>
            </w:r>
          </w:p>
        </w:tc>
      </w:tr>
      <w:tr w:rsidR="00954279" w14:paraId="773F21E4" w14:textId="77777777">
        <w:tc>
          <w:tcPr>
            <w:tcW w:w="0" w:type="auto"/>
            <w:tcMar>
              <w:top w:w="5" w:type="dxa"/>
              <w:left w:w="5" w:type="dxa"/>
              <w:bottom w:w="5" w:type="dxa"/>
              <w:right w:w="5" w:type="dxa"/>
            </w:tcMar>
            <w:vAlign w:val="bottom"/>
            <w:hideMark/>
          </w:tcPr>
          <w:p w14:paraId="6F6849CF" w14:textId="77777777" w:rsidR="00954279" w:rsidRDefault="00A66714">
            <w:pPr>
              <w:rPr>
                <w:color w:val="000000"/>
                <w:sz w:val="20"/>
                <w:szCs w:val="20"/>
              </w:rPr>
            </w:pPr>
            <w:r>
              <w:rPr>
                <w:color w:val="000000"/>
                <w:sz w:val="20"/>
                <w:szCs w:val="20"/>
              </w:rPr>
              <w:t>Other comprehensive income (loss)</w:t>
            </w:r>
          </w:p>
        </w:tc>
        <w:tc>
          <w:tcPr>
            <w:tcW w:w="0" w:type="auto"/>
            <w:tcMar>
              <w:top w:w="5" w:type="dxa"/>
              <w:left w:w="5" w:type="dxa"/>
              <w:bottom w:w="5" w:type="dxa"/>
              <w:right w:w="5" w:type="dxa"/>
            </w:tcMar>
            <w:vAlign w:val="bottom"/>
            <w:hideMark/>
          </w:tcPr>
          <w:p w14:paraId="0EE4796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E11E072"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EDC5D9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6FE49B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45F84C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F753A6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F4D79A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A40AA0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DC878E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ED3415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97F418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201F9C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0D9809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328288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6A6C76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73CEC38" w14:textId="77777777" w:rsidR="00954279" w:rsidRDefault="00A66714">
            <w:pPr>
              <w:rPr>
                <w:color w:val="000000"/>
                <w:sz w:val="20"/>
                <w:szCs w:val="20"/>
              </w:rPr>
            </w:pPr>
            <w:r>
              <w:rPr>
                <w:color w:val="000000"/>
                <w:sz w:val="20"/>
                <w:szCs w:val="20"/>
              </w:rPr>
              <w:t> </w:t>
            </w:r>
          </w:p>
        </w:tc>
      </w:tr>
      <w:tr w:rsidR="00954279" w14:paraId="79FD1888" w14:textId="77777777">
        <w:tc>
          <w:tcPr>
            <w:tcW w:w="0" w:type="auto"/>
            <w:tcMar>
              <w:top w:w="5" w:type="dxa"/>
              <w:left w:w="5" w:type="dxa"/>
              <w:bottom w:w="5" w:type="dxa"/>
              <w:right w:w="5" w:type="dxa"/>
            </w:tcMar>
            <w:vAlign w:val="bottom"/>
            <w:hideMark/>
          </w:tcPr>
          <w:p w14:paraId="4C042A47" w14:textId="77777777" w:rsidR="00954279" w:rsidRDefault="00A66714">
            <w:pPr>
              <w:ind w:left="180"/>
              <w:rPr>
                <w:color w:val="000000"/>
                <w:sz w:val="20"/>
                <w:szCs w:val="20"/>
              </w:rPr>
            </w:pPr>
            <w:r>
              <w:rPr>
                <w:color w:val="000000"/>
                <w:sz w:val="20"/>
                <w:szCs w:val="20"/>
              </w:rPr>
              <w:t>Foreign currency translation adjustments</w:t>
            </w:r>
          </w:p>
        </w:tc>
        <w:tc>
          <w:tcPr>
            <w:tcW w:w="50" w:type="pct"/>
            <w:tcMar>
              <w:top w:w="5" w:type="dxa"/>
              <w:left w:w="5" w:type="dxa"/>
              <w:bottom w:w="5" w:type="dxa"/>
              <w:right w:w="5" w:type="dxa"/>
            </w:tcMar>
            <w:vAlign w:val="bottom"/>
            <w:hideMark/>
          </w:tcPr>
          <w:p w14:paraId="56D6C8C6"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8E12BC0"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15813BB" w14:textId="77777777" w:rsidR="00954279" w:rsidRDefault="00A66714">
            <w:pPr>
              <w:jc w:val="right"/>
              <w:rPr>
                <w:color w:val="000000"/>
                <w:sz w:val="20"/>
                <w:szCs w:val="20"/>
              </w:rPr>
            </w:pPr>
            <w:r>
              <w:rPr>
                <w:b/>
                <w:bCs/>
                <w:color w:val="000000"/>
                <w:sz w:val="20"/>
                <w:szCs w:val="20"/>
              </w:rPr>
              <w:t>1</w:t>
            </w:r>
          </w:p>
        </w:tc>
        <w:tc>
          <w:tcPr>
            <w:tcW w:w="50" w:type="pct"/>
            <w:noWrap/>
            <w:tcMar>
              <w:top w:w="5" w:type="dxa"/>
              <w:left w:w="5" w:type="dxa"/>
              <w:bottom w:w="5" w:type="dxa"/>
              <w:right w:w="5" w:type="dxa"/>
            </w:tcMar>
            <w:vAlign w:val="bottom"/>
            <w:hideMark/>
          </w:tcPr>
          <w:p w14:paraId="6AF9C280"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AA792FA"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9BE38A4"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18FD1C7" w14:textId="77777777" w:rsidR="00954279" w:rsidRDefault="00A66714">
            <w:pPr>
              <w:jc w:val="right"/>
              <w:rPr>
                <w:color w:val="000000"/>
                <w:sz w:val="20"/>
                <w:szCs w:val="20"/>
              </w:rPr>
            </w:pPr>
            <w:r>
              <w:rPr>
                <w:color w:val="000000"/>
                <w:sz w:val="20"/>
                <w:szCs w:val="20"/>
              </w:rPr>
              <w:t>8</w:t>
            </w:r>
          </w:p>
        </w:tc>
        <w:tc>
          <w:tcPr>
            <w:tcW w:w="50" w:type="pct"/>
            <w:noWrap/>
            <w:tcMar>
              <w:top w:w="5" w:type="dxa"/>
              <w:left w:w="5" w:type="dxa"/>
              <w:bottom w:w="5" w:type="dxa"/>
              <w:right w:w="5" w:type="dxa"/>
            </w:tcMar>
            <w:vAlign w:val="bottom"/>
            <w:hideMark/>
          </w:tcPr>
          <w:p w14:paraId="356FB63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9ADCCE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B9B4005"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DF3C1D4" w14:textId="77777777" w:rsidR="00954279" w:rsidRDefault="00A66714">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1B5FBCD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2DBF08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AA81B68"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E301183" w14:textId="77777777" w:rsidR="00954279" w:rsidRDefault="00A66714">
            <w:pPr>
              <w:jc w:val="right"/>
              <w:rPr>
                <w:color w:val="000000"/>
                <w:sz w:val="20"/>
                <w:szCs w:val="20"/>
              </w:rPr>
            </w:pPr>
            <w:r>
              <w:rPr>
                <w:color w:val="000000"/>
                <w:sz w:val="20"/>
                <w:szCs w:val="20"/>
              </w:rPr>
              <w:t>(13</w:t>
            </w:r>
          </w:p>
        </w:tc>
        <w:tc>
          <w:tcPr>
            <w:tcW w:w="50" w:type="pct"/>
            <w:noWrap/>
            <w:tcMar>
              <w:top w:w="5" w:type="dxa"/>
              <w:left w:w="5" w:type="dxa"/>
              <w:bottom w:w="5" w:type="dxa"/>
              <w:right w:w="5" w:type="dxa"/>
            </w:tcMar>
            <w:vAlign w:val="bottom"/>
            <w:hideMark/>
          </w:tcPr>
          <w:p w14:paraId="451CB94A" w14:textId="77777777" w:rsidR="00954279" w:rsidRDefault="00A66714">
            <w:pPr>
              <w:rPr>
                <w:color w:val="000000"/>
                <w:sz w:val="20"/>
                <w:szCs w:val="20"/>
              </w:rPr>
            </w:pPr>
            <w:r>
              <w:rPr>
                <w:color w:val="000000"/>
                <w:sz w:val="20"/>
                <w:szCs w:val="20"/>
              </w:rPr>
              <w:t>)</w:t>
            </w:r>
          </w:p>
        </w:tc>
      </w:tr>
      <w:tr w:rsidR="00954279" w14:paraId="4C749030" w14:textId="77777777">
        <w:tc>
          <w:tcPr>
            <w:tcW w:w="0" w:type="auto"/>
            <w:tcMar>
              <w:top w:w="5" w:type="dxa"/>
              <w:left w:w="5" w:type="dxa"/>
              <w:bottom w:w="5" w:type="dxa"/>
              <w:right w:w="5" w:type="dxa"/>
            </w:tcMar>
            <w:vAlign w:val="bottom"/>
            <w:hideMark/>
          </w:tcPr>
          <w:p w14:paraId="7DA312A3" w14:textId="77777777" w:rsidR="00954279" w:rsidRDefault="00A66714">
            <w:pPr>
              <w:ind w:left="180"/>
              <w:rPr>
                <w:color w:val="000000"/>
                <w:sz w:val="20"/>
                <w:szCs w:val="20"/>
              </w:rPr>
            </w:pPr>
            <w:r>
              <w:rPr>
                <w:color w:val="000000"/>
                <w:sz w:val="20"/>
                <w:szCs w:val="20"/>
              </w:rPr>
              <w:t>Hedge accounting adjustments, net of tax</w:t>
            </w:r>
          </w:p>
        </w:tc>
        <w:tc>
          <w:tcPr>
            <w:tcW w:w="50" w:type="pct"/>
            <w:tcMar>
              <w:top w:w="5" w:type="dxa"/>
              <w:left w:w="5" w:type="dxa"/>
              <w:bottom w:w="5" w:type="dxa"/>
              <w:right w:w="5" w:type="dxa"/>
            </w:tcMar>
            <w:vAlign w:val="bottom"/>
            <w:hideMark/>
          </w:tcPr>
          <w:p w14:paraId="740EF385"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CA11C57"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4BC92C84" w14:textId="77777777" w:rsidR="00954279" w:rsidRDefault="00A66714">
            <w:pPr>
              <w:jc w:val="right"/>
              <w:rPr>
                <w:color w:val="000000"/>
                <w:sz w:val="20"/>
                <w:szCs w:val="20"/>
              </w:rPr>
            </w:pPr>
            <w:r>
              <w:rPr>
                <w:b/>
                <w:bCs/>
                <w:color w:val="000000"/>
                <w:sz w:val="20"/>
                <w:szCs w:val="20"/>
              </w:rPr>
              <w:t>2</w:t>
            </w:r>
          </w:p>
        </w:tc>
        <w:tc>
          <w:tcPr>
            <w:tcW w:w="50" w:type="pct"/>
            <w:noWrap/>
            <w:tcMar>
              <w:top w:w="5" w:type="dxa"/>
              <w:left w:w="5" w:type="dxa"/>
              <w:bottom w:w="20" w:type="dxa"/>
              <w:right w:w="5" w:type="dxa"/>
            </w:tcMar>
            <w:vAlign w:val="bottom"/>
            <w:hideMark/>
          </w:tcPr>
          <w:p w14:paraId="7FBDA7F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9E234D5"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611918A"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4B0943E2" w14:textId="77777777" w:rsidR="00954279" w:rsidRDefault="00A66714">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3D7E0C6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7AE499F"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44B24D0"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31D0276A" w14:textId="77777777" w:rsidR="00954279" w:rsidRDefault="00A66714">
            <w:pPr>
              <w:jc w:val="right"/>
              <w:rPr>
                <w:color w:val="000000"/>
                <w:sz w:val="20"/>
                <w:szCs w:val="20"/>
              </w:rPr>
            </w:pPr>
            <w:r>
              <w:rPr>
                <w:b/>
                <w:bCs/>
                <w:color w:val="000000"/>
                <w:sz w:val="20"/>
                <w:szCs w:val="20"/>
              </w:rPr>
              <w:t>3</w:t>
            </w:r>
          </w:p>
        </w:tc>
        <w:tc>
          <w:tcPr>
            <w:tcW w:w="50" w:type="pct"/>
            <w:noWrap/>
            <w:tcMar>
              <w:top w:w="5" w:type="dxa"/>
              <w:left w:w="5" w:type="dxa"/>
              <w:bottom w:w="20" w:type="dxa"/>
              <w:right w:w="5" w:type="dxa"/>
            </w:tcMar>
            <w:vAlign w:val="bottom"/>
            <w:hideMark/>
          </w:tcPr>
          <w:p w14:paraId="1984DDE9"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941E34D"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FB9C888"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654ECECA" w14:textId="77777777" w:rsidR="00954279" w:rsidRDefault="00A66714">
            <w:pPr>
              <w:jc w:val="right"/>
              <w:rPr>
                <w:color w:val="000000"/>
                <w:sz w:val="20"/>
                <w:szCs w:val="20"/>
              </w:rPr>
            </w:pPr>
            <w:r>
              <w:rPr>
                <w:color w:val="000000"/>
                <w:sz w:val="20"/>
                <w:szCs w:val="20"/>
              </w:rPr>
              <w:t>(6</w:t>
            </w:r>
          </w:p>
        </w:tc>
        <w:tc>
          <w:tcPr>
            <w:tcW w:w="50" w:type="pct"/>
            <w:noWrap/>
            <w:tcMar>
              <w:top w:w="5" w:type="dxa"/>
              <w:left w:w="5" w:type="dxa"/>
              <w:bottom w:w="20" w:type="dxa"/>
              <w:right w:w="5" w:type="dxa"/>
            </w:tcMar>
            <w:vAlign w:val="bottom"/>
            <w:hideMark/>
          </w:tcPr>
          <w:p w14:paraId="1B5FFCDE" w14:textId="77777777" w:rsidR="00954279" w:rsidRDefault="00A66714">
            <w:pPr>
              <w:rPr>
                <w:color w:val="000000"/>
                <w:sz w:val="20"/>
                <w:szCs w:val="20"/>
              </w:rPr>
            </w:pPr>
            <w:r>
              <w:rPr>
                <w:color w:val="000000"/>
                <w:sz w:val="20"/>
                <w:szCs w:val="20"/>
              </w:rPr>
              <w:t>)</w:t>
            </w:r>
          </w:p>
        </w:tc>
      </w:tr>
      <w:tr w:rsidR="00954279" w14:paraId="778BD510" w14:textId="77777777">
        <w:tc>
          <w:tcPr>
            <w:tcW w:w="0" w:type="auto"/>
            <w:tcMar>
              <w:top w:w="5" w:type="dxa"/>
              <w:left w:w="5" w:type="dxa"/>
              <w:bottom w:w="5" w:type="dxa"/>
              <w:right w:w="5" w:type="dxa"/>
            </w:tcMar>
            <w:vAlign w:val="bottom"/>
            <w:hideMark/>
          </w:tcPr>
          <w:p w14:paraId="2ECC5C7A" w14:textId="77777777" w:rsidR="00954279" w:rsidRDefault="00A66714">
            <w:pPr>
              <w:rPr>
                <w:color w:val="000000"/>
                <w:sz w:val="20"/>
                <w:szCs w:val="20"/>
              </w:rPr>
            </w:pPr>
            <w:r>
              <w:rPr>
                <w:color w:val="000000"/>
                <w:sz w:val="20"/>
                <w:szCs w:val="20"/>
              </w:rPr>
              <w:t>Total other comprehensive income (loss), net of tax</w:t>
            </w:r>
          </w:p>
        </w:tc>
        <w:tc>
          <w:tcPr>
            <w:tcW w:w="50" w:type="pct"/>
            <w:tcMar>
              <w:top w:w="5" w:type="dxa"/>
              <w:left w:w="5" w:type="dxa"/>
              <w:bottom w:w="5" w:type="dxa"/>
              <w:right w:w="5" w:type="dxa"/>
            </w:tcMar>
            <w:vAlign w:val="bottom"/>
            <w:hideMark/>
          </w:tcPr>
          <w:p w14:paraId="71048265"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50B40DF"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2BC47F4F" w14:textId="77777777" w:rsidR="00954279" w:rsidRDefault="00A66714">
            <w:pPr>
              <w:jc w:val="right"/>
              <w:rPr>
                <w:color w:val="000000"/>
                <w:sz w:val="20"/>
                <w:szCs w:val="20"/>
              </w:rPr>
            </w:pPr>
            <w:r>
              <w:rPr>
                <w:b/>
                <w:bCs/>
                <w:color w:val="000000"/>
                <w:sz w:val="20"/>
                <w:szCs w:val="20"/>
              </w:rPr>
              <w:t>3</w:t>
            </w:r>
          </w:p>
        </w:tc>
        <w:tc>
          <w:tcPr>
            <w:tcW w:w="50" w:type="pct"/>
            <w:noWrap/>
            <w:tcMar>
              <w:top w:w="5" w:type="dxa"/>
              <w:left w:w="5" w:type="dxa"/>
              <w:bottom w:w="20" w:type="dxa"/>
              <w:right w:w="5" w:type="dxa"/>
            </w:tcMar>
            <w:vAlign w:val="bottom"/>
            <w:hideMark/>
          </w:tcPr>
          <w:p w14:paraId="2C54BA70"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9813221"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C6CF4DA"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7AFA395E" w14:textId="77777777" w:rsidR="00954279" w:rsidRDefault="00A66714">
            <w:pPr>
              <w:jc w:val="right"/>
              <w:rPr>
                <w:color w:val="000000"/>
                <w:sz w:val="20"/>
                <w:szCs w:val="20"/>
              </w:rPr>
            </w:pPr>
            <w:r>
              <w:rPr>
                <w:color w:val="000000"/>
                <w:sz w:val="20"/>
                <w:szCs w:val="20"/>
              </w:rPr>
              <w:t>8</w:t>
            </w:r>
          </w:p>
        </w:tc>
        <w:tc>
          <w:tcPr>
            <w:tcW w:w="50" w:type="pct"/>
            <w:noWrap/>
            <w:tcMar>
              <w:top w:w="5" w:type="dxa"/>
              <w:left w:w="5" w:type="dxa"/>
              <w:bottom w:w="20" w:type="dxa"/>
              <w:right w:w="5" w:type="dxa"/>
            </w:tcMar>
            <w:vAlign w:val="bottom"/>
            <w:hideMark/>
          </w:tcPr>
          <w:p w14:paraId="6C77B3D2"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73A760D"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8CFA6D1"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413F6E73" w14:textId="77777777" w:rsidR="00954279" w:rsidRDefault="00A66714">
            <w:pPr>
              <w:jc w:val="right"/>
              <w:rPr>
                <w:color w:val="000000"/>
                <w:sz w:val="20"/>
                <w:szCs w:val="20"/>
              </w:rPr>
            </w:pPr>
            <w:r>
              <w:rPr>
                <w:b/>
                <w:bCs/>
                <w:color w:val="000000"/>
                <w:sz w:val="20"/>
                <w:szCs w:val="20"/>
              </w:rPr>
              <w:t>3</w:t>
            </w:r>
          </w:p>
        </w:tc>
        <w:tc>
          <w:tcPr>
            <w:tcW w:w="50" w:type="pct"/>
            <w:noWrap/>
            <w:tcMar>
              <w:top w:w="5" w:type="dxa"/>
              <w:left w:w="5" w:type="dxa"/>
              <w:bottom w:w="20" w:type="dxa"/>
              <w:right w:w="5" w:type="dxa"/>
            </w:tcMar>
            <w:vAlign w:val="bottom"/>
            <w:hideMark/>
          </w:tcPr>
          <w:p w14:paraId="397D1967"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F446647"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E146DCF"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00C58B00" w14:textId="77777777" w:rsidR="00954279" w:rsidRDefault="00A66714">
            <w:pPr>
              <w:jc w:val="right"/>
              <w:rPr>
                <w:color w:val="000000"/>
                <w:sz w:val="20"/>
                <w:szCs w:val="20"/>
              </w:rPr>
            </w:pPr>
            <w:r>
              <w:rPr>
                <w:color w:val="000000"/>
                <w:sz w:val="20"/>
                <w:szCs w:val="20"/>
              </w:rPr>
              <w:t>(19</w:t>
            </w:r>
          </w:p>
        </w:tc>
        <w:tc>
          <w:tcPr>
            <w:tcW w:w="50" w:type="pct"/>
            <w:noWrap/>
            <w:tcMar>
              <w:top w:w="5" w:type="dxa"/>
              <w:left w:w="5" w:type="dxa"/>
              <w:bottom w:w="20" w:type="dxa"/>
              <w:right w:w="5" w:type="dxa"/>
            </w:tcMar>
            <w:vAlign w:val="bottom"/>
            <w:hideMark/>
          </w:tcPr>
          <w:p w14:paraId="35722896" w14:textId="77777777" w:rsidR="00954279" w:rsidRDefault="00A66714">
            <w:pPr>
              <w:rPr>
                <w:color w:val="000000"/>
                <w:sz w:val="20"/>
                <w:szCs w:val="20"/>
              </w:rPr>
            </w:pPr>
            <w:r>
              <w:rPr>
                <w:color w:val="000000"/>
                <w:sz w:val="20"/>
                <w:szCs w:val="20"/>
              </w:rPr>
              <w:t>)</w:t>
            </w:r>
          </w:p>
        </w:tc>
      </w:tr>
      <w:tr w:rsidR="00954279" w14:paraId="3E0C9C5D" w14:textId="77777777">
        <w:tc>
          <w:tcPr>
            <w:tcW w:w="0" w:type="auto"/>
            <w:tcMar>
              <w:top w:w="5" w:type="dxa"/>
              <w:left w:w="5" w:type="dxa"/>
              <w:bottom w:w="5" w:type="dxa"/>
              <w:right w:w="5" w:type="dxa"/>
            </w:tcMar>
            <w:vAlign w:val="bottom"/>
            <w:hideMark/>
          </w:tcPr>
          <w:p w14:paraId="4A79B28F" w14:textId="77777777" w:rsidR="00954279" w:rsidRDefault="00A66714">
            <w:pPr>
              <w:rPr>
                <w:color w:val="000000"/>
                <w:sz w:val="20"/>
                <w:szCs w:val="20"/>
              </w:rPr>
            </w:pPr>
            <w:r>
              <w:rPr>
                <w:color w:val="000000"/>
                <w:sz w:val="20"/>
                <w:szCs w:val="20"/>
              </w:rPr>
              <w:t>Comprehensive income (loss)</w:t>
            </w:r>
          </w:p>
        </w:tc>
        <w:tc>
          <w:tcPr>
            <w:tcW w:w="50" w:type="pct"/>
            <w:tcMar>
              <w:top w:w="5" w:type="dxa"/>
              <w:left w:w="5" w:type="dxa"/>
              <w:bottom w:w="5" w:type="dxa"/>
              <w:right w:w="5" w:type="dxa"/>
            </w:tcMar>
            <w:vAlign w:val="bottom"/>
            <w:hideMark/>
          </w:tcPr>
          <w:p w14:paraId="39C3F995"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E4A969B"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7E808B1A" w14:textId="77777777" w:rsidR="00954279" w:rsidRDefault="00A66714">
            <w:pPr>
              <w:jc w:val="right"/>
              <w:rPr>
                <w:color w:val="000000"/>
                <w:sz w:val="20"/>
                <w:szCs w:val="20"/>
              </w:rPr>
            </w:pPr>
            <w:r>
              <w:rPr>
                <w:b/>
                <w:bCs/>
                <w:color w:val="000000"/>
                <w:sz w:val="20"/>
                <w:szCs w:val="20"/>
              </w:rPr>
              <w:t>7</w:t>
            </w:r>
          </w:p>
        </w:tc>
        <w:tc>
          <w:tcPr>
            <w:tcW w:w="50" w:type="pct"/>
            <w:noWrap/>
            <w:tcMar>
              <w:top w:w="5" w:type="dxa"/>
              <w:left w:w="5" w:type="dxa"/>
              <w:bottom w:w="50" w:type="dxa"/>
              <w:right w:w="5" w:type="dxa"/>
            </w:tcMar>
            <w:vAlign w:val="bottom"/>
            <w:hideMark/>
          </w:tcPr>
          <w:p w14:paraId="246559A3"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F2C78FC"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82A5348"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1AC9D50A" w14:textId="77777777" w:rsidR="00954279" w:rsidRDefault="00A66714">
            <w:pPr>
              <w:jc w:val="right"/>
              <w:rPr>
                <w:color w:val="000000"/>
                <w:sz w:val="20"/>
                <w:szCs w:val="20"/>
              </w:rPr>
            </w:pPr>
            <w:r>
              <w:rPr>
                <w:color w:val="000000"/>
                <w:sz w:val="20"/>
                <w:szCs w:val="20"/>
              </w:rPr>
              <w:t>(273</w:t>
            </w:r>
          </w:p>
        </w:tc>
        <w:tc>
          <w:tcPr>
            <w:tcW w:w="50" w:type="pct"/>
            <w:noWrap/>
            <w:tcMar>
              <w:top w:w="5" w:type="dxa"/>
              <w:left w:w="5" w:type="dxa"/>
              <w:bottom w:w="50" w:type="dxa"/>
              <w:right w:w="5" w:type="dxa"/>
            </w:tcMar>
            <w:vAlign w:val="bottom"/>
            <w:hideMark/>
          </w:tcPr>
          <w:p w14:paraId="4BFE98FA"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013F9F71"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0D465C1"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6F505D53" w14:textId="77777777" w:rsidR="00954279" w:rsidRDefault="00A66714">
            <w:pPr>
              <w:jc w:val="right"/>
              <w:rPr>
                <w:color w:val="000000"/>
                <w:sz w:val="20"/>
                <w:szCs w:val="20"/>
              </w:rPr>
            </w:pPr>
            <w:r>
              <w:rPr>
                <w:b/>
                <w:bCs/>
                <w:color w:val="000000"/>
                <w:sz w:val="20"/>
                <w:szCs w:val="20"/>
              </w:rPr>
              <w:t>4</w:t>
            </w:r>
          </w:p>
        </w:tc>
        <w:tc>
          <w:tcPr>
            <w:tcW w:w="50" w:type="pct"/>
            <w:noWrap/>
            <w:tcMar>
              <w:top w:w="5" w:type="dxa"/>
              <w:left w:w="5" w:type="dxa"/>
              <w:bottom w:w="50" w:type="dxa"/>
              <w:right w:w="5" w:type="dxa"/>
            </w:tcMar>
            <w:vAlign w:val="bottom"/>
            <w:hideMark/>
          </w:tcPr>
          <w:p w14:paraId="7919380A"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787C51A"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EA15ED3"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5FBF791A" w14:textId="77777777" w:rsidR="00954279" w:rsidRDefault="00A66714">
            <w:pPr>
              <w:jc w:val="right"/>
              <w:rPr>
                <w:color w:val="000000"/>
                <w:sz w:val="20"/>
                <w:szCs w:val="20"/>
              </w:rPr>
            </w:pPr>
            <w:r>
              <w:rPr>
                <w:color w:val="000000"/>
                <w:sz w:val="20"/>
                <w:szCs w:val="20"/>
              </w:rPr>
              <w:t>(291</w:t>
            </w:r>
          </w:p>
        </w:tc>
        <w:tc>
          <w:tcPr>
            <w:tcW w:w="50" w:type="pct"/>
            <w:noWrap/>
            <w:tcMar>
              <w:top w:w="5" w:type="dxa"/>
              <w:left w:w="5" w:type="dxa"/>
              <w:bottom w:w="50" w:type="dxa"/>
              <w:right w:w="5" w:type="dxa"/>
            </w:tcMar>
            <w:vAlign w:val="bottom"/>
            <w:hideMark/>
          </w:tcPr>
          <w:p w14:paraId="4F95B9FA" w14:textId="77777777" w:rsidR="00954279" w:rsidRDefault="00A66714">
            <w:pPr>
              <w:rPr>
                <w:color w:val="000000"/>
                <w:sz w:val="20"/>
                <w:szCs w:val="20"/>
              </w:rPr>
            </w:pPr>
            <w:r>
              <w:rPr>
                <w:color w:val="000000"/>
                <w:sz w:val="20"/>
                <w:szCs w:val="20"/>
              </w:rPr>
              <w:t>)</w:t>
            </w:r>
          </w:p>
        </w:tc>
      </w:tr>
    </w:tbl>
    <w:p w14:paraId="04D76EE2" w14:textId="77777777" w:rsidR="00954279" w:rsidRDefault="00A66714">
      <w:pPr>
        <w:ind w:left="144" w:right="144"/>
        <w:rPr>
          <w:sz w:val="20"/>
          <w:szCs w:val="20"/>
        </w:rPr>
      </w:pPr>
      <w:r>
        <w:rPr>
          <w:sz w:val="20"/>
          <w:szCs w:val="20"/>
        </w:rPr>
        <w:t> </w:t>
      </w:r>
    </w:p>
    <w:p w14:paraId="57C5986F" w14:textId="77777777" w:rsidR="00954279" w:rsidRDefault="00A66714">
      <w:pPr>
        <w:ind w:left="144" w:right="144"/>
        <w:rPr>
          <w:sz w:val="20"/>
          <w:szCs w:val="20"/>
        </w:rPr>
      </w:pPr>
      <w:r>
        <w:rPr>
          <w:i/>
          <w:iCs/>
          <w:sz w:val="20"/>
          <w:szCs w:val="20"/>
        </w:rPr>
        <w:t>See notes to condensed consolidated financial statements.</w:t>
      </w:r>
    </w:p>
    <w:p w14:paraId="5275CD57" w14:textId="77777777" w:rsidR="00954279" w:rsidRDefault="00A66714">
      <w:pPr>
        <w:ind w:left="144" w:right="144"/>
        <w:jc w:val="center"/>
        <w:rPr>
          <w:sz w:val="20"/>
          <w:szCs w:val="20"/>
        </w:rPr>
      </w:pPr>
      <w:r>
        <w:rPr>
          <w:sz w:val="20"/>
          <w:szCs w:val="20"/>
        </w:rPr>
        <w:t> </w:t>
      </w:r>
    </w:p>
    <w:p w14:paraId="0C53557B" w14:textId="77777777" w:rsidR="00954279" w:rsidRDefault="00A66714">
      <w:pPr>
        <w:ind w:left="144" w:right="144"/>
        <w:jc w:val="center"/>
        <w:rPr>
          <w:sz w:val="20"/>
          <w:szCs w:val="20"/>
        </w:rPr>
      </w:pPr>
      <w:r>
        <w:rPr>
          <w:sz w:val="20"/>
          <w:szCs w:val="20"/>
        </w:rPr>
        <w:t>3</w:t>
      </w:r>
    </w:p>
    <w:p w14:paraId="7402FF1C" w14:textId="77777777" w:rsidR="00954279" w:rsidRDefault="00A66714">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3201D48D" w14:textId="77777777" w:rsidR="00954279" w:rsidRDefault="00A66714">
      <w:pPr>
        <w:ind w:left="144" w:right="144"/>
        <w:rPr>
          <w:sz w:val="20"/>
          <w:szCs w:val="20"/>
        </w:rPr>
      </w:pPr>
      <w:r>
        <w:rPr>
          <w:sz w:val="20"/>
          <w:szCs w:val="20"/>
        </w:rPr>
        <w:t> </w:t>
      </w:r>
    </w:p>
    <w:p w14:paraId="0B43F6F9" w14:textId="77777777" w:rsidR="00954279" w:rsidRDefault="00A66714">
      <w:pPr>
        <w:ind w:left="144" w:right="144"/>
        <w:rPr>
          <w:sz w:val="20"/>
          <w:szCs w:val="20"/>
        </w:rPr>
      </w:pPr>
      <w:r>
        <w:rPr>
          <w:sz w:val="20"/>
          <w:szCs w:val="20"/>
        </w:rPr>
        <w:t> </w:t>
      </w:r>
    </w:p>
    <w:p w14:paraId="49666874" w14:textId="77777777" w:rsidR="00954279" w:rsidRDefault="00A66714">
      <w:pPr>
        <w:ind w:left="144" w:right="144"/>
        <w:rPr>
          <w:sz w:val="20"/>
          <w:szCs w:val="20"/>
        </w:rPr>
      </w:pPr>
      <w:bookmarkStart w:id="5" w:name="Equity"/>
      <w:bookmarkEnd w:id="5"/>
      <w:r>
        <w:rPr>
          <w:sz w:val="20"/>
          <w:szCs w:val="20"/>
        </w:rPr>
        <w:t>CONDENSED CONSOLIDATED STATEMENTS OF STOCKHOLDERS’ EQUITY (UNAUDITED)</w:t>
      </w:r>
    </w:p>
    <w:p w14:paraId="78C1F43E" w14:textId="77777777" w:rsidR="00954279" w:rsidRDefault="00A66714">
      <w:pPr>
        <w:ind w:left="144" w:right="144"/>
        <w:rPr>
          <w:sz w:val="20"/>
          <w:szCs w:val="20"/>
        </w:rPr>
      </w:pPr>
      <w:r>
        <w:rPr>
          <w:sz w:val="20"/>
          <w:szCs w:val="20"/>
        </w:rPr>
        <w:t>MRC GLOBAL INC.</w:t>
      </w:r>
    </w:p>
    <w:p w14:paraId="43C3E104" w14:textId="77777777" w:rsidR="00954279" w:rsidRDefault="00A66714">
      <w:pPr>
        <w:ind w:left="144" w:right="144"/>
        <w:rPr>
          <w:sz w:val="20"/>
          <w:szCs w:val="20"/>
        </w:rPr>
      </w:pPr>
      <w:r>
        <w:rPr>
          <w:i/>
          <w:iCs/>
          <w:sz w:val="20"/>
          <w:szCs w:val="20"/>
        </w:rPr>
        <w:t>(in millions)</w:t>
      </w:r>
    </w:p>
    <w:p w14:paraId="4C9C1EE9" w14:textId="77777777" w:rsidR="00954279" w:rsidRDefault="00A66714">
      <w:pPr>
        <w:ind w:left="144" w:right="144"/>
        <w:rPr>
          <w:sz w:val="20"/>
          <w:szCs w:val="20"/>
        </w:rPr>
      </w:pPr>
      <w:r>
        <w:rPr>
          <w:i/>
          <w:iCs/>
          <w:sz w:val="20"/>
          <w:szCs w:val="20"/>
        </w:rPr>
        <w:t> </w:t>
      </w:r>
    </w:p>
    <w:tbl>
      <w:tblPr>
        <w:tblStyle w:val="finTable"/>
        <w:tblW w:w="5236" w:type="pct"/>
        <w:tblInd w:w="-360" w:type="dxa"/>
        <w:tblCellMar>
          <w:left w:w="0" w:type="dxa"/>
          <w:right w:w="0" w:type="dxa"/>
        </w:tblCellMar>
        <w:tblLook w:val="05E0" w:firstRow="1" w:lastRow="1" w:firstColumn="1" w:lastColumn="1" w:noHBand="0" w:noVBand="1"/>
      </w:tblPr>
      <w:tblGrid>
        <w:gridCol w:w="2679"/>
        <w:gridCol w:w="60"/>
        <w:gridCol w:w="74"/>
        <w:gridCol w:w="713"/>
        <w:gridCol w:w="69"/>
        <w:gridCol w:w="69"/>
        <w:gridCol w:w="111"/>
        <w:gridCol w:w="717"/>
        <w:gridCol w:w="69"/>
        <w:gridCol w:w="70"/>
        <w:gridCol w:w="116"/>
        <w:gridCol w:w="806"/>
        <w:gridCol w:w="77"/>
        <w:gridCol w:w="64"/>
        <w:gridCol w:w="111"/>
        <w:gridCol w:w="719"/>
        <w:gridCol w:w="77"/>
        <w:gridCol w:w="65"/>
        <w:gridCol w:w="74"/>
        <w:gridCol w:w="716"/>
        <w:gridCol w:w="77"/>
        <w:gridCol w:w="65"/>
        <w:gridCol w:w="111"/>
        <w:gridCol w:w="719"/>
        <w:gridCol w:w="77"/>
        <w:gridCol w:w="65"/>
        <w:gridCol w:w="168"/>
        <w:gridCol w:w="1176"/>
        <w:gridCol w:w="77"/>
        <w:gridCol w:w="65"/>
        <w:gridCol w:w="148"/>
        <w:gridCol w:w="1029"/>
        <w:gridCol w:w="77"/>
      </w:tblGrid>
      <w:tr w:rsidR="00954279" w14:paraId="3EB91C25" w14:textId="77777777" w:rsidTr="00717712">
        <w:tc>
          <w:tcPr>
            <w:tcW w:w="2678" w:type="dxa"/>
            <w:tcMar>
              <w:top w:w="5" w:type="dxa"/>
              <w:left w:w="5" w:type="dxa"/>
              <w:bottom w:w="5" w:type="dxa"/>
              <w:right w:w="5" w:type="dxa"/>
            </w:tcMar>
            <w:vAlign w:val="bottom"/>
            <w:hideMark/>
          </w:tcPr>
          <w:p w14:paraId="1C5A9CED" w14:textId="77777777" w:rsidR="00954279" w:rsidRDefault="00A66714">
            <w:pPr>
              <w:rPr>
                <w:color w:val="000000"/>
                <w:sz w:val="20"/>
                <w:szCs w:val="20"/>
              </w:rPr>
            </w:pPr>
            <w:r>
              <w:rPr>
                <w:color w:val="000000"/>
                <w:sz w:val="20"/>
                <w:szCs w:val="20"/>
              </w:rPr>
              <w:t> </w:t>
            </w:r>
          </w:p>
        </w:tc>
        <w:tc>
          <w:tcPr>
            <w:tcW w:w="60" w:type="dxa"/>
            <w:tcMar>
              <w:top w:w="5" w:type="dxa"/>
              <w:left w:w="5" w:type="dxa"/>
              <w:bottom w:w="5" w:type="dxa"/>
              <w:right w:w="5" w:type="dxa"/>
            </w:tcMar>
            <w:vAlign w:val="bottom"/>
            <w:hideMark/>
          </w:tcPr>
          <w:p w14:paraId="5B42E020" w14:textId="77777777" w:rsidR="00954279" w:rsidRDefault="00A66714">
            <w:pPr>
              <w:rPr>
                <w:color w:val="000000"/>
                <w:sz w:val="20"/>
                <w:szCs w:val="20"/>
              </w:rPr>
            </w:pPr>
            <w:r>
              <w:rPr>
                <w:color w:val="000000"/>
                <w:sz w:val="20"/>
                <w:szCs w:val="20"/>
              </w:rPr>
              <w:t> </w:t>
            </w:r>
          </w:p>
        </w:tc>
        <w:tc>
          <w:tcPr>
            <w:tcW w:w="8494" w:type="dxa"/>
            <w:gridSpan w:val="30"/>
            <w:tcBorders>
              <w:bottom w:val="single" w:sz="6" w:space="0" w:color="000000"/>
            </w:tcBorders>
            <w:tcMar>
              <w:top w:w="5" w:type="dxa"/>
              <w:left w:w="5" w:type="dxa"/>
              <w:bottom w:w="8" w:type="dxa"/>
              <w:right w:w="5" w:type="dxa"/>
            </w:tcMar>
            <w:vAlign w:val="bottom"/>
            <w:hideMark/>
          </w:tcPr>
          <w:p w14:paraId="2F9D1606" w14:textId="77777777" w:rsidR="00954279" w:rsidRDefault="00A66714">
            <w:pPr>
              <w:jc w:val="center"/>
              <w:rPr>
                <w:color w:val="000000"/>
                <w:sz w:val="20"/>
                <w:szCs w:val="20"/>
              </w:rPr>
            </w:pPr>
            <w:r>
              <w:rPr>
                <w:b/>
                <w:bCs/>
                <w:color w:val="000000"/>
                <w:sz w:val="20"/>
                <w:szCs w:val="20"/>
              </w:rPr>
              <w:t>Six Months Ended June 30, 2021</w:t>
            </w:r>
          </w:p>
        </w:tc>
        <w:tc>
          <w:tcPr>
            <w:tcW w:w="77" w:type="dxa"/>
            <w:tcMar>
              <w:top w:w="5" w:type="dxa"/>
              <w:left w:w="5" w:type="dxa"/>
              <w:bottom w:w="20" w:type="dxa"/>
              <w:right w:w="5" w:type="dxa"/>
            </w:tcMar>
            <w:vAlign w:val="bottom"/>
            <w:hideMark/>
          </w:tcPr>
          <w:p w14:paraId="3862BB52" w14:textId="77777777" w:rsidR="00954279" w:rsidRDefault="00A66714">
            <w:pPr>
              <w:rPr>
                <w:color w:val="000000"/>
                <w:sz w:val="20"/>
                <w:szCs w:val="20"/>
              </w:rPr>
            </w:pPr>
            <w:r>
              <w:rPr>
                <w:color w:val="000000"/>
                <w:sz w:val="20"/>
                <w:szCs w:val="20"/>
              </w:rPr>
              <w:t> </w:t>
            </w:r>
          </w:p>
        </w:tc>
      </w:tr>
      <w:tr w:rsidR="00954279" w14:paraId="774C122D" w14:textId="77777777" w:rsidTr="00717712">
        <w:tc>
          <w:tcPr>
            <w:tcW w:w="2678" w:type="dxa"/>
            <w:tcMar>
              <w:top w:w="5" w:type="dxa"/>
              <w:left w:w="5" w:type="dxa"/>
              <w:bottom w:w="5" w:type="dxa"/>
              <w:right w:w="5" w:type="dxa"/>
            </w:tcMar>
            <w:vAlign w:val="bottom"/>
            <w:hideMark/>
          </w:tcPr>
          <w:p w14:paraId="5E798BBC" w14:textId="77777777" w:rsidR="00954279" w:rsidRDefault="00A66714">
            <w:pPr>
              <w:rPr>
                <w:color w:val="000000"/>
                <w:sz w:val="20"/>
                <w:szCs w:val="20"/>
              </w:rPr>
            </w:pPr>
            <w:r>
              <w:rPr>
                <w:color w:val="000000"/>
                <w:sz w:val="20"/>
                <w:szCs w:val="20"/>
              </w:rPr>
              <w:t> </w:t>
            </w:r>
          </w:p>
        </w:tc>
        <w:tc>
          <w:tcPr>
            <w:tcW w:w="60" w:type="dxa"/>
            <w:tcMar>
              <w:top w:w="5" w:type="dxa"/>
              <w:left w:w="5" w:type="dxa"/>
              <w:bottom w:w="5" w:type="dxa"/>
              <w:right w:w="5" w:type="dxa"/>
            </w:tcMar>
            <w:vAlign w:val="bottom"/>
            <w:hideMark/>
          </w:tcPr>
          <w:p w14:paraId="77F29265" w14:textId="77777777" w:rsidR="00954279" w:rsidRDefault="00A66714">
            <w:pPr>
              <w:rPr>
                <w:color w:val="000000"/>
                <w:sz w:val="20"/>
                <w:szCs w:val="20"/>
              </w:rPr>
            </w:pPr>
            <w:r>
              <w:rPr>
                <w:color w:val="000000"/>
                <w:sz w:val="20"/>
                <w:szCs w:val="20"/>
              </w:rPr>
              <w:t> </w:t>
            </w:r>
          </w:p>
        </w:tc>
        <w:tc>
          <w:tcPr>
            <w:tcW w:w="74" w:type="dxa"/>
            <w:tcMar>
              <w:top w:w="5" w:type="dxa"/>
              <w:left w:w="5" w:type="dxa"/>
              <w:bottom w:w="5" w:type="dxa"/>
              <w:right w:w="5" w:type="dxa"/>
            </w:tcMar>
            <w:vAlign w:val="bottom"/>
            <w:hideMark/>
          </w:tcPr>
          <w:p w14:paraId="2FE72A7F" w14:textId="77777777" w:rsidR="00954279" w:rsidRDefault="00A66714">
            <w:pPr>
              <w:rPr>
                <w:color w:val="000000"/>
                <w:sz w:val="20"/>
                <w:szCs w:val="20"/>
              </w:rPr>
            </w:pPr>
            <w:r>
              <w:rPr>
                <w:color w:val="000000"/>
                <w:sz w:val="20"/>
                <w:szCs w:val="20"/>
              </w:rPr>
              <w:t> </w:t>
            </w:r>
          </w:p>
        </w:tc>
        <w:tc>
          <w:tcPr>
            <w:tcW w:w="713" w:type="dxa"/>
            <w:tcMar>
              <w:top w:w="5" w:type="dxa"/>
              <w:left w:w="5" w:type="dxa"/>
              <w:bottom w:w="5" w:type="dxa"/>
              <w:right w:w="5" w:type="dxa"/>
            </w:tcMar>
            <w:vAlign w:val="bottom"/>
            <w:hideMark/>
          </w:tcPr>
          <w:p w14:paraId="52562313" w14:textId="77777777" w:rsidR="00954279" w:rsidRDefault="00A66714">
            <w:pPr>
              <w:jc w:val="center"/>
              <w:rPr>
                <w:color w:val="000000"/>
                <w:sz w:val="20"/>
                <w:szCs w:val="20"/>
              </w:rPr>
            </w:pPr>
            <w:r>
              <w:rPr>
                <w:color w:val="000000"/>
                <w:sz w:val="20"/>
                <w:szCs w:val="20"/>
              </w:rPr>
              <w:t> </w:t>
            </w:r>
          </w:p>
        </w:tc>
        <w:tc>
          <w:tcPr>
            <w:tcW w:w="69" w:type="dxa"/>
            <w:tcMar>
              <w:top w:w="5" w:type="dxa"/>
              <w:left w:w="5" w:type="dxa"/>
              <w:bottom w:w="5" w:type="dxa"/>
              <w:right w:w="5" w:type="dxa"/>
            </w:tcMar>
            <w:vAlign w:val="bottom"/>
            <w:hideMark/>
          </w:tcPr>
          <w:p w14:paraId="4D8C810B" w14:textId="77777777" w:rsidR="00954279" w:rsidRDefault="00A66714">
            <w:pPr>
              <w:rPr>
                <w:color w:val="000000"/>
                <w:sz w:val="20"/>
                <w:szCs w:val="20"/>
              </w:rPr>
            </w:pPr>
            <w:r>
              <w:rPr>
                <w:b/>
                <w:bCs/>
                <w:color w:val="000000"/>
                <w:sz w:val="20"/>
                <w:szCs w:val="20"/>
              </w:rPr>
              <w:t> </w:t>
            </w:r>
          </w:p>
        </w:tc>
        <w:tc>
          <w:tcPr>
            <w:tcW w:w="69" w:type="dxa"/>
            <w:tcMar>
              <w:top w:w="5" w:type="dxa"/>
              <w:left w:w="5" w:type="dxa"/>
              <w:bottom w:w="5" w:type="dxa"/>
              <w:right w:w="5" w:type="dxa"/>
            </w:tcMar>
            <w:vAlign w:val="bottom"/>
            <w:hideMark/>
          </w:tcPr>
          <w:p w14:paraId="223F677A" w14:textId="77777777" w:rsidR="00954279" w:rsidRDefault="00A66714">
            <w:pPr>
              <w:rPr>
                <w:color w:val="000000"/>
                <w:sz w:val="20"/>
                <w:szCs w:val="20"/>
              </w:rPr>
            </w:pPr>
            <w:r>
              <w:rPr>
                <w:color w:val="000000"/>
                <w:sz w:val="20"/>
                <w:szCs w:val="20"/>
              </w:rPr>
              <w:t> </w:t>
            </w:r>
          </w:p>
        </w:tc>
        <w:tc>
          <w:tcPr>
            <w:tcW w:w="111" w:type="dxa"/>
            <w:tcMar>
              <w:top w:w="5" w:type="dxa"/>
              <w:left w:w="5" w:type="dxa"/>
              <w:bottom w:w="5" w:type="dxa"/>
              <w:right w:w="5" w:type="dxa"/>
            </w:tcMar>
            <w:vAlign w:val="bottom"/>
            <w:hideMark/>
          </w:tcPr>
          <w:p w14:paraId="75717D0C" w14:textId="77777777" w:rsidR="00954279" w:rsidRDefault="00A66714">
            <w:pPr>
              <w:rPr>
                <w:color w:val="000000"/>
                <w:sz w:val="20"/>
                <w:szCs w:val="20"/>
              </w:rPr>
            </w:pPr>
            <w:r>
              <w:rPr>
                <w:color w:val="000000"/>
                <w:sz w:val="20"/>
                <w:szCs w:val="20"/>
              </w:rPr>
              <w:t> </w:t>
            </w:r>
          </w:p>
        </w:tc>
        <w:tc>
          <w:tcPr>
            <w:tcW w:w="717" w:type="dxa"/>
            <w:tcMar>
              <w:top w:w="5" w:type="dxa"/>
              <w:left w:w="5" w:type="dxa"/>
              <w:bottom w:w="5" w:type="dxa"/>
              <w:right w:w="5" w:type="dxa"/>
            </w:tcMar>
            <w:vAlign w:val="bottom"/>
            <w:hideMark/>
          </w:tcPr>
          <w:p w14:paraId="1DD72B60" w14:textId="77777777" w:rsidR="00954279" w:rsidRDefault="00A66714">
            <w:pPr>
              <w:jc w:val="center"/>
              <w:rPr>
                <w:color w:val="000000"/>
                <w:sz w:val="20"/>
                <w:szCs w:val="20"/>
              </w:rPr>
            </w:pPr>
            <w:r>
              <w:rPr>
                <w:color w:val="000000"/>
                <w:sz w:val="20"/>
                <w:szCs w:val="20"/>
              </w:rPr>
              <w:t> </w:t>
            </w:r>
          </w:p>
        </w:tc>
        <w:tc>
          <w:tcPr>
            <w:tcW w:w="69" w:type="dxa"/>
            <w:tcMar>
              <w:top w:w="5" w:type="dxa"/>
              <w:left w:w="5" w:type="dxa"/>
              <w:bottom w:w="5" w:type="dxa"/>
              <w:right w:w="5" w:type="dxa"/>
            </w:tcMar>
            <w:vAlign w:val="bottom"/>
            <w:hideMark/>
          </w:tcPr>
          <w:p w14:paraId="62A7B8A5" w14:textId="77777777" w:rsidR="00954279" w:rsidRDefault="00A66714">
            <w:pPr>
              <w:rPr>
                <w:color w:val="000000"/>
                <w:sz w:val="20"/>
                <w:szCs w:val="20"/>
              </w:rPr>
            </w:pPr>
            <w:r>
              <w:rPr>
                <w:b/>
                <w:bCs/>
                <w:color w:val="000000"/>
                <w:sz w:val="20"/>
                <w:szCs w:val="20"/>
              </w:rPr>
              <w:t> </w:t>
            </w:r>
          </w:p>
        </w:tc>
        <w:tc>
          <w:tcPr>
            <w:tcW w:w="70" w:type="dxa"/>
            <w:tcMar>
              <w:top w:w="5" w:type="dxa"/>
              <w:left w:w="5" w:type="dxa"/>
              <w:bottom w:w="5" w:type="dxa"/>
              <w:right w:w="5" w:type="dxa"/>
            </w:tcMar>
            <w:vAlign w:val="bottom"/>
            <w:hideMark/>
          </w:tcPr>
          <w:p w14:paraId="576389AD" w14:textId="77777777" w:rsidR="00954279" w:rsidRDefault="00A66714">
            <w:pPr>
              <w:rPr>
                <w:color w:val="000000"/>
                <w:sz w:val="20"/>
                <w:szCs w:val="20"/>
              </w:rPr>
            </w:pPr>
            <w:r>
              <w:rPr>
                <w:color w:val="000000"/>
                <w:sz w:val="20"/>
                <w:szCs w:val="20"/>
              </w:rPr>
              <w:t> </w:t>
            </w:r>
          </w:p>
        </w:tc>
        <w:tc>
          <w:tcPr>
            <w:tcW w:w="116" w:type="dxa"/>
            <w:tcMar>
              <w:top w:w="5" w:type="dxa"/>
              <w:left w:w="5" w:type="dxa"/>
              <w:bottom w:w="5" w:type="dxa"/>
              <w:right w:w="5" w:type="dxa"/>
            </w:tcMar>
            <w:vAlign w:val="bottom"/>
            <w:hideMark/>
          </w:tcPr>
          <w:p w14:paraId="20A595BB" w14:textId="77777777" w:rsidR="00954279" w:rsidRDefault="00A66714">
            <w:pPr>
              <w:rPr>
                <w:color w:val="000000"/>
                <w:sz w:val="20"/>
                <w:szCs w:val="20"/>
              </w:rPr>
            </w:pPr>
            <w:r>
              <w:rPr>
                <w:color w:val="000000"/>
                <w:sz w:val="20"/>
                <w:szCs w:val="20"/>
              </w:rPr>
              <w:t> </w:t>
            </w:r>
          </w:p>
        </w:tc>
        <w:tc>
          <w:tcPr>
            <w:tcW w:w="806" w:type="dxa"/>
            <w:tcMar>
              <w:top w:w="5" w:type="dxa"/>
              <w:left w:w="5" w:type="dxa"/>
              <w:bottom w:w="5" w:type="dxa"/>
              <w:right w:w="5" w:type="dxa"/>
            </w:tcMar>
            <w:vAlign w:val="bottom"/>
            <w:hideMark/>
          </w:tcPr>
          <w:p w14:paraId="0B6DDF49" w14:textId="77777777" w:rsidR="00954279" w:rsidRDefault="00A66714">
            <w:pPr>
              <w:jc w:val="center"/>
              <w:rPr>
                <w:color w:val="000000"/>
                <w:sz w:val="20"/>
                <w:szCs w:val="20"/>
              </w:rPr>
            </w:pPr>
            <w:r>
              <w:rPr>
                <w:color w:val="000000"/>
                <w:sz w:val="20"/>
                <w:szCs w:val="20"/>
              </w:rPr>
              <w:t> </w:t>
            </w:r>
          </w:p>
        </w:tc>
        <w:tc>
          <w:tcPr>
            <w:tcW w:w="77" w:type="dxa"/>
            <w:tcMar>
              <w:top w:w="5" w:type="dxa"/>
              <w:left w:w="5" w:type="dxa"/>
              <w:bottom w:w="5" w:type="dxa"/>
              <w:right w:w="5" w:type="dxa"/>
            </w:tcMar>
            <w:vAlign w:val="bottom"/>
            <w:hideMark/>
          </w:tcPr>
          <w:p w14:paraId="111B976A" w14:textId="77777777" w:rsidR="00954279" w:rsidRDefault="00A66714">
            <w:pPr>
              <w:rPr>
                <w:color w:val="000000"/>
                <w:sz w:val="20"/>
                <w:szCs w:val="20"/>
              </w:rPr>
            </w:pPr>
            <w:r>
              <w:rPr>
                <w:b/>
                <w:bCs/>
                <w:color w:val="000000"/>
                <w:sz w:val="20"/>
                <w:szCs w:val="20"/>
              </w:rPr>
              <w:t> </w:t>
            </w:r>
          </w:p>
        </w:tc>
        <w:tc>
          <w:tcPr>
            <w:tcW w:w="64" w:type="dxa"/>
            <w:tcMar>
              <w:top w:w="5" w:type="dxa"/>
              <w:left w:w="5" w:type="dxa"/>
              <w:bottom w:w="5" w:type="dxa"/>
              <w:right w:w="5" w:type="dxa"/>
            </w:tcMar>
            <w:vAlign w:val="bottom"/>
            <w:hideMark/>
          </w:tcPr>
          <w:p w14:paraId="6A8C7135" w14:textId="77777777" w:rsidR="00954279" w:rsidRDefault="00A66714">
            <w:pPr>
              <w:rPr>
                <w:color w:val="000000"/>
                <w:sz w:val="20"/>
                <w:szCs w:val="20"/>
              </w:rPr>
            </w:pPr>
            <w:r>
              <w:rPr>
                <w:color w:val="000000"/>
                <w:sz w:val="20"/>
                <w:szCs w:val="20"/>
              </w:rPr>
              <w:t> </w:t>
            </w:r>
          </w:p>
        </w:tc>
        <w:tc>
          <w:tcPr>
            <w:tcW w:w="111" w:type="dxa"/>
            <w:tcMar>
              <w:top w:w="5" w:type="dxa"/>
              <w:left w:w="5" w:type="dxa"/>
              <w:bottom w:w="5" w:type="dxa"/>
              <w:right w:w="5" w:type="dxa"/>
            </w:tcMar>
            <w:vAlign w:val="bottom"/>
            <w:hideMark/>
          </w:tcPr>
          <w:p w14:paraId="28DFE4D5" w14:textId="77777777" w:rsidR="00954279" w:rsidRDefault="00A66714">
            <w:pPr>
              <w:rPr>
                <w:color w:val="000000"/>
                <w:sz w:val="20"/>
                <w:szCs w:val="20"/>
              </w:rPr>
            </w:pPr>
            <w:r>
              <w:rPr>
                <w:color w:val="000000"/>
                <w:sz w:val="20"/>
                <w:szCs w:val="20"/>
              </w:rPr>
              <w:t> </w:t>
            </w:r>
          </w:p>
        </w:tc>
        <w:tc>
          <w:tcPr>
            <w:tcW w:w="719" w:type="dxa"/>
            <w:tcMar>
              <w:top w:w="5" w:type="dxa"/>
              <w:left w:w="5" w:type="dxa"/>
              <w:bottom w:w="5" w:type="dxa"/>
              <w:right w:w="5" w:type="dxa"/>
            </w:tcMar>
            <w:vAlign w:val="bottom"/>
            <w:hideMark/>
          </w:tcPr>
          <w:p w14:paraId="305A8C68" w14:textId="77777777" w:rsidR="00954279" w:rsidRDefault="00A66714">
            <w:pPr>
              <w:jc w:val="center"/>
              <w:rPr>
                <w:color w:val="000000"/>
                <w:sz w:val="20"/>
                <w:szCs w:val="20"/>
              </w:rPr>
            </w:pPr>
            <w:r>
              <w:rPr>
                <w:color w:val="000000"/>
                <w:sz w:val="20"/>
                <w:szCs w:val="20"/>
              </w:rPr>
              <w:t> </w:t>
            </w:r>
          </w:p>
        </w:tc>
        <w:tc>
          <w:tcPr>
            <w:tcW w:w="77" w:type="dxa"/>
            <w:tcMar>
              <w:top w:w="5" w:type="dxa"/>
              <w:left w:w="5" w:type="dxa"/>
              <w:bottom w:w="5" w:type="dxa"/>
              <w:right w:w="5" w:type="dxa"/>
            </w:tcMar>
            <w:vAlign w:val="bottom"/>
            <w:hideMark/>
          </w:tcPr>
          <w:p w14:paraId="1CC94122" w14:textId="77777777" w:rsidR="00954279" w:rsidRDefault="00A66714">
            <w:pPr>
              <w:rPr>
                <w:color w:val="000000"/>
                <w:sz w:val="20"/>
                <w:szCs w:val="20"/>
              </w:rPr>
            </w:pPr>
            <w:r>
              <w:rPr>
                <w:b/>
                <w:bCs/>
                <w:color w:val="000000"/>
                <w:sz w:val="20"/>
                <w:szCs w:val="20"/>
              </w:rPr>
              <w:t> </w:t>
            </w:r>
          </w:p>
        </w:tc>
        <w:tc>
          <w:tcPr>
            <w:tcW w:w="65" w:type="dxa"/>
            <w:tcMar>
              <w:top w:w="5" w:type="dxa"/>
              <w:left w:w="5" w:type="dxa"/>
              <w:bottom w:w="5" w:type="dxa"/>
              <w:right w:w="5" w:type="dxa"/>
            </w:tcMar>
            <w:vAlign w:val="bottom"/>
            <w:hideMark/>
          </w:tcPr>
          <w:p w14:paraId="6FD47689" w14:textId="77777777" w:rsidR="00954279" w:rsidRDefault="00A66714">
            <w:pPr>
              <w:rPr>
                <w:color w:val="000000"/>
                <w:sz w:val="20"/>
                <w:szCs w:val="20"/>
              </w:rPr>
            </w:pPr>
            <w:r>
              <w:rPr>
                <w:color w:val="000000"/>
                <w:sz w:val="20"/>
                <w:szCs w:val="20"/>
              </w:rPr>
              <w:t> </w:t>
            </w:r>
          </w:p>
        </w:tc>
        <w:tc>
          <w:tcPr>
            <w:tcW w:w="74" w:type="dxa"/>
            <w:tcMar>
              <w:top w:w="5" w:type="dxa"/>
              <w:left w:w="5" w:type="dxa"/>
              <w:bottom w:w="5" w:type="dxa"/>
              <w:right w:w="5" w:type="dxa"/>
            </w:tcMar>
            <w:vAlign w:val="bottom"/>
            <w:hideMark/>
          </w:tcPr>
          <w:p w14:paraId="44D46705" w14:textId="77777777" w:rsidR="00954279" w:rsidRDefault="00A66714">
            <w:pPr>
              <w:rPr>
                <w:color w:val="000000"/>
                <w:sz w:val="20"/>
                <w:szCs w:val="20"/>
              </w:rPr>
            </w:pPr>
            <w:r>
              <w:rPr>
                <w:color w:val="000000"/>
                <w:sz w:val="20"/>
                <w:szCs w:val="20"/>
              </w:rPr>
              <w:t> </w:t>
            </w:r>
          </w:p>
        </w:tc>
        <w:tc>
          <w:tcPr>
            <w:tcW w:w="716" w:type="dxa"/>
            <w:tcMar>
              <w:top w:w="5" w:type="dxa"/>
              <w:left w:w="5" w:type="dxa"/>
              <w:bottom w:w="5" w:type="dxa"/>
              <w:right w:w="5" w:type="dxa"/>
            </w:tcMar>
            <w:vAlign w:val="bottom"/>
            <w:hideMark/>
          </w:tcPr>
          <w:p w14:paraId="23811165" w14:textId="77777777" w:rsidR="00954279" w:rsidRDefault="00A66714">
            <w:pPr>
              <w:jc w:val="center"/>
              <w:rPr>
                <w:color w:val="000000"/>
                <w:sz w:val="20"/>
                <w:szCs w:val="20"/>
              </w:rPr>
            </w:pPr>
            <w:r>
              <w:rPr>
                <w:color w:val="000000"/>
                <w:sz w:val="20"/>
                <w:szCs w:val="20"/>
              </w:rPr>
              <w:t> </w:t>
            </w:r>
          </w:p>
        </w:tc>
        <w:tc>
          <w:tcPr>
            <w:tcW w:w="77" w:type="dxa"/>
            <w:tcMar>
              <w:top w:w="5" w:type="dxa"/>
              <w:left w:w="5" w:type="dxa"/>
              <w:bottom w:w="5" w:type="dxa"/>
              <w:right w:w="5" w:type="dxa"/>
            </w:tcMar>
            <w:vAlign w:val="bottom"/>
            <w:hideMark/>
          </w:tcPr>
          <w:p w14:paraId="29851CB8" w14:textId="77777777" w:rsidR="00954279" w:rsidRDefault="00A66714">
            <w:pPr>
              <w:rPr>
                <w:color w:val="000000"/>
                <w:sz w:val="20"/>
                <w:szCs w:val="20"/>
              </w:rPr>
            </w:pPr>
            <w:r>
              <w:rPr>
                <w:b/>
                <w:bCs/>
                <w:color w:val="000000"/>
                <w:sz w:val="20"/>
                <w:szCs w:val="20"/>
              </w:rPr>
              <w:t> </w:t>
            </w:r>
          </w:p>
        </w:tc>
        <w:tc>
          <w:tcPr>
            <w:tcW w:w="65" w:type="dxa"/>
            <w:tcMar>
              <w:top w:w="5" w:type="dxa"/>
              <w:left w:w="5" w:type="dxa"/>
              <w:bottom w:w="5" w:type="dxa"/>
              <w:right w:w="5" w:type="dxa"/>
            </w:tcMar>
            <w:vAlign w:val="bottom"/>
            <w:hideMark/>
          </w:tcPr>
          <w:p w14:paraId="72AB8E31" w14:textId="77777777" w:rsidR="00954279" w:rsidRDefault="00A66714">
            <w:pPr>
              <w:rPr>
                <w:color w:val="000000"/>
                <w:sz w:val="20"/>
                <w:szCs w:val="20"/>
              </w:rPr>
            </w:pPr>
            <w:r>
              <w:rPr>
                <w:color w:val="000000"/>
                <w:sz w:val="20"/>
                <w:szCs w:val="20"/>
              </w:rPr>
              <w:t> </w:t>
            </w:r>
          </w:p>
        </w:tc>
        <w:tc>
          <w:tcPr>
            <w:tcW w:w="111" w:type="dxa"/>
            <w:tcMar>
              <w:top w:w="5" w:type="dxa"/>
              <w:left w:w="5" w:type="dxa"/>
              <w:bottom w:w="5" w:type="dxa"/>
              <w:right w:w="5" w:type="dxa"/>
            </w:tcMar>
            <w:vAlign w:val="bottom"/>
            <w:hideMark/>
          </w:tcPr>
          <w:p w14:paraId="3A7AD55A" w14:textId="77777777" w:rsidR="00954279" w:rsidRDefault="00A66714">
            <w:pPr>
              <w:rPr>
                <w:color w:val="000000"/>
                <w:sz w:val="20"/>
                <w:szCs w:val="20"/>
              </w:rPr>
            </w:pPr>
            <w:r>
              <w:rPr>
                <w:color w:val="000000"/>
                <w:sz w:val="20"/>
                <w:szCs w:val="20"/>
              </w:rPr>
              <w:t> </w:t>
            </w:r>
          </w:p>
        </w:tc>
        <w:tc>
          <w:tcPr>
            <w:tcW w:w="719" w:type="dxa"/>
            <w:tcMar>
              <w:top w:w="5" w:type="dxa"/>
              <w:left w:w="5" w:type="dxa"/>
              <w:bottom w:w="5" w:type="dxa"/>
              <w:right w:w="5" w:type="dxa"/>
            </w:tcMar>
            <w:vAlign w:val="bottom"/>
            <w:hideMark/>
          </w:tcPr>
          <w:p w14:paraId="1557B8BC" w14:textId="77777777" w:rsidR="00954279" w:rsidRDefault="00A66714">
            <w:pPr>
              <w:jc w:val="center"/>
              <w:rPr>
                <w:color w:val="000000"/>
                <w:sz w:val="20"/>
                <w:szCs w:val="20"/>
              </w:rPr>
            </w:pPr>
            <w:r>
              <w:rPr>
                <w:color w:val="000000"/>
                <w:sz w:val="20"/>
                <w:szCs w:val="20"/>
              </w:rPr>
              <w:t> </w:t>
            </w:r>
          </w:p>
        </w:tc>
        <w:tc>
          <w:tcPr>
            <w:tcW w:w="77" w:type="dxa"/>
            <w:tcMar>
              <w:top w:w="5" w:type="dxa"/>
              <w:left w:w="5" w:type="dxa"/>
              <w:bottom w:w="5" w:type="dxa"/>
              <w:right w:w="5" w:type="dxa"/>
            </w:tcMar>
            <w:vAlign w:val="bottom"/>
            <w:hideMark/>
          </w:tcPr>
          <w:p w14:paraId="6156D25F" w14:textId="77777777" w:rsidR="00954279" w:rsidRDefault="00A66714">
            <w:pPr>
              <w:rPr>
                <w:color w:val="000000"/>
                <w:sz w:val="20"/>
                <w:szCs w:val="20"/>
              </w:rPr>
            </w:pPr>
            <w:r>
              <w:rPr>
                <w:b/>
                <w:bCs/>
                <w:color w:val="000000"/>
                <w:sz w:val="20"/>
                <w:szCs w:val="20"/>
              </w:rPr>
              <w:t> </w:t>
            </w:r>
          </w:p>
        </w:tc>
        <w:tc>
          <w:tcPr>
            <w:tcW w:w="65" w:type="dxa"/>
            <w:tcMar>
              <w:top w:w="5" w:type="dxa"/>
              <w:left w:w="5" w:type="dxa"/>
              <w:bottom w:w="5" w:type="dxa"/>
              <w:right w:w="5" w:type="dxa"/>
            </w:tcMar>
            <w:vAlign w:val="bottom"/>
            <w:hideMark/>
          </w:tcPr>
          <w:p w14:paraId="5AD16AB1" w14:textId="77777777" w:rsidR="00954279" w:rsidRDefault="00A66714">
            <w:pPr>
              <w:rPr>
                <w:color w:val="000000"/>
                <w:sz w:val="20"/>
                <w:szCs w:val="20"/>
              </w:rPr>
            </w:pPr>
            <w:r>
              <w:rPr>
                <w:color w:val="000000"/>
                <w:sz w:val="20"/>
                <w:szCs w:val="20"/>
              </w:rPr>
              <w:t> </w:t>
            </w:r>
          </w:p>
        </w:tc>
        <w:tc>
          <w:tcPr>
            <w:tcW w:w="1344" w:type="dxa"/>
            <w:gridSpan w:val="2"/>
            <w:tcMar>
              <w:top w:w="5" w:type="dxa"/>
              <w:left w:w="5" w:type="dxa"/>
              <w:bottom w:w="5" w:type="dxa"/>
              <w:right w:w="5" w:type="dxa"/>
            </w:tcMar>
            <w:vAlign w:val="bottom"/>
            <w:hideMark/>
          </w:tcPr>
          <w:p w14:paraId="2EF6DC86" w14:textId="77777777" w:rsidR="00954279" w:rsidRDefault="00A66714">
            <w:pPr>
              <w:jc w:val="center"/>
              <w:rPr>
                <w:color w:val="000000"/>
                <w:sz w:val="20"/>
                <w:szCs w:val="20"/>
              </w:rPr>
            </w:pPr>
            <w:r>
              <w:rPr>
                <w:b/>
                <w:bCs/>
                <w:color w:val="000000"/>
                <w:sz w:val="20"/>
                <w:szCs w:val="20"/>
              </w:rPr>
              <w:t>Accumulated</w:t>
            </w:r>
          </w:p>
        </w:tc>
        <w:tc>
          <w:tcPr>
            <w:tcW w:w="77" w:type="dxa"/>
            <w:tcMar>
              <w:top w:w="5" w:type="dxa"/>
              <w:left w:w="5" w:type="dxa"/>
              <w:bottom w:w="5" w:type="dxa"/>
              <w:right w:w="5" w:type="dxa"/>
            </w:tcMar>
            <w:vAlign w:val="bottom"/>
            <w:hideMark/>
          </w:tcPr>
          <w:p w14:paraId="4F76BA73" w14:textId="77777777" w:rsidR="00954279" w:rsidRDefault="00A66714">
            <w:pPr>
              <w:rPr>
                <w:color w:val="000000"/>
                <w:sz w:val="20"/>
                <w:szCs w:val="20"/>
              </w:rPr>
            </w:pPr>
            <w:r>
              <w:rPr>
                <w:color w:val="000000"/>
                <w:sz w:val="20"/>
                <w:szCs w:val="20"/>
              </w:rPr>
              <w:t> </w:t>
            </w:r>
          </w:p>
        </w:tc>
        <w:tc>
          <w:tcPr>
            <w:tcW w:w="65" w:type="dxa"/>
            <w:tcMar>
              <w:top w:w="5" w:type="dxa"/>
              <w:left w:w="5" w:type="dxa"/>
              <w:bottom w:w="5" w:type="dxa"/>
              <w:right w:w="5" w:type="dxa"/>
            </w:tcMar>
            <w:vAlign w:val="bottom"/>
            <w:hideMark/>
          </w:tcPr>
          <w:p w14:paraId="18DBA958" w14:textId="77777777" w:rsidR="00954279" w:rsidRDefault="00A66714">
            <w:pPr>
              <w:rPr>
                <w:color w:val="000000"/>
                <w:sz w:val="20"/>
                <w:szCs w:val="20"/>
              </w:rPr>
            </w:pPr>
            <w:r>
              <w:rPr>
                <w:color w:val="000000"/>
                <w:sz w:val="20"/>
                <w:szCs w:val="20"/>
              </w:rPr>
              <w:t> </w:t>
            </w:r>
          </w:p>
        </w:tc>
        <w:tc>
          <w:tcPr>
            <w:tcW w:w="148" w:type="dxa"/>
            <w:tcMar>
              <w:top w:w="5" w:type="dxa"/>
              <w:left w:w="5" w:type="dxa"/>
              <w:bottom w:w="5" w:type="dxa"/>
              <w:right w:w="5" w:type="dxa"/>
            </w:tcMar>
            <w:vAlign w:val="bottom"/>
            <w:hideMark/>
          </w:tcPr>
          <w:p w14:paraId="3DFC4719" w14:textId="77777777" w:rsidR="00954279" w:rsidRDefault="00A66714">
            <w:pPr>
              <w:rPr>
                <w:color w:val="000000"/>
                <w:sz w:val="20"/>
                <w:szCs w:val="20"/>
              </w:rPr>
            </w:pPr>
            <w:r>
              <w:rPr>
                <w:color w:val="000000"/>
                <w:sz w:val="20"/>
                <w:szCs w:val="20"/>
              </w:rPr>
              <w:t> </w:t>
            </w:r>
          </w:p>
        </w:tc>
        <w:tc>
          <w:tcPr>
            <w:tcW w:w="1029" w:type="dxa"/>
            <w:tcMar>
              <w:top w:w="5" w:type="dxa"/>
              <w:left w:w="5" w:type="dxa"/>
              <w:bottom w:w="5" w:type="dxa"/>
              <w:right w:w="5" w:type="dxa"/>
            </w:tcMar>
            <w:vAlign w:val="bottom"/>
            <w:hideMark/>
          </w:tcPr>
          <w:p w14:paraId="1240516B" w14:textId="77777777" w:rsidR="00954279" w:rsidRDefault="00A66714">
            <w:pPr>
              <w:jc w:val="center"/>
              <w:rPr>
                <w:color w:val="000000"/>
                <w:sz w:val="20"/>
                <w:szCs w:val="20"/>
              </w:rPr>
            </w:pPr>
            <w:r>
              <w:rPr>
                <w:color w:val="000000"/>
                <w:sz w:val="20"/>
                <w:szCs w:val="20"/>
              </w:rPr>
              <w:t> </w:t>
            </w:r>
          </w:p>
        </w:tc>
        <w:tc>
          <w:tcPr>
            <w:tcW w:w="77" w:type="dxa"/>
            <w:tcMar>
              <w:top w:w="5" w:type="dxa"/>
              <w:left w:w="5" w:type="dxa"/>
              <w:bottom w:w="5" w:type="dxa"/>
              <w:right w:w="5" w:type="dxa"/>
            </w:tcMar>
            <w:vAlign w:val="bottom"/>
            <w:hideMark/>
          </w:tcPr>
          <w:p w14:paraId="48802659" w14:textId="77777777" w:rsidR="00954279" w:rsidRDefault="00A66714">
            <w:pPr>
              <w:rPr>
                <w:color w:val="000000"/>
                <w:sz w:val="20"/>
                <w:szCs w:val="20"/>
              </w:rPr>
            </w:pPr>
            <w:r>
              <w:rPr>
                <w:b/>
                <w:bCs/>
                <w:color w:val="000000"/>
                <w:sz w:val="20"/>
                <w:szCs w:val="20"/>
              </w:rPr>
              <w:t> </w:t>
            </w:r>
          </w:p>
        </w:tc>
      </w:tr>
      <w:tr w:rsidR="00954279" w14:paraId="4E887812" w14:textId="77777777" w:rsidTr="00717712">
        <w:tc>
          <w:tcPr>
            <w:tcW w:w="2678" w:type="dxa"/>
            <w:tcMar>
              <w:top w:w="5" w:type="dxa"/>
              <w:left w:w="5" w:type="dxa"/>
              <w:bottom w:w="5" w:type="dxa"/>
              <w:right w:w="5" w:type="dxa"/>
            </w:tcMar>
            <w:vAlign w:val="bottom"/>
            <w:hideMark/>
          </w:tcPr>
          <w:p w14:paraId="3C622D20" w14:textId="77777777" w:rsidR="00954279" w:rsidRDefault="00A66714">
            <w:pPr>
              <w:rPr>
                <w:color w:val="000000"/>
                <w:sz w:val="20"/>
                <w:szCs w:val="20"/>
              </w:rPr>
            </w:pPr>
            <w:r>
              <w:rPr>
                <w:color w:val="000000"/>
                <w:sz w:val="20"/>
                <w:szCs w:val="20"/>
              </w:rPr>
              <w:t> </w:t>
            </w:r>
          </w:p>
        </w:tc>
        <w:tc>
          <w:tcPr>
            <w:tcW w:w="60" w:type="dxa"/>
            <w:tcMar>
              <w:top w:w="5" w:type="dxa"/>
              <w:left w:w="5" w:type="dxa"/>
              <w:bottom w:w="5" w:type="dxa"/>
              <w:right w:w="5" w:type="dxa"/>
            </w:tcMar>
            <w:vAlign w:val="bottom"/>
            <w:hideMark/>
          </w:tcPr>
          <w:p w14:paraId="1D6A0A4E" w14:textId="77777777" w:rsidR="00954279" w:rsidRDefault="00A66714">
            <w:pPr>
              <w:rPr>
                <w:color w:val="000000"/>
                <w:sz w:val="20"/>
                <w:szCs w:val="20"/>
              </w:rPr>
            </w:pPr>
            <w:r>
              <w:rPr>
                <w:color w:val="000000"/>
                <w:sz w:val="20"/>
                <w:szCs w:val="20"/>
              </w:rPr>
              <w:t> </w:t>
            </w:r>
          </w:p>
        </w:tc>
        <w:tc>
          <w:tcPr>
            <w:tcW w:w="74" w:type="dxa"/>
            <w:tcMar>
              <w:top w:w="5" w:type="dxa"/>
              <w:left w:w="5" w:type="dxa"/>
              <w:bottom w:w="5" w:type="dxa"/>
              <w:right w:w="5" w:type="dxa"/>
            </w:tcMar>
            <w:vAlign w:val="bottom"/>
            <w:hideMark/>
          </w:tcPr>
          <w:p w14:paraId="081A1879" w14:textId="77777777" w:rsidR="00954279" w:rsidRDefault="00A66714">
            <w:pPr>
              <w:rPr>
                <w:color w:val="000000"/>
                <w:sz w:val="20"/>
                <w:szCs w:val="20"/>
              </w:rPr>
            </w:pPr>
            <w:r>
              <w:rPr>
                <w:color w:val="000000"/>
                <w:sz w:val="20"/>
                <w:szCs w:val="20"/>
              </w:rPr>
              <w:t> </w:t>
            </w:r>
          </w:p>
        </w:tc>
        <w:tc>
          <w:tcPr>
            <w:tcW w:w="713" w:type="dxa"/>
            <w:tcMar>
              <w:top w:w="5" w:type="dxa"/>
              <w:left w:w="5" w:type="dxa"/>
              <w:bottom w:w="5" w:type="dxa"/>
              <w:right w:w="5" w:type="dxa"/>
            </w:tcMar>
            <w:vAlign w:val="bottom"/>
            <w:hideMark/>
          </w:tcPr>
          <w:p w14:paraId="6C298E08" w14:textId="77777777" w:rsidR="00954279" w:rsidRDefault="00A66714">
            <w:pPr>
              <w:jc w:val="center"/>
              <w:rPr>
                <w:color w:val="000000"/>
                <w:sz w:val="20"/>
                <w:szCs w:val="20"/>
              </w:rPr>
            </w:pPr>
            <w:r>
              <w:rPr>
                <w:color w:val="000000"/>
                <w:sz w:val="20"/>
                <w:szCs w:val="20"/>
              </w:rPr>
              <w:t> </w:t>
            </w:r>
          </w:p>
        </w:tc>
        <w:tc>
          <w:tcPr>
            <w:tcW w:w="69" w:type="dxa"/>
            <w:tcMar>
              <w:top w:w="5" w:type="dxa"/>
              <w:left w:w="5" w:type="dxa"/>
              <w:bottom w:w="5" w:type="dxa"/>
              <w:right w:w="5" w:type="dxa"/>
            </w:tcMar>
            <w:vAlign w:val="bottom"/>
            <w:hideMark/>
          </w:tcPr>
          <w:p w14:paraId="113AABF7" w14:textId="77777777" w:rsidR="00954279" w:rsidRDefault="00A66714">
            <w:pPr>
              <w:rPr>
                <w:color w:val="000000"/>
                <w:sz w:val="20"/>
                <w:szCs w:val="20"/>
              </w:rPr>
            </w:pPr>
            <w:r>
              <w:rPr>
                <w:b/>
                <w:bCs/>
                <w:color w:val="000000"/>
                <w:sz w:val="20"/>
                <w:szCs w:val="20"/>
              </w:rPr>
              <w:t> </w:t>
            </w:r>
          </w:p>
        </w:tc>
        <w:tc>
          <w:tcPr>
            <w:tcW w:w="69" w:type="dxa"/>
            <w:tcMar>
              <w:top w:w="5" w:type="dxa"/>
              <w:left w:w="5" w:type="dxa"/>
              <w:bottom w:w="5" w:type="dxa"/>
              <w:right w:w="5" w:type="dxa"/>
            </w:tcMar>
            <w:vAlign w:val="bottom"/>
            <w:hideMark/>
          </w:tcPr>
          <w:p w14:paraId="12E3DB4E" w14:textId="77777777" w:rsidR="00954279" w:rsidRDefault="00A66714">
            <w:pPr>
              <w:rPr>
                <w:color w:val="000000"/>
                <w:sz w:val="20"/>
                <w:szCs w:val="20"/>
              </w:rPr>
            </w:pPr>
            <w:r>
              <w:rPr>
                <w:color w:val="000000"/>
                <w:sz w:val="20"/>
                <w:szCs w:val="20"/>
              </w:rPr>
              <w:t> </w:t>
            </w:r>
          </w:p>
        </w:tc>
        <w:tc>
          <w:tcPr>
            <w:tcW w:w="111" w:type="dxa"/>
            <w:tcMar>
              <w:top w:w="5" w:type="dxa"/>
              <w:left w:w="5" w:type="dxa"/>
              <w:bottom w:w="5" w:type="dxa"/>
              <w:right w:w="5" w:type="dxa"/>
            </w:tcMar>
            <w:vAlign w:val="bottom"/>
            <w:hideMark/>
          </w:tcPr>
          <w:p w14:paraId="4A60F822" w14:textId="77777777" w:rsidR="00954279" w:rsidRDefault="00A66714">
            <w:pPr>
              <w:rPr>
                <w:color w:val="000000"/>
                <w:sz w:val="20"/>
                <w:szCs w:val="20"/>
              </w:rPr>
            </w:pPr>
            <w:r>
              <w:rPr>
                <w:color w:val="000000"/>
                <w:sz w:val="20"/>
                <w:szCs w:val="20"/>
              </w:rPr>
              <w:t> </w:t>
            </w:r>
          </w:p>
        </w:tc>
        <w:tc>
          <w:tcPr>
            <w:tcW w:w="717" w:type="dxa"/>
            <w:tcMar>
              <w:top w:w="5" w:type="dxa"/>
              <w:left w:w="5" w:type="dxa"/>
              <w:bottom w:w="5" w:type="dxa"/>
              <w:right w:w="5" w:type="dxa"/>
            </w:tcMar>
            <w:vAlign w:val="bottom"/>
            <w:hideMark/>
          </w:tcPr>
          <w:p w14:paraId="051BFE0E" w14:textId="77777777" w:rsidR="00954279" w:rsidRDefault="00A66714">
            <w:pPr>
              <w:jc w:val="center"/>
              <w:rPr>
                <w:color w:val="000000"/>
                <w:sz w:val="20"/>
                <w:szCs w:val="20"/>
              </w:rPr>
            </w:pPr>
            <w:r>
              <w:rPr>
                <w:color w:val="000000"/>
                <w:sz w:val="20"/>
                <w:szCs w:val="20"/>
              </w:rPr>
              <w:t> </w:t>
            </w:r>
          </w:p>
        </w:tc>
        <w:tc>
          <w:tcPr>
            <w:tcW w:w="69" w:type="dxa"/>
            <w:tcMar>
              <w:top w:w="5" w:type="dxa"/>
              <w:left w:w="5" w:type="dxa"/>
              <w:bottom w:w="5" w:type="dxa"/>
              <w:right w:w="5" w:type="dxa"/>
            </w:tcMar>
            <w:vAlign w:val="bottom"/>
            <w:hideMark/>
          </w:tcPr>
          <w:p w14:paraId="1DEE206D" w14:textId="77777777" w:rsidR="00954279" w:rsidRDefault="00A66714">
            <w:pPr>
              <w:rPr>
                <w:color w:val="000000"/>
                <w:sz w:val="20"/>
                <w:szCs w:val="20"/>
              </w:rPr>
            </w:pPr>
            <w:r>
              <w:rPr>
                <w:b/>
                <w:bCs/>
                <w:color w:val="000000"/>
                <w:sz w:val="20"/>
                <w:szCs w:val="20"/>
              </w:rPr>
              <w:t> </w:t>
            </w:r>
          </w:p>
        </w:tc>
        <w:tc>
          <w:tcPr>
            <w:tcW w:w="70" w:type="dxa"/>
            <w:tcMar>
              <w:top w:w="5" w:type="dxa"/>
              <w:left w:w="5" w:type="dxa"/>
              <w:bottom w:w="5" w:type="dxa"/>
              <w:right w:w="5" w:type="dxa"/>
            </w:tcMar>
            <w:vAlign w:val="bottom"/>
            <w:hideMark/>
          </w:tcPr>
          <w:p w14:paraId="535EB80F" w14:textId="77777777" w:rsidR="00954279" w:rsidRDefault="00A66714">
            <w:pPr>
              <w:rPr>
                <w:color w:val="000000"/>
                <w:sz w:val="20"/>
                <w:szCs w:val="20"/>
              </w:rPr>
            </w:pPr>
            <w:r>
              <w:rPr>
                <w:color w:val="000000"/>
                <w:sz w:val="20"/>
                <w:szCs w:val="20"/>
              </w:rPr>
              <w:t> </w:t>
            </w:r>
          </w:p>
        </w:tc>
        <w:tc>
          <w:tcPr>
            <w:tcW w:w="922" w:type="dxa"/>
            <w:gridSpan w:val="2"/>
            <w:tcMar>
              <w:top w:w="5" w:type="dxa"/>
              <w:left w:w="5" w:type="dxa"/>
              <w:bottom w:w="5" w:type="dxa"/>
              <w:right w:w="5" w:type="dxa"/>
            </w:tcMar>
            <w:vAlign w:val="bottom"/>
            <w:hideMark/>
          </w:tcPr>
          <w:p w14:paraId="73C7F5B5" w14:textId="77777777" w:rsidR="00954279" w:rsidRDefault="00A66714">
            <w:pPr>
              <w:jc w:val="center"/>
              <w:rPr>
                <w:color w:val="000000"/>
                <w:sz w:val="20"/>
                <w:szCs w:val="20"/>
              </w:rPr>
            </w:pPr>
            <w:r>
              <w:rPr>
                <w:b/>
                <w:bCs/>
                <w:color w:val="000000"/>
                <w:sz w:val="20"/>
                <w:szCs w:val="20"/>
              </w:rPr>
              <w:t>Additional</w:t>
            </w:r>
          </w:p>
        </w:tc>
        <w:tc>
          <w:tcPr>
            <w:tcW w:w="77" w:type="dxa"/>
            <w:tcMar>
              <w:top w:w="5" w:type="dxa"/>
              <w:left w:w="5" w:type="dxa"/>
              <w:bottom w:w="5" w:type="dxa"/>
              <w:right w:w="5" w:type="dxa"/>
            </w:tcMar>
            <w:vAlign w:val="bottom"/>
            <w:hideMark/>
          </w:tcPr>
          <w:p w14:paraId="592A0DEC" w14:textId="77777777" w:rsidR="00954279" w:rsidRDefault="00A66714">
            <w:pPr>
              <w:rPr>
                <w:color w:val="000000"/>
                <w:sz w:val="20"/>
                <w:szCs w:val="20"/>
              </w:rPr>
            </w:pPr>
            <w:r>
              <w:rPr>
                <w:color w:val="000000"/>
                <w:sz w:val="20"/>
                <w:szCs w:val="20"/>
              </w:rPr>
              <w:t> </w:t>
            </w:r>
          </w:p>
        </w:tc>
        <w:tc>
          <w:tcPr>
            <w:tcW w:w="64" w:type="dxa"/>
            <w:tcMar>
              <w:top w:w="5" w:type="dxa"/>
              <w:left w:w="5" w:type="dxa"/>
              <w:bottom w:w="5" w:type="dxa"/>
              <w:right w:w="5" w:type="dxa"/>
            </w:tcMar>
            <w:vAlign w:val="bottom"/>
            <w:hideMark/>
          </w:tcPr>
          <w:p w14:paraId="3D65099A" w14:textId="77777777" w:rsidR="00954279" w:rsidRDefault="00A66714">
            <w:pPr>
              <w:rPr>
                <w:color w:val="000000"/>
                <w:sz w:val="20"/>
                <w:szCs w:val="20"/>
              </w:rPr>
            </w:pPr>
            <w:r>
              <w:rPr>
                <w:color w:val="000000"/>
                <w:sz w:val="20"/>
                <w:szCs w:val="20"/>
              </w:rPr>
              <w:t> </w:t>
            </w:r>
          </w:p>
        </w:tc>
        <w:tc>
          <w:tcPr>
            <w:tcW w:w="111" w:type="dxa"/>
            <w:tcMar>
              <w:top w:w="5" w:type="dxa"/>
              <w:left w:w="5" w:type="dxa"/>
              <w:bottom w:w="5" w:type="dxa"/>
              <w:right w:w="5" w:type="dxa"/>
            </w:tcMar>
            <w:vAlign w:val="bottom"/>
            <w:hideMark/>
          </w:tcPr>
          <w:p w14:paraId="682E1DE1" w14:textId="77777777" w:rsidR="00954279" w:rsidRDefault="00A66714">
            <w:pPr>
              <w:rPr>
                <w:color w:val="000000"/>
                <w:sz w:val="20"/>
                <w:szCs w:val="20"/>
              </w:rPr>
            </w:pPr>
            <w:r>
              <w:rPr>
                <w:color w:val="000000"/>
                <w:sz w:val="20"/>
                <w:szCs w:val="20"/>
              </w:rPr>
              <w:t> </w:t>
            </w:r>
          </w:p>
        </w:tc>
        <w:tc>
          <w:tcPr>
            <w:tcW w:w="719" w:type="dxa"/>
            <w:tcMar>
              <w:top w:w="5" w:type="dxa"/>
              <w:left w:w="5" w:type="dxa"/>
              <w:bottom w:w="5" w:type="dxa"/>
              <w:right w:w="5" w:type="dxa"/>
            </w:tcMar>
            <w:vAlign w:val="bottom"/>
            <w:hideMark/>
          </w:tcPr>
          <w:p w14:paraId="4C3D1EC6" w14:textId="77777777" w:rsidR="00954279" w:rsidRDefault="00A66714">
            <w:pPr>
              <w:jc w:val="center"/>
              <w:rPr>
                <w:color w:val="000000"/>
                <w:sz w:val="20"/>
                <w:szCs w:val="20"/>
              </w:rPr>
            </w:pPr>
            <w:r>
              <w:rPr>
                <w:color w:val="000000"/>
                <w:sz w:val="20"/>
                <w:szCs w:val="20"/>
              </w:rPr>
              <w:t> </w:t>
            </w:r>
          </w:p>
        </w:tc>
        <w:tc>
          <w:tcPr>
            <w:tcW w:w="77" w:type="dxa"/>
            <w:tcMar>
              <w:top w:w="5" w:type="dxa"/>
              <w:left w:w="5" w:type="dxa"/>
              <w:bottom w:w="5" w:type="dxa"/>
              <w:right w:w="5" w:type="dxa"/>
            </w:tcMar>
            <w:vAlign w:val="bottom"/>
            <w:hideMark/>
          </w:tcPr>
          <w:p w14:paraId="5FD26A32" w14:textId="77777777" w:rsidR="00954279" w:rsidRDefault="00A66714">
            <w:pPr>
              <w:rPr>
                <w:color w:val="000000"/>
                <w:sz w:val="20"/>
                <w:szCs w:val="20"/>
              </w:rPr>
            </w:pPr>
            <w:r>
              <w:rPr>
                <w:b/>
                <w:bCs/>
                <w:color w:val="000000"/>
                <w:sz w:val="20"/>
                <w:szCs w:val="20"/>
              </w:rPr>
              <w:t> </w:t>
            </w:r>
          </w:p>
        </w:tc>
        <w:tc>
          <w:tcPr>
            <w:tcW w:w="65" w:type="dxa"/>
            <w:tcMar>
              <w:top w:w="5" w:type="dxa"/>
              <w:left w:w="5" w:type="dxa"/>
              <w:bottom w:w="5" w:type="dxa"/>
              <w:right w:w="5" w:type="dxa"/>
            </w:tcMar>
            <w:vAlign w:val="bottom"/>
            <w:hideMark/>
          </w:tcPr>
          <w:p w14:paraId="2640D8F5" w14:textId="77777777" w:rsidR="00954279" w:rsidRDefault="00A66714">
            <w:pPr>
              <w:rPr>
                <w:color w:val="000000"/>
                <w:sz w:val="20"/>
                <w:szCs w:val="20"/>
              </w:rPr>
            </w:pPr>
            <w:r>
              <w:rPr>
                <w:color w:val="000000"/>
                <w:sz w:val="20"/>
                <w:szCs w:val="20"/>
              </w:rPr>
              <w:t> </w:t>
            </w:r>
          </w:p>
        </w:tc>
        <w:tc>
          <w:tcPr>
            <w:tcW w:w="74" w:type="dxa"/>
            <w:tcMar>
              <w:top w:w="5" w:type="dxa"/>
              <w:left w:w="5" w:type="dxa"/>
              <w:bottom w:w="5" w:type="dxa"/>
              <w:right w:w="5" w:type="dxa"/>
            </w:tcMar>
            <w:vAlign w:val="bottom"/>
            <w:hideMark/>
          </w:tcPr>
          <w:p w14:paraId="20CFEBD9" w14:textId="77777777" w:rsidR="00954279" w:rsidRDefault="00A66714">
            <w:pPr>
              <w:rPr>
                <w:color w:val="000000"/>
                <w:sz w:val="20"/>
                <w:szCs w:val="20"/>
              </w:rPr>
            </w:pPr>
            <w:r>
              <w:rPr>
                <w:color w:val="000000"/>
                <w:sz w:val="20"/>
                <w:szCs w:val="20"/>
              </w:rPr>
              <w:t> </w:t>
            </w:r>
          </w:p>
        </w:tc>
        <w:tc>
          <w:tcPr>
            <w:tcW w:w="716" w:type="dxa"/>
            <w:tcMar>
              <w:top w:w="5" w:type="dxa"/>
              <w:left w:w="5" w:type="dxa"/>
              <w:bottom w:w="5" w:type="dxa"/>
              <w:right w:w="5" w:type="dxa"/>
            </w:tcMar>
            <w:vAlign w:val="bottom"/>
            <w:hideMark/>
          </w:tcPr>
          <w:p w14:paraId="6397AA30" w14:textId="77777777" w:rsidR="00954279" w:rsidRDefault="00A66714">
            <w:pPr>
              <w:jc w:val="center"/>
              <w:rPr>
                <w:color w:val="000000"/>
                <w:sz w:val="20"/>
                <w:szCs w:val="20"/>
              </w:rPr>
            </w:pPr>
            <w:r>
              <w:rPr>
                <w:color w:val="000000"/>
                <w:sz w:val="20"/>
                <w:szCs w:val="20"/>
              </w:rPr>
              <w:t> </w:t>
            </w:r>
          </w:p>
        </w:tc>
        <w:tc>
          <w:tcPr>
            <w:tcW w:w="77" w:type="dxa"/>
            <w:tcMar>
              <w:top w:w="5" w:type="dxa"/>
              <w:left w:w="5" w:type="dxa"/>
              <w:bottom w:w="5" w:type="dxa"/>
              <w:right w:w="5" w:type="dxa"/>
            </w:tcMar>
            <w:vAlign w:val="bottom"/>
            <w:hideMark/>
          </w:tcPr>
          <w:p w14:paraId="4C68E2C8" w14:textId="77777777" w:rsidR="00954279" w:rsidRDefault="00A66714">
            <w:pPr>
              <w:rPr>
                <w:color w:val="000000"/>
                <w:sz w:val="20"/>
                <w:szCs w:val="20"/>
              </w:rPr>
            </w:pPr>
            <w:r>
              <w:rPr>
                <w:b/>
                <w:bCs/>
                <w:color w:val="000000"/>
                <w:sz w:val="20"/>
                <w:szCs w:val="20"/>
              </w:rPr>
              <w:t> </w:t>
            </w:r>
          </w:p>
        </w:tc>
        <w:tc>
          <w:tcPr>
            <w:tcW w:w="65" w:type="dxa"/>
            <w:tcMar>
              <w:top w:w="5" w:type="dxa"/>
              <w:left w:w="5" w:type="dxa"/>
              <w:bottom w:w="5" w:type="dxa"/>
              <w:right w:w="5" w:type="dxa"/>
            </w:tcMar>
            <w:vAlign w:val="bottom"/>
            <w:hideMark/>
          </w:tcPr>
          <w:p w14:paraId="6ED0E959" w14:textId="77777777" w:rsidR="00954279" w:rsidRDefault="00A66714">
            <w:pPr>
              <w:rPr>
                <w:color w:val="000000"/>
                <w:sz w:val="20"/>
                <w:szCs w:val="20"/>
              </w:rPr>
            </w:pPr>
            <w:r>
              <w:rPr>
                <w:color w:val="000000"/>
                <w:sz w:val="20"/>
                <w:szCs w:val="20"/>
              </w:rPr>
              <w:t> </w:t>
            </w:r>
          </w:p>
        </w:tc>
        <w:tc>
          <w:tcPr>
            <w:tcW w:w="111" w:type="dxa"/>
            <w:tcMar>
              <w:top w:w="5" w:type="dxa"/>
              <w:left w:w="5" w:type="dxa"/>
              <w:bottom w:w="5" w:type="dxa"/>
              <w:right w:w="5" w:type="dxa"/>
            </w:tcMar>
            <w:vAlign w:val="bottom"/>
            <w:hideMark/>
          </w:tcPr>
          <w:p w14:paraId="5F94DB3D" w14:textId="77777777" w:rsidR="00954279" w:rsidRDefault="00A66714">
            <w:pPr>
              <w:rPr>
                <w:color w:val="000000"/>
                <w:sz w:val="20"/>
                <w:szCs w:val="20"/>
              </w:rPr>
            </w:pPr>
            <w:r>
              <w:rPr>
                <w:color w:val="000000"/>
                <w:sz w:val="20"/>
                <w:szCs w:val="20"/>
              </w:rPr>
              <w:t> </w:t>
            </w:r>
          </w:p>
        </w:tc>
        <w:tc>
          <w:tcPr>
            <w:tcW w:w="719" w:type="dxa"/>
            <w:tcMar>
              <w:top w:w="5" w:type="dxa"/>
              <w:left w:w="5" w:type="dxa"/>
              <w:bottom w:w="5" w:type="dxa"/>
              <w:right w:w="5" w:type="dxa"/>
            </w:tcMar>
            <w:vAlign w:val="bottom"/>
            <w:hideMark/>
          </w:tcPr>
          <w:p w14:paraId="6CABA02E" w14:textId="77777777" w:rsidR="00954279" w:rsidRDefault="00A66714">
            <w:pPr>
              <w:jc w:val="center"/>
              <w:rPr>
                <w:color w:val="000000"/>
                <w:sz w:val="20"/>
                <w:szCs w:val="20"/>
              </w:rPr>
            </w:pPr>
            <w:r>
              <w:rPr>
                <w:color w:val="000000"/>
                <w:sz w:val="20"/>
                <w:szCs w:val="20"/>
              </w:rPr>
              <w:t> </w:t>
            </w:r>
          </w:p>
        </w:tc>
        <w:tc>
          <w:tcPr>
            <w:tcW w:w="77" w:type="dxa"/>
            <w:tcMar>
              <w:top w:w="5" w:type="dxa"/>
              <w:left w:w="5" w:type="dxa"/>
              <w:bottom w:w="5" w:type="dxa"/>
              <w:right w:w="5" w:type="dxa"/>
            </w:tcMar>
            <w:vAlign w:val="bottom"/>
            <w:hideMark/>
          </w:tcPr>
          <w:p w14:paraId="0F2CE991" w14:textId="77777777" w:rsidR="00954279" w:rsidRDefault="00A66714">
            <w:pPr>
              <w:rPr>
                <w:color w:val="000000"/>
                <w:sz w:val="20"/>
                <w:szCs w:val="20"/>
              </w:rPr>
            </w:pPr>
            <w:r>
              <w:rPr>
                <w:b/>
                <w:bCs/>
                <w:color w:val="000000"/>
                <w:sz w:val="20"/>
                <w:szCs w:val="20"/>
              </w:rPr>
              <w:t> </w:t>
            </w:r>
          </w:p>
        </w:tc>
        <w:tc>
          <w:tcPr>
            <w:tcW w:w="65" w:type="dxa"/>
            <w:tcMar>
              <w:top w:w="5" w:type="dxa"/>
              <w:left w:w="5" w:type="dxa"/>
              <w:bottom w:w="5" w:type="dxa"/>
              <w:right w:w="5" w:type="dxa"/>
            </w:tcMar>
            <w:vAlign w:val="bottom"/>
            <w:hideMark/>
          </w:tcPr>
          <w:p w14:paraId="49092609" w14:textId="77777777" w:rsidR="00954279" w:rsidRDefault="00A66714">
            <w:pPr>
              <w:rPr>
                <w:color w:val="000000"/>
                <w:sz w:val="20"/>
                <w:szCs w:val="20"/>
              </w:rPr>
            </w:pPr>
            <w:r>
              <w:rPr>
                <w:color w:val="000000"/>
                <w:sz w:val="20"/>
                <w:szCs w:val="20"/>
              </w:rPr>
              <w:t> </w:t>
            </w:r>
          </w:p>
        </w:tc>
        <w:tc>
          <w:tcPr>
            <w:tcW w:w="1344" w:type="dxa"/>
            <w:gridSpan w:val="2"/>
            <w:tcMar>
              <w:top w:w="5" w:type="dxa"/>
              <w:left w:w="5" w:type="dxa"/>
              <w:bottom w:w="5" w:type="dxa"/>
              <w:right w:w="5" w:type="dxa"/>
            </w:tcMar>
            <w:vAlign w:val="bottom"/>
            <w:hideMark/>
          </w:tcPr>
          <w:p w14:paraId="7F04F03F" w14:textId="77777777" w:rsidR="00954279" w:rsidRDefault="00A66714">
            <w:pPr>
              <w:jc w:val="center"/>
              <w:rPr>
                <w:color w:val="000000"/>
                <w:sz w:val="20"/>
                <w:szCs w:val="20"/>
              </w:rPr>
            </w:pPr>
            <w:r>
              <w:rPr>
                <w:b/>
                <w:bCs/>
                <w:color w:val="000000"/>
                <w:sz w:val="20"/>
                <w:szCs w:val="20"/>
              </w:rPr>
              <w:t>Other</w:t>
            </w:r>
          </w:p>
        </w:tc>
        <w:tc>
          <w:tcPr>
            <w:tcW w:w="77" w:type="dxa"/>
            <w:tcMar>
              <w:top w:w="5" w:type="dxa"/>
              <w:left w:w="5" w:type="dxa"/>
              <w:bottom w:w="5" w:type="dxa"/>
              <w:right w:w="5" w:type="dxa"/>
            </w:tcMar>
            <w:vAlign w:val="bottom"/>
            <w:hideMark/>
          </w:tcPr>
          <w:p w14:paraId="7B819DF0" w14:textId="77777777" w:rsidR="00954279" w:rsidRDefault="00A66714">
            <w:pPr>
              <w:rPr>
                <w:color w:val="000000"/>
                <w:sz w:val="20"/>
                <w:szCs w:val="20"/>
              </w:rPr>
            </w:pPr>
            <w:r>
              <w:rPr>
                <w:color w:val="000000"/>
                <w:sz w:val="20"/>
                <w:szCs w:val="20"/>
              </w:rPr>
              <w:t> </w:t>
            </w:r>
          </w:p>
        </w:tc>
        <w:tc>
          <w:tcPr>
            <w:tcW w:w="65" w:type="dxa"/>
            <w:tcMar>
              <w:top w:w="5" w:type="dxa"/>
              <w:left w:w="5" w:type="dxa"/>
              <w:bottom w:w="5" w:type="dxa"/>
              <w:right w:w="5" w:type="dxa"/>
            </w:tcMar>
            <w:vAlign w:val="bottom"/>
            <w:hideMark/>
          </w:tcPr>
          <w:p w14:paraId="36950689" w14:textId="77777777" w:rsidR="00954279" w:rsidRDefault="00A66714">
            <w:pPr>
              <w:rPr>
                <w:color w:val="000000"/>
                <w:sz w:val="20"/>
                <w:szCs w:val="20"/>
              </w:rPr>
            </w:pPr>
            <w:r>
              <w:rPr>
                <w:color w:val="000000"/>
                <w:sz w:val="20"/>
                <w:szCs w:val="20"/>
              </w:rPr>
              <w:t> </w:t>
            </w:r>
          </w:p>
        </w:tc>
        <w:tc>
          <w:tcPr>
            <w:tcW w:w="1177" w:type="dxa"/>
            <w:gridSpan w:val="2"/>
            <w:tcMar>
              <w:top w:w="5" w:type="dxa"/>
              <w:left w:w="5" w:type="dxa"/>
              <w:bottom w:w="5" w:type="dxa"/>
              <w:right w:w="5" w:type="dxa"/>
            </w:tcMar>
            <w:vAlign w:val="bottom"/>
            <w:hideMark/>
          </w:tcPr>
          <w:p w14:paraId="0E288379" w14:textId="77777777" w:rsidR="00954279" w:rsidRDefault="00A66714">
            <w:pPr>
              <w:jc w:val="center"/>
              <w:rPr>
                <w:color w:val="000000"/>
                <w:sz w:val="20"/>
                <w:szCs w:val="20"/>
              </w:rPr>
            </w:pPr>
            <w:r>
              <w:rPr>
                <w:b/>
                <w:bCs/>
                <w:color w:val="000000"/>
                <w:sz w:val="20"/>
                <w:szCs w:val="20"/>
              </w:rPr>
              <w:t>Total</w:t>
            </w:r>
          </w:p>
        </w:tc>
        <w:tc>
          <w:tcPr>
            <w:tcW w:w="77" w:type="dxa"/>
            <w:tcMar>
              <w:top w:w="5" w:type="dxa"/>
              <w:left w:w="5" w:type="dxa"/>
              <w:bottom w:w="5" w:type="dxa"/>
              <w:right w:w="5" w:type="dxa"/>
            </w:tcMar>
            <w:vAlign w:val="bottom"/>
            <w:hideMark/>
          </w:tcPr>
          <w:p w14:paraId="43487A4B" w14:textId="77777777" w:rsidR="00954279" w:rsidRDefault="00A66714">
            <w:pPr>
              <w:rPr>
                <w:color w:val="000000"/>
                <w:sz w:val="20"/>
                <w:szCs w:val="20"/>
              </w:rPr>
            </w:pPr>
            <w:r>
              <w:rPr>
                <w:color w:val="000000"/>
                <w:sz w:val="20"/>
                <w:szCs w:val="20"/>
              </w:rPr>
              <w:t> </w:t>
            </w:r>
          </w:p>
        </w:tc>
      </w:tr>
      <w:tr w:rsidR="00954279" w14:paraId="69337EDB" w14:textId="77777777" w:rsidTr="00717712">
        <w:tc>
          <w:tcPr>
            <w:tcW w:w="2678" w:type="dxa"/>
            <w:tcMar>
              <w:top w:w="5" w:type="dxa"/>
              <w:left w:w="5" w:type="dxa"/>
              <w:bottom w:w="5" w:type="dxa"/>
              <w:right w:w="5" w:type="dxa"/>
            </w:tcMar>
            <w:vAlign w:val="bottom"/>
            <w:hideMark/>
          </w:tcPr>
          <w:p w14:paraId="647328CC" w14:textId="77777777" w:rsidR="00954279" w:rsidRDefault="00A66714">
            <w:pPr>
              <w:rPr>
                <w:color w:val="000000"/>
                <w:sz w:val="20"/>
                <w:szCs w:val="20"/>
              </w:rPr>
            </w:pPr>
            <w:r>
              <w:rPr>
                <w:color w:val="000000"/>
                <w:sz w:val="20"/>
                <w:szCs w:val="20"/>
              </w:rPr>
              <w:t> </w:t>
            </w:r>
          </w:p>
        </w:tc>
        <w:tc>
          <w:tcPr>
            <w:tcW w:w="60" w:type="dxa"/>
            <w:tcMar>
              <w:top w:w="5" w:type="dxa"/>
              <w:left w:w="5" w:type="dxa"/>
              <w:bottom w:w="5" w:type="dxa"/>
              <w:right w:w="5" w:type="dxa"/>
            </w:tcMar>
            <w:vAlign w:val="bottom"/>
            <w:hideMark/>
          </w:tcPr>
          <w:p w14:paraId="30F10748" w14:textId="77777777" w:rsidR="00954279" w:rsidRDefault="00A66714">
            <w:pPr>
              <w:rPr>
                <w:color w:val="000000"/>
                <w:sz w:val="20"/>
                <w:szCs w:val="20"/>
              </w:rPr>
            </w:pPr>
            <w:r>
              <w:rPr>
                <w:color w:val="000000"/>
                <w:sz w:val="20"/>
                <w:szCs w:val="20"/>
              </w:rPr>
              <w:t> </w:t>
            </w:r>
          </w:p>
        </w:tc>
        <w:tc>
          <w:tcPr>
            <w:tcW w:w="1753" w:type="dxa"/>
            <w:gridSpan w:val="6"/>
            <w:tcBorders>
              <w:bottom w:val="single" w:sz="12" w:space="0" w:color="000000"/>
            </w:tcBorders>
            <w:tcMar>
              <w:top w:w="5" w:type="dxa"/>
              <w:left w:w="5" w:type="dxa"/>
              <w:bottom w:w="15" w:type="dxa"/>
              <w:right w:w="5" w:type="dxa"/>
            </w:tcMar>
            <w:vAlign w:val="bottom"/>
            <w:hideMark/>
          </w:tcPr>
          <w:p w14:paraId="29B12196" w14:textId="77777777" w:rsidR="00954279" w:rsidRDefault="00A66714">
            <w:pPr>
              <w:jc w:val="center"/>
              <w:rPr>
                <w:color w:val="000000"/>
                <w:sz w:val="20"/>
                <w:szCs w:val="20"/>
              </w:rPr>
            </w:pPr>
            <w:r>
              <w:rPr>
                <w:b/>
                <w:bCs/>
                <w:color w:val="000000"/>
                <w:sz w:val="20"/>
                <w:szCs w:val="20"/>
              </w:rPr>
              <w:t>Common Stock</w:t>
            </w:r>
          </w:p>
        </w:tc>
        <w:tc>
          <w:tcPr>
            <w:tcW w:w="69" w:type="dxa"/>
            <w:tcMar>
              <w:top w:w="5" w:type="dxa"/>
              <w:left w:w="5" w:type="dxa"/>
              <w:bottom w:w="5" w:type="dxa"/>
              <w:right w:w="5" w:type="dxa"/>
            </w:tcMar>
            <w:vAlign w:val="bottom"/>
            <w:hideMark/>
          </w:tcPr>
          <w:p w14:paraId="0B623576" w14:textId="77777777" w:rsidR="00954279" w:rsidRDefault="00A66714">
            <w:pPr>
              <w:rPr>
                <w:color w:val="000000"/>
                <w:sz w:val="20"/>
                <w:szCs w:val="20"/>
              </w:rPr>
            </w:pPr>
            <w:r>
              <w:rPr>
                <w:color w:val="000000"/>
                <w:sz w:val="20"/>
                <w:szCs w:val="20"/>
              </w:rPr>
              <w:t> </w:t>
            </w:r>
          </w:p>
        </w:tc>
        <w:tc>
          <w:tcPr>
            <w:tcW w:w="70" w:type="dxa"/>
            <w:tcMar>
              <w:top w:w="5" w:type="dxa"/>
              <w:left w:w="5" w:type="dxa"/>
              <w:bottom w:w="5" w:type="dxa"/>
              <w:right w:w="5" w:type="dxa"/>
            </w:tcMar>
            <w:vAlign w:val="bottom"/>
            <w:hideMark/>
          </w:tcPr>
          <w:p w14:paraId="51A9ABA9" w14:textId="77777777" w:rsidR="00954279" w:rsidRDefault="00A66714">
            <w:pPr>
              <w:rPr>
                <w:color w:val="000000"/>
                <w:sz w:val="20"/>
                <w:szCs w:val="20"/>
              </w:rPr>
            </w:pPr>
            <w:r>
              <w:rPr>
                <w:color w:val="000000"/>
                <w:sz w:val="20"/>
                <w:szCs w:val="20"/>
              </w:rPr>
              <w:t> </w:t>
            </w:r>
          </w:p>
        </w:tc>
        <w:tc>
          <w:tcPr>
            <w:tcW w:w="922" w:type="dxa"/>
            <w:gridSpan w:val="2"/>
            <w:tcMar>
              <w:top w:w="5" w:type="dxa"/>
              <w:left w:w="5" w:type="dxa"/>
              <w:bottom w:w="5" w:type="dxa"/>
              <w:right w:w="5" w:type="dxa"/>
            </w:tcMar>
            <w:vAlign w:val="bottom"/>
            <w:hideMark/>
          </w:tcPr>
          <w:p w14:paraId="752B4A48" w14:textId="77777777" w:rsidR="00954279" w:rsidRDefault="00A66714">
            <w:pPr>
              <w:jc w:val="center"/>
              <w:rPr>
                <w:color w:val="000000"/>
                <w:sz w:val="20"/>
                <w:szCs w:val="20"/>
              </w:rPr>
            </w:pPr>
            <w:r>
              <w:rPr>
                <w:b/>
                <w:bCs/>
                <w:color w:val="000000"/>
                <w:sz w:val="20"/>
                <w:szCs w:val="20"/>
              </w:rPr>
              <w:t>Paid-in</w:t>
            </w:r>
          </w:p>
        </w:tc>
        <w:tc>
          <w:tcPr>
            <w:tcW w:w="77" w:type="dxa"/>
            <w:tcMar>
              <w:top w:w="5" w:type="dxa"/>
              <w:left w:w="5" w:type="dxa"/>
              <w:bottom w:w="5" w:type="dxa"/>
              <w:right w:w="5" w:type="dxa"/>
            </w:tcMar>
            <w:vAlign w:val="bottom"/>
            <w:hideMark/>
          </w:tcPr>
          <w:p w14:paraId="18CDAED5" w14:textId="77777777" w:rsidR="00954279" w:rsidRDefault="00A66714">
            <w:pPr>
              <w:rPr>
                <w:color w:val="000000"/>
                <w:sz w:val="20"/>
                <w:szCs w:val="20"/>
              </w:rPr>
            </w:pPr>
            <w:r>
              <w:rPr>
                <w:color w:val="000000"/>
                <w:sz w:val="20"/>
                <w:szCs w:val="20"/>
              </w:rPr>
              <w:t> </w:t>
            </w:r>
          </w:p>
        </w:tc>
        <w:tc>
          <w:tcPr>
            <w:tcW w:w="64" w:type="dxa"/>
            <w:tcMar>
              <w:top w:w="5" w:type="dxa"/>
              <w:left w:w="5" w:type="dxa"/>
              <w:bottom w:w="5" w:type="dxa"/>
              <w:right w:w="5" w:type="dxa"/>
            </w:tcMar>
            <w:vAlign w:val="bottom"/>
            <w:hideMark/>
          </w:tcPr>
          <w:p w14:paraId="25B8F2D4" w14:textId="77777777" w:rsidR="00954279" w:rsidRDefault="00A66714">
            <w:pPr>
              <w:rPr>
                <w:color w:val="000000"/>
                <w:sz w:val="20"/>
                <w:szCs w:val="20"/>
              </w:rPr>
            </w:pPr>
            <w:r>
              <w:rPr>
                <w:color w:val="000000"/>
                <w:sz w:val="20"/>
                <w:szCs w:val="20"/>
              </w:rPr>
              <w:t> </w:t>
            </w:r>
          </w:p>
        </w:tc>
        <w:tc>
          <w:tcPr>
            <w:tcW w:w="830" w:type="dxa"/>
            <w:gridSpan w:val="2"/>
            <w:tcMar>
              <w:top w:w="5" w:type="dxa"/>
              <w:left w:w="5" w:type="dxa"/>
              <w:bottom w:w="5" w:type="dxa"/>
              <w:right w:w="5" w:type="dxa"/>
            </w:tcMar>
            <w:vAlign w:val="bottom"/>
            <w:hideMark/>
          </w:tcPr>
          <w:p w14:paraId="43487380" w14:textId="77777777" w:rsidR="00954279" w:rsidRDefault="00A66714">
            <w:pPr>
              <w:jc w:val="center"/>
              <w:rPr>
                <w:color w:val="000000"/>
                <w:sz w:val="20"/>
                <w:szCs w:val="20"/>
              </w:rPr>
            </w:pPr>
            <w:r>
              <w:rPr>
                <w:b/>
                <w:bCs/>
                <w:color w:val="000000"/>
                <w:sz w:val="20"/>
                <w:szCs w:val="20"/>
              </w:rPr>
              <w:t>Retained</w:t>
            </w:r>
          </w:p>
        </w:tc>
        <w:tc>
          <w:tcPr>
            <w:tcW w:w="77" w:type="dxa"/>
            <w:tcMar>
              <w:top w:w="5" w:type="dxa"/>
              <w:left w:w="5" w:type="dxa"/>
              <w:bottom w:w="5" w:type="dxa"/>
              <w:right w:w="5" w:type="dxa"/>
            </w:tcMar>
            <w:vAlign w:val="bottom"/>
            <w:hideMark/>
          </w:tcPr>
          <w:p w14:paraId="4D83D016" w14:textId="77777777" w:rsidR="00954279" w:rsidRDefault="00A66714">
            <w:pPr>
              <w:rPr>
                <w:color w:val="000000"/>
                <w:sz w:val="20"/>
                <w:szCs w:val="20"/>
              </w:rPr>
            </w:pPr>
            <w:r>
              <w:rPr>
                <w:color w:val="000000"/>
                <w:sz w:val="20"/>
                <w:szCs w:val="20"/>
              </w:rPr>
              <w:t> </w:t>
            </w:r>
          </w:p>
        </w:tc>
        <w:tc>
          <w:tcPr>
            <w:tcW w:w="65" w:type="dxa"/>
            <w:tcMar>
              <w:top w:w="5" w:type="dxa"/>
              <w:left w:w="5" w:type="dxa"/>
              <w:bottom w:w="5" w:type="dxa"/>
              <w:right w:w="5" w:type="dxa"/>
            </w:tcMar>
            <w:vAlign w:val="bottom"/>
            <w:hideMark/>
          </w:tcPr>
          <w:p w14:paraId="54D2CCFC" w14:textId="77777777" w:rsidR="00954279" w:rsidRDefault="00A66714">
            <w:pPr>
              <w:rPr>
                <w:color w:val="000000"/>
                <w:sz w:val="20"/>
                <w:szCs w:val="20"/>
              </w:rPr>
            </w:pPr>
            <w:r>
              <w:rPr>
                <w:color w:val="000000"/>
                <w:sz w:val="20"/>
                <w:szCs w:val="20"/>
              </w:rPr>
              <w:t> </w:t>
            </w:r>
          </w:p>
        </w:tc>
        <w:tc>
          <w:tcPr>
            <w:tcW w:w="1762" w:type="dxa"/>
            <w:gridSpan w:val="6"/>
            <w:tcBorders>
              <w:bottom w:val="single" w:sz="12" w:space="0" w:color="000000"/>
            </w:tcBorders>
            <w:tcMar>
              <w:top w:w="5" w:type="dxa"/>
              <w:left w:w="5" w:type="dxa"/>
              <w:bottom w:w="15" w:type="dxa"/>
              <w:right w:w="5" w:type="dxa"/>
            </w:tcMar>
            <w:vAlign w:val="bottom"/>
            <w:hideMark/>
          </w:tcPr>
          <w:p w14:paraId="360EB617" w14:textId="77777777" w:rsidR="00954279" w:rsidRDefault="00A66714">
            <w:pPr>
              <w:jc w:val="center"/>
              <w:rPr>
                <w:color w:val="000000"/>
                <w:sz w:val="20"/>
                <w:szCs w:val="20"/>
              </w:rPr>
            </w:pPr>
            <w:r>
              <w:rPr>
                <w:b/>
                <w:bCs/>
                <w:color w:val="000000"/>
                <w:sz w:val="20"/>
                <w:szCs w:val="20"/>
              </w:rPr>
              <w:t>Treasury Stock</w:t>
            </w:r>
          </w:p>
        </w:tc>
        <w:tc>
          <w:tcPr>
            <w:tcW w:w="77" w:type="dxa"/>
            <w:tcMar>
              <w:top w:w="5" w:type="dxa"/>
              <w:left w:w="5" w:type="dxa"/>
              <w:bottom w:w="5" w:type="dxa"/>
              <w:right w:w="5" w:type="dxa"/>
            </w:tcMar>
            <w:vAlign w:val="bottom"/>
            <w:hideMark/>
          </w:tcPr>
          <w:p w14:paraId="6D6C6253" w14:textId="77777777" w:rsidR="00954279" w:rsidRDefault="00A66714">
            <w:pPr>
              <w:rPr>
                <w:color w:val="000000"/>
                <w:sz w:val="20"/>
                <w:szCs w:val="20"/>
              </w:rPr>
            </w:pPr>
            <w:r>
              <w:rPr>
                <w:color w:val="000000"/>
                <w:sz w:val="20"/>
                <w:szCs w:val="20"/>
              </w:rPr>
              <w:t> </w:t>
            </w:r>
          </w:p>
        </w:tc>
        <w:tc>
          <w:tcPr>
            <w:tcW w:w="65" w:type="dxa"/>
            <w:tcMar>
              <w:top w:w="5" w:type="dxa"/>
              <w:left w:w="5" w:type="dxa"/>
              <w:bottom w:w="5" w:type="dxa"/>
              <w:right w:w="5" w:type="dxa"/>
            </w:tcMar>
            <w:vAlign w:val="bottom"/>
            <w:hideMark/>
          </w:tcPr>
          <w:p w14:paraId="7204FF6A" w14:textId="77777777" w:rsidR="00954279" w:rsidRDefault="00A66714">
            <w:pPr>
              <w:rPr>
                <w:color w:val="000000"/>
                <w:sz w:val="20"/>
                <w:szCs w:val="20"/>
              </w:rPr>
            </w:pPr>
            <w:r>
              <w:rPr>
                <w:color w:val="000000"/>
                <w:sz w:val="20"/>
                <w:szCs w:val="20"/>
              </w:rPr>
              <w:t> </w:t>
            </w:r>
          </w:p>
        </w:tc>
        <w:tc>
          <w:tcPr>
            <w:tcW w:w="1344" w:type="dxa"/>
            <w:gridSpan w:val="2"/>
            <w:tcMar>
              <w:top w:w="5" w:type="dxa"/>
              <w:left w:w="5" w:type="dxa"/>
              <w:bottom w:w="5" w:type="dxa"/>
              <w:right w:w="5" w:type="dxa"/>
            </w:tcMar>
            <w:vAlign w:val="bottom"/>
            <w:hideMark/>
          </w:tcPr>
          <w:p w14:paraId="44C769B0" w14:textId="77777777" w:rsidR="00954279" w:rsidRDefault="00A66714">
            <w:pPr>
              <w:jc w:val="center"/>
              <w:rPr>
                <w:color w:val="000000"/>
                <w:sz w:val="20"/>
                <w:szCs w:val="20"/>
              </w:rPr>
            </w:pPr>
            <w:r>
              <w:rPr>
                <w:b/>
                <w:bCs/>
                <w:color w:val="000000"/>
                <w:sz w:val="20"/>
                <w:szCs w:val="20"/>
              </w:rPr>
              <w:t>Comprehensive</w:t>
            </w:r>
          </w:p>
        </w:tc>
        <w:tc>
          <w:tcPr>
            <w:tcW w:w="77" w:type="dxa"/>
            <w:tcMar>
              <w:top w:w="5" w:type="dxa"/>
              <w:left w:w="5" w:type="dxa"/>
              <w:bottom w:w="5" w:type="dxa"/>
              <w:right w:w="5" w:type="dxa"/>
            </w:tcMar>
            <w:vAlign w:val="bottom"/>
            <w:hideMark/>
          </w:tcPr>
          <w:p w14:paraId="312E593C" w14:textId="77777777" w:rsidR="00954279" w:rsidRDefault="00A66714">
            <w:pPr>
              <w:rPr>
                <w:color w:val="000000"/>
                <w:sz w:val="20"/>
                <w:szCs w:val="20"/>
              </w:rPr>
            </w:pPr>
            <w:r>
              <w:rPr>
                <w:color w:val="000000"/>
                <w:sz w:val="20"/>
                <w:szCs w:val="20"/>
              </w:rPr>
              <w:t> </w:t>
            </w:r>
          </w:p>
        </w:tc>
        <w:tc>
          <w:tcPr>
            <w:tcW w:w="65" w:type="dxa"/>
            <w:tcMar>
              <w:top w:w="5" w:type="dxa"/>
              <w:left w:w="5" w:type="dxa"/>
              <w:bottom w:w="5" w:type="dxa"/>
              <w:right w:w="5" w:type="dxa"/>
            </w:tcMar>
            <w:vAlign w:val="bottom"/>
            <w:hideMark/>
          </w:tcPr>
          <w:p w14:paraId="5A221389" w14:textId="77777777" w:rsidR="00954279" w:rsidRDefault="00A66714">
            <w:pPr>
              <w:rPr>
                <w:color w:val="000000"/>
                <w:sz w:val="20"/>
                <w:szCs w:val="20"/>
              </w:rPr>
            </w:pPr>
            <w:r>
              <w:rPr>
                <w:color w:val="000000"/>
                <w:sz w:val="20"/>
                <w:szCs w:val="20"/>
              </w:rPr>
              <w:t> </w:t>
            </w:r>
          </w:p>
        </w:tc>
        <w:tc>
          <w:tcPr>
            <w:tcW w:w="1177" w:type="dxa"/>
            <w:gridSpan w:val="2"/>
            <w:tcMar>
              <w:top w:w="5" w:type="dxa"/>
              <w:left w:w="5" w:type="dxa"/>
              <w:bottom w:w="5" w:type="dxa"/>
              <w:right w:w="5" w:type="dxa"/>
            </w:tcMar>
            <w:vAlign w:val="bottom"/>
            <w:hideMark/>
          </w:tcPr>
          <w:p w14:paraId="68544635" w14:textId="77777777" w:rsidR="00954279" w:rsidRDefault="00A66714">
            <w:pPr>
              <w:jc w:val="center"/>
              <w:rPr>
                <w:color w:val="000000"/>
                <w:sz w:val="20"/>
                <w:szCs w:val="20"/>
              </w:rPr>
            </w:pPr>
            <w:r>
              <w:rPr>
                <w:b/>
                <w:bCs/>
                <w:color w:val="000000"/>
                <w:sz w:val="20"/>
                <w:szCs w:val="20"/>
              </w:rPr>
              <w:t>Stockholders'</w:t>
            </w:r>
          </w:p>
        </w:tc>
        <w:tc>
          <w:tcPr>
            <w:tcW w:w="77" w:type="dxa"/>
            <w:tcMar>
              <w:top w:w="5" w:type="dxa"/>
              <w:left w:w="5" w:type="dxa"/>
              <w:bottom w:w="5" w:type="dxa"/>
              <w:right w:w="5" w:type="dxa"/>
            </w:tcMar>
            <w:vAlign w:val="bottom"/>
            <w:hideMark/>
          </w:tcPr>
          <w:p w14:paraId="04165E7C" w14:textId="77777777" w:rsidR="00954279" w:rsidRDefault="00A66714">
            <w:pPr>
              <w:rPr>
                <w:color w:val="000000"/>
                <w:sz w:val="20"/>
                <w:szCs w:val="20"/>
              </w:rPr>
            </w:pPr>
            <w:r>
              <w:rPr>
                <w:color w:val="000000"/>
                <w:sz w:val="20"/>
                <w:szCs w:val="20"/>
              </w:rPr>
              <w:t> </w:t>
            </w:r>
          </w:p>
        </w:tc>
      </w:tr>
      <w:tr w:rsidR="00954279" w14:paraId="78CA42EC" w14:textId="77777777" w:rsidTr="00717712">
        <w:tc>
          <w:tcPr>
            <w:tcW w:w="2678" w:type="dxa"/>
            <w:tcMar>
              <w:top w:w="5" w:type="dxa"/>
              <w:left w:w="5" w:type="dxa"/>
              <w:bottom w:w="5" w:type="dxa"/>
              <w:right w:w="5" w:type="dxa"/>
            </w:tcMar>
            <w:vAlign w:val="bottom"/>
            <w:hideMark/>
          </w:tcPr>
          <w:p w14:paraId="77968028" w14:textId="77777777" w:rsidR="00954279" w:rsidRDefault="00A66714">
            <w:pPr>
              <w:rPr>
                <w:color w:val="000000"/>
                <w:sz w:val="20"/>
                <w:szCs w:val="20"/>
              </w:rPr>
            </w:pPr>
            <w:r>
              <w:rPr>
                <w:color w:val="000000"/>
                <w:sz w:val="20"/>
                <w:szCs w:val="20"/>
              </w:rPr>
              <w:t> </w:t>
            </w:r>
          </w:p>
        </w:tc>
        <w:tc>
          <w:tcPr>
            <w:tcW w:w="60" w:type="dxa"/>
            <w:tcMar>
              <w:top w:w="5" w:type="dxa"/>
              <w:left w:w="5" w:type="dxa"/>
              <w:bottom w:w="5" w:type="dxa"/>
              <w:right w:w="5" w:type="dxa"/>
            </w:tcMar>
            <w:vAlign w:val="bottom"/>
            <w:hideMark/>
          </w:tcPr>
          <w:p w14:paraId="63BF6E3F" w14:textId="77777777" w:rsidR="00954279" w:rsidRDefault="00A66714">
            <w:pPr>
              <w:rPr>
                <w:color w:val="000000"/>
                <w:sz w:val="20"/>
                <w:szCs w:val="20"/>
              </w:rPr>
            </w:pPr>
            <w:r>
              <w:rPr>
                <w:color w:val="000000"/>
                <w:sz w:val="20"/>
                <w:szCs w:val="20"/>
              </w:rPr>
              <w:t> </w:t>
            </w:r>
          </w:p>
        </w:tc>
        <w:tc>
          <w:tcPr>
            <w:tcW w:w="787" w:type="dxa"/>
            <w:gridSpan w:val="2"/>
            <w:tcBorders>
              <w:bottom w:val="single" w:sz="6" w:space="0" w:color="000000"/>
            </w:tcBorders>
            <w:tcMar>
              <w:top w:w="5" w:type="dxa"/>
              <w:left w:w="5" w:type="dxa"/>
              <w:bottom w:w="8" w:type="dxa"/>
              <w:right w:w="5" w:type="dxa"/>
            </w:tcMar>
            <w:vAlign w:val="bottom"/>
            <w:hideMark/>
          </w:tcPr>
          <w:p w14:paraId="41F5607F" w14:textId="77777777" w:rsidR="00954279" w:rsidRDefault="00A66714">
            <w:pPr>
              <w:jc w:val="center"/>
              <w:rPr>
                <w:color w:val="000000"/>
                <w:sz w:val="20"/>
                <w:szCs w:val="20"/>
              </w:rPr>
            </w:pPr>
            <w:r>
              <w:rPr>
                <w:b/>
                <w:bCs/>
                <w:color w:val="000000"/>
                <w:sz w:val="20"/>
                <w:szCs w:val="20"/>
              </w:rPr>
              <w:t>Shares</w:t>
            </w:r>
          </w:p>
        </w:tc>
        <w:tc>
          <w:tcPr>
            <w:tcW w:w="69" w:type="dxa"/>
            <w:tcMar>
              <w:top w:w="5" w:type="dxa"/>
              <w:left w:w="5" w:type="dxa"/>
              <w:bottom w:w="20" w:type="dxa"/>
              <w:right w:w="5" w:type="dxa"/>
            </w:tcMar>
            <w:vAlign w:val="bottom"/>
            <w:hideMark/>
          </w:tcPr>
          <w:p w14:paraId="7D83BA68" w14:textId="77777777" w:rsidR="00954279" w:rsidRDefault="00A66714">
            <w:pPr>
              <w:rPr>
                <w:color w:val="000000"/>
                <w:sz w:val="20"/>
                <w:szCs w:val="20"/>
              </w:rPr>
            </w:pPr>
            <w:r>
              <w:rPr>
                <w:color w:val="000000"/>
                <w:sz w:val="20"/>
                <w:szCs w:val="20"/>
              </w:rPr>
              <w:t> </w:t>
            </w:r>
          </w:p>
        </w:tc>
        <w:tc>
          <w:tcPr>
            <w:tcW w:w="69" w:type="dxa"/>
            <w:tcMar>
              <w:top w:w="5" w:type="dxa"/>
              <w:left w:w="5" w:type="dxa"/>
              <w:bottom w:w="5" w:type="dxa"/>
              <w:right w:w="5" w:type="dxa"/>
            </w:tcMar>
            <w:vAlign w:val="bottom"/>
            <w:hideMark/>
          </w:tcPr>
          <w:p w14:paraId="4193128E" w14:textId="77777777" w:rsidR="00954279" w:rsidRDefault="00A66714">
            <w:pPr>
              <w:rPr>
                <w:color w:val="000000"/>
                <w:sz w:val="20"/>
                <w:szCs w:val="20"/>
              </w:rPr>
            </w:pPr>
            <w:r>
              <w:rPr>
                <w:color w:val="000000"/>
                <w:sz w:val="20"/>
                <w:szCs w:val="20"/>
              </w:rPr>
              <w:t> </w:t>
            </w:r>
          </w:p>
        </w:tc>
        <w:tc>
          <w:tcPr>
            <w:tcW w:w="828" w:type="dxa"/>
            <w:gridSpan w:val="2"/>
            <w:tcBorders>
              <w:bottom w:val="single" w:sz="6" w:space="0" w:color="000000"/>
            </w:tcBorders>
            <w:tcMar>
              <w:top w:w="5" w:type="dxa"/>
              <w:left w:w="5" w:type="dxa"/>
              <w:bottom w:w="8" w:type="dxa"/>
              <w:right w:w="5" w:type="dxa"/>
            </w:tcMar>
            <w:vAlign w:val="bottom"/>
            <w:hideMark/>
          </w:tcPr>
          <w:p w14:paraId="423BA548" w14:textId="77777777" w:rsidR="00954279" w:rsidRDefault="00A66714">
            <w:pPr>
              <w:jc w:val="center"/>
              <w:rPr>
                <w:color w:val="000000"/>
                <w:sz w:val="20"/>
                <w:szCs w:val="20"/>
              </w:rPr>
            </w:pPr>
            <w:r>
              <w:rPr>
                <w:b/>
                <w:bCs/>
                <w:color w:val="000000"/>
                <w:sz w:val="20"/>
                <w:szCs w:val="20"/>
              </w:rPr>
              <w:t>Amount</w:t>
            </w:r>
          </w:p>
        </w:tc>
        <w:tc>
          <w:tcPr>
            <w:tcW w:w="69" w:type="dxa"/>
            <w:tcMar>
              <w:top w:w="5" w:type="dxa"/>
              <w:left w:w="5" w:type="dxa"/>
              <w:bottom w:w="20" w:type="dxa"/>
              <w:right w:w="5" w:type="dxa"/>
            </w:tcMar>
            <w:vAlign w:val="bottom"/>
            <w:hideMark/>
          </w:tcPr>
          <w:p w14:paraId="054090E1" w14:textId="77777777" w:rsidR="00954279" w:rsidRDefault="00A66714">
            <w:pPr>
              <w:rPr>
                <w:color w:val="000000"/>
                <w:sz w:val="20"/>
                <w:szCs w:val="20"/>
              </w:rPr>
            </w:pPr>
            <w:r>
              <w:rPr>
                <w:color w:val="000000"/>
                <w:sz w:val="20"/>
                <w:szCs w:val="20"/>
              </w:rPr>
              <w:t> </w:t>
            </w:r>
          </w:p>
        </w:tc>
        <w:tc>
          <w:tcPr>
            <w:tcW w:w="70" w:type="dxa"/>
            <w:tcMar>
              <w:top w:w="5" w:type="dxa"/>
              <w:left w:w="5" w:type="dxa"/>
              <w:bottom w:w="5" w:type="dxa"/>
              <w:right w:w="5" w:type="dxa"/>
            </w:tcMar>
            <w:vAlign w:val="bottom"/>
            <w:hideMark/>
          </w:tcPr>
          <w:p w14:paraId="1902B36D" w14:textId="77777777" w:rsidR="00954279" w:rsidRDefault="00A66714">
            <w:pPr>
              <w:rPr>
                <w:color w:val="000000"/>
                <w:sz w:val="20"/>
                <w:szCs w:val="20"/>
              </w:rPr>
            </w:pPr>
            <w:r>
              <w:rPr>
                <w:color w:val="000000"/>
                <w:sz w:val="20"/>
                <w:szCs w:val="20"/>
              </w:rPr>
              <w:t> </w:t>
            </w:r>
          </w:p>
        </w:tc>
        <w:tc>
          <w:tcPr>
            <w:tcW w:w="922" w:type="dxa"/>
            <w:gridSpan w:val="2"/>
            <w:tcBorders>
              <w:bottom w:val="single" w:sz="6" w:space="0" w:color="000000"/>
            </w:tcBorders>
            <w:tcMar>
              <w:top w:w="5" w:type="dxa"/>
              <w:left w:w="5" w:type="dxa"/>
              <w:bottom w:w="8" w:type="dxa"/>
              <w:right w:w="5" w:type="dxa"/>
            </w:tcMar>
            <w:vAlign w:val="bottom"/>
            <w:hideMark/>
          </w:tcPr>
          <w:p w14:paraId="17AA0C1B" w14:textId="77777777" w:rsidR="00954279" w:rsidRDefault="00A66714">
            <w:pPr>
              <w:jc w:val="center"/>
              <w:rPr>
                <w:color w:val="000000"/>
                <w:sz w:val="20"/>
                <w:szCs w:val="20"/>
              </w:rPr>
            </w:pPr>
            <w:r>
              <w:rPr>
                <w:b/>
                <w:bCs/>
                <w:color w:val="000000"/>
                <w:sz w:val="20"/>
                <w:szCs w:val="20"/>
              </w:rPr>
              <w:t>Capital</w:t>
            </w:r>
          </w:p>
        </w:tc>
        <w:tc>
          <w:tcPr>
            <w:tcW w:w="77" w:type="dxa"/>
            <w:tcMar>
              <w:top w:w="5" w:type="dxa"/>
              <w:left w:w="5" w:type="dxa"/>
              <w:bottom w:w="20" w:type="dxa"/>
              <w:right w:w="5" w:type="dxa"/>
            </w:tcMar>
            <w:vAlign w:val="bottom"/>
            <w:hideMark/>
          </w:tcPr>
          <w:p w14:paraId="719F216D" w14:textId="77777777" w:rsidR="00954279" w:rsidRDefault="00A66714">
            <w:pPr>
              <w:rPr>
                <w:color w:val="000000"/>
                <w:sz w:val="20"/>
                <w:szCs w:val="20"/>
              </w:rPr>
            </w:pPr>
            <w:r>
              <w:rPr>
                <w:color w:val="000000"/>
                <w:sz w:val="20"/>
                <w:szCs w:val="20"/>
              </w:rPr>
              <w:t> </w:t>
            </w:r>
          </w:p>
        </w:tc>
        <w:tc>
          <w:tcPr>
            <w:tcW w:w="64" w:type="dxa"/>
            <w:tcMar>
              <w:top w:w="5" w:type="dxa"/>
              <w:left w:w="5" w:type="dxa"/>
              <w:bottom w:w="5" w:type="dxa"/>
              <w:right w:w="5" w:type="dxa"/>
            </w:tcMar>
            <w:vAlign w:val="bottom"/>
            <w:hideMark/>
          </w:tcPr>
          <w:p w14:paraId="00D24697" w14:textId="77777777" w:rsidR="00954279" w:rsidRDefault="00A66714">
            <w:pPr>
              <w:rPr>
                <w:color w:val="000000"/>
                <w:sz w:val="20"/>
                <w:szCs w:val="20"/>
              </w:rPr>
            </w:pPr>
            <w:r>
              <w:rPr>
                <w:color w:val="000000"/>
                <w:sz w:val="20"/>
                <w:szCs w:val="20"/>
              </w:rPr>
              <w:t> </w:t>
            </w:r>
          </w:p>
        </w:tc>
        <w:tc>
          <w:tcPr>
            <w:tcW w:w="830" w:type="dxa"/>
            <w:gridSpan w:val="2"/>
            <w:tcBorders>
              <w:bottom w:val="single" w:sz="6" w:space="0" w:color="000000"/>
            </w:tcBorders>
            <w:tcMar>
              <w:top w:w="5" w:type="dxa"/>
              <w:left w:w="5" w:type="dxa"/>
              <w:bottom w:w="8" w:type="dxa"/>
              <w:right w:w="5" w:type="dxa"/>
            </w:tcMar>
            <w:vAlign w:val="bottom"/>
            <w:hideMark/>
          </w:tcPr>
          <w:p w14:paraId="1DEAC93A" w14:textId="77777777" w:rsidR="00954279" w:rsidRDefault="00A66714">
            <w:pPr>
              <w:jc w:val="center"/>
              <w:rPr>
                <w:color w:val="000000"/>
                <w:sz w:val="20"/>
                <w:szCs w:val="20"/>
              </w:rPr>
            </w:pPr>
            <w:r>
              <w:rPr>
                <w:b/>
                <w:bCs/>
                <w:color w:val="000000"/>
                <w:sz w:val="20"/>
                <w:szCs w:val="20"/>
              </w:rPr>
              <w:t>(Deficit)</w:t>
            </w:r>
          </w:p>
        </w:tc>
        <w:tc>
          <w:tcPr>
            <w:tcW w:w="77" w:type="dxa"/>
            <w:tcMar>
              <w:top w:w="5" w:type="dxa"/>
              <w:left w:w="5" w:type="dxa"/>
              <w:bottom w:w="20" w:type="dxa"/>
              <w:right w:w="5" w:type="dxa"/>
            </w:tcMar>
            <w:vAlign w:val="bottom"/>
            <w:hideMark/>
          </w:tcPr>
          <w:p w14:paraId="53367CA7" w14:textId="77777777" w:rsidR="00954279" w:rsidRDefault="00A66714">
            <w:pPr>
              <w:rPr>
                <w:color w:val="000000"/>
                <w:sz w:val="20"/>
                <w:szCs w:val="20"/>
              </w:rPr>
            </w:pPr>
            <w:r>
              <w:rPr>
                <w:color w:val="000000"/>
                <w:sz w:val="20"/>
                <w:szCs w:val="20"/>
              </w:rPr>
              <w:t> </w:t>
            </w:r>
          </w:p>
        </w:tc>
        <w:tc>
          <w:tcPr>
            <w:tcW w:w="65" w:type="dxa"/>
            <w:tcMar>
              <w:top w:w="5" w:type="dxa"/>
              <w:left w:w="5" w:type="dxa"/>
              <w:bottom w:w="5" w:type="dxa"/>
              <w:right w:w="5" w:type="dxa"/>
            </w:tcMar>
            <w:vAlign w:val="bottom"/>
            <w:hideMark/>
          </w:tcPr>
          <w:p w14:paraId="6C58FC0D" w14:textId="77777777" w:rsidR="00954279" w:rsidRDefault="00A66714">
            <w:pPr>
              <w:rPr>
                <w:color w:val="000000"/>
                <w:sz w:val="20"/>
                <w:szCs w:val="20"/>
              </w:rPr>
            </w:pPr>
            <w:r>
              <w:rPr>
                <w:color w:val="000000"/>
                <w:sz w:val="20"/>
                <w:szCs w:val="20"/>
              </w:rPr>
              <w:t> </w:t>
            </w:r>
          </w:p>
        </w:tc>
        <w:tc>
          <w:tcPr>
            <w:tcW w:w="790" w:type="dxa"/>
            <w:gridSpan w:val="2"/>
            <w:tcBorders>
              <w:bottom w:val="single" w:sz="6" w:space="0" w:color="000000"/>
            </w:tcBorders>
            <w:tcMar>
              <w:top w:w="5" w:type="dxa"/>
              <w:left w:w="5" w:type="dxa"/>
              <w:bottom w:w="8" w:type="dxa"/>
              <w:right w:w="5" w:type="dxa"/>
            </w:tcMar>
            <w:vAlign w:val="bottom"/>
            <w:hideMark/>
          </w:tcPr>
          <w:p w14:paraId="2CCA7E1A" w14:textId="77777777" w:rsidR="00954279" w:rsidRDefault="00A66714">
            <w:pPr>
              <w:jc w:val="center"/>
              <w:rPr>
                <w:color w:val="000000"/>
                <w:sz w:val="20"/>
                <w:szCs w:val="20"/>
              </w:rPr>
            </w:pPr>
            <w:r>
              <w:rPr>
                <w:b/>
                <w:bCs/>
                <w:color w:val="000000"/>
                <w:sz w:val="20"/>
                <w:szCs w:val="20"/>
              </w:rPr>
              <w:t>Shares</w:t>
            </w:r>
          </w:p>
        </w:tc>
        <w:tc>
          <w:tcPr>
            <w:tcW w:w="77" w:type="dxa"/>
            <w:tcMar>
              <w:top w:w="5" w:type="dxa"/>
              <w:left w:w="5" w:type="dxa"/>
              <w:bottom w:w="20" w:type="dxa"/>
              <w:right w:w="5" w:type="dxa"/>
            </w:tcMar>
            <w:vAlign w:val="bottom"/>
            <w:hideMark/>
          </w:tcPr>
          <w:p w14:paraId="6F547D31" w14:textId="77777777" w:rsidR="00954279" w:rsidRDefault="00A66714">
            <w:pPr>
              <w:rPr>
                <w:color w:val="000000"/>
                <w:sz w:val="20"/>
                <w:szCs w:val="20"/>
              </w:rPr>
            </w:pPr>
            <w:r>
              <w:rPr>
                <w:color w:val="000000"/>
                <w:sz w:val="20"/>
                <w:szCs w:val="20"/>
              </w:rPr>
              <w:t> </w:t>
            </w:r>
          </w:p>
        </w:tc>
        <w:tc>
          <w:tcPr>
            <w:tcW w:w="65" w:type="dxa"/>
            <w:tcMar>
              <w:top w:w="5" w:type="dxa"/>
              <w:left w:w="5" w:type="dxa"/>
              <w:bottom w:w="5" w:type="dxa"/>
              <w:right w:w="5" w:type="dxa"/>
            </w:tcMar>
            <w:vAlign w:val="bottom"/>
            <w:hideMark/>
          </w:tcPr>
          <w:p w14:paraId="1753A129" w14:textId="77777777" w:rsidR="00954279" w:rsidRDefault="00A66714">
            <w:pPr>
              <w:rPr>
                <w:color w:val="000000"/>
                <w:sz w:val="20"/>
                <w:szCs w:val="20"/>
              </w:rPr>
            </w:pPr>
            <w:r>
              <w:rPr>
                <w:color w:val="000000"/>
                <w:sz w:val="20"/>
                <w:szCs w:val="20"/>
              </w:rPr>
              <w:t> </w:t>
            </w:r>
          </w:p>
        </w:tc>
        <w:tc>
          <w:tcPr>
            <w:tcW w:w="830" w:type="dxa"/>
            <w:gridSpan w:val="2"/>
            <w:tcBorders>
              <w:bottom w:val="single" w:sz="6" w:space="0" w:color="000000"/>
            </w:tcBorders>
            <w:tcMar>
              <w:top w:w="5" w:type="dxa"/>
              <w:left w:w="5" w:type="dxa"/>
              <w:bottom w:w="8" w:type="dxa"/>
              <w:right w:w="5" w:type="dxa"/>
            </w:tcMar>
            <w:vAlign w:val="bottom"/>
            <w:hideMark/>
          </w:tcPr>
          <w:p w14:paraId="7E5A6C25" w14:textId="77777777" w:rsidR="00954279" w:rsidRDefault="00A66714">
            <w:pPr>
              <w:jc w:val="center"/>
              <w:rPr>
                <w:color w:val="000000"/>
                <w:sz w:val="20"/>
                <w:szCs w:val="20"/>
              </w:rPr>
            </w:pPr>
            <w:r>
              <w:rPr>
                <w:b/>
                <w:bCs/>
                <w:color w:val="000000"/>
                <w:sz w:val="20"/>
                <w:szCs w:val="20"/>
              </w:rPr>
              <w:t>Amount</w:t>
            </w:r>
          </w:p>
        </w:tc>
        <w:tc>
          <w:tcPr>
            <w:tcW w:w="77" w:type="dxa"/>
            <w:tcMar>
              <w:top w:w="5" w:type="dxa"/>
              <w:left w:w="5" w:type="dxa"/>
              <w:bottom w:w="20" w:type="dxa"/>
              <w:right w:w="5" w:type="dxa"/>
            </w:tcMar>
            <w:vAlign w:val="bottom"/>
            <w:hideMark/>
          </w:tcPr>
          <w:p w14:paraId="6DF3C7DE" w14:textId="77777777" w:rsidR="00954279" w:rsidRDefault="00A66714">
            <w:pPr>
              <w:rPr>
                <w:color w:val="000000"/>
                <w:sz w:val="20"/>
                <w:szCs w:val="20"/>
              </w:rPr>
            </w:pPr>
            <w:r>
              <w:rPr>
                <w:color w:val="000000"/>
                <w:sz w:val="20"/>
                <w:szCs w:val="20"/>
              </w:rPr>
              <w:t> </w:t>
            </w:r>
          </w:p>
        </w:tc>
        <w:tc>
          <w:tcPr>
            <w:tcW w:w="65" w:type="dxa"/>
            <w:tcMar>
              <w:top w:w="5" w:type="dxa"/>
              <w:left w:w="5" w:type="dxa"/>
              <w:bottom w:w="5" w:type="dxa"/>
              <w:right w:w="5" w:type="dxa"/>
            </w:tcMar>
            <w:vAlign w:val="bottom"/>
            <w:hideMark/>
          </w:tcPr>
          <w:p w14:paraId="3C477660" w14:textId="77777777" w:rsidR="00954279" w:rsidRDefault="00A66714">
            <w:pPr>
              <w:rPr>
                <w:color w:val="000000"/>
                <w:sz w:val="20"/>
                <w:szCs w:val="20"/>
              </w:rPr>
            </w:pPr>
            <w:r>
              <w:rPr>
                <w:color w:val="000000"/>
                <w:sz w:val="20"/>
                <w:szCs w:val="20"/>
              </w:rPr>
              <w:t> </w:t>
            </w:r>
          </w:p>
        </w:tc>
        <w:tc>
          <w:tcPr>
            <w:tcW w:w="1344" w:type="dxa"/>
            <w:gridSpan w:val="2"/>
            <w:tcBorders>
              <w:bottom w:val="single" w:sz="6" w:space="0" w:color="000000"/>
            </w:tcBorders>
            <w:tcMar>
              <w:top w:w="5" w:type="dxa"/>
              <w:left w:w="5" w:type="dxa"/>
              <w:bottom w:w="8" w:type="dxa"/>
              <w:right w:w="5" w:type="dxa"/>
            </w:tcMar>
            <w:vAlign w:val="bottom"/>
            <w:hideMark/>
          </w:tcPr>
          <w:p w14:paraId="1C951BEA" w14:textId="77777777" w:rsidR="00954279" w:rsidRDefault="00A66714">
            <w:pPr>
              <w:jc w:val="center"/>
              <w:rPr>
                <w:color w:val="000000"/>
                <w:sz w:val="20"/>
                <w:szCs w:val="20"/>
              </w:rPr>
            </w:pPr>
            <w:r>
              <w:rPr>
                <w:b/>
                <w:bCs/>
                <w:color w:val="000000"/>
                <w:sz w:val="20"/>
                <w:szCs w:val="20"/>
              </w:rPr>
              <w:t>(Loss)</w:t>
            </w:r>
          </w:p>
        </w:tc>
        <w:tc>
          <w:tcPr>
            <w:tcW w:w="77" w:type="dxa"/>
            <w:tcMar>
              <w:top w:w="5" w:type="dxa"/>
              <w:left w:w="5" w:type="dxa"/>
              <w:bottom w:w="20" w:type="dxa"/>
              <w:right w:w="5" w:type="dxa"/>
            </w:tcMar>
            <w:vAlign w:val="bottom"/>
            <w:hideMark/>
          </w:tcPr>
          <w:p w14:paraId="1F5CAE16" w14:textId="77777777" w:rsidR="00954279" w:rsidRDefault="00A66714">
            <w:pPr>
              <w:rPr>
                <w:color w:val="000000"/>
                <w:sz w:val="20"/>
                <w:szCs w:val="20"/>
              </w:rPr>
            </w:pPr>
            <w:r>
              <w:rPr>
                <w:color w:val="000000"/>
                <w:sz w:val="20"/>
                <w:szCs w:val="20"/>
              </w:rPr>
              <w:t> </w:t>
            </w:r>
          </w:p>
        </w:tc>
        <w:tc>
          <w:tcPr>
            <w:tcW w:w="65" w:type="dxa"/>
            <w:tcMar>
              <w:top w:w="5" w:type="dxa"/>
              <w:left w:w="5" w:type="dxa"/>
              <w:bottom w:w="5" w:type="dxa"/>
              <w:right w:w="5" w:type="dxa"/>
            </w:tcMar>
            <w:vAlign w:val="bottom"/>
            <w:hideMark/>
          </w:tcPr>
          <w:p w14:paraId="418F3FCF" w14:textId="77777777" w:rsidR="00954279" w:rsidRDefault="00A66714">
            <w:pPr>
              <w:rPr>
                <w:color w:val="000000"/>
                <w:sz w:val="20"/>
                <w:szCs w:val="20"/>
              </w:rPr>
            </w:pPr>
            <w:r>
              <w:rPr>
                <w:color w:val="000000"/>
                <w:sz w:val="20"/>
                <w:szCs w:val="20"/>
              </w:rPr>
              <w:t> </w:t>
            </w:r>
          </w:p>
        </w:tc>
        <w:tc>
          <w:tcPr>
            <w:tcW w:w="1177" w:type="dxa"/>
            <w:gridSpan w:val="2"/>
            <w:tcBorders>
              <w:bottom w:val="single" w:sz="6" w:space="0" w:color="000000"/>
            </w:tcBorders>
            <w:tcMar>
              <w:top w:w="5" w:type="dxa"/>
              <w:left w:w="5" w:type="dxa"/>
              <w:bottom w:w="8" w:type="dxa"/>
              <w:right w:w="5" w:type="dxa"/>
            </w:tcMar>
            <w:vAlign w:val="bottom"/>
            <w:hideMark/>
          </w:tcPr>
          <w:p w14:paraId="2F8FBC6C" w14:textId="77777777" w:rsidR="00954279" w:rsidRDefault="00A66714">
            <w:pPr>
              <w:jc w:val="center"/>
              <w:rPr>
                <w:color w:val="000000"/>
                <w:sz w:val="20"/>
                <w:szCs w:val="20"/>
              </w:rPr>
            </w:pPr>
            <w:r>
              <w:rPr>
                <w:b/>
                <w:bCs/>
                <w:color w:val="000000"/>
                <w:sz w:val="20"/>
                <w:szCs w:val="20"/>
              </w:rPr>
              <w:t>Equity</w:t>
            </w:r>
          </w:p>
        </w:tc>
        <w:tc>
          <w:tcPr>
            <w:tcW w:w="77" w:type="dxa"/>
            <w:tcMar>
              <w:top w:w="5" w:type="dxa"/>
              <w:left w:w="5" w:type="dxa"/>
              <w:bottom w:w="20" w:type="dxa"/>
              <w:right w:w="5" w:type="dxa"/>
            </w:tcMar>
            <w:vAlign w:val="bottom"/>
            <w:hideMark/>
          </w:tcPr>
          <w:p w14:paraId="383C3501" w14:textId="77777777" w:rsidR="00954279" w:rsidRDefault="00A66714">
            <w:pPr>
              <w:rPr>
                <w:color w:val="000000"/>
                <w:sz w:val="20"/>
                <w:szCs w:val="20"/>
              </w:rPr>
            </w:pPr>
            <w:r>
              <w:rPr>
                <w:color w:val="000000"/>
                <w:sz w:val="20"/>
                <w:szCs w:val="20"/>
              </w:rPr>
              <w:t> </w:t>
            </w:r>
          </w:p>
        </w:tc>
      </w:tr>
      <w:tr w:rsidR="00954279" w14:paraId="2D1B8C9D" w14:textId="77777777" w:rsidTr="00717712">
        <w:tc>
          <w:tcPr>
            <w:tcW w:w="2678" w:type="dxa"/>
            <w:tcMar>
              <w:top w:w="5" w:type="dxa"/>
              <w:left w:w="5" w:type="dxa"/>
              <w:bottom w:w="5" w:type="dxa"/>
              <w:right w:w="5" w:type="dxa"/>
            </w:tcMar>
            <w:vAlign w:val="bottom"/>
            <w:hideMark/>
          </w:tcPr>
          <w:p w14:paraId="02765698" w14:textId="77777777" w:rsidR="00954279" w:rsidRDefault="00A66714">
            <w:pPr>
              <w:rPr>
                <w:color w:val="000000"/>
                <w:sz w:val="20"/>
                <w:szCs w:val="20"/>
              </w:rPr>
            </w:pPr>
            <w:r>
              <w:rPr>
                <w:color w:val="000000"/>
                <w:sz w:val="20"/>
                <w:szCs w:val="20"/>
              </w:rPr>
              <w:t>Balance at December 31, 2020</w:t>
            </w:r>
          </w:p>
        </w:tc>
        <w:tc>
          <w:tcPr>
            <w:tcW w:w="60" w:type="dxa"/>
            <w:tcMar>
              <w:top w:w="5" w:type="dxa"/>
              <w:left w:w="5" w:type="dxa"/>
              <w:bottom w:w="5" w:type="dxa"/>
              <w:right w:w="5" w:type="dxa"/>
            </w:tcMar>
            <w:vAlign w:val="bottom"/>
            <w:hideMark/>
          </w:tcPr>
          <w:p w14:paraId="10E4A644" w14:textId="77777777" w:rsidR="00954279" w:rsidRDefault="00A66714">
            <w:pPr>
              <w:rPr>
                <w:color w:val="000000"/>
                <w:sz w:val="20"/>
                <w:szCs w:val="20"/>
              </w:rPr>
            </w:pPr>
            <w:r>
              <w:rPr>
                <w:color w:val="000000"/>
                <w:sz w:val="20"/>
                <w:szCs w:val="20"/>
              </w:rPr>
              <w:t> </w:t>
            </w:r>
          </w:p>
        </w:tc>
        <w:tc>
          <w:tcPr>
            <w:tcW w:w="74" w:type="dxa"/>
            <w:tcMar>
              <w:top w:w="5" w:type="dxa"/>
              <w:left w:w="5" w:type="dxa"/>
              <w:bottom w:w="5" w:type="dxa"/>
              <w:right w:w="5" w:type="dxa"/>
            </w:tcMar>
            <w:vAlign w:val="bottom"/>
            <w:hideMark/>
          </w:tcPr>
          <w:p w14:paraId="2ECB3627" w14:textId="77777777" w:rsidR="00954279" w:rsidRDefault="00A66714">
            <w:pPr>
              <w:rPr>
                <w:color w:val="000000"/>
                <w:sz w:val="20"/>
                <w:szCs w:val="20"/>
              </w:rPr>
            </w:pPr>
            <w:r>
              <w:rPr>
                <w:color w:val="000000"/>
                <w:sz w:val="20"/>
                <w:szCs w:val="20"/>
              </w:rPr>
              <w:t> </w:t>
            </w:r>
          </w:p>
        </w:tc>
        <w:tc>
          <w:tcPr>
            <w:tcW w:w="713" w:type="dxa"/>
            <w:tcMar>
              <w:top w:w="5" w:type="dxa"/>
              <w:left w:w="5" w:type="dxa"/>
              <w:bottom w:w="5" w:type="dxa"/>
              <w:right w:w="5" w:type="dxa"/>
            </w:tcMar>
            <w:vAlign w:val="bottom"/>
            <w:hideMark/>
          </w:tcPr>
          <w:p w14:paraId="44E95088" w14:textId="77777777" w:rsidR="00954279" w:rsidRDefault="00A66714">
            <w:pPr>
              <w:jc w:val="right"/>
              <w:rPr>
                <w:color w:val="000000"/>
                <w:sz w:val="20"/>
                <w:szCs w:val="20"/>
              </w:rPr>
            </w:pPr>
            <w:r>
              <w:rPr>
                <w:color w:val="000000"/>
                <w:sz w:val="20"/>
                <w:szCs w:val="20"/>
              </w:rPr>
              <w:t>106</w:t>
            </w:r>
          </w:p>
        </w:tc>
        <w:tc>
          <w:tcPr>
            <w:tcW w:w="69" w:type="dxa"/>
            <w:noWrap/>
            <w:tcMar>
              <w:top w:w="5" w:type="dxa"/>
              <w:left w:w="5" w:type="dxa"/>
              <w:bottom w:w="5" w:type="dxa"/>
              <w:right w:w="5" w:type="dxa"/>
            </w:tcMar>
            <w:vAlign w:val="bottom"/>
            <w:hideMark/>
          </w:tcPr>
          <w:p w14:paraId="45C34D7E" w14:textId="77777777" w:rsidR="00954279" w:rsidRDefault="00A66714">
            <w:pPr>
              <w:rPr>
                <w:color w:val="000000"/>
                <w:sz w:val="20"/>
                <w:szCs w:val="20"/>
              </w:rPr>
            </w:pPr>
            <w:r>
              <w:rPr>
                <w:color w:val="000000"/>
                <w:sz w:val="20"/>
                <w:szCs w:val="20"/>
              </w:rPr>
              <w:t> </w:t>
            </w:r>
          </w:p>
        </w:tc>
        <w:tc>
          <w:tcPr>
            <w:tcW w:w="69" w:type="dxa"/>
            <w:tcMar>
              <w:top w:w="5" w:type="dxa"/>
              <w:left w:w="5" w:type="dxa"/>
              <w:bottom w:w="5" w:type="dxa"/>
              <w:right w:w="5" w:type="dxa"/>
            </w:tcMar>
            <w:vAlign w:val="bottom"/>
            <w:hideMark/>
          </w:tcPr>
          <w:p w14:paraId="7080BDAD" w14:textId="77777777" w:rsidR="00954279" w:rsidRDefault="00A66714">
            <w:pPr>
              <w:rPr>
                <w:color w:val="000000"/>
                <w:sz w:val="20"/>
                <w:szCs w:val="20"/>
              </w:rPr>
            </w:pPr>
            <w:r>
              <w:rPr>
                <w:color w:val="000000"/>
                <w:sz w:val="20"/>
                <w:szCs w:val="20"/>
              </w:rPr>
              <w:t> </w:t>
            </w:r>
          </w:p>
        </w:tc>
        <w:tc>
          <w:tcPr>
            <w:tcW w:w="111" w:type="dxa"/>
            <w:tcMar>
              <w:top w:w="5" w:type="dxa"/>
              <w:left w:w="5" w:type="dxa"/>
              <w:bottom w:w="5" w:type="dxa"/>
              <w:right w:w="5" w:type="dxa"/>
            </w:tcMar>
            <w:vAlign w:val="bottom"/>
            <w:hideMark/>
          </w:tcPr>
          <w:p w14:paraId="15F98D10" w14:textId="77777777" w:rsidR="00954279" w:rsidRDefault="00A66714">
            <w:pPr>
              <w:rPr>
                <w:color w:val="000000"/>
                <w:sz w:val="20"/>
                <w:szCs w:val="20"/>
              </w:rPr>
            </w:pPr>
            <w:r>
              <w:rPr>
                <w:color w:val="000000"/>
                <w:sz w:val="20"/>
                <w:szCs w:val="20"/>
              </w:rPr>
              <w:t>$</w:t>
            </w:r>
          </w:p>
        </w:tc>
        <w:tc>
          <w:tcPr>
            <w:tcW w:w="717" w:type="dxa"/>
            <w:tcMar>
              <w:top w:w="5" w:type="dxa"/>
              <w:left w:w="5" w:type="dxa"/>
              <w:bottom w:w="5" w:type="dxa"/>
              <w:right w:w="5" w:type="dxa"/>
            </w:tcMar>
            <w:vAlign w:val="bottom"/>
            <w:hideMark/>
          </w:tcPr>
          <w:p w14:paraId="21A551FE" w14:textId="77777777" w:rsidR="00954279" w:rsidRDefault="00A66714">
            <w:pPr>
              <w:jc w:val="right"/>
              <w:rPr>
                <w:color w:val="000000"/>
                <w:sz w:val="20"/>
                <w:szCs w:val="20"/>
              </w:rPr>
            </w:pPr>
            <w:r>
              <w:rPr>
                <w:color w:val="000000"/>
                <w:sz w:val="20"/>
                <w:szCs w:val="20"/>
              </w:rPr>
              <w:t>1</w:t>
            </w:r>
          </w:p>
        </w:tc>
        <w:tc>
          <w:tcPr>
            <w:tcW w:w="69" w:type="dxa"/>
            <w:noWrap/>
            <w:tcMar>
              <w:top w:w="5" w:type="dxa"/>
              <w:left w:w="5" w:type="dxa"/>
              <w:bottom w:w="5" w:type="dxa"/>
              <w:right w:w="5" w:type="dxa"/>
            </w:tcMar>
            <w:vAlign w:val="bottom"/>
            <w:hideMark/>
          </w:tcPr>
          <w:p w14:paraId="5E473312" w14:textId="77777777" w:rsidR="00954279" w:rsidRDefault="00A66714">
            <w:pPr>
              <w:rPr>
                <w:color w:val="000000"/>
                <w:sz w:val="20"/>
                <w:szCs w:val="20"/>
              </w:rPr>
            </w:pPr>
            <w:r>
              <w:rPr>
                <w:color w:val="000000"/>
                <w:sz w:val="20"/>
                <w:szCs w:val="20"/>
              </w:rPr>
              <w:t> </w:t>
            </w:r>
          </w:p>
        </w:tc>
        <w:tc>
          <w:tcPr>
            <w:tcW w:w="70" w:type="dxa"/>
            <w:tcMar>
              <w:top w:w="5" w:type="dxa"/>
              <w:left w:w="5" w:type="dxa"/>
              <w:bottom w:w="5" w:type="dxa"/>
              <w:right w:w="5" w:type="dxa"/>
            </w:tcMar>
            <w:vAlign w:val="bottom"/>
            <w:hideMark/>
          </w:tcPr>
          <w:p w14:paraId="6C7F2369" w14:textId="77777777" w:rsidR="00954279" w:rsidRDefault="00A66714">
            <w:pPr>
              <w:rPr>
                <w:color w:val="000000"/>
                <w:sz w:val="20"/>
                <w:szCs w:val="20"/>
              </w:rPr>
            </w:pPr>
            <w:r>
              <w:rPr>
                <w:color w:val="000000"/>
                <w:sz w:val="20"/>
                <w:szCs w:val="20"/>
              </w:rPr>
              <w:t> </w:t>
            </w:r>
          </w:p>
        </w:tc>
        <w:tc>
          <w:tcPr>
            <w:tcW w:w="116" w:type="dxa"/>
            <w:tcMar>
              <w:top w:w="5" w:type="dxa"/>
              <w:left w:w="5" w:type="dxa"/>
              <w:bottom w:w="5" w:type="dxa"/>
              <w:right w:w="5" w:type="dxa"/>
            </w:tcMar>
            <w:vAlign w:val="bottom"/>
            <w:hideMark/>
          </w:tcPr>
          <w:p w14:paraId="647E663C" w14:textId="77777777" w:rsidR="00954279" w:rsidRDefault="00A66714">
            <w:pPr>
              <w:rPr>
                <w:color w:val="000000"/>
                <w:sz w:val="20"/>
                <w:szCs w:val="20"/>
              </w:rPr>
            </w:pPr>
            <w:r>
              <w:rPr>
                <w:color w:val="000000"/>
                <w:sz w:val="20"/>
                <w:szCs w:val="20"/>
              </w:rPr>
              <w:t>$</w:t>
            </w:r>
          </w:p>
        </w:tc>
        <w:tc>
          <w:tcPr>
            <w:tcW w:w="806" w:type="dxa"/>
            <w:tcMar>
              <w:top w:w="5" w:type="dxa"/>
              <w:left w:w="5" w:type="dxa"/>
              <w:bottom w:w="5" w:type="dxa"/>
              <w:right w:w="5" w:type="dxa"/>
            </w:tcMar>
            <w:vAlign w:val="bottom"/>
            <w:hideMark/>
          </w:tcPr>
          <w:p w14:paraId="6024E5A2" w14:textId="77777777" w:rsidR="00954279" w:rsidRDefault="00A66714">
            <w:pPr>
              <w:jc w:val="right"/>
              <w:rPr>
                <w:color w:val="000000"/>
                <w:sz w:val="20"/>
                <w:szCs w:val="20"/>
              </w:rPr>
            </w:pPr>
            <w:r>
              <w:rPr>
                <w:color w:val="000000"/>
                <w:sz w:val="20"/>
                <w:szCs w:val="20"/>
              </w:rPr>
              <w:t>1,739</w:t>
            </w:r>
          </w:p>
        </w:tc>
        <w:tc>
          <w:tcPr>
            <w:tcW w:w="77" w:type="dxa"/>
            <w:noWrap/>
            <w:tcMar>
              <w:top w:w="5" w:type="dxa"/>
              <w:left w:w="5" w:type="dxa"/>
              <w:bottom w:w="5" w:type="dxa"/>
              <w:right w:w="5" w:type="dxa"/>
            </w:tcMar>
            <w:vAlign w:val="bottom"/>
            <w:hideMark/>
          </w:tcPr>
          <w:p w14:paraId="028A6FE4" w14:textId="77777777" w:rsidR="00954279" w:rsidRDefault="00A66714">
            <w:pPr>
              <w:rPr>
                <w:color w:val="000000"/>
                <w:sz w:val="20"/>
                <w:szCs w:val="20"/>
              </w:rPr>
            </w:pPr>
            <w:r>
              <w:rPr>
                <w:color w:val="000000"/>
                <w:sz w:val="20"/>
                <w:szCs w:val="20"/>
              </w:rPr>
              <w:t> </w:t>
            </w:r>
          </w:p>
        </w:tc>
        <w:tc>
          <w:tcPr>
            <w:tcW w:w="64" w:type="dxa"/>
            <w:tcMar>
              <w:top w:w="5" w:type="dxa"/>
              <w:left w:w="5" w:type="dxa"/>
              <w:bottom w:w="5" w:type="dxa"/>
              <w:right w:w="5" w:type="dxa"/>
            </w:tcMar>
            <w:vAlign w:val="bottom"/>
            <w:hideMark/>
          </w:tcPr>
          <w:p w14:paraId="13F330DB" w14:textId="77777777" w:rsidR="00954279" w:rsidRDefault="00A66714">
            <w:pPr>
              <w:rPr>
                <w:color w:val="000000"/>
                <w:sz w:val="20"/>
                <w:szCs w:val="20"/>
              </w:rPr>
            </w:pPr>
            <w:r>
              <w:rPr>
                <w:color w:val="000000"/>
                <w:sz w:val="20"/>
                <w:szCs w:val="20"/>
              </w:rPr>
              <w:t> </w:t>
            </w:r>
          </w:p>
        </w:tc>
        <w:tc>
          <w:tcPr>
            <w:tcW w:w="111" w:type="dxa"/>
            <w:tcMar>
              <w:top w:w="5" w:type="dxa"/>
              <w:left w:w="5" w:type="dxa"/>
              <w:bottom w:w="5" w:type="dxa"/>
              <w:right w:w="5" w:type="dxa"/>
            </w:tcMar>
            <w:vAlign w:val="bottom"/>
            <w:hideMark/>
          </w:tcPr>
          <w:p w14:paraId="73A60FC9" w14:textId="77777777" w:rsidR="00954279" w:rsidRDefault="00A66714">
            <w:pPr>
              <w:rPr>
                <w:color w:val="000000"/>
                <w:sz w:val="20"/>
                <w:szCs w:val="20"/>
              </w:rPr>
            </w:pPr>
            <w:r>
              <w:rPr>
                <w:color w:val="000000"/>
                <w:sz w:val="20"/>
                <w:szCs w:val="20"/>
              </w:rPr>
              <w:t>$</w:t>
            </w:r>
          </w:p>
        </w:tc>
        <w:tc>
          <w:tcPr>
            <w:tcW w:w="719" w:type="dxa"/>
            <w:tcMar>
              <w:top w:w="5" w:type="dxa"/>
              <w:left w:w="5" w:type="dxa"/>
              <w:bottom w:w="5" w:type="dxa"/>
              <w:right w:w="5" w:type="dxa"/>
            </w:tcMar>
            <w:vAlign w:val="bottom"/>
            <w:hideMark/>
          </w:tcPr>
          <w:p w14:paraId="44B874C6" w14:textId="77777777" w:rsidR="00954279" w:rsidRDefault="00A66714">
            <w:pPr>
              <w:jc w:val="right"/>
              <w:rPr>
                <w:color w:val="000000"/>
                <w:sz w:val="20"/>
                <w:szCs w:val="20"/>
              </w:rPr>
            </w:pPr>
            <w:r>
              <w:rPr>
                <w:color w:val="000000"/>
                <w:sz w:val="20"/>
                <w:szCs w:val="20"/>
              </w:rPr>
              <w:t>(781</w:t>
            </w:r>
          </w:p>
        </w:tc>
        <w:tc>
          <w:tcPr>
            <w:tcW w:w="77" w:type="dxa"/>
            <w:noWrap/>
            <w:tcMar>
              <w:top w:w="5" w:type="dxa"/>
              <w:left w:w="5" w:type="dxa"/>
              <w:bottom w:w="5" w:type="dxa"/>
              <w:right w:w="5" w:type="dxa"/>
            </w:tcMar>
            <w:vAlign w:val="bottom"/>
            <w:hideMark/>
          </w:tcPr>
          <w:p w14:paraId="7364B95A" w14:textId="77777777" w:rsidR="00954279" w:rsidRDefault="00A66714">
            <w:pPr>
              <w:rPr>
                <w:color w:val="000000"/>
                <w:sz w:val="20"/>
                <w:szCs w:val="20"/>
              </w:rPr>
            </w:pPr>
            <w:r>
              <w:rPr>
                <w:color w:val="000000"/>
                <w:sz w:val="20"/>
                <w:szCs w:val="20"/>
              </w:rPr>
              <w:t>)</w:t>
            </w:r>
          </w:p>
        </w:tc>
        <w:tc>
          <w:tcPr>
            <w:tcW w:w="65" w:type="dxa"/>
            <w:tcMar>
              <w:top w:w="5" w:type="dxa"/>
              <w:left w:w="5" w:type="dxa"/>
              <w:bottom w:w="5" w:type="dxa"/>
              <w:right w:w="5" w:type="dxa"/>
            </w:tcMar>
            <w:vAlign w:val="bottom"/>
            <w:hideMark/>
          </w:tcPr>
          <w:p w14:paraId="7A27A156" w14:textId="77777777" w:rsidR="00954279" w:rsidRDefault="00A66714">
            <w:pPr>
              <w:rPr>
                <w:color w:val="000000"/>
                <w:sz w:val="20"/>
                <w:szCs w:val="20"/>
              </w:rPr>
            </w:pPr>
            <w:r>
              <w:rPr>
                <w:color w:val="000000"/>
                <w:sz w:val="20"/>
                <w:szCs w:val="20"/>
              </w:rPr>
              <w:t> </w:t>
            </w:r>
          </w:p>
        </w:tc>
        <w:tc>
          <w:tcPr>
            <w:tcW w:w="74" w:type="dxa"/>
            <w:tcMar>
              <w:top w:w="5" w:type="dxa"/>
              <w:left w:w="5" w:type="dxa"/>
              <w:bottom w:w="5" w:type="dxa"/>
              <w:right w:w="5" w:type="dxa"/>
            </w:tcMar>
            <w:vAlign w:val="bottom"/>
            <w:hideMark/>
          </w:tcPr>
          <w:p w14:paraId="5D6552F5" w14:textId="77777777" w:rsidR="00954279" w:rsidRDefault="00A66714">
            <w:pPr>
              <w:rPr>
                <w:color w:val="000000"/>
                <w:sz w:val="20"/>
                <w:szCs w:val="20"/>
              </w:rPr>
            </w:pPr>
            <w:r>
              <w:rPr>
                <w:color w:val="000000"/>
                <w:sz w:val="20"/>
                <w:szCs w:val="20"/>
              </w:rPr>
              <w:t> </w:t>
            </w:r>
          </w:p>
        </w:tc>
        <w:tc>
          <w:tcPr>
            <w:tcW w:w="716" w:type="dxa"/>
            <w:tcMar>
              <w:top w:w="5" w:type="dxa"/>
              <w:left w:w="5" w:type="dxa"/>
              <w:bottom w:w="5" w:type="dxa"/>
              <w:right w:w="5" w:type="dxa"/>
            </w:tcMar>
            <w:vAlign w:val="bottom"/>
            <w:hideMark/>
          </w:tcPr>
          <w:p w14:paraId="132C5E71" w14:textId="77777777" w:rsidR="00954279" w:rsidRDefault="00A66714">
            <w:pPr>
              <w:jc w:val="right"/>
              <w:rPr>
                <w:color w:val="000000"/>
                <w:sz w:val="20"/>
                <w:szCs w:val="20"/>
              </w:rPr>
            </w:pPr>
            <w:r>
              <w:rPr>
                <w:color w:val="000000"/>
                <w:sz w:val="20"/>
                <w:szCs w:val="20"/>
              </w:rPr>
              <w:t>(24</w:t>
            </w:r>
          </w:p>
        </w:tc>
        <w:tc>
          <w:tcPr>
            <w:tcW w:w="77" w:type="dxa"/>
            <w:noWrap/>
            <w:tcMar>
              <w:top w:w="5" w:type="dxa"/>
              <w:left w:w="5" w:type="dxa"/>
              <w:bottom w:w="5" w:type="dxa"/>
              <w:right w:w="5" w:type="dxa"/>
            </w:tcMar>
            <w:vAlign w:val="bottom"/>
            <w:hideMark/>
          </w:tcPr>
          <w:p w14:paraId="282FDBEF" w14:textId="77777777" w:rsidR="00954279" w:rsidRDefault="00A66714">
            <w:pPr>
              <w:rPr>
                <w:color w:val="000000"/>
                <w:sz w:val="20"/>
                <w:szCs w:val="20"/>
              </w:rPr>
            </w:pPr>
            <w:r>
              <w:rPr>
                <w:color w:val="000000"/>
                <w:sz w:val="20"/>
                <w:szCs w:val="20"/>
              </w:rPr>
              <w:t>)</w:t>
            </w:r>
          </w:p>
        </w:tc>
        <w:tc>
          <w:tcPr>
            <w:tcW w:w="65" w:type="dxa"/>
            <w:tcMar>
              <w:top w:w="5" w:type="dxa"/>
              <w:left w:w="5" w:type="dxa"/>
              <w:bottom w:w="5" w:type="dxa"/>
              <w:right w:w="5" w:type="dxa"/>
            </w:tcMar>
            <w:vAlign w:val="bottom"/>
            <w:hideMark/>
          </w:tcPr>
          <w:p w14:paraId="4F153338" w14:textId="77777777" w:rsidR="00954279" w:rsidRDefault="00A66714">
            <w:pPr>
              <w:rPr>
                <w:color w:val="000000"/>
                <w:sz w:val="20"/>
                <w:szCs w:val="20"/>
              </w:rPr>
            </w:pPr>
            <w:r>
              <w:rPr>
                <w:color w:val="000000"/>
                <w:sz w:val="20"/>
                <w:szCs w:val="20"/>
              </w:rPr>
              <w:t> </w:t>
            </w:r>
          </w:p>
        </w:tc>
        <w:tc>
          <w:tcPr>
            <w:tcW w:w="111" w:type="dxa"/>
            <w:tcMar>
              <w:top w:w="5" w:type="dxa"/>
              <w:left w:w="5" w:type="dxa"/>
              <w:bottom w:w="5" w:type="dxa"/>
              <w:right w:w="5" w:type="dxa"/>
            </w:tcMar>
            <w:vAlign w:val="bottom"/>
            <w:hideMark/>
          </w:tcPr>
          <w:p w14:paraId="7B5ACB8C" w14:textId="77777777" w:rsidR="00954279" w:rsidRDefault="00A66714">
            <w:pPr>
              <w:rPr>
                <w:color w:val="000000"/>
                <w:sz w:val="20"/>
                <w:szCs w:val="20"/>
              </w:rPr>
            </w:pPr>
            <w:r>
              <w:rPr>
                <w:color w:val="000000"/>
                <w:sz w:val="20"/>
                <w:szCs w:val="20"/>
              </w:rPr>
              <w:t>$</w:t>
            </w:r>
          </w:p>
        </w:tc>
        <w:tc>
          <w:tcPr>
            <w:tcW w:w="719" w:type="dxa"/>
            <w:tcMar>
              <w:top w:w="5" w:type="dxa"/>
              <w:left w:w="5" w:type="dxa"/>
              <w:bottom w:w="5" w:type="dxa"/>
              <w:right w:w="5" w:type="dxa"/>
            </w:tcMar>
            <w:vAlign w:val="bottom"/>
            <w:hideMark/>
          </w:tcPr>
          <w:p w14:paraId="653FC2C0" w14:textId="77777777" w:rsidR="00954279" w:rsidRDefault="00A66714">
            <w:pPr>
              <w:jc w:val="right"/>
              <w:rPr>
                <w:color w:val="000000"/>
                <w:sz w:val="20"/>
                <w:szCs w:val="20"/>
              </w:rPr>
            </w:pPr>
            <w:r>
              <w:rPr>
                <w:color w:val="000000"/>
                <w:sz w:val="20"/>
                <w:szCs w:val="20"/>
              </w:rPr>
              <w:t>(375</w:t>
            </w:r>
          </w:p>
        </w:tc>
        <w:tc>
          <w:tcPr>
            <w:tcW w:w="77" w:type="dxa"/>
            <w:noWrap/>
            <w:tcMar>
              <w:top w:w="5" w:type="dxa"/>
              <w:left w:w="5" w:type="dxa"/>
              <w:bottom w:w="5" w:type="dxa"/>
              <w:right w:w="5" w:type="dxa"/>
            </w:tcMar>
            <w:vAlign w:val="bottom"/>
            <w:hideMark/>
          </w:tcPr>
          <w:p w14:paraId="5A1F3A8E" w14:textId="77777777" w:rsidR="00954279" w:rsidRDefault="00A66714">
            <w:pPr>
              <w:rPr>
                <w:color w:val="000000"/>
                <w:sz w:val="20"/>
                <w:szCs w:val="20"/>
              </w:rPr>
            </w:pPr>
            <w:r>
              <w:rPr>
                <w:color w:val="000000"/>
                <w:sz w:val="20"/>
                <w:szCs w:val="20"/>
              </w:rPr>
              <w:t>)</w:t>
            </w:r>
          </w:p>
        </w:tc>
        <w:tc>
          <w:tcPr>
            <w:tcW w:w="65" w:type="dxa"/>
            <w:tcMar>
              <w:top w:w="5" w:type="dxa"/>
              <w:left w:w="5" w:type="dxa"/>
              <w:bottom w:w="5" w:type="dxa"/>
              <w:right w:w="5" w:type="dxa"/>
            </w:tcMar>
            <w:vAlign w:val="bottom"/>
            <w:hideMark/>
          </w:tcPr>
          <w:p w14:paraId="7B164E9F" w14:textId="77777777" w:rsidR="00954279" w:rsidRDefault="00A66714">
            <w:pPr>
              <w:rPr>
                <w:color w:val="000000"/>
                <w:sz w:val="20"/>
                <w:szCs w:val="20"/>
              </w:rPr>
            </w:pPr>
            <w:r>
              <w:rPr>
                <w:color w:val="000000"/>
                <w:sz w:val="20"/>
                <w:szCs w:val="20"/>
              </w:rPr>
              <w:t> </w:t>
            </w:r>
          </w:p>
        </w:tc>
        <w:tc>
          <w:tcPr>
            <w:tcW w:w="168" w:type="dxa"/>
            <w:tcMar>
              <w:top w:w="5" w:type="dxa"/>
              <w:left w:w="5" w:type="dxa"/>
              <w:bottom w:w="5" w:type="dxa"/>
              <w:right w:w="5" w:type="dxa"/>
            </w:tcMar>
            <w:vAlign w:val="bottom"/>
            <w:hideMark/>
          </w:tcPr>
          <w:p w14:paraId="21D31F54" w14:textId="77777777" w:rsidR="00954279" w:rsidRDefault="00A66714">
            <w:pPr>
              <w:rPr>
                <w:color w:val="000000"/>
                <w:sz w:val="20"/>
                <w:szCs w:val="20"/>
              </w:rPr>
            </w:pPr>
            <w:r>
              <w:rPr>
                <w:color w:val="000000"/>
                <w:sz w:val="20"/>
                <w:szCs w:val="20"/>
              </w:rPr>
              <w:t>$</w:t>
            </w:r>
          </w:p>
        </w:tc>
        <w:tc>
          <w:tcPr>
            <w:tcW w:w="1176" w:type="dxa"/>
            <w:tcMar>
              <w:top w:w="5" w:type="dxa"/>
              <w:left w:w="5" w:type="dxa"/>
              <w:bottom w:w="5" w:type="dxa"/>
              <w:right w:w="5" w:type="dxa"/>
            </w:tcMar>
            <w:vAlign w:val="bottom"/>
            <w:hideMark/>
          </w:tcPr>
          <w:p w14:paraId="3B658CD8" w14:textId="77777777" w:rsidR="00954279" w:rsidRDefault="00A66714">
            <w:pPr>
              <w:jc w:val="right"/>
              <w:rPr>
                <w:color w:val="000000"/>
                <w:sz w:val="20"/>
                <w:szCs w:val="20"/>
              </w:rPr>
            </w:pPr>
            <w:r>
              <w:rPr>
                <w:color w:val="000000"/>
                <w:sz w:val="20"/>
                <w:szCs w:val="20"/>
              </w:rPr>
              <w:t>(234</w:t>
            </w:r>
          </w:p>
        </w:tc>
        <w:tc>
          <w:tcPr>
            <w:tcW w:w="77" w:type="dxa"/>
            <w:noWrap/>
            <w:tcMar>
              <w:top w:w="5" w:type="dxa"/>
              <w:left w:w="5" w:type="dxa"/>
              <w:bottom w:w="5" w:type="dxa"/>
              <w:right w:w="5" w:type="dxa"/>
            </w:tcMar>
            <w:vAlign w:val="bottom"/>
            <w:hideMark/>
          </w:tcPr>
          <w:p w14:paraId="41D8FE34" w14:textId="77777777" w:rsidR="00954279" w:rsidRDefault="00A66714">
            <w:pPr>
              <w:rPr>
                <w:color w:val="000000"/>
                <w:sz w:val="20"/>
                <w:szCs w:val="20"/>
              </w:rPr>
            </w:pPr>
            <w:r>
              <w:rPr>
                <w:color w:val="000000"/>
                <w:sz w:val="20"/>
                <w:szCs w:val="20"/>
              </w:rPr>
              <w:t>)</w:t>
            </w:r>
          </w:p>
        </w:tc>
        <w:tc>
          <w:tcPr>
            <w:tcW w:w="65" w:type="dxa"/>
            <w:tcMar>
              <w:top w:w="5" w:type="dxa"/>
              <w:left w:w="5" w:type="dxa"/>
              <w:bottom w:w="5" w:type="dxa"/>
              <w:right w:w="5" w:type="dxa"/>
            </w:tcMar>
            <w:vAlign w:val="bottom"/>
            <w:hideMark/>
          </w:tcPr>
          <w:p w14:paraId="3C9CF286" w14:textId="77777777" w:rsidR="00954279" w:rsidRDefault="00A66714">
            <w:pPr>
              <w:rPr>
                <w:color w:val="000000"/>
                <w:sz w:val="20"/>
                <w:szCs w:val="20"/>
              </w:rPr>
            </w:pPr>
            <w:r>
              <w:rPr>
                <w:color w:val="000000"/>
                <w:sz w:val="20"/>
                <w:szCs w:val="20"/>
              </w:rPr>
              <w:t> </w:t>
            </w:r>
          </w:p>
        </w:tc>
        <w:tc>
          <w:tcPr>
            <w:tcW w:w="148" w:type="dxa"/>
            <w:tcMar>
              <w:top w:w="5" w:type="dxa"/>
              <w:left w:w="5" w:type="dxa"/>
              <w:bottom w:w="5" w:type="dxa"/>
              <w:right w:w="5" w:type="dxa"/>
            </w:tcMar>
            <w:vAlign w:val="bottom"/>
            <w:hideMark/>
          </w:tcPr>
          <w:p w14:paraId="6C10CC27" w14:textId="77777777" w:rsidR="00954279" w:rsidRDefault="00A66714">
            <w:pPr>
              <w:rPr>
                <w:color w:val="000000"/>
                <w:sz w:val="20"/>
                <w:szCs w:val="20"/>
              </w:rPr>
            </w:pPr>
            <w:r>
              <w:rPr>
                <w:color w:val="000000"/>
                <w:sz w:val="20"/>
                <w:szCs w:val="20"/>
              </w:rPr>
              <w:t>$</w:t>
            </w:r>
          </w:p>
        </w:tc>
        <w:tc>
          <w:tcPr>
            <w:tcW w:w="1029" w:type="dxa"/>
            <w:tcMar>
              <w:top w:w="5" w:type="dxa"/>
              <w:left w:w="5" w:type="dxa"/>
              <w:bottom w:w="5" w:type="dxa"/>
              <w:right w:w="5" w:type="dxa"/>
            </w:tcMar>
            <w:vAlign w:val="bottom"/>
            <w:hideMark/>
          </w:tcPr>
          <w:p w14:paraId="5B74ED53" w14:textId="77777777" w:rsidR="00954279" w:rsidRDefault="00A66714">
            <w:pPr>
              <w:jc w:val="right"/>
              <w:rPr>
                <w:color w:val="000000"/>
                <w:sz w:val="20"/>
                <w:szCs w:val="20"/>
              </w:rPr>
            </w:pPr>
            <w:r>
              <w:rPr>
                <w:color w:val="000000"/>
                <w:sz w:val="20"/>
                <w:szCs w:val="20"/>
              </w:rPr>
              <w:t>350</w:t>
            </w:r>
          </w:p>
        </w:tc>
        <w:tc>
          <w:tcPr>
            <w:tcW w:w="77" w:type="dxa"/>
            <w:noWrap/>
            <w:tcMar>
              <w:top w:w="5" w:type="dxa"/>
              <w:left w:w="5" w:type="dxa"/>
              <w:bottom w:w="5" w:type="dxa"/>
              <w:right w:w="5" w:type="dxa"/>
            </w:tcMar>
            <w:vAlign w:val="bottom"/>
            <w:hideMark/>
          </w:tcPr>
          <w:p w14:paraId="2FC17E6B" w14:textId="77777777" w:rsidR="00954279" w:rsidRDefault="00A66714">
            <w:pPr>
              <w:rPr>
                <w:color w:val="000000"/>
                <w:sz w:val="20"/>
                <w:szCs w:val="20"/>
              </w:rPr>
            </w:pPr>
            <w:r>
              <w:rPr>
                <w:color w:val="000000"/>
                <w:sz w:val="20"/>
                <w:szCs w:val="20"/>
              </w:rPr>
              <w:t> </w:t>
            </w:r>
          </w:p>
        </w:tc>
      </w:tr>
      <w:tr w:rsidR="00954279" w14:paraId="5D0849E3" w14:textId="77777777" w:rsidTr="00717712">
        <w:tc>
          <w:tcPr>
            <w:tcW w:w="2678" w:type="dxa"/>
            <w:tcMar>
              <w:top w:w="5" w:type="dxa"/>
              <w:left w:w="5" w:type="dxa"/>
              <w:bottom w:w="5" w:type="dxa"/>
              <w:right w:w="5" w:type="dxa"/>
            </w:tcMar>
            <w:vAlign w:val="bottom"/>
            <w:hideMark/>
          </w:tcPr>
          <w:p w14:paraId="14EE304A" w14:textId="77777777" w:rsidR="00954279" w:rsidRDefault="00A66714">
            <w:pPr>
              <w:ind w:left="180"/>
              <w:rPr>
                <w:color w:val="000000"/>
                <w:sz w:val="20"/>
                <w:szCs w:val="20"/>
              </w:rPr>
            </w:pPr>
            <w:r>
              <w:rPr>
                <w:color w:val="000000"/>
                <w:sz w:val="20"/>
                <w:szCs w:val="20"/>
              </w:rPr>
              <w:t>Net loss</w:t>
            </w:r>
          </w:p>
        </w:tc>
        <w:tc>
          <w:tcPr>
            <w:tcW w:w="60" w:type="dxa"/>
            <w:tcMar>
              <w:top w:w="5" w:type="dxa"/>
              <w:left w:w="5" w:type="dxa"/>
              <w:bottom w:w="5" w:type="dxa"/>
              <w:right w:w="5" w:type="dxa"/>
            </w:tcMar>
            <w:vAlign w:val="bottom"/>
            <w:hideMark/>
          </w:tcPr>
          <w:p w14:paraId="10BF44C7" w14:textId="77777777" w:rsidR="00954279" w:rsidRDefault="00A66714">
            <w:pPr>
              <w:rPr>
                <w:color w:val="000000"/>
                <w:sz w:val="20"/>
                <w:szCs w:val="20"/>
              </w:rPr>
            </w:pPr>
            <w:r>
              <w:rPr>
                <w:color w:val="000000"/>
                <w:sz w:val="20"/>
                <w:szCs w:val="20"/>
              </w:rPr>
              <w:t> </w:t>
            </w:r>
          </w:p>
        </w:tc>
        <w:tc>
          <w:tcPr>
            <w:tcW w:w="74" w:type="dxa"/>
            <w:tcMar>
              <w:top w:w="5" w:type="dxa"/>
              <w:left w:w="5" w:type="dxa"/>
              <w:bottom w:w="5" w:type="dxa"/>
              <w:right w:w="5" w:type="dxa"/>
            </w:tcMar>
            <w:vAlign w:val="bottom"/>
            <w:hideMark/>
          </w:tcPr>
          <w:p w14:paraId="14BE3B1F" w14:textId="77777777" w:rsidR="00954279" w:rsidRDefault="00A66714">
            <w:pPr>
              <w:rPr>
                <w:color w:val="000000"/>
                <w:sz w:val="20"/>
                <w:szCs w:val="20"/>
              </w:rPr>
            </w:pPr>
            <w:r>
              <w:rPr>
                <w:color w:val="000000"/>
                <w:sz w:val="20"/>
                <w:szCs w:val="20"/>
              </w:rPr>
              <w:t> </w:t>
            </w:r>
          </w:p>
        </w:tc>
        <w:tc>
          <w:tcPr>
            <w:tcW w:w="713" w:type="dxa"/>
            <w:tcMar>
              <w:top w:w="5" w:type="dxa"/>
              <w:left w:w="5" w:type="dxa"/>
              <w:bottom w:w="5" w:type="dxa"/>
              <w:right w:w="5" w:type="dxa"/>
            </w:tcMar>
            <w:vAlign w:val="bottom"/>
            <w:hideMark/>
          </w:tcPr>
          <w:p w14:paraId="60EEC9E9" w14:textId="77777777" w:rsidR="00954279" w:rsidRDefault="00A66714">
            <w:pPr>
              <w:jc w:val="right"/>
              <w:rPr>
                <w:color w:val="000000"/>
                <w:sz w:val="20"/>
                <w:szCs w:val="20"/>
              </w:rPr>
            </w:pPr>
            <w:r>
              <w:rPr>
                <w:color w:val="000000"/>
                <w:sz w:val="20"/>
                <w:szCs w:val="20"/>
              </w:rPr>
              <w:t>-</w:t>
            </w:r>
          </w:p>
        </w:tc>
        <w:tc>
          <w:tcPr>
            <w:tcW w:w="69" w:type="dxa"/>
            <w:noWrap/>
            <w:tcMar>
              <w:top w:w="5" w:type="dxa"/>
              <w:left w:w="5" w:type="dxa"/>
              <w:bottom w:w="5" w:type="dxa"/>
              <w:right w:w="5" w:type="dxa"/>
            </w:tcMar>
            <w:vAlign w:val="bottom"/>
            <w:hideMark/>
          </w:tcPr>
          <w:p w14:paraId="43C4CB95" w14:textId="77777777" w:rsidR="00954279" w:rsidRDefault="00A66714">
            <w:pPr>
              <w:rPr>
                <w:color w:val="000000"/>
                <w:sz w:val="20"/>
                <w:szCs w:val="20"/>
              </w:rPr>
            </w:pPr>
            <w:r>
              <w:rPr>
                <w:color w:val="000000"/>
                <w:sz w:val="20"/>
                <w:szCs w:val="20"/>
              </w:rPr>
              <w:t> </w:t>
            </w:r>
          </w:p>
        </w:tc>
        <w:tc>
          <w:tcPr>
            <w:tcW w:w="69" w:type="dxa"/>
            <w:tcMar>
              <w:top w:w="5" w:type="dxa"/>
              <w:left w:w="5" w:type="dxa"/>
              <w:bottom w:w="5" w:type="dxa"/>
              <w:right w:w="5" w:type="dxa"/>
            </w:tcMar>
            <w:vAlign w:val="bottom"/>
            <w:hideMark/>
          </w:tcPr>
          <w:p w14:paraId="6FC2E818" w14:textId="77777777" w:rsidR="00954279" w:rsidRDefault="00A66714">
            <w:pPr>
              <w:rPr>
                <w:color w:val="000000"/>
                <w:sz w:val="20"/>
                <w:szCs w:val="20"/>
              </w:rPr>
            </w:pPr>
            <w:r>
              <w:rPr>
                <w:color w:val="000000"/>
                <w:sz w:val="20"/>
                <w:szCs w:val="20"/>
              </w:rPr>
              <w:t> </w:t>
            </w:r>
          </w:p>
        </w:tc>
        <w:tc>
          <w:tcPr>
            <w:tcW w:w="111" w:type="dxa"/>
            <w:tcMar>
              <w:top w:w="5" w:type="dxa"/>
              <w:left w:w="5" w:type="dxa"/>
              <w:bottom w:w="5" w:type="dxa"/>
              <w:right w:w="5" w:type="dxa"/>
            </w:tcMar>
            <w:vAlign w:val="bottom"/>
            <w:hideMark/>
          </w:tcPr>
          <w:p w14:paraId="234EE02D" w14:textId="77777777" w:rsidR="00954279" w:rsidRDefault="00A66714">
            <w:pPr>
              <w:rPr>
                <w:color w:val="000000"/>
                <w:sz w:val="20"/>
                <w:szCs w:val="20"/>
              </w:rPr>
            </w:pPr>
            <w:r>
              <w:rPr>
                <w:color w:val="000000"/>
                <w:sz w:val="20"/>
                <w:szCs w:val="20"/>
              </w:rPr>
              <w:t> </w:t>
            </w:r>
          </w:p>
        </w:tc>
        <w:tc>
          <w:tcPr>
            <w:tcW w:w="717" w:type="dxa"/>
            <w:tcMar>
              <w:top w:w="5" w:type="dxa"/>
              <w:left w:w="5" w:type="dxa"/>
              <w:bottom w:w="5" w:type="dxa"/>
              <w:right w:w="5" w:type="dxa"/>
            </w:tcMar>
            <w:vAlign w:val="bottom"/>
            <w:hideMark/>
          </w:tcPr>
          <w:p w14:paraId="23FAD0C7" w14:textId="77777777" w:rsidR="00954279" w:rsidRDefault="00A66714">
            <w:pPr>
              <w:jc w:val="right"/>
              <w:rPr>
                <w:color w:val="000000"/>
                <w:sz w:val="20"/>
                <w:szCs w:val="20"/>
              </w:rPr>
            </w:pPr>
            <w:r>
              <w:rPr>
                <w:color w:val="000000"/>
                <w:sz w:val="20"/>
                <w:szCs w:val="20"/>
              </w:rPr>
              <w:t>-</w:t>
            </w:r>
          </w:p>
        </w:tc>
        <w:tc>
          <w:tcPr>
            <w:tcW w:w="69" w:type="dxa"/>
            <w:noWrap/>
            <w:tcMar>
              <w:top w:w="5" w:type="dxa"/>
              <w:left w:w="5" w:type="dxa"/>
              <w:bottom w:w="5" w:type="dxa"/>
              <w:right w:w="5" w:type="dxa"/>
            </w:tcMar>
            <w:vAlign w:val="bottom"/>
            <w:hideMark/>
          </w:tcPr>
          <w:p w14:paraId="68281F22" w14:textId="77777777" w:rsidR="00954279" w:rsidRDefault="00A66714">
            <w:pPr>
              <w:rPr>
                <w:color w:val="000000"/>
                <w:sz w:val="20"/>
                <w:szCs w:val="20"/>
              </w:rPr>
            </w:pPr>
            <w:r>
              <w:rPr>
                <w:color w:val="000000"/>
                <w:sz w:val="20"/>
                <w:szCs w:val="20"/>
              </w:rPr>
              <w:t> </w:t>
            </w:r>
          </w:p>
        </w:tc>
        <w:tc>
          <w:tcPr>
            <w:tcW w:w="70" w:type="dxa"/>
            <w:tcMar>
              <w:top w:w="5" w:type="dxa"/>
              <w:left w:w="5" w:type="dxa"/>
              <w:bottom w:w="5" w:type="dxa"/>
              <w:right w:w="5" w:type="dxa"/>
            </w:tcMar>
            <w:vAlign w:val="bottom"/>
            <w:hideMark/>
          </w:tcPr>
          <w:p w14:paraId="663F4812" w14:textId="77777777" w:rsidR="00954279" w:rsidRDefault="00A66714">
            <w:pPr>
              <w:rPr>
                <w:color w:val="000000"/>
                <w:sz w:val="20"/>
                <w:szCs w:val="20"/>
              </w:rPr>
            </w:pPr>
            <w:r>
              <w:rPr>
                <w:color w:val="000000"/>
                <w:sz w:val="20"/>
                <w:szCs w:val="20"/>
              </w:rPr>
              <w:t> </w:t>
            </w:r>
          </w:p>
        </w:tc>
        <w:tc>
          <w:tcPr>
            <w:tcW w:w="116" w:type="dxa"/>
            <w:tcMar>
              <w:top w:w="5" w:type="dxa"/>
              <w:left w:w="5" w:type="dxa"/>
              <w:bottom w:w="5" w:type="dxa"/>
              <w:right w:w="5" w:type="dxa"/>
            </w:tcMar>
            <w:vAlign w:val="bottom"/>
            <w:hideMark/>
          </w:tcPr>
          <w:p w14:paraId="24BCC9E2" w14:textId="77777777" w:rsidR="00954279" w:rsidRDefault="00A66714">
            <w:pPr>
              <w:rPr>
                <w:color w:val="000000"/>
                <w:sz w:val="20"/>
                <w:szCs w:val="20"/>
              </w:rPr>
            </w:pPr>
            <w:r>
              <w:rPr>
                <w:color w:val="000000"/>
                <w:sz w:val="20"/>
                <w:szCs w:val="20"/>
              </w:rPr>
              <w:t> </w:t>
            </w:r>
          </w:p>
        </w:tc>
        <w:tc>
          <w:tcPr>
            <w:tcW w:w="806" w:type="dxa"/>
            <w:tcMar>
              <w:top w:w="5" w:type="dxa"/>
              <w:left w:w="5" w:type="dxa"/>
              <w:bottom w:w="5" w:type="dxa"/>
              <w:right w:w="5" w:type="dxa"/>
            </w:tcMar>
            <w:vAlign w:val="bottom"/>
            <w:hideMark/>
          </w:tcPr>
          <w:p w14:paraId="7999B9CA" w14:textId="77777777" w:rsidR="00954279" w:rsidRDefault="00A66714">
            <w:pPr>
              <w:jc w:val="right"/>
              <w:rPr>
                <w:color w:val="000000"/>
                <w:sz w:val="20"/>
                <w:szCs w:val="20"/>
              </w:rPr>
            </w:pPr>
            <w:r>
              <w:rPr>
                <w:color w:val="000000"/>
                <w:sz w:val="20"/>
                <w:szCs w:val="20"/>
              </w:rPr>
              <w:t>-</w:t>
            </w:r>
          </w:p>
        </w:tc>
        <w:tc>
          <w:tcPr>
            <w:tcW w:w="77" w:type="dxa"/>
            <w:noWrap/>
            <w:tcMar>
              <w:top w:w="5" w:type="dxa"/>
              <w:left w:w="5" w:type="dxa"/>
              <w:bottom w:w="5" w:type="dxa"/>
              <w:right w:w="5" w:type="dxa"/>
            </w:tcMar>
            <w:vAlign w:val="bottom"/>
            <w:hideMark/>
          </w:tcPr>
          <w:p w14:paraId="197980A8" w14:textId="77777777" w:rsidR="00954279" w:rsidRDefault="00A66714">
            <w:pPr>
              <w:rPr>
                <w:color w:val="000000"/>
                <w:sz w:val="20"/>
                <w:szCs w:val="20"/>
              </w:rPr>
            </w:pPr>
            <w:r>
              <w:rPr>
                <w:color w:val="000000"/>
                <w:sz w:val="20"/>
                <w:szCs w:val="20"/>
              </w:rPr>
              <w:t> </w:t>
            </w:r>
          </w:p>
        </w:tc>
        <w:tc>
          <w:tcPr>
            <w:tcW w:w="64" w:type="dxa"/>
            <w:tcMar>
              <w:top w:w="5" w:type="dxa"/>
              <w:left w:w="5" w:type="dxa"/>
              <w:bottom w:w="5" w:type="dxa"/>
              <w:right w:w="5" w:type="dxa"/>
            </w:tcMar>
            <w:vAlign w:val="bottom"/>
            <w:hideMark/>
          </w:tcPr>
          <w:p w14:paraId="654973B0" w14:textId="77777777" w:rsidR="00954279" w:rsidRDefault="00A66714">
            <w:pPr>
              <w:rPr>
                <w:color w:val="000000"/>
                <w:sz w:val="20"/>
                <w:szCs w:val="20"/>
              </w:rPr>
            </w:pPr>
            <w:r>
              <w:rPr>
                <w:color w:val="000000"/>
                <w:sz w:val="20"/>
                <w:szCs w:val="20"/>
              </w:rPr>
              <w:t> </w:t>
            </w:r>
          </w:p>
        </w:tc>
        <w:tc>
          <w:tcPr>
            <w:tcW w:w="111" w:type="dxa"/>
            <w:tcMar>
              <w:top w:w="5" w:type="dxa"/>
              <w:left w:w="5" w:type="dxa"/>
              <w:bottom w:w="5" w:type="dxa"/>
              <w:right w:w="5" w:type="dxa"/>
            </w:tcMar>
            <w:vAlign w:val="bottom"/>
            <w:hideMark/>
          </w:tcPr>
          <w:p w14:paraId="4DE80BCA" w14:textId="77777777" w:rsidR="00954279" w:rsidRDefault="00A66714">
            <w:pPr>
              <w:rPr>
                <w:color w:val="000000"/>
                <w:sz w:val="20"/>
                <w:szCs w:val="20"/>
              </w:rPr>
            </w:pPr>
            <w:r>
              <w:rPr>
                <w:color w:val="000000"/>
                <w:sz w:val="20"/>
                <w:szCs w:val="20"/>
              </w:rPr>
              <w:t> </w:t>
            </w:r>
          </w:p>
        </w:tc>
        <w:tc>
          <w:tcPr>
            <w:tcW w:w="719" w:type="dxa"/>
            <w:tcMar>
              <w:top w:w="5" w:type="dxa"/>
              <w:left w:w="5" w:type="dxa"/>
              <w:bottom w:w="5" w:type="dxa"/>
              <w:right w:w="5" w:type="dxa"/>
            </w:tcMar>
            <w:vAlign w:val="bottom"/>
            <w:hideMark/>
          </w:tcPr>
          <w:p w14:paraId="5A1930F4" w14:textId="77777777" w:rsidR="00954279" w:rsidRDefault="00A66714">
            <w:pPr>
              <w:jc w:val="right"/>
              <w:rPr>
                <w:color w:val="000000"/>
                <w:sz w:val="20"/>
                <w:szCs w:val="20"/>
              </w:rPr>
            </w:pPr>
            <w:r>
              <w:rPr>
                <w:b/>
                <w:bCs/>
                <w:color w:val="000000"/>
                <w:sz w:val="20"/>
                <w:szCs w:val="20"/>
              </w:rPr>
              <w:t>(3</w:t>
            </w:r>
          </w:p>
        </w:tc>
        <w:tc>
          <w:tcPr>
            <w:tcW w:w="77" w:type="dxa"/>
            <w:noWrap/>
            <w:tcMar>
              <w:top w:w="5" w:type="dxa"/>
              <w:left w:w="5" w:type="dxa"/>
              <w:bottom w:w="5" w:type="dxa"/>
              <w:right w:w="5" w:type="dxa"/>
            </w:tcMar>
            <w:vAlign w:val="bottom"/>
            <w:hideMark/>
          </w:tcPr>
          <w:p w14:paraId="1377E20D" w14:textId="77777777" w:rsidR="00954279" w:rsidRDefault="00A66714">
            <w:pPr>
              <w:rPr>
                <w:color w:val="000000"/>
                <w:sz w:val="20"/>
                <w:szCs w:val="20"/>
              </w:rPr>
            </w:pPr>
            <w:r>
              <w:rPr>
                <w:color w:val="000000"/>
                <w:sz w:val="20"/>
                <w:szCs w:val="20"/>
              </w:rPr>
              <w:t>)</w:t>
            </w:r>
          </w:p>
        </w:tc>
        <w:tc>
          <w:tcPr>
            <w:tcW w:w="65" w:type="dxa"/>
            <w:tcMar>
              <w:top w:w="5" w:type="dxa"/>
              <w:left w:w="5" w:type="dxa"/>
              <w:bottom w:w="5" w:type="dxa"/>
              <w:right w:w="5" w:type="dxa"/>
            </w:tcMar>
            <w:vAlign w:val="bottom"/>
            <w:hideMark/>
          </w:tcPr>
          <w:p w14:paraId="7927C54A" w14:textId="77777777" w:rsidR="00954279" w:rsidRDefault="00A66714">
            <w:pPr>
              <w:rPr>
                <w:color w:val="000000"/>
                <w:sz w:val="20"/>
                <w:szCs w:val="20"/>
              </w:rPr>
            </w:pPr>
            <w:r>
              <w:rPr>
                <w:color w:val="000000"/>
                <w:sz w:val="20"/>
                <w:szCs w:val="20"/>
              </w:rPr>
              <w:t> </w:t>
            </w:r>
          </w:p>
        </w:tc>
        <w:tc>
          <w:tcPr>
            <w:tcW w:w="74" w:type="dxa"/>
            <w:tcMar>
              <w:top w:w="5" w:type="dxa"/>
              <w:left w:w="5" w:type="dxa"/>
              <w:bottom w:w="5" w:type="dxa"/>
              <w:right w:w="5" w:type="dxa"/>
            </w:tcMar>
            <w:vAlign w:val="bottom"/>
            <w:hideMark/>
          </w:tcPr>
          <w:p w14:paraId="05C8AD69" w14:textId="77777777" w:rsidR="00954279" w:rsidRDefault="00A66714">
            <w:pPr>
              <w:rPr>
                <w:color w:val="000000"/>
                <w:sz w:val="20"/>
                <w:szCs w:val="20"/>
              </w:rPr>
            </w:pPr>
            <w:r>
              <w:rPr>
                <w:color w:val="000000"/>
                <w:sz w:val="20"/>
                <w:szCs w:val="20"/>
              </w:rPr>
              <w:t> </w:t>
            </w:r>
          </w:p>
        </w:tc>
        <w:tc>
          <w:tcPr>
            <w:tcW w:w="716" w:type="dxa"/>
            <w:tcMar>
              <w:top w:w="5" w:type="dxa"/>
              <w:left w:w="5" w:type="dxa"/>
              <w:bottom w:w="5" w:type="dxa"/>
              <w:right w:w="5" w:type="dxa"/>
            </w:tcMar>
            <w:vAlign w:val="bottom"/>
            <w:hideMark/>
          </w:tcPr>
          <w:p w14:paraId="7EB13CA1" w14:textId="77777777" w:rsidR="00954279" w:rsidRDefault="00A66714">
            <w:pPr>
              <w:jc w:val="right"/>
              <w:rPr>
                <w:color w:val="000000"/>
                <w:sz w:val="20"/>
                <w:szCs w:val="20"/>
              </w:rPr>
            </w:pPr>
            <w:r>
              <w:rPr>
                <w:color w:val="000000"/>
                <w:sz w:val="20"/>
                <w:szCs w:val="20"/>
              </w:rPr>
              <w:t>-</w:t>
            </w:r>
          </w:p>
        </w:tc>
        <w:tc>
          <w:tcPr>
            <w:tcW w:w="77" w:type="dxa"/>
            <w:noWrap/>
            <w:tcMar>
              <w:top w:w="5" w:type="dxa"/>
              <w:left w:w="5" w:type="dxa"/>
              <w:bottom w:w="5" w:type="dxa"/>
              <w:right w:w="5" w:type="dxa"/>
            </w:tcMar>
            <w:vAlign w:val="bottom"/>
            <w:hideMark/>
          </w:tcPr>
          <w:p w14:paraId="706FE220" w14:textId="77777777" w:rsidR="00954279" w:rsidRDefault="00A66714">
            <w:pPr>
              <w:rPr>
                <w:color w:val="000000"/>
                <w:sz w:val="20"/>
                <w:szCs w:val="20"/>
              </w:rPr>
            </w:pPr>
            <w:r>
              <w:rPr>
                <w:color w:val="000000"/>
                <w:sz w:val="20"/>
                <w:szCs w:val="20"/>
              </w:rPr>
              <w:t> </w:t>
            </w:r>
          </w:p>
        </w:tc>
        <w:tc>
          <w:tcPr>
            <w:tcW w:w="65" w:type="dxa"/>
            <w:tcMar>
              <w:top w:w="5" w:type="dxa"/>
              <w:left w:w="5" w:type="dxa"/>
              <w:bottom w:w="5" w:type="dxa"/>
              <w:right w:w="5" w:type="dxa"/>
            </w:tcMar>
            <w:vAlign w:val="bottom"/>
            <w:hideMark/>
          </w:tcPr>
          <w:p w14:paraId="0F42C65C" w14:textId="77777777" w:rsidR="00954279" w:rsidRDefault="00A66714">
            <w:pPr>
              <w:rPr>
                <w:color w:val="000000"/>
                <w:sz w:val="20"/>
                <w:szCs w:val="20"/>
              </w:rPr>
            </w:pPr>
            <w:r>
              <w:rPr>
                <w:color w:val="000000"/>
                <w:sz w:val="20"/>
                <w:szCs w:val="20"/>
              </w:rPr>
              <w:t> </w:t>
            </w:r>
          </w:p>
        </w:tc>
        <w:tc>
          <w:tcPr>
            <w:tcW w:w="111" w:type="dxa"/>
            <w:tcMar>
              <w:top w:w="5" w:type="dxa"/>
              <w:left w:w="5" w:type="dxa"/>
              <w:bottom w:w="5" w:type="dxa"/>
              <w:right w:w="5" w:type="dxa"/>
            </w:tcMar>
            <w:vAlign w:val="bottom"/>
            <w:hideMark/>
          </w:tcPr>
          <w:p w14:paraId="0FC07E15" w14:textId="77777777" w:rsidR="00954279" w:rsidRDefault="00A66714">
            <w:pPr>
              <w:rPr>
                <w:color w:val="000000"/>
                <w:sz w:val="20"/>
                <w:szCs w:val="20"/>
              </w:rPr>
            </w:pPr>
            <w:r>
              <w:rPr>
                <w:color w:val="000000"/>
                <w:sz w:val="20"/>
                <w:szCs w:val="20"/>
              </w:rPr>
              <w:t> </w:t>
            </w:r>
          </w:p>
        </w:tc>
        <w:tc>
          <w:tcPr>
            <w:tcW w:w="719" w:type="dxa"/>
            <w:tcMar>
              <w:top w:w="5" w:type="dxa"/>
              <w:left w:w="5" w:type="dxa"/>
              <w:bottom w:w="5" w:type="dxa"/>
              <w:right w:w="5" w:type="dxa"/>
            </w:tcMar>
            <w:vAlign w:val="bottom"/>
            <w:hideMark/>
          </w:tcPr>
          <w:p w14:paraId="66B1AA1E" w14:textId="77777777" w:rsidR="00954279" w:rsidRDefault="00A66714">
            <w:pPr>
              <w:jc w:val="right"/>
              <w:rPr>
                <w:color w:val="000000"/>
                <w:sz w:val="20"/>
                <w:szCs w:val="20"/>
              </w:rPr>
            </w:pPr>
            <w:r>
              <w:rPr>
                <w:color w:val="000000"/>
                <w:sz w:val="20"/>
                <w:szCs w:val="20"/>
              </w:rPr>
              <w:t>-</w:t>
            </w:r>
          </w:p>
        </w:tc>
        <w:tc>
          <w:tcPr>
            <w:tcW w:w="77" w:type="dxa"/>
            <w:noWrap/>
            <w:tcMar>
              <w:top w:w="5" w:type="dxa"/>
              <w:left w:w="5" w:type="dxa"/>
              <w:bottom w:w="5" w:type="dxa"/>
              <w:right w:w="5" w:type="dxa"/>
            </w:tcMar>
            <w:vAlign w:val="bottom"/>
            <w:hideMark/>
          </w:tcPr>
          <w:p w14:paraId="48D82D78" w14:textId="77777777" w:rsidR="00954279" w:rsidRDefault="00A66714">
            <w:pPr>
              <w:rPr>
                <w:color w:val="000000"/>
                <w:sz w:val="20"/>
                <w:szCs w:val="20"/>
              </w:rPr>
            </w:pPr>
            <w:r>
              <w:rPr>
                <w:color w:val="000000"/>
                <w:sz w:val="20"/>
                <w:szCs w:val="20"/>
              </w:rPr>
              <w:t> </w:t>
            </w:r>
          </w:p>
        </w:tc>
        <w:tc>
          <w:tcPr>
            <w:tcW w:w="65" w:type="dxa"/>
            <w:tcMar>
              <w:top w:w="5" w:type="dxa"/>
              <w:left w:w="5" w:type="dxa"/>
              <w:bottom w:w="5" w:type="dxa"/>
              <w:right w:w="5" w:type="dxa"/>
            </w:tcMar>
            <w:vAlign w:val="bottom"/>
            <w:hideMark/>
          </w:tcPr>
          <w:p w14:paraId="28553601" w14:textId="77777777" w:rsidR="00954279" w:rsidRDefault="00A66714">
            <w:pPr>
              <w:rPr>
                <w:color w:val="000000"/>
                <w:sz w:val="20"/>
                <w:szCs w:val="20"/>
              </w:rPr>
            </w:pPr>
            <w:r>
              <w:rPr>
                <w:color w:val="000000"/>
                <w:sz w:val="20"/>
                <w:szCs w:val="20"/>
              </w:rPr>
              <w:t> </w:t>
            </w:r>
          </w:p>
        </w:tc>
        <w:tc>
          <w:tcPr>
            <w:tcW w:w="168" w:type="dxa"/>
            <w:tcMar>
              <w:top w:w="5" w:type="dxa"/>
              <w:left w:w="5" w:type="dxa"/>
              <w:bottom w:w="5" w:type="dxa"/>
              <w:right w:w="5" w:type="dxa"/>
            </w:tcMar>
            <w:vAlign w:val="bottom"/>
            <w:hideMark/>
          </w:tcPr>
          <w:p w14:paraId="68057CEF" w14:textId="77777777" w:rsidR="00954279" w:rsidRDefault="00A66714">
            <w:pPr>
              <w:rPr>
                <w:color w:val="000000"/>
                <w:sz w:val="20"/>
                <w:szCs w:val="20"/>
              </w:rPr>
            </w:pPr>
            <w:r>
              <w:rPr>
                <w:color w:val="000000"/>
                <w:sz w:val="20"/>
                <w:szCs w:val="20"/>
              </w:rPr>
              <w:t> </w:t>
            </w:r>
          </w:p>
        </w:tc>
        <w:tc>
          <w:tcPr>
            <w:tcW w:w="1176" w:type="dxa"/>
            <w:tcMar>
              <w:top w:w="5" w:type="dxa"/>
              <w:left w:w="5" w:type="dxa"/>
              <w:bottom w:w="5" w:type="dxa"/>
              <w:right w:w="5" w:type="dxa"/>
            </w:tcMar>
            <w:vAlign w:val="bottom"/>
            <w:hideMark/>
          </w:tcPr>
          <w:p w14:paraId="3596BBFC" w14:textId="77777777" w:rsidR="00954279" w:rsidRDefault="00A66714">
            <w:pPr>
              <w:jc w:val="right"/>
              <w:rPr>
                <w:color w:val="000000"/>
                <w:sz w:val="20"/>
                <w:szCs w:val="20"/>
              </w:rPr>
            </w:pPr>
            <w:r>
              <w:rPr>
                <w:color w:val="000000"/>
                <w:sz w:val="20"/>
                <w:szCs w:val="20"/>
              </w:rPr>
              <w:t>-</w:t>
            </w:r>
          </w:p>
        </w:tc>
        <w:tc>
          <w:tcPr>
            <w:tcW w:w="77" w:type="dxa"/>
            <w:noWrap/>
            <w:tcMar>
              <w:top w:w="5" w:type="dxa"/>
              <w:left w:w="5" w:type="dxa"/>
              <w:bottom w:w="5" w:type="dxa"/>
              <w:right w:w="5" w:type="dxa"/>
            </w:tcMar>
            <w:vAlign w:val="bottom"/>
            <w:hideMark/>
          </w:tcPr>
          <w:p w14:paraId="72B6803F" w14:textId="77777777" w:rsidR="00954279" w:rsidRDefault="00A66714">
            <w:pPr>
              <w:rPr>
                <w:color w:val="000000"/>
                <w:sz w:val="20"/>
                <w:szCs w:val="20"/>
              </w:rPr>
            </w:pPr>
            <w:r>
              <w:rPr>
                <w:color w:val="000000"/>
                <w:sz w:val="20"/>
                <w:szCs w:val="20"/>
              </w:rPr>
              <w:t> </w:t>
            </w:r>
          </w:p>
        </w:tc>
        <w:tc>
          <w:tcPr>
            <w:tcW w:w="65" w:type="dxa"/>
            <w:tcMar>
              <w:top w:w="5" w:type="dxa"/>
              <w:left w:w="5" w:type="dxa"/>
              <w:bottom w:w="5" w:type="dxa"/>
              <w:right w:w="5" w:type="dxa"/>
            </w:tcMar>
            <w:vAlign w:val="bottom"/>
            <w:hideMark/>
          </w:tcPr>
          <w:p w14:paraId="5E62D896" w14:textId="77777777" w:rsidR="00954279" w:rsidRDefault="00A66714">
            <w:pPr>
              <w:rPr>
                <w:color w:val="000000"/>
                <w:sz w:val="20"/>
                <w:szCs w:val="20"/>
              </w:rPr>
            </w:pPr>
            <w:r>
              <w:rPr>
                <w:color w:val="000000"/>
                <w:sz w:val="20"/>
                <w:szCs w:val="20"/>
              </w:rPr>
              <w:t> </w:t>
            </w:r>
          </w:p>
        </w:tc>
        <w:tc>
          <w:tcPr>
            <w:tcW w:w="148" w:type="dxa"/>
            <w:tcMar>
              <w:top w:w="5" w:type="dxa"/>
              <w:left w:w="5" w:type="dxa"/>
              <w:bottom w:w="5" w:type="dxa"/>
              <w:right w:w="5" w:type="dxa"/>
            </w:tcMar>
            <w:vAlign w:val="bottom"/>
            <w:hideMark/>
          </w:tcPr>
          <w:p w14:paraId="111BDB52" w14:textId="77777777" w:rsidR="00954279" w:rsidRDefault="00A66714">
            <w:pPr>
              <w:rPr>
                <w:color w:val="000000"/>
                <w:sz w:val="20"/>
                <w:szCs w:val="20"/>
              </w:rPr>
            </w:pPr>
            <w:r>
              <w:rPr>
                <w:color w:val="000000"/>
                <w:sz w:val="20"/>
                <w:szCs w:val="20"/>
              </w:rPr>
              <w:t> </w:t>
            </w:r>
          </w:p>
        </w:tc>
        <w:tc>
          <w:tcPr>
            <w:tcW w:w="1029" w:type="dxa"/>
            <w:tcMar>
              <w:top w:w="5" w:type="dxa"/>
              <w:left w:w="5" w:type="dxa"/>
              <w:bottom w:w="5" w:type="dxa"/>
              <w:right w:w="5" w:type="dxa"/>
            </w:tcMar>
            <w:vAlign w:val="bottom"/>
            <w:hideMark/>
          </w:tcPr>
          <w:p w14:paraId="74B990AF" w14:textId="77777777" w:rsidR="00954279" w:rsidRDefault="00A66714">
            <w:pPr>
              <w:jc w:val="right"/>
              <w:rPr>
                <w:color w:val="000000"/>
                <w:sz w:val="20"/>
                <w:szCs w:val="20"/>
              </w:rPr>
            </w:pPr>
            <w:r>
              <w:rPr>
                <w:b/>
                <w:bCs/>
                <w:color w:val="000000"/>
                <w:sz w:val="20"/>
                <w:szCs w:val="20"/>
              </w:rPr>
              <w:t>(3</w:t>
            </w:r>
          </w:p>
        </w:tc>
        <w:tc>
          <w:tcPr>
            <w:tcW w:w="77" w:type="dxa"/>
            <w:noWrap/>
            <w:tcMar>
              <w:top w:w="5" w:type="dxa"/>
              <w:left w:w="5" w:type="dxa"/>
              <w:bottom w:w="5" w:type="dxa"/>
              <w:right w:w="5" w:type="dxa"/>
            </w:tcMar>
            <w:vAlign w:val="bottom"/>
            <w:hideMark/>
          </w:tcPr>
          <w:p w14:paraId="0DF076C0" w14:textId="77777777" w:rsidR="00954279" w:rsidRDefault="00A66714">
            <w:pPr>
              <w:rPr>
                <w:color w:val="000000"/>
                <w:sz w:val="20"/>
                <w:szCs w:val="20"/>
              </w:rPr>
            </w:pPr>
            <w:r>
              <w:rPr>
                <w:color w:val="000000"/>
                <w:sz w:val="20"/>
                <w:szCs w:val="20"/>
              </w:rPr>
              <w:t>)</w:t>
            </w:r>
          </w:p>
        </w:tc>
      </w:tr>
      <w:tr w:rsidR="00954279" w14:paraId="23CE815C" w14:textId="77777777" w:rsidTr="00717712">
        <w:tc>
          <w:tcPr>
            <w:tcW w:w="2678" w:type="dxa"/>
            <w:tcMar>
              <w:top w:w="5" w:type="dxa"/>
              <w:left w:w="5" w:type="dxa"/>
              <w:bottom w:w="5" w:type="dxa"/>
              <w:right w:w="5" w:type="dxa"/>
            </w:tcMar>
            <w:vAlign w:val="bottom"/>
            <w:hideMark/>
          </w:tcPr>
          <w:p w14:paraId="220774C4" w14:textId="77777777" w:rsidR="00954279" w:rsidRDefault="00A66714">
            <w:pPr>
              <w:ind w:left="180"/>
              <w:rPr>
                <w:color w:val="000000"/>
                <w:sz w:val="20"/>
                <w:szCs w:val="20"/>
              </w:rPr>
            </w:pPr>
            <w:r>
              <w:rPr>
                <w:color w:val="000000"/>
                <w:sz w:val="20"/>
                <w:szCs w:val="20"/>
              </w:rPr>
              <w:t>Foreign currency translation</w:t>
            </w:r>
          </w:p>
        </w:tc>
        <w:tc>
          <w:tcPr>
            <w:tcW w:w="60" w:type="dxa"/>
            <w:tcMar>
              <w:top w:w="5" w:type="dxa"/>
              <w:left w:w="5" w:type="dxa"/>
              <w:bottom w:w="5" w:type="dxa"/>
              <w:right w:w="5" w:type="dxa"/>
            </w:tcMar>
            <w:vAlign w:val="bottom"/>
            <w:hideMark/>
          </w:tcPr>
          <w:p w14:paraId="13173AE1" w14:textId="77777777" w:rsidR="00954279" w:rsidRDefault="00A66714">
            <w:pPr>
              <w:rPr>
                <w:color w:val="000000"/>
                <w:sz w:val="20"/>
                <w:szCs w:val="20"/>
              </w:rPr>
            </w:pPr>
            <w:r>
              <w:rPr>
                <w:color w:val="000000"/>
                <w:sz w:val="20"/>
                <w:szCs w:val="20"/>
              </w:rPr>
              <w:t> </w:t>
            </w:r>
          </w:p>
        </w:tc>
        <w:tc>
          <w:tcPr>
            <w:tcW w:w="74" w:type="dxa"/>
            <w:tcMar>
              <w:top w:w="5" w:type="dxa"/>
              <w:left w:w="5" w:type="dxa"/>
              <w:bottom w:w="5" w:type="dxa"/>
              <w:right w:w="5" w:type="dxa"/>
            </w:tcMar>
            <w:vAlign w:val="bottom"/>
            <w:hideMark/>
          </w:tcPr>
          <w:p w14:paraId="7D3A7BA3" w14:textId="77777777" w:rsidR="00954279" w:rsidRDefault="00A66714">
            <w:pPr>
              <w:rPr>
                <w:color w:val="000000"/>
                <w:sz w:val="20"/>
                <w:szCs w:val="20"/>
              </w:rPr>
            </w:pPr>
            <w:r>
              <w:rPr>
                <w:color w:val="000000"/>
                <w:sz w:val="20"/>
                <w:szCs w:val="20"/>
              </w:rPr>
              <w:t> </w:t>
            </w:r>
          </w:p>
        </w:tc>
        <w:tc>
          <w:tcPr>
            <w:tcW w:w="713" w:type="dxa"/>
            <w:tcMar>
              <w:top w:w="5" w:type="dxa"/>
              <w:left w:w="5" w:type="dxa"/>
              <w:bottom w:w="5" w:type="dxa"/>
              <w:right w:w="5" w:type="dxa"/>
            </w:tcMar>
            <w:vAlign w:val="bottom"/>
            <w:hideMark/>
          </w:tcPr>
          <w:p w14:paraId="47A61B5E" w14:textId="77777777" w:rsidR="00954279" w:rsidRDefault="00A66714">
            <w:pPr>
              <w:jc w:val="right"/>
              <w:rPr>
                <w:color w:val="000000"/>
                <w:sz w:val="20"/>
                <w:szCs w:val="20"/>
              </w:rPr>
            </w:pPr>
            <w:r>
              <w:rPr>
                <w:color w:val="000000"/>
                <w:sz w:val="20"/>
                <w:szCs w:val="20"/>
              </w:rPr>
              <w:t>-</w:t>
            </w:r>
          </w:p>
        </w:tc>
        <w:tc>
          <w:tcPr>
            <w:tcW w:w="69" w:type="dxa"/>
            <w:noWrap/>
            <w:tcMar>
              <w:top w:w="5" w:type="dxa"/>
              <w:left w:w="5" w:type="dxa"/>
              <w:bottom w:w="5" w:type="dxa"/>
              <w:right w:w="5" w:type="dxa"/>
            </w:tcMar>
            <w:vAlign w:val="bottom"/>
            <w:hideMark/>
          </w:tcPr>
          <w:p w14:paraId="4A74C86E" w14:textId="77777777" w:rsidR="00954279" w:rsidRDefault="00A66714">
            <w:pPr>
              <w:rPr>
                <w:color w:val="000000"/>
                <w:sz w:val="20"/>
                <w:szCs w:val="20"/>
              </w:rPr>
            </w:pPr>
            <w:r>
              <w:rPr>
                <w:color w:val="000000"/>
                <w:sz w:val="20"/>
                <w:szCs w:val="20"/>
              </w:rPr>
              <w:t> </w:t>
            </w:r>
          </w:p>
        </w:tc>
        <w:tc>
          <w:tcPr>
            <w:tcW w:w="69" w:type="dxa"/>
            <w:tcMar>
              <w:top w:w="5" w:type="dxa"/>
              <w:left w:w="5" w:type="dxa"/>
              <w:bottom w:w="5" w:type="dxa"/>
              <w:right w:w="5" w:type="dxa"/>
            </w:tcMar>
            <w:vAlign w:val="bottom"/>
            <w:hideMark/>
          </w:tcPr>
          <w:p w14:paraId="7D39F149" w14:textId="77777777" w:rsidR="00954279" w:rsidRDefault="00A66714">
            <w:pPr>
              <w:rPr>
                <w:color w:val="000000"/>
                <w:sz w:val="20"/>
                <w:szCs w:val="20"/>
              </w:rPr>
            </w:pPr>
            <w:r>
              <w:rPr>
                <w:color w:val="000000"/>
                <w:sz w:val="20"/>
                <w:szCs w:val="20"/>
              </w:rPr>
              <w:t> </w:t>
            </w:r>
          </w:p>
        </w:tc>
        <w:tc>
          <w:tcPr>
            <w:tcW w:w="111" w:type="dxa"/>
            <w:tcMar>
              <w:top w:w="5" w:type="dxa"/>
              <w:left w:w="5" w:type="dxa"/>
              <w:bottom w:w="5" w:type="dxa"/>
              <w:right w:w="5" w:type="dxa"/>
            </w:tcMar>
            <w:vAlign w:val="bottom"/>
            <w:hideMark/>
          </w:tcPr>
          <w:p w14:paraId="32EA68BE" w14:textId="77777777" w:rsidR="00954279" w:rsidRDefault="00A66714">
            <w:pPr>
              <w:rPr>
                <w:color w:val="000000"/>
                <w:sz w:val="20"/>
                <w:szCs w:val="20"/>
              </w:rPr>
            </w:pPr>
            <w:r>
              <w:rPr>
                <w:color w:val="000000"/>
                <w:sz w:val="20"/>
                <w:szCs w:val="20"/>
              </w:rPr>
              <w:t> </w:t>
            </w:r>
          </w:p>
        </w:tc>
        <w:tc>
          <w:tcPr>
            <w:tcW w:w="717" w:type="dxa"/>
            <w:tcMar>
              <w:top w:w="5" w:type="dxa"/>
              <w:left w:w="5" w:type="dxa"/>
              <w:bottom w:w="5" w:type="dxa"/>
              <w:right w:w="5" w:type="dxa"/>
            </w:tcMar>
            <w:vAlign w:val="bottom"/>
            <w:hideMark/>
          </w:tcPr>
          <w:p w14:paraId="65C1182A" w14:textId="77777777" w:rsidR="00954279" w:rsidRDefault="00A66714">
            <w:pPr>
              <w:jc w:val="right"/>
              <w:rPr>
                <w:color w:val="000000"/>
                <w:sz w:val="20"/>
                <w:szCs w:val="20"/>
              </w:rPr>
            </w:pPr>
            <w:r>
              <w:rPr>
                <w:color w:val="000000"/>
                <w:sz w:val="20"/>
                <w:szCs w:val="20"/>
              </w:rPr>
              <w:t>-</w:t>
            </w:r>
          </w:p>
        </w:tc>
        <w:tc>
          <w:tcPr>
            <w:tcW w:w="69" w:type="dxa"/>
            <w:noWrap/>
            <w:tcMar>
              <w:top w:w="5" w:type="dxa"/>
              <w:left w:w="5" w:type="dxa"/>
              <w:bottom w:w="5" w:type="dxa"/>
              <w:right w:w="5" w:type="dxa"/>
            </w:tcMar>
            <w:vAlign w:val="bottom"/>
            <w:hideMark/>
          </w:tcPr>
          <w:p w14:paraId="3BC8E69D" w14:textId="77777777" w:rsidR="00954279" w:rsidRDefault="00A66714">
            <w:pPr>
              <w:rPr>
                <w:color w:val="000000"/>
                <w:sz w:val="20"/>
                <w:szCs w:val="20"/>
              </w:rPr>
            </w:pPr>
            <w:r>
              <w:rPr>
                <w:color w:val="000000"/>
                <w:sz w:val="20"/>
                <w:szCs w:val="20"/>
              </w:rPr>
              <w:t> </w:t>
            </w:r>
          </w:p>
        </w:tc>
        <w:tc>
          <w:tcPr>
            <w:tcW w:w="70" w:type="dxa"/>
            <w:tcMar>
              <w:top w:w="5" w:type="dxa"/>
              <w:left w:w="5" w:type="dxa"/>
              <w:bottom w:w="5" w:type="dxa"/>
              <w:right w:w="5" w:type="dxa"/>
            </w:tcMar>
            <w:vAlign w:val="bottom"/>
            <w:hideMark/>
          </w:tcPr>
          <w:p w14:paraId="2543E955" w14:textId="77777777" w:rsidR="00954279" w:rsidRDefault="00A66714">
            <w:pPr>
              <w:rPr>
                <w:color w:val="000000"/>
                <w:sz w:val="20"/>
                <w:szCs w:val="20"/>
              </w:rPr>
            </w:pPr>
            <w:r>
              <w:rPr>
                <w:color w:val="000000"/>
                <w:sz w:val="20"/>
                <w:szCs w:val="20"/>
              </w:rPr>
              <w:t> </w:t>
            </w:r>
          </w:p>
        </w:tc>
        <w:tc>
          <w:tcPr>
            <w:tcW w:w="116" w:type="dxa"/>
            <w:tcMar>
              <w:top w:w="5" w:type="dxa"/>
              <w:left w:w="5" w:type="dxa"/>
              <w:bottom w:w="5" w:type="dxa"/>
              <w:right w:w="5" w:type="dxa"/>
            </w:tcMar>
            <w:vAlign w:val="bottom"/>
            <w:hideMark/>
          </w:tcPr>
          <w:p w14:paraId="395B229E" w14:textId="77777777" w:rsidR="00954279" w:rsidRDefault="00A66714">
            <w:pPr>
              <w:rPr>
                <w:color w:val="000000"/>
                <w:sz w:val="20"/>
                <w:szCs w:val="20"/>
              </w:rPr>
            </w:pPr>
            <w:r>
              <w:rPr>
                <w:color w:val="000000"/>
                <w:sz w:val="20"/>
                <w:szCs w:val="20"/>
              </w:rPr>
              <w:t> </w:t>
            </w:r>
          </w:p>
        </w:tc>
        <w:tc>
          <w:tcPr>
            <w:tcW w:w="806" w:type="dxa"/>
            <w:tcMar>
              <w:top w:w="5" w:type="dxa"/>
              <w:left w:w="5" w:type="dxa"/>
              <w:bottom w:w="5" w:type="dxa"/>
              <w:right w:w="5" w:type="dxa"/>
            </w:tcMar>
            <w:vAlign w:val="bottom"/>
            <w:hideMark/>
          </w:tcPr>
          <w:p w14:paraId="784BDED6" w14:textId="77777777" w:rsidR="00954279" w:rsidRDefault="00A66714">
            <w:pPr>
              <w:jc w:val="right"/>
              <w:rPr>
                <w:color w:val="000000"/>
                <w:sz w:val="20"/>
                <w:szCs w:val="20"/>
              </w:rPr>
            </w:pPr>
            <w:r>
              <w:rPr>
                <w:color w:val="000000"/>
                <w:sz w:val="20"/>
                <w:szCs w:val="20"/>
              </w:rPr>
              <w:t>-</w:t>
            </w:r>
          </w:p>
        </w:tc>
        <w:tc>
          <w:tcPr>
            <w:tcW w:w="77" w:type="dxa"/>
            <w:noWrap/>
            <w:tcMar>
              <w:top w:w="5" w:type="dxa"/>
              <w:left w:w="5" w:type="dxa"/>
              <w:bottom w:w="5" w:type="dxa"/>
              <w:right w:w="5" w:type="dxa"/>
            </w:tcMar>
            <w:vAlign w:val="bottom"/>
            <w:hideMark/>
          </w:tcPr>
          <w:p w14:paraId="11B0B6F9" w14:textId="77777777" w:rsidR="00954279" w:rsidRDefault="00A66714">
            <w:pPr>
              <w:rPr>
                <w:color w:val="000000"/>
                <w:sz w:val="20"/>
                <w:szCs w:val="20"/>
              </w:rPr>
            </w:pPr>
            <w:r>
              <w:rPr>
                <w:color w:val="000000"/>
                <w:sz w:val="20"/>
                <w:szCs w:val="20"/>
              </w:rPr>
              <w:t> </w:t>
            </w:r>
          </w:p>
        </w:tc>
        <w:tc>
          <w:tcPr>
            <w:tcW w:w="64" w:type="dxa"/>
            <w:tcMar>
              <w:top w:w="5" w:type="dxa"/>
              <w:left w:w="5" w:type="dxa"/>
              <w:bottom w:w="5" w:type="dxa"/>
              <w:right w:w="5" w:type="dxa"/>
            </w:tcMar>
            <w:vAlign w:val="bottom"/>
            <w:hideMark/>
          </w:tcPr>
          <w:p w14:paraId="4368326B" w14:textId="77777777" w:rsidR="00954279" w:rsidRDefault="00A66714">
            <w:pPr>
              <w:rPr>
                <w:color w:val="000000"/>
                <w:sz w:val="20"/>
                <w:szCs w:val="20"/>
              </w:rPr>
            </w:pPr>
            <w:r>
              <w:rPr>
                <w:color w:val="000000"/>
                <w:sz w:val="20"/>
                <w:szCs w:val="20"/>
              </w:rPr>
              <w:t> </w:t>
            </w:r>
          </w:p>
        </w:tc>
        <w:tc>
          <w:tcPr>
            <w:tcW w:w="111" w:type="dxa"/>
            <w:tcMar>
              <w:top w:w="5" w:type="dxa"/>
              <w:left w:w="5" w:type="dxa"/>
              <w:bottom w:w="5" w:type="dxa"/>
              <w:right w:w="5" w:type="dxa"/>
            </w:tcMar>
            <w:vAlign w:val="bottom"/>
            <w:hideMark/>
          </w:tcPr>
          <w:p w14:paraId="0F63030C" w14:textId="77777777" w:rsidR="00954279" w:rsidRDefault="00A66714">
            <w:pPr>
              <w:rPr>
                <w:color w:val="000000"/>
                <w:sz w:val="20"/>
                <w:szCs w:val="20"/>
              </w:rPr>
            </w:pPr>
            <w:r>
              <w:rPr>
                <w:color w:val="000000"/>
                <w:sz w:val="20"/>
                <w:szCs w:val="20"/>
              </w:rPr>
              <w:t> </w:t>
            </w:r>
          </w:p>
        </w:tc>
        <w:tc>
          <w:tcPr>
            <w:tcW w:w="719" w:type="dxa"/>
            <w:tcMar>
              <w:top w:w="5" w:type="dxa"/>
              <w:left w:w="5" w:type="dxa"/>
              <w:bottom w:w="5" w:type="dxa"/>
              <w:right w:w="5" w:type="dxa"/>
            </w:tcMar>
            <w:vAlign w:val="bottom"/>
            <w:hideMark/>
          </w:tcPr>
          <w:p w14:paraId="6478A478" w14:textId="77777777" w:rsidR="00954279" w:rsidRDefault="00A66714">
            <w:pPr>
              <w:jc w:val="right"/>
              <w:rPr>
                <w:color w:val="000000"/>
                <w:sz w:val="20"/>
                <w:szCs w:val="20"/>
              </w:rPr>
            </w:pPr>
            <w:r>
              <w:rPr>
                <w:color w:val="000000"/>
                <w:sz w:val="20"/>
                <w:szCs w:val="20"/>
              </w:rPr>
              <w:t>-</w:t>
            </w:r>
          </w:p>
        </w:tc>
        <w:tc>
          <w:tcPr>
            <w:tcW w:w="77" w:type="dxa"/>
            <w:noWrap/>
            <w:tcMar>
              <w:top w:w="5" w:type="dxa"/>
              <w:left w:w="5" w:type="dxa"/>
              <w:bottom w:w="5" w:type="dxa"/>
              <w:right w:w="5" w:type="dxa"/>
            </w:tcMar>
            <w:vAlign w:val="bottom"/>
            <w:hideMark/>
          </w:tcPr>
          <w:p w14:paraId="034A89E1" w14:textId="77777777" w:rsidR="00954279" w:rsidRDefault="00A66714">
            <w:pPr>
              <w:rPr>
                <w:color w:val="000000"/>
                <w:sz w:val="20"/>
                <w:szCs w:val="20"/>
              </w:rPr>
            </w:pPr>
            <w:r>
              <w:rPr>
                <w:color w:val="000000"/>
                <w:sz w:val="20"/>
                <w:szCs w:val="20"/>
              </w:rPr>
              <w:t> </w:t>
            </w:r>
          </w:p>
        </w:tc>
        <w:tc>
          <w:tcPr>
            <w:tcW w:w="65" w:type="dxa"/>
            <w:tcMar>
              <w:top w:w="5" w:type="dxa"/>
              <w:left w:w="5" w:type="dxa"/>
              <w:bottom w:w="5" w:type="dxa"/>
              <w:right w:w="5" w:type="dxa"/>
            </w:tcMar>
            <w:vAlign w:val="bottom"/>
            <w:hideMark/>
          </w:tcPr>
          <w:p w14:paraId="5D9840FF" w14:textId="77777777" w:rsidR="00954279" w:rsidRDefault="00A66714">
            <w:pPr>
              <w:rPr>
                <w:color w:val="000000"/>
                <w:sz w:val="20"/>
                <w:szCs w:val="20"/>
              </w:rPr>
            </w:pPr>
            <w:r>
              <w:rPr>
                <w:color w:val="000000"/>
                <w:sz w:val="20"/>
                <w:szCs w:val="20"/>
              </w:rPr>
              <w:t> </w:t>
            </w:r>
          </w:p>
        </w:tc>
        <w:tc>
          <w:tcPr>
            <w:tcW w:w="74" w:type="dxa"/>
            <w:tcMar>
              <w:top w:w="5" w:type="dxa"/>
              <w:left w:w="5" w:type="dxa"/>
              <w:bottom w:w="5" w:type="dxa"/>
              <w:right w:w="5" w:type="dxa"/>
            </w:tcMar>
            <w:vAlign w:val="bottom"/>
            <w:hideMark/>
          </w:tcPr>
          <w:p w14:paraId="350262B0" w14:textId="77777777" w:rsidR="00954279" w:rsidRDefault="00A66714">
            <w:pPr>
              <w:rPr>
                <w:color w:val="000000"/>
                <w:sz w:val="20"/>
                <w:szCs w:val="20"/>
              </w:rPr>
            </w:pPr>
            <w:r>
              <w:rPr>
                <w:color w:val="000000"/>
                <w:sz w:val="20"/>
                <w:szCs w:val="20"/>
              </w:rPr>
              <w:t> </w:t>
            </w:r>
          </w:p>
        </w:tc>
        <w:tc>
          <w:tcPr>
            <w:tcW w:w="716" w:type="dxa"/>
            <w:tcMar>
              <w:top w:w="5" w:type="dxa"/>
              <w:left w:w="5" w:type="dxa"/>
              <w:bottom w:w="5" w:type="dxa"/>
              <w:right w:w="5" w:type="dxa"/>
            </w:tcMar>
            <w:vAlign w:val="bottom"/>
            <w:hideMark/>
          </w:tcPr>
          <w:p w14:paraId="3790C192" w14:textId="77777777" w:rsidR="00954279" w:rsidRDefault="00A66714">
            <w:pPr>
              <w:jc w:val="right"/>
              <w:rPr>
                <w:color w:val="000000"/>
                <w:sz w:val="20"/>
                <w:szCs w:val="20"/>
              </w:rPr>
            </w:pPr>
            <w:r>
              <w:rPr>
                <w:color w:val="000000"/>
                <w:sz w:val="20"/>
                <w:szCs w:val="20"/>
              </w:rPr>
              <w:t>-</w:t>
            </w:r>
          </w:p>
        </w:tc>
        <w:tc>
          <w:tcPr>
            <w:tcW w:w="77" w:type="dxa"/>
            <w:noWrap/>
            <w:tcMar>
              <w:top w:w="5" w:type="dxa"/>
              <w:left w:w="5" w:type="dxa"/>
              <w:bottom w:w="5" w:type="dxa"/>
              <w:right w:w="5" w:type="dxa"/>
            </w:tcMar>
            <w:vAlign w:val="bottom"/>
            <w:hideMark/>
          </w:tcPr>
          <w:p w14:paraId="475ECA64" w14:textId="77777777" w:rsidR="00954279" w:rsidRDefault="00A66714">
            <w:pPr>
              <w:rPr>
                <w:color w:val="000000"/>
                <w:sz w:val="20"/>
                <w:szCs w:val="20"/>
              </w:rPr>
            </w:pPr>
            <w:r>
              <w:rPr>
                <w:color w:val="000000"/>
                <w:sz w:val="20"/>
                <w:szCs w:val="20"/>
              </w:rPr>
              <w:t> </w:t>
            </w:r>
          </w:p>
        </w:tc>
        <w:tc>
          <w:tcPr>
            <w:tcW w:w="65" w:type="dxa"/>
            <w:tcMar>
              <w:top w:w="5" w:type="dxa"/>
              <w:left w:w="5" w:type="dxa"/>
              <w:bottom w:w="5" w:type="dxa"/>
              <w:right w:w="5" w:type="dxa"/>
            </w:tcMar>
            <w:vAlign w:val="bottom"/>
            <w:hideMark/>
          </w:tcPr>
          <w:p w14:paraId="1A873BB1" w14:textId="77777777" w:rsidR="00954279" w:rsidRDefault="00A66714">
            <w:pPr>
              <w:rPr>
                <w:color w:val="000000"/>
                <w:sz w:val="20"/>
                <w:szCs w:val="20"/>
              </w:rPr>
            </w:pPr>
            <w:r>
              <w:rPr>
                <w:color w:val="000000"/>
                <w:sz w:val="20"/>
                <w:szCs w:val="20"/>
              </w:rPr>
              <w:t> </w:t>
            </w:r>
          </w:p>
        </w:tc>
        <w:tc>
          <w:tcPr>
            <w:tcW w:w="111" w:type="dxa"/>
            <w:tcMar>
              <w:top w:w="5" w:type="dxa"/>
              <w:left w:w="5" w:type="dxa"/>
              <w:bottom w:w="5" w:type="dxa"/>
              <w:right w:w="5" w:type="dxa"/>
            </w:tcMar>
            <w:vAlign w:val="bottom"/>
            <w:hideMark/>
          </w:tcPr>
          <w:p w14:paraId="5109B537" w14:textId="77777777" w:rsidR="00954279" w:rsidRDefault="00A66714">
            <w:pPr>
              <w:rPr>
                <w:color w:val="000000"/>
                <w:sz w:val="20"/>
                <w:szCs w:val="20"/>
              </w:rPr>
            </w:pPr>
            <w:r>
              <w:rPr>
                <w:color w:val="000000"/>
                <w:sz w:val="20"/>
                <w:szCs w:val="20"/>
              </w:rPr>
              <w:t> </w:t>
            </w:r>
          </w:p>
        </w:tc>
        <w:tc>
          <w:tcPr>
            <w:tcW w:w="719" w:type="dxa"/>
            <w:tcMar>
              <w:top w:w="5" w:type="dxa"/>
              <w:left w:w="5" w:type="dxa"/>
              <w:bottom w:w="5" w:type="dxa"/>
              <w:right w:w="5" w:type="dxa"/>
            </w:tcMar>
            <w:vAlign w:val="bottom"/>
            <w:hideMark/>
          </w:tcPr>
          <w:p w14:paraId="7C79D67E" w14:textId="77777777" w:rsidR="00954279" w:rsidRDefault="00A66714">
            <w:pPr>
              <w:jc w:val="right"/>
              <w:rPr>
                <w:color w:val="000000"/>
                <w:sz w:val="20"/>
                <w:szCs w:val="20"/>
              </w:rPr>
            </w:pPr>
            <w:r>
              <w:rPr>
                <w:color w:val="000000"/>
                <w:sz w:val="20"/>
                <w:szCs w:val="20"/>
              </w:rPr>
              <w:t>-</w:t>
            </w:r>
          </w:p>
        </w:tc>
        <w:tc>
          <w:tcPr>
            <w:tcW w:w="77" w:type="dxa"/>
            <w:noWrap/>
            <w:tcMar>
              <w:top w:w="5" w:type="dxa"/>
              <w:left w:w="5" w:type="dxa"/>
              <w:bottom w:w="5" w:type="dxa"/>
              <w:right w:w="5" w:type="dxa"/>
            </w:tcMar>
            <w:vAlign w:val="bottom"/>
            <w:hideMark/>
          </w:tcPr>
          <w:p w14:paraId="6926A5F8" w14:textId="77777777" w:rsidR="00954279" w:rsidRDefault="00A66714">
            <w:pPr>
              <w:rPr>
                <w:color w:val="000000"/>
                <w:sz w:val="20"/>
                <w:szCs w:val="20"/>
              </w:rPr>
            </w:pPr>
            <w:r>
              <w:rPr>
                <w:color w:val="000000"/>
                <w:sz w:val="20"/>
                <w:szCs w:val="20"/>
              </w:rPr>
              <w:t> </w:t>
            </w:r>
          </w:p>
        </w:tc>
        <w:tc>
          <w:tcPr>
            <w:tcW w:w="65" w:type="dxa"/>
            <w:tcMar>
              <w:top w:w="5" w:type="dxa"/>
              <w:left w:w="5" w:type="dxa"/>
              <w:bottom w:w="5" w:type="dxa"/>
              <w:right w:w="5" w:type="dxa"/>
            </w:tcMar>
            <w:vAlign w:val="bottom"/>
            <w:hideMark/>
          </w:tcPr>
          <w:p w14:paraId="0ABA0139" w14:textId="77777777" w:rsidR="00954279" w:rsidRDefault="00A66714">
            <w:pPr>
              <w:rPr>
                <w:color w:val="000000"/>
                <w:sz w:val="20"/>
                <w:szCs w:val="20"/>
              </w:rPr>
            </w:pPr>
            <w:r>
              <w:rPr>
                <w:color w:val="000000"/>
                <w:sz w:val="20"/>
                <w:szCs w:val="20"/>
              </w:rPr>
              <w:t> </w:t>
            </w:r>
          </w:p>
        </w:tc>
        <w:tc>
          <w:tcPr>
            <w:tcW w:w="168" w:type="dxa"/>
            <w:tcMar>
              <w:top w:w="5" w:type="dxa"/>
              <w:left w:w="5" w:type="dxa"/>
              <w:bottom w:w="5" w:type="dxa"/>
              <w:right w:w="5" w:type="dxa"/>
            </w:tcMar>
            <w:vAlign w:val="bottom"/>
            <w:hideMark/>
          </w:tcPr>
          <w:p w14:paraId="1CCDB14A" w14:textId="77777777" w:rsidR="00954279" w:rsidRDefault="00A66714">
            <w:pPr>
              <w:rPr>
                <w:color w:val="000000"/>
                <w:sz w:val="20"/>
                <w:szCs w:val="20"/>
              </w:rPr>
            </w:pPr>
            <w:r>
              <w:rPr>
                <w:color w:val="000000"/>
                <w:sz w:val="20"/>
                <w:szCs w:val="20"/>
              </w:rPr>
              <w:t> </w:t>
            </w:r>
          </w:p>
        </w:tc>
        <w:tc>
          <w:tcPr>
            <w:tcW w:w="1176" w:type="dxa"/>
            <w:tcMar>
              <w:top w:w="5" w:type="dxa"/>
              <w:left w:w="5" w:type="dxa"/>
              <w:bottom w:w="5" w:type="dxa"/>
              <w:right w:w="5" w:type="dxa"/>
            </w:tcMar>
            <w:vAlign w:val="bottom"/>
            <w:hideMark/>
          </w:tcPr>
          <w:p w14:paraId="1A172599" w14:textId="77777777" w:rsidR="00954279" w:rsidRDefault="00A66714">
            <w:pPr>
              <w:jc w:val="right"/>
              <w:rPr>
                <w:color w:val="000000"/>
                <w:sz w:val="20"/>
                <w:szCs w:val="20"/>
              </w:rPr>
            </w:pPr>
            <w:r>
              <w:rPr>
                <w:b/>
                <w:bCs/>
                <w:color w:val="000000"/>
                <w:sz w:val="20"/>
                <w:szCs w:val="20"/>
              </w:rPr>
              <w:t>(1</w:t>
            </w:r>
          </w:p>
        </w:tc>
        <w:tc>
          <w:tcPr>
            <w:tcW w:w="77" w:type="dxa"/>
            <w:noWrap/>
            <w:tcMar>
              <w:top w:w="5" w:type="dxa"/>
              <w:left w:w="5" w:type="dxa"/>
              <w:bottom w:w="5" w:type="dxa"/>
              <w:right w:w="5" w:type="dxa"/>
            </w:tcMar>
            <w:vAlign w:val="bottom"/>
            <w:hideMark/>
          </w:tcPr>
          <w:p w14:paraId="050A1D87" w14:textId="77777777" w:rsidR="00954279" w:rsidRDefault="00A66714">
            <w:pPr>
              <w:rPr>
                <w:color w:val="000000"/>
                <w:sz w:val="20"/>
                <w:szCs w:val="20"/>
              </w:rPr>
            </w:pPr>
            <w:r>
              <w:rPr>
                <w:color w:val="000000"/>
                <w:sz w:val="20"/>
                <w:szCs w:val="20"/>
              </w:rPr>
              <w:t>)</w:t>
            </w:r>
          </w:p>
        </w:tc>
        <w:tc>
          <w:tcPr>
            <w:tcW w:w="65" w:type="dxa"/>
            <w:tcMar>
              <w:top w:w="5" w:type="dxa"/>
              <w:left w:w="5" w:type="dxa"/>
              <w:bottom w:w="5" w:type="dxa"/>
              <w:right w:w="5" w:type="dxa"/>
            </w:tcMar>
            <w:vAlign w:val="bottom"/>
            <w:hideMark/>
          </w:tcPr>
          <w:p w14:paraId="701B6755" w14:textId="77777777" w:rsidR="00954279" w:rsidRDefault="00A66714">
            <w:pPr>
              <w:rPr>
                <w:color w:val="000000"/>
                <w:sz w:val="20"/>
                <w:szCs w:val="20"/>
              </w:rPr>
            </w:pPr>
            <w:r>
              <w:rPr>
                <w:color w:val="000000"/>
                <w:sz w:val="20"/>
                <w:szCs w:val="20"/>
              </w:rPr>
              <w:t> </w:t>
            </w:r>
          </w:p>
        </w:tc>
        <w:tc>
          <w:tcPr>
            <w:tcW w:w="148" w:type="dxa"/>
            <w:tcMar>
              <w:top w:w="5" w:type="dxa"/>
              <w:left w:w="5" w:type="dxa"/>
              <w:bottom w:w="5" w:type="dxa"/>
              <w:right w:w="5" w:type="dxa"/>
            </w:tcMar>
            <w:vAlign w:val="bottom"/>
            <w:hideMark/>
          </w:tcPr>
          <w:p w14:paraId="665816EC" w14:textId="77777777" w:rsidR="00954279" w:rsidRDefault="00A66714">
            <w:pPr>
              <w:rPr>
                <w:color w:val="000000"/>
                <w:sz w:val="20"/>
                <w:szCs w:val="20"/>
              </w:rPr>
            </w:pPr>
            <w:r>
              <w:rPr>
                <w:color w:val="000000"/>
                <w:sz w:val="20"/>
                <w:szCs w:val="20"/>
              </w:rPr>
              <w:t> </w:t>
            </w:r>
          </w:p>
        </w:tc>
        <w:tc>
          <w:tcPr>
            <w:tcW w:w="1029" w:type="dxa"/>
            <w:tcMar>
              <w:top w:w="5" w:type="dxa"/>
              <w:left w:w="5" w:type="dxa"/>
              <w:bottom w:w="5" w:type="dxa"/>
              <w:right w:w="5" w:type="dxa"/>
            </w:tcMar>
            <w:vAlign w:val="bottom"/>
            <w:hideMark/>
          </w:tcPr>
          <w:p w14:paraId="5C743D11" w14:textId="77777777" w:rsidR="00954279" w:rsidRDefault="00A66714">
            <w:pPr>
              <w:jc w:val="right"/>
              <w:rPr>
                <w:color w:val="000000"/>
                <w:sz w:val="20"/>
                <w:szCs w:val="20"/>
              </w:rPr>
            </w:pPr>
            <w:r>
              <w:rPr>
                <w:b/>
                <w:bCs/>
                <w:color w:val="000000"/>
                <w:sz w:val="20"/>
                <w:szCs w:val="20"/>
              </w:rPr>
              <w:t>(1</w:t>
            </w:r>
          </w:p>
        </w:tc>
        <w:tc>
          <w:tcPr>
            <w:tcW w:w="77" w:type="dxa"/>
            <w:noWrap/>
            <w:tcMar>
              <w:top w:w="5" w:type="dxa"/>
              <w:left w:w="5" w:type="dxa"/>
              <w:bottom w:w="5" w:type="dxa"/>
              <w:right w:w="5" w:type="dxa"/>
            </w:tcMar>
            <w:vAlign w:val="bottom"/>
            <w:hideMark/>
          </w:tcPr>
          <w:p w14:paraId="72578D24" w14:textId="77777777" w:rsidR="00954279" w:rsidRDefault="00A66714">
            <w:pPr>
              <w:rPr>
                <w:color w:val="000000"/>
                <w:sz w:val="20"/>
                <w:szCs w:val="20"/>
              </w:rPr>
            </w:pPr>
            <w:r>
              <w:rPr>
                <w:color w:val="000000"/>
                <w:sz w:val="20"/>
                <w:szCs w:val="20"/>
              </w:rPr>
              <w:t>)</w:t>
            </w:r>
          </w:p>
        </w:tc>
      </w:tr>
      <w:tr w:rsidR="00954279" w14:paraId="7C9CA398" w14:textId="77777777" w:rsidTr="00717712">
        <w:tc>
          <w:tcPr>
            <w:tcW w:w="2678" w:type="dxa"/>
            <w:tcMar>
              <w:top w:w="5" w:type="dxa"/>
              <w:left w:w="5" w:type="dxa"/>
              <w:bottom w:w="5" w:type="dxa"/>
              <w:right w:w="5" w:type="dxa"/>
            </w:tcMar>
            <w:vAlign w:val="bottom"/>
            <w:hideMark/>
          </w:tcPr>
          <w:p w14:paraId="444573D3" w14:textId="77777777" w:rsidR="00954279" w:rsidRDefault="00A66714">
            <w:pPr>
              <w:ind w:left="180"/>
              <w:rPr>
                <w:color w:val="000000"/>
                <w:sz w:val="20"/>
                <w:szCs w:val="20"/>
              </w:rPr>
            </w:pPr>
            <w:r>
              <w:rPr>
                <w:color w:val="000000"/>
                <w:sz w:val="20"/>
                <w:szCs w:val="20"/>
              </w:rPr>
              <w:t>Hedge accounting adjustments</w:t>
            </w:r>
          </w:p>
        </w:tc>
        <w:tc>
          <w:tcPr>
            <w:tcW w:w="60" w:type="dxa"/>
            <w:tcMar>
              <w:top w:w="5" w:type="dxa"/>
              <w:left w:w="5" w:type="dxa"/>
              <w:bottom w:w="5" w:type="dxa"/>
              <w:right w:w="5" w:type="dxa"/>
            </w:tcMar>
            <w:vAlign w:val="bottom"/>
            <w:hideMark/>
          </w:tcPr>
          <w:p w14:paraId="3779317B" w14:textId="77777777" w:rsidR="00954279" w:rsidRDefault="00A66714">
            <w:pPr>
              <w:rPr>
                <w:color w:val="000000"/>
                <w:sz w:val="20"/>
                <w:szCs w:val="20"/>
              </w:rPr>
            </w:pPr>
            <w:r>
              <w:rPr>
                <w:color w:val="000000"/>
                <w:sz w:val="20"/>
                <w:szCs w:val="20"/>
              </w:rPr>
              <w:t> </w:t>
            </w:r>
          </w:p>
        </w:tc>
        <w:tc>
          <w:tcPr>
            <w:tcW w:w="74" w:type="dxa"/>
            <w:tcMar>
              <w:top w:w="5" w:type="dxa"/>
              <w:left w:w="5" w:type="dxa"/>
              <w:bottom w:w="5" w:type="dxa"/>
              <w:right w:w="5" w:type="dxa"/>
            </w:tcMar>
            <w:vAlign w:val="bottom"/>
            <w:hideMark/>
          </w:tcPr>
          <w:p w14:paraId="3F6C0EA1" w14:textId="77777777" w:rsidR="00954279" w:rsidRDefault="00A66714">
            <w:pPr>
              <w:rPr>
                <w:color w:val="000000"/>
                <w:sz w:val="20"/>
                <w:szCs w:val="20"/>
              </w:rPr>
            </w:pPr>
            <w:r>
              <w:rPr>
                <w:color w:val="000000"/>
                <w:sz w:val="20"/>
                <w:szCs w:val="20"/>
              </w:rPr>
              <w:t> </w:t>
            </w:r>
          </w:p>
        </w:tc>
        <w:tc>
          <w:tcPr>
            <w:tcW w:w="713" w:type="dxa"/>
            <w:tcMar>
              <w:top w:w="5" w:type="dxa"/>
              <w:left w:w="5" w:type="dxa"/>
              <w:bottom w:w="5" w:type="dxa"/>
              <w:right w:w="5" w:type="dxa"/>
            </w:tcMar>
            <w:vAlign w:val="bottom"/>
            <w:hideMark/>
          </w:tcPr>
          <w:p w14:paraId="2F7A1340" w14:textId="77777777" w:rsidR="00954279" w:rsidRDefault="00A66714">
            <w:pPr>
              <w:jc w:val="right"/>
              <w:rPr>
                <w:color w:val="000000"/>
                <w:sz w:val="20"/>
                <w:szCs w:val="20"/>
              </w:rPr>
            </w:pPr>
            <w:r>
              <w:rPr>
                <w:b/>
                <w:bCs/>
                <w:color w:val="000000"/>
                <w:sz w:val="20"/>
                <w:szCs w:val="20"/>
              </w:rPr>
              <w:t>-</w:t>
            </w:r>
          </w:p>
        </w:tc>
        <w:tc>
          <w:tcPr>
            <w:tcW w:w="69" w:type="dxa"/>
            <w:noWrap/>
            <w:tcMar>
              <w:top w:w="5" w:type="dxa"/>
              <w:left w:w="5" w:type="dxa"/>
              <w:bottom w:w="5" w:type="dxa"/>
              <w:right w:w="5" w:type="dxa"/>
            </w:tcMar>
            <w:vAlign w:val="bottom"/>
            <w:hideMark/>
          </w:tcPr>
          <w:p w14:paraId="79415324" w14:textId="77777777" w:rsidR="00954279" w:rsidRDefault="00A66714">
            <w:pPr>
              <w:rPr>
                <w:color w:val="000000"/>
                <w:sz w:val="20"/>
                <w:szCs w:val="20"/>
              </w:rPr>
            </w:pPr>
            <w:r>
              <w:rPr>
                <w:color w:val="000000"/>
                <w:sz w:val="20"/>
                <w:szCs w:val="20"/>
              </w:rPr>
              <w:t> </w:t>
            </w:r>
          </w:p>
        </w:tc>
        <w:tc>
          <w:tcPr>
            <w:tcW w:w="69" w:type="dxa"/>
            <w:tcMar>
              <w:top w:w="5" w:type="dxa"/>
              <w:left w:w="5" w:type="dxa"/>
              <w:bottom w:w="5" w:type="dxa"/>
              <w:right w:w="5" w:type="dxa"/>
            </w:tcMar>
            <w:vAlign w:val="bottom"/>
            <w:hideMark/>
          </w:tcPr>
          <w:p w14:paraId="5A1F8490" w14:textId="77777777" w:rsidR="00954279" w:rsidRDefault="00A66714">
            <w:pPr>
              <w:rPr>
                <w:color w:val="000000"/>
                <w:sz w:val="20"/>
                <w:szCs w:val="20"/>
              </w:rPr>
            </w:pPr>
            <w:r>
              <w:rPr>
                <w:color w:val="000000"/>
                <w:sz w:val="20"/>
                <w:szCs w:val="20"/>
              </w:rPr>
              <w:t> </w:t>
            </w:r>
          </w:p>
        </w:tc>
        <w:tc>
          <w:tcPr>
            <w:tcW w:w="111" w:type="dxa"/>
            <w:tcMar>
              <w:top w:w="5" w:type="dxa"/>
              <w:left w:w="5" w:type="dxa"/>
              <w:bottom w:w="5" w:type="dxa"/>
              <w:right w:w="5" w:type="dxa"/>
            </w:tcMar>
            <w:vAlign w:val="bottom"/>
            <w:hideMark/>
          </w:tcPr>
          <w:p w14:paraId="062D6527" w14:textId="77777777" w:rsidR="00954279" w:rsidRDefault="00A66714">
            <w:pPr>
              <w:rPr>
                <w:color w:val="000000"/>
                <w:sz w:val="20"/>
                <w:szCs w:val="20"/>
              </w:rPr>
            </w:pPr>
            <w:r>
              <w:rPr>
                <w:color w:val="000000"/>
                <w:sz w:val="20"/>
                <w:szCs w:val="20"/>
              </w:rPr>
              <w:t> </w:t>
            </w:r>
          </w:p>
        </w:tc>
        <w:tc>
          <w:tcPr>
            <w:tcW w:w="717" w:type="dxa"/>
            <w:tcMar>
              <w:top w:w="5" w:type="dxa"/>
              <w:left w:w="5" w:type="dxa"/>
              <w:bottom w:w="5" w:type="dxa"/>
              <w:right w:w="5" w:type="dxa"/>
            </w:tcMar>
            <w:vAlign w:val="bottom"/>
            <w:hideMark/>
          </w:tcPr>
          <w:p w14:paraId="168E3EAB" w14:textId="77777777" w:rsidR="00954279" w:rsidRDefault="00A66714">
            <w:pPr>
              <w:jc w:val="right"/>
              <w:rPr>
                <w:color w:val="000000"/>
                <w:sz w:val="20"/>
                <w:szCs w:val="20"/>
              </w:rPr>
            </w:pPr>
            <w:r>
              <w:rPr>
                <w:b/>
                <w:bCs/>
                <w:color w:val="000000"/>
                <w:sz w:val="20"/>
                <w:szCs w:val="20"/>
              </w:rPr>
              <w:t>-</w:t>
            </w:r>
          </w:p>
        </w:tc>
        <w:tc>
          <w:tcPr>
            <w:tcW w:w="69" w:type="dxa"/>
            <w:noWrap/>
            <w:tcMar>
              <w:top w:w="5" w:type="dxa"/>
              <w:left w:w="5" w:type="dxa"/>
              <w:bottom w:w="5" w:type="dxa"/>
              <w:right w:w="5" w:type="dxa"/>
            </w:tcMar>
            <w:vAlign w:val="bottom"/>
            <w:hideMark/>
          </w:tcPr>
          <w:p w14:paraId="6A06F41F" w14:textId="77777777" w:rsidR="00954279" w:rsidRDefault="00A66714">
            <w:pPr>
              <w:rPr>
                <w:color w:val="000000"/>
                <w:sz w:val="20"/>
                <w:szCs w:val="20"/>
              </w:rPr>
            </w:pPr>
            <w:r>
              <w:rPr>
                <w:color w:val="000000"/>
                <w:sz w:val="20"/>
                <w:szCs w:val="20"/>
              </w:rPr>
              <w:t> </w:t>
            </w:r>
          </w:p>
        </w:tc>
        <w:tc>
          <w:tcPr>
            <w:tcW w:w="70" w:type="dxa"/>
            <w:tcMar>
              <w:top w:w="5" w:type="dxa"/>
              <w:left w:w="5" w:type="dxa"/>
              <w:bottom w:w="5" w:type="dxa"/>
              <w:right w:w="5" w:type="dxa"/>
            </w:tcMar>
            <w:vAlign w:val="bottom"/>
            <w:hideMark/>
          </w:tcPr>
          <w:p w14:paraId="27D02679" w14:textId="77777777" w:rsidR="00954279" w:rsidRDefault="00A66714">
            <w:pPr>
              <w:rPr>
                <w:color w:val="000000"/>
                <w:sz w:val="20"/>
                <w:szCs w:val="20"/>
              </w:rPr>
            </w:pPr>
            <w:r>
              <w:rPr>
                <w:color w:val="000000"/>
                <w:sz w:val="20"/>
                <w:szCs w:val="20"/>
              </w:rPr>
              <w:t> </w:t>
            </w:r>
          </w:p>
        </w:tc>
        <w:tc>
          <w:tcPr>
            <w:tcW w:w="116" w:type="dxa"/>
            <w:tcMar>
              <w:top w:w="5" w:type="dxa"/>
              <w:left w:w="5" w:type="dxa"/>
              <w:bottom w:w="5" w:type="dxa"/>
              <w:right w:w="5" w:type="dxa"/>
            </w:tcMar>
            <w:vAlign w:val="bottom"/>
            <w:hideMark/>
          </w:tcPr>
          <w:p w14:paraId="7760C84B" w14:textId="77777777" w:rsidR="00954279" w:rsidRDefault="00A66714">
            <w:pPr>
              <w:rPr>
                <w:color w:val="000000"/>
                <w:sz w:val="20"/>
                <w:szCs w:val="20"/>
              </w:rPr>
            </w:pPr>
            <w:r>
              <w:rPr>
                <w:color w:val="000000"/>
                <w:sz w:val="20"/>
                <w:szCs w:val="20"/>
              </w:rPr>
              <w:t> </w:t>
            </w:r>
          </w:p>
        </w:tc>
        <w:tc>
          <w:tcPr>
            <w:tcW w:w="806" w:type="dxa"/>
            <w:tcMar>
              <w:top w:w="5" w:type="dxa"/>
              <w:left w:w="5" w:type="dxa"/>
              <w:bottom w:w="5" w:type="dxa"/>
              <w:right w:w="5" w:type="dxa"/>
            </w:tcMar>
            <w:vAlign w:val="bottom"/>
            <w:hideMark/>
          </w:tcPr>
          <w:p w14:paraId="56F0EB5E" w14:textId="77777777" w:rsidR="00954279" w:rsidRDefault="00A66714">
            <w:pPr>
              <w:jc w:val="right"/>
              <w:rPr>
                <w:color w:val="000000"/>
                <w:sz w:val="20"/>
                <w:szCs w:val="20"/>
              </w:rPr>
            </w:pPr>
            <w:r>
              <w:rPr>
                <w:b/>
                <w:bCs/>
                <w:color w:val="000000"/>
                <w:sz w:val="20"/>
                <w:szCs w:val="20"/>
              </w:rPr>
              <w:t>-</w:t>
            </w:r>
          </w:p>
        </w:tc>
        <w:tc>
          <w:tcPr>
            <w:tcW w:w="77" w:type="dxa"/>
            <w:noWrap/>
            <w:tcMar>
              <w:top w:w="5" w:type="dxa"/>
              <w:left w:w="5" w:type="dxa"/>
              <w:bottom w:w="5" w:type="dxa"/>
              <w:right w:w="5" w:type="dxa"/>
            </w:tcMar>
            <w:vAlign w:val="bottom"/>
            <w:hideMark/>
          </w:tcPr>
          <w:p w14:paraId="73825461" w14:textId="77777777" w:rsidR="00954279" w:rsidRDefault="00A66714">
            <w:pPr>
              <w:rPr>
                <w:color w:val="000000"/>
                <w:sz w:val="20"/>
                <w:szCs w:val="20"/>
              </w:rPr>
            </w:pPr>
            <w:r>
              <w:rPr>
                <w:color w:val="000000"/>
                <w:sz w:val="20"/>
                <w:szCs w:val="20"/>
              </w:rPr>
              <w:t> </w:t>
            </w:r>
          </w:p>
        </w:tc>
        <w:tc>
          <w:tcPr>
            <w:tcW w:w="64" w:type="dxa"/>
            <w:tcMar>
              <w:top w:w="5" w:type="dxa"/>
              <w:left w:w="5" w:type="dxa"/>
              <w:bottom w:w="5" w:type="dxa"/>
              <w:right w:w="5" w:type="dxa"/>
            </w:tcMar>
            <w:vAlign w:val="bottom"/>
            <w:hideMark/>
          </w:tcPr>
          <w:p w14:paraId="69EC0845" w14:textId="77777777" w:rsidR="00954279" w:rsidRDefault="00A66714">
            <w:pPr>
              <w:rPr>
                <w:color w:val="000000"/>
                <w:sz w:val="20"/>
                <w:szCs w:val="20"/>
              </w:rPr>
            </w:pPr>
            <w:r>
              <w:rPr>
                <w:color w:val="000000"/>
                <w:sz w:val="20"/>
                <w:szCs w:val="20"/>
              </w:rPr>
              <w:t> </w:t>
            </w:r>
          </w:p>
        </w:tc>
        <w:tc>
          <w:tcPr>
            <w:tcW w:w="111" w:type="dxa"/>
            <w:tcMar>
              <w:top w:w="5" w:type="dxa"/>
              <w:left w:w="5" w:type="dxa"/>
              <w:bottom w:w="5" w:type="dxa"/>
              <w:right w:w="5" w:type="dxa"/>
            </w:tcMar>
            <w:vAlign w:val="bottom"/>
            <w:hideMark/>
          </w:tcPr>
          <w:p w14:paraId="1F0622CC" w14:textId="77777777" w:rsidR="00954279" w:rsidRDefault="00A66714">
            <w:pPr>
              <w:rPr>
                <w:color w:val="000000"/>
                <w:sz w:val="20"/>
                <w:szCs w:val="20"/>
              </w:rPr>
            </w:pPr>
            <w:r>
              <w:rPr>
                <w:color w:val="000000"/>
                <w:sz w:val="20"/>
                <w:szCs w:val="20"/>
              </w:rPr>
              <w:t> </w:t>
            </w:r>
          </w:p>
        </w:tc>
        <w:tc>
          <w:tcPr>
            <w:tcW w:w="719" w:type="dxa"/>
            <w:tcMar>
              <w:top w:w="5" w:type="dxa"/>
              <w:left w:w="5" w:type="dxa"/>
              <w:bottom w:w="5" w:type="dxa"/>
              <w:right w:w="5" w:type="dxa"/>
            </w:tcMar>
            <w:vAlign w:val="bottom"/>
            <w:hideMark/>
          </w:tcPr>
          <w:p w14:paraId="4971BCE2" w14:textId="77777777" w:rsidR="00954279" w:rsidRDefault="00A66714">
            <w:pPr>
              <w:jc w:val="right"/>
              <w:rPr>
                <w:color w:val="000000"/>
                <w:sz w:val="20"/>
                <w:szCs w:val="20"/>
              </w:rPr>
            </w:pPr>
            <w:r>
              <w:rPr>
                <w:b/>
                <w:bCs/>
                <w:color w:val="000000"/>
                <w:sz w:val="20"/>
                <w:szCs w:val="20"/>
              </w:rPr>
              <w:t>-</w:t>
            </w:r>
          </w:p>
        </w:tc>
        <w:tc>
          <w:tcPr>
            <w:tcW w:w="77" w:type="dxa"/>
            <w:noWrap/>
            <w:tcMar>
              <w:top w:w="5" w:type="dxa"/>
              <w:left w:w="5" w:type="dxa"/>
              <w:bottom w:w="5" w:type="dxa"/>
              <w:right w:w="5" w:type="dxa"/>
            </w:tcMar>
            <w:vAlign w:val="bottom"/>
            <w:hideMark/>
          </w:tcPr>
          <w:p w14:paraId="2B67FC99" w14:textId="77777777" w:rsidR="00954279" w:rsidRDefault="00A66714">
            <w:pPr>
              <w:rPr>
                <w:color w:val="000000"/>
                <w:sz w:val="20"/>
                <w:szCs w:val="20"/>
              </w:rPr>
            </w:pPr>
            <w:r>
              <w:rPr>
                <w:color w:val="000000"/>
                <w:sz w:val="20"/>
                <w:szCs w:val="20"/>
              </w:rPr>
              <w:t> </w:t>
            </w:r>
          </w:p>
        </w:tc>
        <w:tc>
          <w:tcPr>
            <w:tcW w:w="65" w:type="dxa"/>
            <w:tcMar>
              <w:top w:w="5" w:type="dxa"/>
              <w:left w:w="5" w:type="dxa"/>
              <w:bottom w:w="5" w:type="dxa"/>
              <w:right w:w="5" w:type="dxa"/>
            </w:tcMar>
            <w:vAlign w:val="bottom"/>
            <w:hideMark/>
          </w:tcPr>
          <w:p w14:paraId="4F5252E5" w14:textId="77777777" w:rsidR="00954279" w:rsidRDefault="00A66714">
            <w:pPr>
              <w:rPr>
                <w:color w:val="000000"/>
                <w:sz w:val="20"/>
                <w:szCs w:val="20"/>
              </w:rPr>
            </w:pPr>
            <w:r>
              <w:rPr>
                <w:color w:val="000000"/>
                <w:sz w:val="20"/>
                <w:szCs w:val="20"/>
              </w:rPr>
              <w:t> </w:t>
            </w:r>
          </w:p>
        </w:tc>
        <w:tc>
          <w:tcPr>
            <w:tcW w:w="74" w:type="dxa"/>
            <w:tcMar>
              <w:top w:w="5" w:type="dxa"/>
              <w:left w:w="5" w:type="dxa"/>
              <w:bottom w:w="5" w:type="dxa"/>
              <w:right w:w="5" w:type="dxa"/>
            </w:tcMar>
            <w:vAlign w:val="bottom"/>
            <w:hideMark/>
          </w:tcPr>
          <w:p w14:paraId="244308D0" w14:textId="77777777" w:rsidR="00954279" w:rsidRDefault="00A66714">
            <w:pPr>
              <w:rPr>
                <w:color w:val="000000"/>
                <w:sz w:val="20"/>
                <w:szCs w:val="20"/>
              </w:rPr>
            </w:pPr>
            <w:r>
              <w:rPr>
                <w:color w:val="000000"/>
                <w:sz w:val="20"/>
                <w:szCs w:val="20"/>
              </w:rPr>
              <w:t> </w:t>
            </w:r>
          </w:p>
        </w:tc>
        <w:tc>
          <w:tcPr>
            <w:tcW w:w="716" w:type="dxa"/>
            <w:tcMar>
              <w:top w:w="5" w:type="dxa"/>
              <w:left w:w="5" w:type="dxa"/>
              <w:bottom w:w="5" w:type="dxa"/>
              <w:right w:w="5" w:type="dxa"/>
            </w:tcMar>
            <w:vAlign w:val="bottom"/>
            <w:hideMark/>
          </w:tcPr>
          <w:p w14:paraId="3AB5E370" w14:textId="77777777" w:rsidR="00954279" w:rsidRDefault="00A66714">
            <w:pPr>
              <w:jc w:val="right"/>
              <w:rPr>
                <w:color w:val="000000"/>
                <w:sz w:val="20"/>
                <w:szCs w:val="20"/>
              </w:rPr>
            </w:pPr>
            <w:r>
              <w:rPr>
                <w:b/>
                <w:bCs/>
                <w:color w:val="000000"/>
                <w:sz w:val="20"/>
                <w:szCs w:val="20"/>
              </w:rPr>
              <w:t>-</w:t>
            </w:r>
          </w:p>
        </w:tc>
        <w:tc>
          <w:tcPr>
            <w:tcW w:w="77" w:type="dxa"/>
            <w:noWrap/>
            <w:tcMar>
              <w:top w:w="5" w:type="dxa"/>
              <w:left w:w="5" w:type="dxa"/>
              <w:bottom w:w="5" w:type="dxa"/>
              <w:right w:w="5" w:type="dxa"/>
            </w:tcMar>
            <w:vAlign w:val="bottom"/>
            <w:hideMark/>
          </w:tcPr>
          <w:p w14:paraId="6EE30B4A" w14:textId="77777777" w:rsidR="00954279" w:rsidRDefault="00A66714">
            <w:pPr>
              <w:rPr>
                <w:color w:val="000000"/>
                <w:sz w:val="20"/>
                <w:szCs w:val="20"/>
              </w:rPr>
            </w:pPr>
            <w:r>
              <w:rPr>
                <w:color w:val="000000"/>
                <w:sz w:val="20"/>
                <w:szCs w:val="20"/>
              </w:rPr>
              <w:t> </w:t>
            </w:r>
          </w:p>
        </w:tc>
        <w:tc>
          <w:tcPr>
            <w:tcW w:w="65" w:type="dxa"/>
            <w:tcMar>
              <w:top w:w="5" w:type="dxa"/>
              <w:left w:w="5" w:type="dxa"/>
              <w:bottom w:w="5" w:type="dxa"/>
              <w:right w:w="5" w:type="dxa"/>
            </w:tcMar>
            <w:vAlign w:val="bottom"/>
            <w:hideMark/>
          </w:tcPr>
          <w:p w14:paraId="1734FA4A" w14:textId="77777777" w:rsidR="00954279" w:rsidRDefault="00A66714">
            <w:pPr>
              <w:rPr>
                <w:color w:val="000000"/>
                <w:sz w:val="20"/>
                <w:szCs w:val="20"/>
              </w:rPr>
            </w:pPr>
            <w:r>
              <w:rPr>
                <w:color w:val="000000"/>
                <w:sz w:val="20"/>
                <w:szCs w:val="20"/>
              </w:rPr>
              <w:t> </w:t>
            </w:r>
          </w:p>
        </w:tc>
        <w:tc>
          <w:tcPr>
            <w:tcW w:w="111" w:type="dxa"/>
            <w:tcMar>
              <w:top w:w="5" w:type="dxa"/>
              <w:left w:w="5" w:type="dxa"/>
              <w:bottom w:w="5" w:type="dxa"/>
              <w:right w:w="5" w:type="dxa"/>
            </w:tcMar>
            <w:vAlign w:val="bottom"/>
            <w:hideMark/>
          </w:tcPr>
          <w:p w14:paraId="6672ABA4" w14:textId="77777777" w:rsidR="00954279" w:rsidRDefault="00A66714">
            <w:pPr>
              <w:rPr>
                <w:color w:val="000000"/>
                <w:sz w:val="20"/>
                <w:szCs w:val="20"/>
              </w:rPr>
            </w:pPr>
            <w:r>
              <w:rPr>
                <w:color w:val="000000"/>
                <w:sz w:val="20"/>
                <w:szCs w:val="20"/>
              </w:rPr>
              <w:t> </w:t>
            </w:r>
          </w:p>
        </w:tc>
        <w:tc>
          <w:tcPr>
            <w:tcW w:w="719" w:type="dxa"/>
            <w:tcMar>
              <w:top w:w="5" w:type="dxa"/>
              <w:left w:w="5" w:type="dxa"/>
              <w:bottom w:w="5" w:type="dxa"/>
              <w:right w:w="5" w:type="dxa"/>
            </w:tcMar>
            <w:vAlign w:val="bottom"/>
            <w:hideMark/>
          </w:tcPr>
          <w:p w14:paraId="582FACB6" w14:textId="77777777" w:rsidR="00954279" w:rsidRDefault="00A66714">
            <w:pPr>
              <w:jc w:val="right"/>
              <w:rPr>
                <w:color w:val="000000"/>
                <w:sz w:val="20"/>
                <w:szCs w:val="20"/>
              </w:rPr>
            </w:pPr>
            <w:r>
              <w:rPr>
                <w:b/>
                <w:bCs/>
                <w:color w:val="000000"/>
                <w:sz w:val="20"/>
                <w:szCs w:val="20"/>
              </w:rPr>
              <w:t>-</w:t>
            </w:r>
          </w:p>
        </w:tc>
        <w:tc>
          <w:tcPr>
            <w:tcW w:w="77" w:type="dxa"/>
            <w:noWrap/>
            <w:tcMar>
              <w:top w:w="5" w:type="dxa"/>
              <w:left w:w="5" w:type="dxa"/>
              <w:bottom w:w="5" w:type="dxa"/>
              <w:right w:w="5" w:type="dxa"/>
            </w:tcMar>
            <w:vAlign w:val="bottom"/>
            <w:hideMark/>
          </w:tcPr>
          <w:p w14:paraId="38019ECE" w14:textId="77777777" w:rsidR="00954279" w:rsidRDefault="00A66714">
            <w:pPr>
              <w:rPr>
                <w:color w:val="000000"/>
                <w:sz w:val="20"/>
                <w:szCs w:val="20"/>
              </w:rPr>
            </w:pPr>
            <w:r>
              <w:rPr>
                <w:color w:val="000000"/>
                <w:sz w:val="20"/>
                <w:szCs w:val="20"/>
              </w:rPr>
              <w:t> </w:t>
            </w:r>
          </w:p>
        </w:tc>
        <w:tc>
          <w:tcPr>
            <w:tcW w:w="65" w:type="dxa"/>
            <w:tcMar>
              <w:top w:w="5" w:type="dxa"/>
              <w:left w:w="5" w:type="dxa"/>
              <w:bottom w:w="5" w:type="dxa"/>
              <w:right w:w="5" w:type="dxa"/>
            </w:tcMar>
            <w:vAlign w:val="bottom"/>
            <w:hideMark/>
          </w:tcPr>
          <w:p w14:paraId="313612C3" w14:textId="77777777" w:rsidR="00954279" w:rsidRDefault="00A66714">
            <w:pPr>
              <w:rPr>
                <w:color w:val="000000"/>
                <w:sz w:val="20"/>
                <w:szCs w:val="20"/>
              </w:rPr>
            </w:pPr>
            <w:r>
              <w:rPr>
                <w:color w:val="000000"/>
                <w:sz w:val="20"/>
                <w:szCs w:val="20"/>
              </w:rPr>
              <w:t> </w:t>
            </w:r>
          </w:p>
        </w:tc>
        <w:tc>
          <w:tcPr>
            <w:tcW w:w="168" w:type="dxa"/>
            <w:tcMar>
              <w:top w:w="5" w:type="dxa"/>
              <w:left w:w="5" w:type="dxa"/>
              <w:bottom w:w="5" w:type="dxa"/>
              <w:right w:w="5" w:type="dxa"/>
            </w:tcMar>
            <w:vAlign w:val="bottom"/>
            <w:hideMark/>
          </w:tcPr>
          <w:p w14:paraId="027A9916" w14:textId="77777777" w:rsidR="00954279" w:rsidRDefault="00A66714">
            <w:pPr>
              <w:rPr>
                <w:color w:val="000000"/>
                <w:sz w:val="20"/>
                <w:szCs w:val="20"/>
              </w:rPr>
            </w:pPr>
            <w:r>
              <w:rPr>
                <w:color w:val="000000"/>
                <w:sz w:val="20"/>
                <w:szCs w:val="20"/>
              </w:rPr>
              <w:t> </w:t>
            </w:r>
          </w:p>
        </w:tc>
        <w:tc>
          <w:tcPr>
            <w:tcW w:w="1176" w:type="dxa"/>
            <w:tcMar>
              <w:top w:w="5" w:type="dxa"/>
              <w:left w:w="5" w:type="dxa"/>
              <w:bottom w:w="5" w:type="dxa"/>
              <w:right w:w="5" w:type="dxa"/>
            </w:tcMar>
            <w:vAlign w:val="bottom"/>
            <w:hideMark/>
          </w:tcPr>
          <w:p w14:paraId="344F9717" w14:textId="77777777" w:rsidR="00954279" w:rsidRDefault="00A66714">
            <w:pPr>
              <w:jc w:val="right"/>
              <w:rPr>
                <w:color w:val="000000"/>
                <w:sz w:val="20"/>
                <w:szCs w:val="20"/>
              </w:rPr>
            </w:pPr>
            <w:r>
              <w:rPr>
                <w:b/>
                <w:bCs/>
                <w:color w:val="000000"/>
                <w:sz w:val="20"/>
                <w:szCs w:val="20"/>
              </w:rPr>
              <w:t>1</w:t>
            </w:r>
          </w:p>
        </w:tc>
        <w:tc>
          <w:tcPr>
            <w:tcW w:w="77" w:type="dxa"/>
            <w:noWrap/>
            <w:tcMar>
              <w:top w:w="5" w:type="dxa"/>
              <w:left w:w="5" w:type="dxa"/>
              <w:bottom w:w="5" w:type="dxa"/>
              <w:right w:w="5" w:type="dxa"/>
            </w:tcMar>
            <w:vAlign w:val="bottom"/>
            <w:hideMark/>
          </w:tcPr>
          <w:p w14:paraId="6C642CBD" w14:textId="77777777" w:rsidR="00954279" w:rsidRDefault="00A66714">
            <w:pPr>
              <w:rPr>
                <w:color w:val="000000"/>
                <w:sz w:val="20"/>
                <w:szCs w:val="20"/>
              </w:rPr>
            </w:pPr>
            <w:r>
              <w:rPr>
                <w:color w:val="000000"/>
                <w:sz w:val="20"/>
                <w:szCs w:val="20"/>
              </w:rPr>
              <w:t> </w:t>
            </w:r>
          </w:p>
        </w:tc>
        <w:tc>
          <w:tcPr>
            <w:tcW w:w="65" w:type="dxa"/>
            <w:tcMar>
              <w:top w:w="5" w:type="dxa"/>
              <w:left w:w="5" w:type="dxa"/>
              <w:bottom w:w="5" w:type="dxa"/>
              <w:right w:w="5" w:type="dxa"/>
            </w:tcMar>
            <w:vAlign w:val="bottom"/>
            <w:hideMark/>
          </w:tcPr>
          <w:p w14:paraId="5A154844" w14:textId="77777777" w:rsidR="00954279" w:rsidRDefault="00A66714">
            <w:pPr>
              <w:rPr>
                <w:color w:val="000000"/>
                <w:sz w:val="20"/>
                <w:szCs w:val="20"/>
              </w:rPr>
            </w:pPr>
            <w:r>
              <w:rPr>
                <w:color w:val="000000"/>
                <w:sz w:val="20"/>
                <w:szCs w:val="20"/>
              </w:rPr>
              <w:t> </w:t>
            </w:r>
          </w:p>
        </w:tc>
        <w:tc>
          <w:tcPr>
            <w:tcW w:w="148" w:type="dxa"/>
            <w:tcMar>
              <w:top w:w="5" w:type="dxa"/>
              <w:left w:w="5" w:type="dxa"/>
              <w:bottom w:w="5" w:type="dxa"/>
              <w:right w:w="5" w:type="dxa"/>
            </w:tcMar>
            <w:vAlign w:val="bottom"/>
            <w:hideMark/>
          </w:tcPr>
          <w:p w14:paraId="7D825169" w14:textId="77777777" w:rsidR="00954279" w:rsidRDefault="00A66714">
            <w:pPr>
              <w:rPr>
                <w:color w:val="000000"/>
                <w:sz w:val="20"/>
                <w:szCs w:val="20"/>
              </w:rPr>
            </w:pPr>
            <w:r>
              <w:rPr>
                <w:color w:val="000000"/>
                <w:sz w:val="20"/>
                <w:szCs w:val="20"/>
              </w:rPr>
              <w:t> </w:t>
            </w:r>
          </w:p>
        </w:tc>
        <w:tc>
          <w:tcPr>
            <w:tcW w:w="1029" w:type="dxa"/>
            <w:tcMar>
              <w:top w:w="5" w:type="dxa"/>
              <w:left w:w="5" w:type="dxa"/>
              <w:bottom w:w="5" w:type="dxa"/>
              <w:right w:w="5" w:type="dxa"/>
            </w:tcMar>
            <w:vAlign w:val="bottom"/>
            <w:hideMark/>
          </w:tcPr>
          <w:p w14:paraId="0B7A1AE4" w14:textId="77777777" w:rsidR="00954279" w:rsidRDefault="00A66714">
            <w:pPr>
              <w:jc w:val="right"/>
              <w:rPr>
                <w:color w:val="000000"/>
                <w:sz w:val="20"/>
                <w:szCs w:val="20"/>
              </w:rPr>
            </w:pPr>
            <w:r>
              <w:rPr>
                <w:b/>
                <w:bCs/>
                <w:color w:val="000000"/>
                <w:sz w:val="20"/>
                <w:szCs w:val="20"/>
              </w:rPr>
              <w:t>1</w:t>
            </w:r>
          </w:p>
        </w:tc>
        <w:tc>
          <w:tcPr>
            <w:tcW w:w="77" w:type="dxa"/>
            <w:noWrap/>
            <w:tcMar>
              <w:top w:w="5" w:type="dxa"/>
              <w:left w:w="5" w:type="dxa"/>
              <w:bottom w:w="5" w:type="dxa"/>
              <w:right w:w="5" w:type="dxa"/>
            </w:tcMar>
            <w:vAlign w:val="bottom"/>
            <w:hideMark/>
          </w:tcPr>
          <w:p w14:paraId="6666461D" w14:textId="77777777" w:rsidR="00954279" w:rsidRDefault="00A66714">
            <w:pPr>
              <w:rPr>
                <w:color w:val="000000"/>
                <w:sz w:val="20"/>
                <w:szCs w:val="20"/>
              </w:rPr>
            </w:pPr>
            <w:r>
              <w:rPr>
                <w:color w:val="000000"/>
                <w:sz w:val="20"/>
                <w:szCs w:val="20"/>
              </w:rPr>
              <w:t> </w:t>
            </w:r>
          </w:p>
        </w:tc>
      </w:tr>
      <w:tr w:rsidR="00954279" w14:paraId="7C661628" w14:textId="77777777" w:rsidTr="00717712">
        <w:tc>
          <w:tcPr>
            <w:tcW w:w="2678" w:type="dxa"/>
            <w:tcMar>
              <w:top w:w="5" w:type="dxa"/>
              <w:left w:w="5" w:type="dxa"/>
              <w:bottom w:w="5" w:type="dxa"/>
              <w:right w:w="5" w:type="dxa"/>
            </w:tcMar>
            <w:vAlign w:val="bottom"/>
            <w:hideMark/>
          </w:tcPr>
          <w:p w14:paraId="203CEEFD" w14:textId="77777777" w:rsidR="00954279" w:rsidRDefault="00A66714">
            <w:pPr>
              <w:ind w:left="180"/>
              <w:rPr>
                <w:color w:val="000000"/>
                <w:sz w:val="20"/>
                <w:szCs w:val="20"/>
              </w:rPr>
            </w:pPr>
            <w:r>
              <w:rPr>
                <w:color w:val="000000"/>
                <w:sz w:val="20"/>
                <w:szCs w:val="20"/>
              </w:rPr>
              <w:t>Shares withheld for taxes</w:t>
            </w:r>
          </w:p>
        </w:tc>
        <w:tc>
          <w:tcPr>
            <w:tcW w:w="60" w:type="dxa"/>
            <w:tcMar>
              <w:top w:w="5" w:type="dxa"/>
              <w:left w:w="5" w:type="dxa"/>
              <w:bottom w:w="5" w:type="dxa"/>
              <w:right w:w="5" w:type="dxa"/>
            </w:tcMar>
            <w:vAlign w:val="bottom"/>
            <w:hideMark/>
          </w:tcPr>
          <w:p w14:paraId="5CA9219F" w14:textId="77777777" w:rsidR="00954279" w:rsidRDefault="00A66714">
            <w:pPr>
              <w:rPr>
                <w:color w:val="000000"/>
                <w:sz w:val="20"/>
                <w:szCs w:val="20"/>
              </w:rPr>
            </w:pPr>
            <w:r>
              <w:rPr>
                <w:color w:val="000000"/>
                <w:sz w:val="20"/>
                <w:szCs w:val="20"/>
              </w:rPr>
              <w:t> </w:t>
            </w:r>
          </w:p>
        </w:tc>
        <w:tc>
          <w:tcPr>
            <w:tcW w:w="74" w:type="dxa"/>
            <w:tcMar>
              <w:top w:w="5" w:type="dxa"/>
              <w:left w:w="5" w:type="dxa"/>
              <w:bottom w:w="5" w:type="dxa"/>
              <w:right w:w="5" w:type="dxa"/>
            </w:tcMar>
            <w:vAlign w:val="bottom"/>
            <w:hideMark/>
          </w:tcPr>
          <w:p w14:paraId="5F7BB610" w14:textId="77777777" w:rsidR="00954279" w:rsidRDefault="00A66714">
            <w:pPr>
              <w:rPr>
                <w:color w:val="000000"/>
                <w:sz w:val="20"/>
                <w:szCs w:val="20"/>
              </w:rPr>
            </w:pPr>
            <w:r>
              <w:rPr>
                <w:color w:val="000000"/>
                <w:sz w:val="20"/>
                <w:szCs w:val="20"/>
              </w:rPr>
              <w:t> </w:t>
            </w:r>
          </w:p>
        </w:tc>
        <w:tc>
          <w:tcPr>
            <w:tcW w:w="713" w:type="dxa"/>
            <w:tcMar>
              <w:top w:w="5" w:type="dxa"/>
              <w:left w:w="5" w:type="dxa"/>
              <w:bottom w:w="5" w:type="dxa"/>
              <w:right w:w="5" w:type="dxa"/>
            </w:tcMar>
            <w:vAlign w:val="bottom"/>
            <w:hideMark/>
          </w:tcPr>
          <w:p w14:paraId="280473D5" w14:textId="77777777" w:rsidR="00954279" w:rsidRDefault="00A66714">
            <w:pPr>
              <w:jc w:val="right"/>
              <w:rPr>
                <w:color w:val="000000"/>
                <w:sz w:val="20"/>
                <w:szCs w:val="20"/>
              </w:rPr>
            </w:pPr>
            <w:r>
              <w:rPr>
                <w:color w:val="000000"/>
                <w:sz w:val="20"/>
                <w:szCs w:val="20"/>
              </w:rPr>
              <w:t>-</w:t>
            </w:r>
          </w:p>
        </w:tc>
        <w:tc>
          <w:tcPr>
            <w:tcW w:w="69" w:type="dxa"/>
            <w:noWrap/>
            <w:tcMar>
              <w:top w:w="5" w:type="dxa"/>
              <w:left w:w="5" w:type="dxa"/>
              <w:bottom w:w="5" w:type="dxa"/>
              <w:right w:w="5" w:type="dxa"/>
            </w:tcMar>
            <w:vAlign w:val="bottom"/>
            <w:hideMark/>
          </w:tcPr>
          <w:p w14:paraId="4DDC7B0F" w14:textId="77777777" w:rsidR="00954279" w:rsidRDefault="00A66714">
            <w:pPr>
              <w:rPr>
                <w:color w:val="000000"/>
                <w:sz w:val="20"/>
                <w:szCs w:val="20"/>
              </w:rPr>
            </w:pPr>
            <w:r>
              <w:rPr>
                <w:color w:val="000000"/>
                <w:sz w:val="20"/>
                <w:szCs w:val="20"/>
              </w:rPr>
              <w:t> </w:t>
            </w:r>
          </w:p>
        </w:tc>
        <w:tc>
          <w:tcPr>
            <w:tcW w:w="69" w:type="dxa"/>
            <w:tcMar>
              <w:top w:w="5" w:type="dxa"/>
              <w:left w:w="5" w:type="dxa"/>
              <w:bottom w:w="5" w:type="dxa"/>
              <w:right w:w="5" w:type="dxa"/>
            </w:tcMar>
            <w:vAlign w:val="bottom"/>
            <w:hideMark/>
          </w:tcPr>
          <w:p w14:paraId="1E69CFA2" w14:textId="77777777" w:rsidR="00954279" w:rsidRDefault="00A66714">
            <w:pPr>
              <w:rPr>
                <w:color w:val="000000"/>
                <w:sz w:val="20"/>
                <w:szCs w:val="20"/>
              </w:rPr>
            </w:pPr>
            <w:r>
              <w:rPr>
                <w:color w:val="000000"/>
                <w:sz w:val="20"/>
                <w:szCs w:val="20"/>
              </w:rPr>
              <w:t> </w:t>
            </w:r>
          </w:p>
        </w:tc>
        <w:tc>
          <w:tcPr>
            <w:tcW w:w="111" w:type="dxa"/>
            <w:tcMar>
              <w:top w:w="5" w:type="dxa"/>
              <w:left w:w="5" w:type="dxa"/>
              <w:bottom w:w="5" w:type="dxa"/>
              <w:right w:w="5" w:type="dxa"/>
            </w:tcMar>
            <w:vAlign w:val="bottom"/>
            <w:hideMark/>
          </w:tcPr>
          <w:p w14:paraId="5C4F43E1" w14:textId="77777777" w:rsidR="00954279" w:rsidRDefault="00A66714">
            <w:pPr>
              <w:rPr>
                <w:color w:val="000000"/>
                <w:sz w:val="20"/>
                <w:szCs w:val="20"/>
              </w:rPr>
            </w:pPr>
            <w:r>
              <w:rPr>
                <w:color w:val="000000"/>
                <w:sz w:val="20"/>
                <w:szCs w:val="20"/>
              </w:rPr>
              <w:t> </w:t>
            </w:r>
          </w:p>
        </w:tc>
        <w:tc>
          <w:tcPr>
            <w:tcW w:w="717" w:type="dxa"/>
            <w:tcMar>
              <w:top w:w="5" w:type="dxa"/>
              <w:left w:w="5" w:type="dxa"/>
              <w:bottom w:w="5" w:type="dxa"/>
              <w:right w:w="5" w:type="dxa"/>
            </w:tcMar>
            <w:vAlign w:val="bottom"/>
            <w:hideMark/>
          </w:tcPr>
          <w:p w14:paraId="67EBFA42" w14:textId="77777777" w:rsidR="00954279" w:rsidRDefault="00A66714">
            <w:pPr>
              <w:jc w:val="right"/>
              <w:rPr>
                <w:color w:val="000000"/>
                <w:sz w:val="20"/>
                <w:szCs w:val="20"/>
              </w:rPr>
            </w:pPr>
            <w:r>
              <w:rPr>
                <w:color w:val="000000"/>
                <w:sz w:val="20"/>
                <w:szCs w:val="20"/>
              </w:rPr>
              <w:t>-</w:t>
            </w:r>
          </w:p>
        </w:tc>
        <w:tc>
          <w:tcPr>
            <w:tcW w:w="69" w:type="dxa"/>
            <w:noWrap/>
            <w:tcMar>
              <w:top w:w="5" w:type="dxa"/>
              <w:left w:w="5" w:type="dxa"/>
              <w:bottom w:w="5" w:type="dxa"/>
              <w:right w:w="5" w:type="dxa"/>
            </w:tcMar>
            <w:vAlign w:val="bottom"/>
            <w:hideMark/>
          </w:tcPr>
          <w:p w14:paraId="62ECA8EA" w14:textId="77777777" w:rsidR="00954279" w:rsidRDefault="00A66714">
            <w:pPr>
              <w:rPr>
                <w:color w:val="000000"/>
                <w:sz w:val="20"/>
                <w:szCs w:val="20"/>
              </w:rPr>
            </w:pPr>
            <w:r>
              <w:rPr>
                <w:color w:val="000000"/>
                <w:sz w:val="20"/>
                <w:szCs w:val="20"/>
              </w:rPr>
              <w:t> </w:t>
            </w:r>
          </w:p>
        </w:tc>
        <w:tc>
          <w:tcPr>
            <w:tcW w:w="70" w:type="dxa"/>
            <w:tcMar>
              <w:top w:w="5" w:type="dxa"/>
              <w:left w:w="5" w:type="dxa"/>
              <w:bottom w:w="5" w:type="dxa"/>
              <w:right w:w="5" w:type="dxa"/>
            </w:tcMar>
            <w:vAlign w:val="bottom"/>
            <w:hideMark/>
          </w:tcPr>
          <w:p w14:paraId="2C190B46" w14:textId="77777777" w:rsidR="00954279" w:rsidRDefault="00A66714">
            <w:pPr>
              <w:rPr>
                <w:color w:val="000000"/>
                <w:sz w:val="20"/>
                <w:szCs w:val="20"/>
              </w:rPr>
            </w:pPr>
            <w:r>
              <w:rPr>
                <w:color w:val="000000"/>
                <w:sz w:val="20"/>
                <w:szCs w:val="20"/>
              </w:rPr>
              <w:t> </w:t>
            </w:r>
          </w:p>
        </w:tc>
        <w:tc>
          <w:tcPr>
            <w:tcW w:w="116" w:type="dxa"/>
            <w:tcMar>
              <w:top w:w="5" w:type="dxa"/>
              <w:left w:w="5" w:type="dxa"/>
              <w:bottom w:w="5" w:type="dxa"/>
              <w:right w:w="5" w:type="dxa"/>
            </w:tcMar>
            <w:vAlign w:val="bottom"/>
            <w:hideMark/>
          </w:tcPr>
          <w:p w14:paraId="57D25658" w14:textId="77777777" w:rsidR="00954279" w:rsidRDefault="00A66714">
            <w:pPr>
              <w:rPr>
                <w:color w:val="000000"/>
                <w:sz w:val="20"/>
                <w:szCs w:val="20"/>
              </w:rPr>
            </w:pPr>
            <w:r>
              <w:rPr>
                <w:color w:val="000000"/>
                <w:sz w:val="20"/>
                <w:szCs w:val="20"/>
              </w:rPr>
              <w:t> </w:t>
            </w:r>
          </w:p>
        </w:tc>
        <w:tc>
          <w:tcPr>
            <w:tcW w:w="806" w:type="dxa"/>
            <w:tcMar>
              <w:top w:w="5" w:type="dxa"/>
              <w:left w:w="5" w:type="dxa"/>
              <w:bottom w:w="5" w:type="dxa"/>
              <w:right w:w="5" w:type="dxa"/>
            </w:tcMar>
            <w:vAlign w:val="bottom"/>
            <w:hideMark/>
          </w:tcPr>
          <w:p w14:paraId="3B47469C" w14:textId="77777777" w:rsidR="00954279" w:rsidRDefault="00A66714">
            <w:pPr>
              <w:jc w:val="right"/>
              <w:rPr>
                <w:color w:val="000000"/>
                <w:sz w:val="20"/>
                <w:szCs w:val="20"/>
              </w:rPr>
            </w:pPr>
            <w:r>
              <w:rPr>
                <w:b/>
                <w:bCs/>
                <w:color w:val="000000"/>
                <w:sz w:val="20"/>
                <w:szCs w:val="20"/>
              </w:rPr>
              <w:t>(2</w:t>
            </w:r>
          </w:p>
        </w:tc>
        <w:tc>
          <w:tcPr>
            <w:tcW w:w="77" w:type="dxa"/>
            <w:noWrap/>
            <w:tcMar>
              <w:top w:w="5" w:type="dxa"/>
              <w:left w:w="5" w:type="dxa"/>
              <w:bottom w:w="5" w:type="dxa"/>
              <w:right w:w="5" w:type="dxa"/>
            </w:tcMar>
            <w:vAlign w:val="bottom"/>
            <w:hideMark/>
          </w:tcPr>
          <w:p w14:paraId="386CA3F1" w14:textId="77777777" w:rsidR="00954279" w:rsidRDefault="00A66714">
            <w:pPr>
              <w:rPr>
                <w:color w:val="000000"/>
                <w:sz w:val="20"/>
                <w:szCs w:val="20"/>
              </w:rPr>
            </w:pPr>
            <w:r>
              <w:rPr>
                <w:color w:val="000000"/>
                <w:sz w:val="20"/>
                <w:szCs w:val="20"/>
              </w:rPr>
              <w:t>)</w:t>
            </w:r>
          </w:p>
        </w:tc>
        <w:tc>
          <w:tcPr>
            <w:tcW w:w="64" w:type="dxa"/>
            <w:tcMar>
              <w:top w:w="5" w:type="dxa"/>
              <w:left w:w="5" w:type="dxa"/>
              <w:bottom w:w="5" w:type="dxa"/>
              <w:right w:w="5" w:type="dxa"/>
            </w:tcMar>
            <w:vAlign w:val="bottom"/>
            <w:hideMark/>
          </w:tcPr>
          <w:p w14:paraId="3ADA2327" w14:textId="77777777" w:rsidR="00954279" w:rsidRDefault="00A66714">
            <w:pPr>
              <w:rPr>
                <w:color w:val="000000"/>
                <w:sz w:val="20"/>
                <w:szCs w:val="20"/>
              </w:rPr>
            </w:pPr>
            <w:r>
              <w:rPr>
                <w:color w:val="000000"/>
                <w:sz w:val="20"/>
                <w:szCs w:val="20"/>
              </w:rPr>
              <w:t> </w:t>
            </w:r>
          </w:p>
        </w:tc>
        <w:tc>
          <w:tcPr>
            <w:tcW w:w="111" w:type="dxa"/>
            <w:tcMar>
              <w:top w:w="5" w:type="dxa"/>
              <w:left w:w="5" w:type="dxa"/>
              <w:bottom w:w="5" w:type="dxa"/>
              <w:right w:w="5" w:type="dxa"/>
            </w:tcMar>
            <w:vAlign w:val="bottom"/>
            <w:hideMark/>
          </w:tcPr>
          <w:p w14:paraId="5D835766" w14:textId="77777777" w:rsidR="00954279" w:rsidRDefault="00A66714">
            <w:pPr>
              <w:rPr>
                <w:color w:val="000000"/>
                <w:sz w:val="20"/>
                <w:szCs w:val="20"/>
              </w:rPr>
            </w:pPr>
            <w:r>
              <w:rPr>
                <w:color w:val="000000"/>
                <w:sz w:val="20"/>
                <w:szCs w:val="20"/>
              </w:rPr>
              <w:t> </w:t>
            </w:r>
          </w:p>
        </w:tc>
        <w:tc>
          <w:tcPr>
            <w:tcW w:w="719" w:type="dxa"/>
            <w:tcMar>
              <w:top w:w="5" w:type="dxa"/>
              <w:left w:w="5" w:type="dxa"/>
              <w:bottom w:w="5" w:type="dxa"/>
              <w:right w:w="5" w:type="dxa"/>
            </w:tcMar>
            <w:vAlign w:val="bottom"/>
            <w:hideMark/>
          </w:tcPr>
          <w:p w14:paraId="12BCC1CB" w14:textId="77777777" w:rsidR="00954279" w:rsidRDefault="00A66714">
            <w:pPr>
              <w:jc w:val="right"/>
              <w:rPr>
                <w:color w:val="000000"/>
                <w:sz w:val="20"/>
                <w:szCs w:val="20"/>
              </w:rPr>
            </w:pPr>
            <w:r>
              <w:rPr>
                <w:color w:val="000000"/>
                <w:sz w:val="20"/>
                <w:szCs w:val="20"/>
              </w:rPr>
              <w:t>-</w:t>
            </w:r>
          </w:p>
        </w:tc>
        <w:tc>
          <w:tcPr>
            <w:tcW w:w="77" w:type="dxa"/>
            <w:noWrap/>
            <w:tcMar>
              <w:top w:w="5" w:type="dxa"/>
              <w:left w:w="5" w:type="dxa"/>
              <w:bottom w:w="5" w:type="dxa"/>
              <w:right w:w="5" w:type="dxa"/>
            </w:tcMar>
            <w:vAlign w:val="bottom"/>
            <w:hideMark/>
          </w:tcPr>
          <w:p w14:paraId="6E634523" w14:textId="77777777" w:rsidR="00954279" w:rsidRDefault="00A66714">
            <w:pPr>
              <w:rPr>
                <w:color w:val="000000"/>
                <w:sz w:val="20"/>
                <w:szCs w:val="20"/>
              </w:rPr>
            </w:pPr>
            <w:r>
              <w:rPr>
                <w:color w:val="000000"/>
                <w:sz w:val="20"/>
                <w:szCs w:val="20"/>
              </w:rPr>
              <w:t> </w:t>
            </w:r>
          </w:p>
        </w:tc>
        <w:tc>
          <w:tcPr>
            <w:tcW w:w="65" w:type="dxa"/>
            <w:tcMar>
              <w:top w:w="5" w:type="dxa"/>
              <w:left w:w="5" w:type="dxa"/>
              <w:bottom w:w="5" w:type="dxa"/>
              <w:right w:w="5" w:type="dxa"/>
            </w:tcMar>
            <w:vAlign w:val="bottom"/>
            <w:hideMark/>
          </w:tcPr>
          <w:p w14:paraId="716038FD" w14:textId="77777777" w:rsidR="00954279" w:rsidRDefault="00A66714">
            <w:pPr>
              <w:rPr>
                <w:color w:val="000000"/>
                <w:sz w:val="20"/>
                <w:szCs w:val="20"/>
              </w:rPr>
            </w:pPr>
            <w:r>
              <w:rPr>
                <w:color w:val="000000"/>
                <w:sz w:val="20"/>
                <w:szCs w:val="20"/>
              </w:rPr>
              <w:t> </w:t>
            </w:r>
          </w:p>
        </w:tc>
        <w:tc>
          <w:tcPr>
            <w:tcW w:w="74" w:type="dxa"/>
            <w:tcMar>
              <w:top w:w="5" w:type="dxa"/>
              <w:left w:w="5" w:type="dxa"/>
              <w:bottom w:w="5" w:type="dxa"/>
              <w:right w:w="5" w:type="dxa"/>
            </w:tcMar>
            <w:vAlign w:val="bottom"/>
            <w:hideMark/>
          </w:tcPr>
          <w:p w14:paraId="137723B2" w14:textId="77777777" w:rsidR="00954279" w:rsidRDefault="00A66714">
            <w:pPr>
              <w:rPr>
                <w:color w:val="000000"/>
                <w:sz w:val="20"/>
                <w:szCs w:val="20"/>
              </w:rPr>
            </w:pPr>
            <w:r>
              <w:rPr>
                <w:color w:val="000000"/>
                <w:sz w:val="20"/>
                <w:szCs w:val="20"/>
              </w:rPr>
              <w:t> </w:t>
            </w:r>
          </w:p>
        </w:tc>
        <w:tc>
          <w:tcPr>
            <w:tcW w:w="716" w:type="dxa"/>
            <w:tcMar>
              <w:top w:w="5" w:type="dxa"/>
              <w:left w:w="5" w:type="dxa"/>
              <w:bottom w:w="5" w:type="dxa"/>
              <w:right w:w="5" w:type="dxa"/>
            </w:tcMar>
            <w:vAlign w:val="bottom"/>
            <w:hideMark/>
          </w:tcPr>
          <w:p w14:paraId="5CA118C9" w14:textId="77777777" w:rsidR="00954279" w:rsidRDefault="00A66714">
            <w:pPr>
              <w:jc w:val="right"/>
              <w:rPr>
                <w:color w:val="000000"/>
                <w:sz w:val="20"/>
                <w:szCs w:val="20"/>
              </w:rPr>
            </w:pPr>
            <w:r>
              <w:rPr>
                <w:color w:val="000000"/>
                <w:sz w:val="20"/>
                <w:szCs w:val="20"/>
              </w:rPr>
              <w:t>-</w:t>
            </w:r>
          </w:p>
        </w:tc>
        <w:tc>
          <w:tcPr>
            <w:tcW w:w="77" w:type="dxa"/>
            <w:noWrap/>
            <w:tcMar>
              <w:top w:w="5" w:type="dxa"/>
              <w:left w:w="5" w:type="dxa"/>
              <w:bottom w:w="5" w:type="dxa"/>
              <w:right w:w="5" w:type="dxa"/>
            </w:tcMar>
            <w:vAlign w:val="bottom"/>
            <w:hideMark/>
          </w:tcPr>
          <w:p w14:paraId="2B40CEE8" w14:textId="77777777" w:rsidR="00954279" w:rsidRDefault="00A66714">
            <w:pPr>
              <w:rPr>
                <w:color w:val="000000"/>
                <w:sz w:val="20"/>
                <w:szCs w:val="20"/>
              </w:rPr>
            </w:pPr>
            <w:r>
              <w:rPr>
                <w:color w:val="000000"/>
                <w:sz w:val="20"/>
                <w:szCs w:val="20"/>
              </w:rPr>
              <w:t> </w:t>
            </w:r>
          </w:p>
        </w:tc>
        <w:tc>
          <w:tcPr>
            <w:tcW w:w="65" w:type="dxa"/>
            <w:tcMar>
              <w:top w:w="5" w:type="dxa"/>
              <w:left w:w="5" w:type="dxa"/>
              <w:bottom w:w="5" w:type="dxa"/>
              <w:right w:w="5" w:type="dxa"/>
            </w:tcMar>
            <w:vAlign w:val="bottom"/>
            <w:hideMark/>
          </w:tcPr>
          <w:p w14:paraId="704E65BB" w14:textId="77777777" w:rsidR="00954279" w:rsidRDefault="00A66714">
            <w:pPr>
              <w:rPr>
                <w:color w:val="000000"/>
                <w:sz w:val="20"/>
                <w:szCs w:val="20"/>
              </w:rPr>
            </w:pPr>
            <w:r>
              <w:rPr>
                <w:color w:val="000000"/>
                <w:sz w:val="20"/>
                <w:szCs w:val="20"/>
              </w:rPr>
              <w:t> </w:t>
            </w:r>
          </w:p>
        </w:tc>
        <w:tc>
          <w:tcPr>
            <w:tcW w:w="111" w:type="dxa"/>
            <w:tcMar>
              <w:top w:w="5" w:type="dxa"/>
              <w:left w:w="5" w:type="dxa"/>
              <w:bottom w:w="5" w:type="dxa"/>
              <w:right w:w="5" w:type="dxa"/>
            </w:tcMar>
            <w:vAlign w:val="bottom"/>
            <w:hideMark/>
          </w:tcPr>
          <w:p w14:paraId="0AA1B3C5" w14:textId="77777777" w:rsidR="00954279" w:rsidRDefault="00A66714">
            <w:pPr>
              <w:rPr>
                <w:color w:val="000000"/>
                <w:sz w:val="20"/>
                <w:szCs w:val="20"/>
              </w:rPr>
            </w:pPr>
            <w:r>
              <w:rPr>
                <w:color w:val="000000"/>
                <w:sz w:val="20"/>
                <w:szCs w:val="20"/>
              </w:rPr>
              <w:t> </w:t>
            </w:r>
          </w:p>
        </w:tc>
        <w:tc>
          <w:tcPr>
            <w:tcW w:w="719" w:type="dxa"/>
            <w:tcMar>
              <w:top w:w="5" w:type="dxa"/>
              <w:left w:w="5" w:type="dxa"/>
              <w:bottom w:w="5" w:type="dxa"/>
              <w:right w:w="5" w:type="dxa"/>
            </w:tcMar>
            <w:vAlign w:val="bottom"/>
            <w:hideMark/>
          </w:tcPr>
          <w:p w14:paraId="787A315A" w14:textId="77777777" w:rsidR="00954279" w:rsidRDefault="00A66714">
            <w:pPr>
              <w:jc w:val="right"/>
              <w:rPr>
                <w:color w:val="000000"/>
                <w:sz w:val="20"/>
                <w:szCs w:val="20"/>
              </w:rPr>
            </w:pPr>
            <w:r>
              <w:rPr>
                <w:color w:val="000000"/>
                <w:sz w:val="20"/>
                <w:szCs w:val="20"/>
              </w:rPr>
              <w:t>-</w:t>
            </w:r>
          </w:p>
        </w:tc>
        <w:tc>
          <w:tcPr>
            <w:tcW w:w="77" w:type="dxa"/>
            <w:noWrap/>
            <w:tcMar>
              <w:top w:w="5" w:type="dxa"/>
              <w:left w:w="5" w:type="dxa"/>
              <w:bottom w:w="5" w:type="dxa"/>
              <w:right w:w="5" w:type="dxa"/>
            </w:tcMar>
            <w:vAlign w:val="bottom"/>
            <w:hideMark/>
          </w:tcPr>
          <w:p w14:paraId="02C45105" w14:textId="77777777" w:rsidR="00954279" w:rsidRDefault="00A66714">
            <w:pPr>
              <w:rPr>
                <w:color w:val="000000"/>
                <w:sz w:val="20"/>
                <w:szCs w:val="20"/>
              </w:rPr>
            </w:pPr>
            <w:r>
              <w:rPr>
                <w:color w:val="000000"/>
                <w:sz w:val="20"/>
                <w:szCs w:val="20"/>
              </w:rPr>
              <w:t> </w:t>
            </w:r>
          </w:p>
        </w:tc>
        <w:tc>
          <w:tcPr>
            <w:tcW w:w="65" w:type="dxa"/>
            <w:tcMar>
              <w:top w:w="5" w:type="dxa"/>
              <w:left w:w="5" w:type="dxa"/>
              <w:bottom w:w="5" w:type="dxa"/>
              <w:right w:w="5" w:type="dxa"/>
            </w:tcMar>
            <w:vAlign w:val="bottom"/>
            <w:hideMark/>
          </w:tcPr>
          <w:p w14:paraId="4064E217" w14:textId="77777777" w:rsidR="00954279" w:rsidRDefault="00A66714">
            <w:pPr>
              <w:rPr>
                <w:color w:val="000000"/>
                <w:sz w:val="20"/>
                <w:szCs w:val="20"/>
              </w:rPr>
            </w:pPr>
            <w:r>
              <w:rPr>
                <w:color w:val="000000"/>
                <w:sz w:val="20"/>
                <w:szCs w:val="20"/>
              </w:rPr>
              <w:t> </w:t>
            </w:r>
          </w:p>
        </w:tc>
        <w:tc>
          <w:tcPr>
            <w:tcW w:w="168" w:type="dxa"/>
            <w:tcMar>
              <w:top w:w="5" w:type="dxa"/>
              <w:left w:w="5" w:type="dxa"/>
              <w:bottom w:w="5" w:type="dxa"/>
              <w:right w:w="5" w:type="dxa"/>
            </w:tcMar>
            <w:vAlign w:val="bottom"/>
            <w:hideMark/>
          </w:tcPr>
          <w:p w14:paraId="79426BD0" w14:textId="77777777" w:rsidR="00954279" w:rsidRDefault="00A66714">
            <w:pPr>
              <w:rPr>
                <w:color w:val="000000"/>
                <w:sz w:val="20"/>
                <w:szCs w:val="20"/>
              </w:rPr>
            </w:pPr>
            <w:r>
              <w:rPr>
                <w:color w:val="000000"/>
                <w:sz w:val="20"/>
                <w:szCs w:val="20"/>
              </w:rPr>
              <w:t> </w:t>
            </w:r>
          </w:p>
        </w:tc>
        <w:tc>
          <w:tcPr>
            <w:tcW w:w="1176" w:type="dxa"/>
            <w:tcMar>
              <w:top w:w="5" w:type="dxa"/>
              <w:left w:w="5" w:type="dxa"/>
              <w:bottom w:w="5" w:type="dxa"/>
              <w:right w:w="5" w:type="dxa"/>
            </w:tcMar>
            <w:vAlign w:val="bottom"/>
            <w:hideMark/>
          </w:tcPr>
          <w:p w14:paraId="042F0B25" w14:textId="77777777" w:rsidR="00954279" w:rsidRDefault="00A66714">
            <w:pPr>
              <w:jc w:val="right"/>
              <w:rPr>
                <w:color w:val="000000"/>
                <w:sz w:val="20"/>
                <w:szCs w:val="20"/>
              </w:rPr>
            </w:pPr>
            <w:r>
              <w:rPr>
                <w:color w:val="000000"/>
                <w:sz w:val="20"/>
                <w:szCs w:val="20"/>
              </w:rPr>
              <w:t>-</w:t>
            </w:r>
          </w:p>
        </w:tc>
        <w:tc>
          <w:tcPr>
            <w:tcW w:w="77" w:type="dxa"/>
            <w:noWrap/>
            <w:tcMar>
              <w:top w:w="5" w:type="dxa"/>
              <w:left w:w="5" w:type="dxa"/>
              <w:bottom w:w="5" w:type="dxa"/>
              <w:right w:w="5" w:type="dxa"/>
            </w:tcMar>
            <w:vAlign w:val="bottom"/>
            <w:hideMark/>
          </w:tcPr>
          <w:p w14:paraId="1BCB323B" w14:textId="77777777" w:rsidR="00954279" w:rsidRDefault="00A66714">
            <w:pPr>
              <w:rPr>
                <w:color w:val="000000"/>
                <w:sz w:val="20"/>
                <w:szCs w:val="20"/>
              </w:rPr>
            </w:pPr>
            <w:r>
              <w:rPr>
                <w:color w:val="000000"/>
                <w:sz w:val="20"/>
                <w:szCs w:val="20"/>
              </w:rPr>
              <w:t> </w:t>
            </w:r>
          </w:p>
        </w:tc>
        <w:tc>
          <w:tcPr>
            <w:tcW w:w="65" w:type="dxa"/>
            <w:tcMar>
              <w:top w:w="5" w:type="dxa"/>
              <w:left w:w="5" w:type="dxa"/>
              <w:bottom w:w="5" w:type="dxa"/>
              <w:right w:w="5" w:type="dxa"/>
            </w:tcMar>
            <w:vAlign w:val="bottom"/>
            <w:hideMark/>
          </w:tcPr>
          <w:p w14:paraId="5D52C637" w14:textId="77777777" w:rsidR="00954279" w:rsidRDefault="00A66714">
            <w:pPr>
              <w:rPr>
                <w:color w:val="000000"/>
                <w:sz w:val="20"/>
                <w:szCs w:val="20"/>
              </w:rPr>
            </w:pPr>
            <w:r>
              <w:rPr>
                <w:color w:val="000000"/>
                <w:sz w:val="20"/>
                <w:szCs w:val="20"/>
              </w:rPr>
              <w:t> </w:t>
            </w:r>
          </w:p>
        </w:tc>
        <w:tc>
          <w:tcPr>
            <w:tcW w:w="148" w:type="dxa"/>
            <w:tcMar>
              <w:top w:w="5" w:type="dxa"/>
              <w:left w:w="5" w:type="dxa"/>
              <w:bottom w:w="5" w:type="dxa"/>
              <w:right w:w="5" w:type="dxa"/>
            </w:tcMar>
            <w:vAlign w:val="bottom"/>
            <w:hideMark/>
          </w:tcPr>
          <w:p w14:paraId="4B8B2271" w14:textId="77777777" w:rsidR="00954279" w:rsidRDefault="00A66714">
            <w:pPr>
              <w:rPr>
                <w:color w:val="000000"/>
                <w:sz w:val="20"/>
                <w:szCs w:val="20"/>
              </w:rPr>
            </w:pPr>
            <w:r>
              <w:rPr>
                <w:color w:val="000000"/>
                <w:sz w:val="20"/>
                <w:szCs w:val="20"/>
              </w:rPr>
              <w:t> </w:t>
            </w:r>
          </w:p>
        </w:tc>
        <w:tc>
          <w:tcPr>
            <w:tcW w:w="1029" w:type="dxa"/>
            <w:tcMar>
              <w:top w:w="5" w:type="dxa"/>
              <w:left w:w="5" w:type="dxa"/>
              <w:bottom w:w="5" w:type="dxa"/>
              <w:right w:w="5" w:type="dxa"/>
            </w:tcMar>
            <w:vAlign w:val="bottom"/>
            <w:hideMark/>
          </w:tcPr>
          <w:p w14:paraId="33B5298F" w14:textId="77777777" w:rsidR="00954279" w:rsidRDefault="00A66714">
            <w:pPr>
              <w:jc w:val="right"/>
              <w:rPr>
                <w:color w:val="000000"/>
                <w:sz w:val="20"/>
                <w:szCs w:val="20"/>
              </w:rPr>
            </w:pPr>
            <w:r>
              <w:rPr>
                <w:b/>
                <w:bCs/>
                <w:color w:val="000000"/>
                <w:sz w:val="20"/>
                <w:szCs w:val="20"/>
              </w:rPr>
              <w:t>(2</w:t>
            </w:r>
          </w:p>
        </w:tc>
        <w:tc>
          <w:tcPr>
            <w:tcW w:w="77" w:type="dxa"/>
            <w:noWrap/>
            <w:tcMar>
              <w:top w:w="5" w:type="dxa"/>
              <w:left w:w="5" w:type="dxa"/>
              <w:bottom w:w="5" w:type="dxa"/>
              <w:right w:w="5" w:type="dxa"/>
            </w:tcMar>
            <w:vAlign w:val="bottom"/>
            <w:hideMark/>
          </w:tcPr>
          <w:p w14:paraId="48082AFD" w14:textId="77777777" w:rsidR="00954279" w:rsidRDefault="00A66714">
            <w:pPr>
              <w:rPr>
                <w:color w:val="000000"/>
                <w:sz w:val="20"/>
                <w:szCs w:val="20"/>
              </w:rPr>
            </w:pPr>
            <w:r>
              <w:rPr>
                <w:color w:val="000000"/>
                <w:sz w:val="20"/>
                <w:szCs w:val="20"/>
              </w:rPr>
              <w:t>)</w:t>
            </w:r>
          </w:p>
        </w:tc>
      </w:tr>
      <w:tr w:rsidR="00954279" w14:paraId="214B4BB9" w14:textId="77777777" w:rsidTr="00717712">
        <w:tc>
          <w:tcPr>
            <w:tcW w:w="2678" w:type="dxa"/>
            <w:tcMar>
              <w:top w:w="5" w:type="dxa"/>
              <w:left w:w="5" w:type="dxa"/>
              <w:bottom w:w="5" w:type="dxa"/>
              <w:right w:w="5" w:type="dxa"/>
            </w:tcMar>
            <w:vAlign w:val="bottom"/>
            <w:hideMark/>
          </w:tcPr>
          <w:p w14:paraId="736CEC19" w14:textId="77777777" w:rsidR="00954279" w:rsidRDefault="00A66714">
            <w:pPr>
              <w:ind w:firstLine="180"/>
              <w:rPr>
                <w:color w:val="000000"/>
                <w:sz w:val="20"/>
                <w:szCs w:val="20"/>
              </w:rPr>
            </w:pPr>
            <w:r>
              <w:rPr>
                <w:color w:val="000000"/>
                <w:sz w:val="20"/>
                <w:szCs w:val="20"/>
              </w:rPr>
              <w:t>Vesting of stock awards</w:t>
            </w:r>
          </w:p>
        </w:tc>
        <w:tc>
          <w:tcPr>
            <w:tcW w:w="60" w:type="dxa"/>
            <w:tcMar>
              <w:top w:w="5" w:type="dxa"/>
              <w:left w:w="5" w:type="dxa"/>
              <w:bottom w:w="5" w:type="dxa"/>
              <w:right w:w="5" w:type="dxa"/>
            </w:tcMar>
            <w:vAlign w:val="bottom"/>
            <w:hideMark/>
          </w:tcPr>
          <w:p w14:paraId="34AA66C1" w14:textId="77777777" w:rsidR="00954279" w:rsidRDefault="00A66714">
            <w:pPr>
              <w:rPr>
                <w:color w:val="000000"/>
                <w:sz w:val="20"/>
                <w:szCs w:val="20"/>
              </w:rPr>
            </w:pPr>
            <w:r>
              <w:rPr>
                <w:color w:val="000000"/>
                <w:sz w:val="20"/>
                <w:szCs w:val="20"/>
              </w:rPr>
              <w:t> </w:t>
            </w:r>
          </w:p>
        </w:tc>
        <w:tc>
          <w:tcPr>
            <w:tcW w:w="74" w:type="dxa"/>
            <w:tcMar>
              <w:top w:w="5" w:type="dxa"/>
              <w:left w:w="5" w:type="dxa"/>
              <w:bottom w:w="5" w:type="dxa"/>
              <w:right w:w="5" w:type="dxa"/>
            </w:tcMar>
            <w:vAlign w:val="bottom"/>
            <w:hideMark/>
          </w:tcPr>
          <w:p w14:paraId="0834D4B5" w14:textId="77777777" w:rsidR="00954279" w:rsidRDefault="00A66714">
            <w:pPr>
              <w:rPr>
                <w:color w:val="000000"/>
                <w:sz w:val="20"/>
                <w:szCs w:val="20"/>
              </w:rPr>
            </w:pPr>
            <w:r>
              <w:rPr>
                <w:color w:val="000000"/>
                <w:sz w:val="20"/>
                <w:szCs w:val="20"/>
              </w:rPr>
              <w:t> </w:t>
            </w:r>
          </w:p>
        </w:tc>
        <w:tc>
          <w:tcPr>
            <w:tcW w:w="713" w:type="dxa"/>
            <w:tcMar>
              <w:top w:w="5" w:type="dxa"/>
              <w:left w:w="5" w:type="dxa"/>
              <w:bottom w:w="5" w:type="dxa"/>
              <w:right w:w="5" w:type="dxa"/>
            </w:tcMar>
            <w:vAlign w:val="bottom"/>
            <w:hideMark/>
          </w:tcPr>
          <w:p w14:paraId="6DD0C804" w14:textId="77777777" w:rsidR="00954279" w:rsidRDefault="00A66714">
            <w:pPr>
              <w:jc w:val="right"/>
              <w:rPr>
                <w:color w:val="000000"/>
                <w:sz w:val="20"/>
                <w:szCs w:val="20"/>
              </w:rPr>
            </w:pPr>
            <w:r>
              <w:rPr>
                <w:b/>
                <w:bCs/>
                <w:color w:val="000000"/>
                <w:sz w:val="20"/>
                <w:szCs w:val="20"/>
              </w:rPr>
              <w:t>1</w:t>
            </w:r>
          </w:p>
        </w:tc>
        <w:tc>
          <w:tcPr>
            <w:tcW w:w="69" w:type="dxa"/>
            <w:noWrap/>
            <w:tcMar>
              <w:top w:w="5" w:type="dxa"/>
              <w:left w:w="5" w:type="dxa"/>
              <w:bottom w:w="5" w:type="dxa"/>
              <w:right w:w="5" w:type="dxa"/>
            </w:tcMar>
            <w:vAlign w:val="bottom"/>
            <w:hideMark/>
          </w:tcPr>
          <w:p w14:paraId="7D963E5B" w14:textId="77777777" w:rsidR="00954279" w:rsidRDefault="00A66714">
            <w:pPr>
              <w:rPr>
                <w:color w:val="000000"/>
                <w:sz w:val="20"/>
                <w:szCs w:val="20"/>
              </w:rPr>
            </w:pPr>
            <w:r>
              <w:rPr>
                <w:color w:val="000000"/>
                <w:sz w:val="20"/>
                <w:szCs w:val="20"/>
              </w:rPr>
              <w:t> </w:t>
            </w:r>
          </w:p>
        </w:tc>
        <w:tc>
          <w:tcPr>
            <w:tcW w:w="69" w:type="dxa"/>
            <w:tcMar>
              <w:top w:w="5" w:type="dxa"/>
              <w:left w:w="5" w:type="dxa"/>
              <w:bottom w:w="5" w:type="dxa"/>
              <w:right w:w="5" w:type="dxa"/>
            </w:tcMar>
            <w:vAlign w:val="bottom"/>
            <w:hideMark/>
          </w:tcPr>
          <w:p w14:paraId="07E32179" w14:textId="77777777" w:rsidR="00954279" w:rsidRDefault="00A66714">
            <w:pPr>
              <w:rPr>
                <w:color w:val="000000"/>
                <w:sz w:val="20"/>
                <w:szCs w:val="20"/>
              </w:rPr>
            </w:pPr>
            <w:r>
              <w:rPr>
                <w:color w:val="000000"/>
                <w:sz w:val="20"/>
                <w:szCs w:val="20"/>
              </w:rPr>
              <w:t> </w:t>
            </w:r>
          </w:p>
        </w:tc>
        <w:tc>
          <w:tcPr>
            <w:tcW w:w="111" w:type="dxa"/>
            <w:tcMar>
              <w:top w:w="5" w:type="dxa"/>
              <w:left w:w="5" w:type="dxa"/>
              <w:bottom w:w="5" w:type="dxa"/>
              <w:right w:w="5" w:type="dxa"/>
            </w:tcMar>
            <w:vAlign w:val="bottom"/>
            <w:hideMark/>
          </w:tcPr>
          <w:p w14:paraId="2F87CE8A" w14:textId="77777777" w:rsidR="00954279" w:rsidRDefault="00A66714">
            <w:pPr>
              <w:rPr>
                <w:color w:val="000000"/>
                <w:sz w:val="20"/>
                <w:szCs w:val="20"/>
              </w:rPr>
            </w:pPr>
            <w:r>
              <w:rPr>
                <w:color w:val="000000"/>
                <w:sz w:val="20"/>
                <w:szCs w:val="20"/>
              </w:rPr>
              <w:t> </w:t>
            </w:r>
          </w:p>
        </w:tc>
        <w:tc>
          <w:tcPr>
            <w:tcW w:w="717" w:type="dxa"/>
            <w:tcMar>
              <w:top w:w="5" w:type="dxa"/>
              <w:left w:w="5" w:type="dxa"/>
              <w:bottom w:w="5" w:type="dxa"/>
              <w:right w:w="5" w:type="dxa"/>
            </w:tcMar>
            <w:vAlign w:val="bottom"/>
            <w:hideMark/>
          </w:tcPr>
          <w:p w14:paraId="080B44BA" w14:textId="77777777" w:rsidR="00954279" w:rsidRDefault="00A66714">
            <w:pPr>
              <w:jc w:val="right"/>
              <w:rPr>
                <w:color w:val="000000"/>
                <w:sz w:val="20"/>
                <w:szCs w:val="20"/>
              </w:rPr>
            </w:pPr>
            <w:r>
              <w:rPr>
                <w:color w:val="000000"/>
                <w:sz w:val="20"/>
                <w:szCs w:val="20"/>
              </w:rPr>
              <w:t>-</w:t>
            </w:r>
          </w:p>
        </w:tc>
        <w:tc>
          <w:tcPr>
            <w:tcW w:w="69" w:type="dxa"/>
            <w:noWrap/>
            <w:tcMar>
              <w:top w:w="5" w:type="dxa"/>
              <w:left w:w="5" w:type="dxa"/>
              <w:bottom w:w="5" w:type="dxa"/>
              <w:right w:w="5" w:type="dxa"/>
            </w:tcMar>
            <w:vAlign w:val="bottom"/>
            <w:hideMark/>
          </w:tcPr>
          <w:p w14:paraId="335836B6" w14:textId="77777777" w:rsidR="00954279" w:rsidRDefault="00A66714">
            <w:pPr>
              <w:rPr>
                <w:color w:val="000000"/>
                <w:sz w:val="20"/>
                <w:szCs w:val="20"/>
              </w:rPr>
            </w:pPr>
            <w:r>
              <w:rPr>
                <w:color w:val="000000"/>
                <w:sz w:val="20"/>
                <w:szCs w:val="20"/>
              </w:rPr>
              <w:t> </w:t>
            </w:r>
          </w:p>
        </w:tc>
        <w:tc>
          <w:tcPr>
            <w:tcW w:w="70" w:type="dxa"/>
            <w:tcMar>
              <w:top w:w="5" w:type="dxa"/>
              <w:left w:w="5" w:type="dxa"/>
              <w:bottom w:w="5" w:type="dxa"/>
              <w:right w:w="5" w:type="dxa"/>
            </w:tcMar>
            <w:vAlign w:val="bottom"/>
            <w:hideMark/>
          </w:tcPr>
          <w:p w14:paraId="5A37C539" w14:textId="77777777" w:rsidR="00954279" w:rsidRDefault="00A66714">
            <w:pPr>
              <w:rPr>
                <w:color w:val="000000"/>
                <w:sz w:val="20"/>
                <w:szCs w:val="20"/>
              </w:rPr>
            </w:pPr>
            <w:r>
              <w:rPr>
                <w:color w:val="000000"/>
                <w:sz w:val="20"/>
                <w:szCs w:val="20"/>
              </w:rPr>
              <w:t> </w:t>
            </w:r>
          </w:p>
        </w:tc>
        <w:tc>
          <w:tcPr>
            <w:tcW w:w="116" w:type="dxa"/>
            <w:tcMar>
              <w:top w:w="5" w:type="dxa"/>
              <w:left w:w="5" w:type="dxa"/>
              <w:bottom w:w="5" w:type="dxa"/>
              <w:right w:w="5" w:type="dxa"/>
            </w:tcMar>
            <w:vAlign w:val="bottom"/>
            <w:hideMark/>
          </w:tcPr>
          <w:p w14:paraId="28960522" w14:textId="77777777" w:rsidR="00954279" w:rsidRDefault="00A66714">
            <w:pPr>
              <w:rPr>
                <w:color w:val="000000"/>
                <w:sz w:val="20"/>
                <w:szCs w:val="20"/>
              </w:rPr>
            </w:pPr>
            <w:r>
              <w:rPr>
                <w:color w:val="000000"/>
                <w:sz w:val="20"/>
                <w:szCs w:val="20"/>
              </w:rPr>
              <w:t> </w:t>
            </w:r>
          </w:p>
        </w:tc>
        <w:tc>
          <w:tcPr>
            <w:tcW w:w="806" w:type="dxa"/>
            <w:tcMar>
              <w:top w:w="5" w:type="dxa"/>
              <w:left w:w="5" w:type="dxa"/>
              <w:bottom w:w="5" w:type="dxa"/>
              <w:right w:w="5" w:type="dxa"/>
            </w:tcMar>
            <w:vAlign w:val="bottom"/>
            <w:hideMark/>
          </w:tcPr>
          <w:p w14:paraId="1E4FB2A2" w14:textId="77777777" w:rsidR="00954279" w:rsidRDefault="00A66714">
            <w:pPr>
              <w:jc w:val="right"/>
              <w:rPr>
                <w:color w:val="000000"/>
                <w:sz w:val="20"/>
                <w:szCs w:val="20"/>
              </w:rPr>
            </w:pPr>
            <w:r>
              <w:rPr>
                <w:color w:val="000000"/>
                <w:sz w:val="20"/>
                <w:szCs w:val="20"/>
              </w:rPr>
              <w:t>-</w:t>
            </w:r>
          </w:p>
        </w:tc>
        <w:tc>
          <w:tcPr>
            <w:tcW w:w="77" w:type="dxa"/>
            <w:noWrap/>
            <w:tcMar>
              <w:top w:w="5" w:type="dxa"/>
              <w:left w:w="5" w:type="dxa"/>
              <w:bottom w:w="5" w:type="dxa"/>
              <w:right w:w="5" w:type="dxa"/>
            </w:tcMar>
            <w:vAlign w:val="bottom"/>
            <w:hideMark/>
          </w:tcPr>
          <w:p w14:paraId="7284BD0D" w14:textId="77777777" w:rsidR="00954279" w:rsidRDefault="00A66714">
            <w:pPr>
              <w:rPr>
                <w:color w:val="000000"/>
                <w:sz w:val="20"/>
                <w:szCs w:val="20"/>
              </w:rPr>
            </w:pPr>
            <w:r>
              <w:rPr>
                <w:color w:val="000000"/>
                <w:sz w:val="20"/>
                <w:szCs w:val="20"/>
              </w:rPr>
              <w:t> </w:t>
            </w:r>
          </w:p>
        </w:tc>
        <w:tc>
          <w:tcPr>
            <w:tcW w:w="64" w:type="dxa"/>
            <w:tcMar>
              <w:top w:w="5" w:type="dxa"/>
              <w:left w:w="5" w:type="dxa"/>
              <w:bottom w:w="5" w:type="dxa"/>
              <w:right w:w="5" w:type="dxa"/>
            </w:tcMar>
            <w:vAlign w:val="bottom"/>
            <w:hideMark/>
          </w:tcPr>
          <w:p w14:paraId="69559182" w14:textId="77777777" w:rsidR="00954279" w:rsidRDefault="00A66714">
            <w:pPr>
              <w:rPr>
                <w:color w:val="000000"/>
                <w:sz w:val="20"/>
                <w:szCs w:val="20"/>
              </w:rPr>
            </w:pPr>
            <w:r>
              <w:rPr>
                <w:color w:val="000000"/>
                <w:sz w:val="20"/>
                <w:szCs w:val="20"/>
              </w:rPr>
              <w:t> </w:t>
            </w:r>
          </w:p>
        </w:tc>
        <w:tc>
          <w:tcPr>
            <w:tcW w:w="111" w:type="dxa"/>
            <w:tcMar>
              <w:top w:w="5" w:type="dxa"/>
              <w:left w:w="5" w:type="dxa"/>
              <w:bottom w:w="5" w:type="dxa"/>
              <w:right w:w="5" w:type="dxa"/>
            </w:tcMar>
            <w:vAlign w:val="bottom"/>
            <w:hideMark/>
          </w:tcPr>
          <w:p w14:paraId="12BC16C0" w14:textId="77777777" w:rsidR="00954279" w:rsidRDefault="00A66714">
            <w:pPr>
              <w:rPr>
                <w:color w:val="000000"/>
                <w:sz w:val="20"/>
                <w:szCs w:val="20"/>
              </w:rPr>
            </w:pPr>
            <w:r>
              <w:rPr>
                <w:color w:val="000000"/>
                <w:sz w:val="20"/>
                <w:szCs w:val="20"/>
              </w:rPr>
              <w:t> </w:t>
            </w:r>
          </w:p>
        </w:tc>
        <w:tc>
          <w:tcPr>
            <w:tcW w:w="719" w:type="dxa"/>
            <w:tcMar>
              <w:top w:w="5" w:type="dxa"/>
              <w:left w:w="5" w:type="dxa"/>
              <w:bottom w:w="5" w:type="dxa"/>
              <w:right w:w="5" w:type="dxa"/>
            </w:tcMar>
            <w:vAlign w:val="bottom"/>
            <w:hideMark/>
          </w:tcPr>
          <w:p w14:paraId="54C17427" w14:textId="77777777" w:rsidR="00954279" w:rsidRDefault="00A66714">
            <w:pPr>
              <w:jc w:val="right"/>
              <w:rPr>
                <w:color w:val="000000"/>
                <w:sz w:val="20"/>
                <w:szCs w:val="20"/>
              </w:rPr>
            </w:pPr>
            <w:r>
              <w:rPr>
                <w:color w:val="000000"/>
                <w:sz w:val="20"/>
                <w:szCs w:val="20"/>
              </w:rPr>
              <w:t>-</w:t>
            </w:r>
          </w:p>
        </w:tc>
        <w:tc>
          <w:tcPr>
            <w:tcW w:w="77" w:type="dxa"/>
            <w:noWrap/>
            <w:tcMar>
              <w:top w:w="5" w:type="dxa"/>
              <w:left w:w="5" w:type="dxa"/>
              <w:bottom w:w="5" w:type="dxa"/>
              <w:right w:w="5" w:type="dxa"/>
            </w:tcMar>
            <w:vAlign w:val="bottom"/>
            <w:hideMark/>
          </w:tcPr>
          <w:p w14:paraId="1C91E30C" w14:textId="77777777" w:rsidR="00954279" w:rsidRDefault="00A66714">
            <w:pPr>
              <w:rPr>
                <w:color w:val="000000"/>
                <w:sz w:val="20"/>
                <w:szCs w:val="20"/>
              </w:rPr>
            </w:pPr>
            <w:r>
              <w:rPr>
                <w:color w:val="000000"/>
                <w:sz w:val="20"/>
                <w:szCs w:val="20"/>
              </w:rPr>
              <w:t> </w:t>
            </w:r>
          </w:p>
        </w:tc>
        <w:tc>
          <w:tcPr>
            <w:tcW w:w="65" w:type="dxa"/>
            <w:tcMar>
              <w:top w:w="5" w:type="dxa"/>
              <w:left w:w="5" w:type="dxa"/>
              <w:bottom w:w="5" w:type="dxa"/>
              <w:right w:w="5" w:type="dxa"/>
            </w:tcMar>
            <w:vAlign w:val="bottom"/>
            <w:hideMark/>
          </w:tcPr>
          <w:p w14:paraId="23C005E6" w14:textId="77777777" w:rsidR="00954279" w:rsidRDefault="00A66714">
            <w:pPr>
              <w:rPr>
                <w:color w:val="000000"/>
                <w:sz w:val="20"/>
                <w:szCs w:val="20"/>
              </w:rPr>
            </w:pPr>
            <w:r>
              <w:rPr>
                <w:color w:val="000000"/>
                <w:sz w:val="20"/>
                <w:szCs w:val="20"/>
              </w:rPr>
              <w:t> </w:t>
            </w:r>
          </w:p>
        </w:tc>
        <w:tc>
          <w:tcPr>
            <w:tcW w:w="74" w:type="dxa"/>
            <w:tcMar>
              <w:top w:w="5" w:type="dxa"/>
              <w:left w:w="5" w:type="dxa"/>
              <w:bottom w:w="5" w:type="dxa"/>
              <w:right w:w="5" w:type="dxa"/>
            </w:tcMar>
            <w:vAlign w:val="bottom"/>
            <w:hideMark/>
          </w:tcPr>
          <w:p w14:paraId="18AF076C" w14:textId="77777777" w:rsidR="00954279" w:rsidRDefault="00A66714">
            <w:pPr>
              <w:rPr>
                <w:color w:val="000000"/>
                <w:sz w:val="20"/>
                <w:szCs w:val="20"/>
              </w:rPr>
            </w:pPr>
            <w:r>
              <w:rPr>
                <w:color w:val="000000"/>
                <w:sz w:val="20"/>
                <w:szCs w:val="20"/>
              </w:rPr>
              <w:t> </w:t>
            </w:r>
          </w:p>
        </w:tc>
        <w:tc>
          <w:tcPr>
            <w:tcW w:w="716" w:type="dxa"/>
            <w:tcMar>
              <w:top w:w="5" w:type="dxa"/>
              <w:left w:w="5" w:type="dxa"/>
              <w:bottom w:w="5" w:type="dxa"/>
              <w:right w:w="5" w:type="dxa"/>
            </w:tcMar>
            <w:vAlign w:val="bottom"/>
            <w:hideMark/>
          </w:tcPr>
          <w:p w14:paraId="0DBC7CED" w14:textId="77777777" w:rsidR="00954279" w:rsidRDefault="00A66714">
            <w:pPr>
              <w:jc w:val="right"/>
              <w:rPr>
                <w:color w:val="000000"/>
                <w:sz w:val="20"/>
                <w:szCs w:val="20"/>
              </w:rPr>
            </w:pPr>
            <w:r>
              <w:rPr>
                <w:color w:val="000000"/>
                <w:sz w:val="20"/>
                <w:szCs w:val="20"/>
              </w:rPr>
              <w:t>-</w:t>
            </w:r>
          </w:p>
        </w:tc>
        <w:tc>
          <w:tcPr>
            <w:tcW w:w="77" w:type="dxa"/>
            <w:noWrap/>
            <w:tcMar>
              <w:top w:w="5" w:type="dxa"/>
              <w:left w:w="5" w:type="dxa"/>
              <w:bottom w:w="5" w:type="dxa"/>
              <w:right w:w="5" w:type="dxa"/>
            </w:tcMar>
            <w:vAlign w:val="bottom"/>
            <w:hideMark/>
          </w:tcPr>
          <w:p w14:paraId="1311368A" w14:textId="77777777" w:rsidR="00954279" w:rsidRDefault="00A66714">
            <w:pPr>
              <w:rPr>
                <w:color w:val="000000"/>
                <w:sz w:val="20"/>
                <w:szCs w:val="20"/>
              </w:rPr>
            </w:pPr>
            <w:r>
              <w:rPr>
                <w:color w:val="000000"/>
                <w:sz w:val="20"/>
                <w:szCs w:val="20"/>
              </w:rPr>
              <w:t> </w:t>
            </w:r>
          </w:p>
        </w:tc>
        <w:tc>
          <w:tcPr>
            <w:tcW w:w="65" w:type="dxa"/>
            <w:tcMar>
              <w:top w:w="5" w:type="dxa"/>
              <w:left w:w="5" w:type="dxa"/>
              <w:bottom w:w="5" w:type="dxa"/>
              <w:right w:w="5" w:type="dxa"/>
            </w:tcMar>
            <w:vAlign w:val="bottom"/>
            <w:hideMark/>
          </w:tcPr>
          <w:p w14:paraId="16660694" w14:textId="77777777" w:rsidR="00954279" w:rsidRDefault="00A66714">
            <w:pPr>
              <w:rPr>
                <w:color w:val="000000"/>
                <w:sz w:val="20"/>
                <w:szCs w:val="20"/>
              </w:rPr>
            </w:pPr>
            <w:r>
              <w:rPr>
                <w:color w:val="000000"/>
                <w:sz w:val="20"/>
                <w:szCs w:val="20"/>
              </w:rPr>
              <w:t> </w:t>
            </w:r>
          </w:p>
        </w:tc>
        <w:tc>
          <w:tcPr>
            <w:tcW w:w="111" w:type="dxa"/>
            <w:tcMar>
              <w:top w:w="5" w:type="dxa"/>
              <w:left w:w="5" w:type="dxa"/>
              <w:bottom w:w="5" w:type="dxa"/>
              <w:right w:w="5" w:type="dxa"/>
            </w:tcMar>
            <w:vAlign w:val="bottom"/>
            <w:hideMark/>
          </w:tcPr>
          <w:p w14:paraId="63172951" w14:textId="77777777" w:rsidR="00954279" w:rsidRDefault="00A66714">
            <w:pPr>
              <w:rPr>
                <w:color w:val="000000"/>
                <w:sz w:val="20"/>
                <w:szCs w:val="20"/>
              </w:rPr>
            </w:pPr>
            <w:r>
              <w:rPr>
                <w:color w:val="000000"/>
                <w:sz w:val="20"/>
                <w:szCs w:val="20"/>
              </w:rPr>
              <w:t> </w:t>
            </w:r>
          </w:p>
        </w:tc>
        <w:tc>
          <w:tcPr>
            <w:tcW w:w="719" w:type="dxa"/>
            <w:tcMar>
              <w:top w:w="5" w:type="dxa"/>
              <w:left w:w="5" w:type="dxa"/>
              <w:bottom w:w="5" w:type="dxa"/>
              <w:right w:w="5" w:type="dxa"/>
            </w:tcMar>
            <w:vAlign w:val="bottom"/>
            <w:hideMark/>
          </w:tcPr>
          <w:p w14:paraId="0A98E232" w14:textId="77777777" w:rsidR="00954279" w:rsidRDefault="00A66714">
            <w:pPr>
              <w:jc w:val="right"/>
              <w:rPr>
                <w:color w:val="000000"/>
                <w:sz w:val="20"/>
                <w:szCs w:val="20"/>
              </w:rPr>
            </w:pPr>
            <w:r>
              <w:rPr>
                <w:color w:val="000000"/>
                <w:sz w:val="20"/>
                <w:szCs w:val="20"/>
              </w:rPr>
              <w:t>-</w:t>
            </w:r>
          </w:p>
        </w:tc>
        <w:tc>
          <w:tcPr>
            <w:tcW w:w="77" w:type="dxa"/>
            <w:noWrap/>
            <w:tcMar>
              <w:top w:w="5" w:type="dxa"/>
              <w:left w:w="5" w:type="dxa"/>
              <w:bottom w:w="5" w:type="dxa"/>
              <w:right w:w="5" w:type="dxa"/>
            </w:tcMar>
            <w:vAlign w:val="bottom"/>
            <w:hideMark/>
          </w:tcPr>
          <w:p w14:paraId="262A3C82" w14:textId="77777777" w:rsidR="00954279" w:rsidRDefault="00A66714">
            <w:pPr>
              <w:rPr>
                <w:color w:val="000000"/>
                <w:sz w:val="20"/>
                <w:szCs w:val="20"/>
              </w:rPr>
            </w:pPr>
            <w:r>
              <w:rPr>
                <w:color w:val="000000"/>
                <w:sz w:val="20"/>
                <w:szCs w:val="20"/>
              </w:rPr>
              <w:t> </w:t>
            </w:r>
          </w:p>
        </w:tc>
        <w:tc>
          <w:tcPr>
            <w:tcW w:w="65" w:type="dxa"/>
            <w:tcMar>
              <w:top w:w="5" w:type="dxa"/>
              <w:left w:w="5" w:type="dxa"/>
              <w:bottom w:w="5" w:type="dxa"/>
              <w:right w:w="5" w:type="dxa"/>
            </w:tcMar>
            <w:vAlign w:val="bottom"/>
            <w:hideMark/>
          </w:tcPr>
          <w:p w14:paraId="3D5FFE60" w14:textId="77777777" w:rsidR="00954279" w:rsidRDefault="00A66714">
            <w:pPr>
              <w:rPr>
                <w:color w:val="000000"/>
                <w:sz w:val="20"/>
                <w:szCs w:val="20"/>
              </w:rPr>
            </w:pPr>
            <w:r>
              <w:rPr>
                <w:color w:val="000000"/>
                <w:sz w:val="20"/>
                <w:szCs w:val="20"/>
              </w:rPr>
              <w:t> </w:t>
            </w:r>
          </w:p>
        </w:tc>
        <w:tc>
          <w:tcPr>
            <w:tcW w:w="168" w:type="dxa"/>
            <w:tcMar>
              <w:top w:w="5" w:type="dxa"/>
              <w:left w:w="5" w:type="dxa"/>
              <w:bottom w:w="5" w:type="dxa"/>
              <w:right w:w="5" w:type="dxa"/>
            </w:tcMar>
            <w:vAlign w:val="bottom"/>
            <w:hideMark/>
          </w:tcPr>
          <w:p w14:paraId="26AE76BA" w14:textId="77777777" w:rsidR="00954279" w:rsidRDefault="00A66714">
            <w:pPr>
              <w:rPr>
                <w:color w:val="000000"/>
                <w:sz w:val="20"/>
                <w:szCs w:val="20"/>
              </w:rPr>
            </w:pPr>
            <w:r>
              <w:rPr>
                <w:color w:val="000000"/>
                <w:sz w:val="20"/>
                <w:szCs w:val="20"/>
              </w:rPr>
              <w:t> </w:t>
            </w:r>
          </w:p>
        </w:tc>
        <w:tc>
          <w:tcPr>
            <w:tcW w:w="1176" w:type="dxa"/>
            <w:tcMar>
              <w:top w:w="5" w:type="dxa"/>
              <w:left w:w="5" w:type="dxa"/>
              <w:bottom w:w="5" w:type="dxa"/>
              <w:right w:w="5" w:type="dxa"/>
            </w:tcMar>
            <w:vAlign w:val="bottom"/>
            <w:hideMark/>
          </w:tcPr>
          <w:p w14:paraId="0E0D8CD9" w14:textId="77777777" w:rsidR="00954279" w:rsidRDefault="00A66714">
            <w:pPr>
              <w:jc w:val="right"/>
              <w:rPr>
                <w:color w:val="000000"/>
                <w:sz w:val="20"/>
                <w:szCs w:val="20"/>
              </w:rPr>
            </w:pPr>
            <w:r>
              <w:rPr>
                <w:color w:val="000000"/>
                <w:sz w:val="20"/>
                <w:szCs w:val="20"/>
              </w:rPr>
              <w:t>-</w:t>
            </w:r>
          </w:p>
        </w:tc>
        <w:tc>
          <w:tcPr>
            <w:tcW w:w="77" w:type="dxa"/>
            <w:noWrap/>
            <w:tcMar>
              <w:top w:w="5" w:type="dxa"/>
              <w:left w:w="5" w:type="dxa"/>
              <w:bottom w:w="5" w:type="dxa"/>
              <w:right w:w="5" w:type="dxa"/>
            </w:tcMar>
            <w:vAlign w:val="bottom"/>
            <w:hideMark/>
          </w:tcPr>
          <w:p w14:paraId="38E11B0D" w14:textId="77777777" w:rsidR="00954279" w:rsidRDefault="00A66714">
            <w:pPr>
              <w:rPr>
                <w:color w:val="000000"/>
                <w:sz w:val="20"/>
                <w:szCs w:val="20"/>
              </w:rPr>
            </w:pPr>
            <w:r>
              <w:rPr>
                <w:color w:val="000000"/>
                <w:sz w:val="20"/>
                <w:szCs w:val="20"/>
              </w:rPr>
              <w:t> </w:t>
            </w:r>
          </w:p>
        </w:tc>
        <w:tc>
          <w:tcPr>
            <w:tcW w:w="65" w:type="dxa"/>
            <w:tcMar>
              <w:top w:w="5" w:type="dxa"/>
              <w:left w:w="5" w:type="dxa"/>
              <w:bottom w:w="5" w:type="dxa"/>
              <w:right w:w="5" w:type="dxa"/>
            </w:tcMar>
            <w:vAlign w:val="bottom"/>
            <w:hideMark/>
          </w:tcPr>
          <w:p w14:paraId="2ED7A0BC" w14:textId="77777777" w:rsidR="00954279" w:rsidRDefault="00A66714">
            <w:pPr>
              <w:rPr>
                <w:color w:val="000000"/>
                <w:sz w:val="20"/>
                <w:szCs w:val="20"/>
              </w:rPr>
            </w:pPr>
            <w:r>
              <w:rPr>
                <w:color w:val="000000"/>
                <w:sz w:val="20"/>
                <w:szCs w:val="20"/>
              </w:rPr>
              <w:t> </w:t>
            </w:r>
          </w:p>
        </w:tc>
        <w:tc>
          <w:tcPr>
            <w:tcW w:w="148" w:type="dxa"/>
            <w:tcMar>
              <w:top w:w="5" w:type="dxa"/>
              <w:left w:w="5" w:type="dxa"/>
              <w:bottom w:w="5" w:type="dxa"/>
              <w:right w:w="5" w:type="dxa"/>
            </w:tcMar>
            <w:vAlign w:val="bottom"/>
            <w:hideMark/>
          </w:tcPr>
          <w:p w14:paraId="213E0C10" w14:textId="77777777" w:rsidR="00954279" w:rsidRDefault="00A66714">
            <w:pPr>
              <w:rPr>
                <w:color w:val="000000"/>
                <w:sz w:val="20"/>
                <w:szCs w:val="20"/>
              </w:rPr>
            </w:pPr>
            <w:r>
              <w:rPr>
                <w:color w:val="000000"/>
                <w:sz w:val="20"/>
                <w:szCs w:val="20"/>
              </w:rPr>
              <w:t> </w:t>
            </w:r>
          </w:p>
        </w:tc>
        <w:tc>
          <w:tcPr>
            <w:tcW w:w="1029" w:type="dxa"/>
            <w:tcMar>
              <w:top w:w="5" w:type="dxa"/>
              <w:left w:w="5" w:type="dxa"/>
              <w:bottom w:w="5" w:type="dxa"/>
              <w:right w:w="5" w:type="dxa"/>
            </w:tcMar>
            <w:vAlign w:val="bottom"/>
            <w:hideMark/>
          </w:tcPr>
          <w:p w14:paraId="64618B64" w14:textId="77777777" w:rsidR="00954279" w:rsidRDefault="00A66714">
            <w:pPr>
              <w:jc w:val="right"/>
              <w:rPr>
                <w:color w:val="000000"/>
                <w:sz w:val="20"/>
                <w:szCs w:val="20"/>
              </w:rPr>
            </w:pPr>
            <w:r>
              <w:rPr>
                <w:color w:val="000000"/>
                <w:sz w:val="20"/>
                <w:szCs w:val="20"/>
              </w:rPr>
              <w:t>-</w:t>
            </w:r>
          </w:p>
        </w:tc>
        <w:tc>
          <w:tcPr>
            <w:tcW w:w="77" w:type="dxa"/>
            <w:noWrap/>
            <w:tcMar>
              <w:top w:w="5" w:type="dxa"/>
              <w:left w:w="5" w:type="dxa"/>
              <w:bottom w:w="5" w:type="dxa"/>
              <w:right w:w="5" w:type="dxa"/>
            </w:tcMar>
            <w:vAlign w:val="bottom"/>
            <w:hideMark/>
          </w:tcPr>
          <w:p w14:paraId="0D2D6368" w14:textId="77777777" w:rsidR="00954279" w:rsidRDefault="00A66714">
            <w:pPr>
              <w:rPr>
                <w:color w:val="000000"/>
                <w:sz w:val="20"/>
                <w:szCs w:val="20"/>
              </w:rPr>
            </w:pPr>
            <w:r>
              <w:rPr>
                <w:color w:val="000000"/>
                <w:sz w:val="20"/>
                <w:szCs w:val="20"/>
              </w:rPr>
              <w:t> </w:t>
            </w:r>
          </w:p>
        </w:tc>
      </w:tr>
      <w:tr w:rsidR="00954279" w14:paraId="5EABBDEE" w14:textId="77777777" w:rsidTr="00717712">
        <w:tc>
          <w:tcPr>
            <w:tcW w:w="2678" w:type="dxa"/>
            <w:tcMar>
              <w:top w:w="5" w:type="dxa"/>
              <w:left w:w="5" w:type="dxa"/>
              <w:bottom w:w="5" w:type="dxa"/>
              <w:right w:w="5" w:type="dxa"/>
            </w:tcMar>
            <w:vAlign w:val="bottom"/>
            <w:hideMark/>
          </w:tcPr>
          <w:p w14:paraId="60A4C1DC" w14:textId="77777777" w:rsidR="00954279" w:rsidRDefault="00A66714">
            <w:pPr>
              <w:ind w:left="180"/>
              <w:rPr>
                <w:color w:val="000000"/>
                <w:sz w:val="20"/>
                <w:szCs w:val="20"/>
              </w:rPr>
            </w:pPr>
            <w:r>
              <w:rPr>
                <w:color w:val="000000"/>
                <w:sz w:val="20"/>
                <w:szCs w:val="20"/>
              </w:rPr>
              <w:t>Equity-based compensation expense</w:t>
            </w:r>
          </w:p>
        </w:tc>
        <w:tc>
          <w:tcPr>
            <w:tcW w:w="60" w:type="dxa"/>
            <w:tcMar>
              <w:top w:w="5" w:type="dxa"/>
              <w:left w:w="5" w:type="dxa"/>
              <w:bottom w:w="5" w:type="dxa"/>
              <w:right w:w="5" w:type="dxa"/>
            </w:tcMar>
            <w:vAlign w:val="bottom"/>
            <w:hideMark/>
          </w:tcPr>
          <w:p w14:paraId="2BAE03F8" w14:textId="77777777" w:rsidR="00954279" w:rsidRDefault="00A66714">
            <w:pPr>
              <w:rPr>
                <w:color w:val="000000"/>
                <w:sz w:val="20"/>
                <w:szCs w:val="20"/>
              </w:rPr>
            </w:pPr>
            <w:r>
              <w:rPr>
                <w:color w:val="000000"/>
                <w:sz w:val="20"/>
                <w:szCs w:val="20"/>
              </w:rPr>
              <w:t> </w:t>
            </w:r>
          </w:p>
        </w:tc>
        <w:tc>
          <w:tcPr>
            <w:tcW w:w="74" w:type="dxa"/>
            <w:tcMar>
              <w:top w:w="5" w:type="dxa"/>
              <w:left w:w="5" w:type="dxa"/>
              <w:bottom w:w="5" w:type="dxa"/>
              <w:right w:w="5" w:type="dxa"/>
            </w:tcMar>
            <w:vAlign w:val="bottom"/>
            <w:hideMark/>
          </w:tcPr>
          <w:p w14:paraId="4DDAFBE9" w14:textId="77777777" w:rsidR="00954279" w:rsidRDefault="00A66714">
            <w:pPr>
              <w:rPr>
                <w:color w:val="000000"/>
                <w:sz w:val="20"/>
                <w:szCs w:val="20"/>
              </w:rPr>
            </w:pPr>
            <w:r>
              <w:rPr>
                <w:color w:val="000000"/>
                <w:sz w:val="20"/>
                <w:szCs w:val="20"/>
              </w:rPr>
              <w:t> </w:t>
            </w:r>
          </w:p>
        </w:tc>
        <w:tc>
          <w:tcPr>
            <w:tcW w:w="713" w:type="dxa"/>
            <w:tcMar>
              <w:top w:w="5" w:type="dxa"/>
              <w:left w:w="5" w:type="dxa"/>
              <w:bottom w:w="5" w:type="dxa"/>
              <w:right w:w="5" w:type="dxa"/>
            </w:tcMar>
            <w:vAlign w:val="bottom"/>
            <w:hideMark/>
          </w:tcPr>
          <w:p w14:paraId="64FF0A09" w14:textId="77777777" w:rsidR="00954279" w:rsidRDefault="00A66714">
            <w:pPr>
              <w:jc w:val="right"/>
              <w:rPr>
                <w:color w:val="000000"/>
                <w:sz w:val="20"/>
                <w:szCs w:val="20"/>
              </w:rPr>
            </w:pPr>
            <w:r>
              <w:rPr>
                <w:b/>
                <w:bCs/>
                <w:color w:val="000000"/>
                <w:sz w:val="20"/>
                <w:szCs w:val="20"/>
              </w:rPr>
              <w:t>-</w:t>
            </w:r>
          </w:p>
        </w:tc>
        <w:tc>
          <w:tcPr>
            <w:tcW w:w="69" w:type="dxa"/>
            <w:noWrap/>
            <w:tcMar>
              <w:top w:w="5" w:type="dxa"/>
              <w:left w:w="5" w:type="dxa"/>
              <w:bottom w:w="5" w:type="dxa"/>
              <w:right w:w="5" w:type="dxa"/>
            </w:tcMar>
            <w:vAlign w:val="bottom"/>
            <w:hideMark/>
          </w:tcPr>
          <w:p w14:paraId="2730E6CB" w14:textId="77777777" w:rsidR="00954279" w:rsidRDefault="00A66714">
            <w:pPr>
              <w:rPr>
                <w:color w:val="000000"/>
                <w:sz w:val="20"/>
                <w:szCs w:val="20"/>
              </w:rPr>
            </w:pPr>
            <w:r>
              <w:rPr>
                <w:color w:val="000000"/>
                <w:sz w:val="20"/>
                <w:szCs w:val="20"/>
              </w:rPr>
              <w:t> </w:t>
            </w:r>
          </w:p>
        </w:tc>
        <w:tc>
          <w:tcPr>
            <w:tcW w:w="69" w:type="dxa"/>
            <w:tcMar>
              <w:top w:w="5" w:type="dxa"/>
              <w:left w:w="5" w:type="dxa"/>
              <w:bottom w:w="5" w:type="dxa"/>
              <w:right w:w="5" w:type="dxa"/>
            </w:tcMar>
            <w:vAlign w:val="bottom"/>
            <w:hideMark/>
          </w:tcPr>
          <w:p w14:paraId="1A12C653" w14:textId="77777777" w:rsidR="00954279" w:rsidRDefault="00A66714">
            <w:pPr>
              <w:rPr>
                <w:color w:val="000000"/>
                <w:sz w:val="20"/>
                <w:szCs w:val="20"/>
              </w:rPr>
            </w:pPr>
            <w:r>
              <w:rPr>
                <w:color w:val="000000"/>
                <w:sz w:val="20"/>
                <w:szCs w:val="20"/>
              </w:rPr>
              <w:t> </w:t>
            </w:r>
          </w:p>
        </w:tc>
        <w:tc>
          <w:tcPr>
            <w:tcW w:w="111" w:type="dxa"/>
            <w:tcMar>
              <w:top w:w="5" w:type="dxa"/>
              <w:left w:w="5" w:type="dxa"/>
              <w:bottom w:w="5" w:type="dxa"/>
              <w:right w:w="5" w:type="dxa"/>
            </w:tcMar>
            <w:vAlign w:val="bottom"/>
            <w:hideMark/>
          </w:tcPr>
          <w:p w14:paraId="5D4F2A0E" w14:textId="77777777" w:rsidR="00954279" w:rsidRDefault="00A66714">
            <w:pPr>
              <w:rPr>
                <w:color w:val="000000"/>
                <w:sz w:val="20"/>
                <w:szCs w:val="20"/>
              </w:rPr>
            </w:pPr>
            <w:r>
              <w:rPr>
                <w:color w:val="000000"/>
                <w:sz w:val="20"/>
                <w:szCs w:val="20"/>
              </w:rPr>
              <w:t> </w:t>
            </w:r>
          </w:p>
        </w:tc>
        <w:tc>
          <w:tcPr>
            <w:tcW w:w="717" w:type="dxa"/>
            <w:tcMar>
              <w:top w:w="5" w:type="dxa"/>
              <w:left w:w="5" w:type="dxa"/>
              <w:bottom w:w="5" w:type="dxa"/>
              <w:right w:w="5" w:type="dxa"/>
            </w:tcMar>
            <w:vAlign w:val="bottom"/>
            <w:hideMark/>
          </w:tcPr>
          <w:p w14:paraId="410D3500" w14:textId="77777777" w:rsidR="00954279" w:rsidRDefault="00A66714">
            <w:pPr>
              <w:jc w:val="right"/>
              <w:rPr>
                <w:color w:val="000000"/>
                <w:sz w:val="20"/>
                <w:szCs w:val="20"/>
              </w:rPr>
            </w:pPr>
            <w:r>
              <w:rPr>
                <w:color w:val="000000"/>
                <w:sz w:val="20"/>
                <w:szCs w:val="20"/>
              </w:rPr>
              <w:t>-</w:t>
            </w:r>
          </w:p>
        </w:tc>
        <w:tc>
          <w:tcPr>
            <w:tcW w:w="69" w:type="dxa"/>
            <w:noWrap/>
            <w:tcMar>
              <w:top w:w="5" w:type="dxa"/>
              <w:left w:w="5" w:type="dxa"/>
              <w:bottom w:w="5" w:type="dxa"/>
              <w:right w:w="5" w:type="dxa"/>
            </w:tcMar>
            <w:vAlign w:val="bottom"/>
            <w:hideMark/>
          </w:tcPr>
          <w:p w14:paraId="32B719A4" w14:textId="77777777" w:rsidR="00954279" w:rsidRDefault="00A66714">
            <w:pPr>
              <w:rPr>
                <w:color w:val="000000"/>
                <w:sz w:val="20"/>
                <w:szCs w:val="20"/>
              </w:rPr>
            </w:pPr>
            <w:r>
              <w:rPr>
                <w:color w:val="000000"/>
                <w:sz w:val="20"/>
                <w:szCs w:val="20"/>
              </w:rPr>
              <w:t> </w:t>
            </w:r>
          </w:p>
        </w:tc>
        <w:tc>
          <w:tcPr>
            <w:tcW w:w="70" w:type="dxa"/>
            <w:tcMar>
              <w:top w:w="5" w:type="dxa"/>
              <w:left w:w="5" w:type="dxa"/>
              <w:bottom w:w="5" w:type="dxa"/>
              <w:right w:w="5" w:type="dxa"/>
            </w:tcMar>
            <w:vAlign w:val="bottom"/>
            <w:hideMark/>
          </w:tcPr>
          <w:p w14:paraId="355F7DD9" w14:textId="77777777" w:rsidR="00954279" w:rsidRDefault="00A66714">
            <w:pPr>
              <w:rPr>
                <w:color w:val="000000"/>
                <w:sz w:val="20"/>
                <w:szCs w:val="20"/>
              </w:rPr>
            </w:pPr>
            <w:r>
              <w:rPr>
                <w:color w:val="000000"/>
                <w:sz w:val="20"/>
                <w:szCs w:val="20"/>
              </w:rPr>
              <w:t> </w:t>
            </w:r>
          </w:p>
        </w:tc>
        <w:tc>
          <w:tcPr>
            <w:tcW w:w="116" w:type="dxa"/>
            <w:tcMar>
              <w:top w:w="5" w:type="dxa"/>
              <w:left w:w="5" w:type="dxa"/>
              <w:bottom w:w="5" w:type="dxa"/>
              <w:right w:w="5" w:type="dxa"/>
            </w:tcMar>
            <w:vAlign w:val="bottom"/>
            <w:hideMark/>
          </w:tcPr>
          <w:p w14:paraId="2B6BBC6F" w14:textId="77777777" w:rsidR="00954279" w:rsidRDefault="00A66714">
            <w:pPr>
              <w:rPr>
                <w:color w:val="000000"/>
                <w:sz w:val="20"/>
                <w:szCs w:val="20"/>
              </w:rPr>
            </w:pPr>
            <w:r>
              <w:rPr>
                <w:color w:val="000000"/>
                <w:sz w:val="20"/>
                <w:szCs w:val="20"/>
              </w:rPr>
              <w:t> </w:t>
            </w:r>
          </w:p>
        </w:tc>
        <w:tc>
          <w:tcPr>
            <w:tcW w:w="806" w:type="dxa"/>
            <w:tcMar>
              <w:top w:w="5" w:type="dxa"/>
              <w:left w:w="5" w:type="dxa"/>
              <w:bottom w:w="5" w:type="dxa"/>
              <w:right w:w="5" w:type="dxa"/>
            </w:tcMar>
            <w:vAlign w:val="bottom"/>
            <w:hideMark/>
          </w:tcPr>
          <w:p w14:paraId="5F28B68E" w14:textId="77777777" w:rsidR="00954279" w:rsidRDefault="00A66714">
            <w:pPr>
              <w:jc w:val="right"/>
              <w:rPr>
                <w:color w:val="000000"/>
                <w:sz w:val="20"/>
                <w:szCs w:val="20"/>
              </w:rPr>
            </w:pPr>
            <w:r>
              <w:rPr>
                <w:b/>
                <w:bCs/>
                <w:color w:val="000000"/>
                <w:sz w:val="20"/>
                <w:szCs w:val="20"/>
              </w:rPr>
              <w:t>5</w:t>
            </w:r>
          </w:p>
        </w:tc>
        <w:tc>
          <w:tcPr>
            <w:tcW w:w="77" w:type="dxa"/>
            <w:noWrap/>
            <w:tcMar>
              <w:top w:w="5" w:type="dxa"/>
              <w:left w:w="5" w:type="dxa"/>
              <w:bottom w:w="5" w:type="dxa"/>
              <w:right w:w="5" w:type="dxa"/>
            </w:tcMar>
            <w:vAlign w:val="bottom"/>
            <w:hideMark/>
          </w:tcPr>
          <w:p w14:paraId="37F04352" w14:textId="77777777" w:rsidR="00954279" w:rsidRDefault="00A66714">
            <w:pPr>
              <w:rPr>
                <w:color w:val="000000"/>
                <w:sz w:val="20"/>
                <w:szCs w:val="20"/>
              </w:rPr>
            </w:pPr>
            <w:r>
              <w:rPr>
                <w:color w:val="000000"/>
                <w:sz w:val="20"/>
                <w:szCs w:val="20"/>
              </w:rPr>
              <w:t> </w:t>
            </w:r>
          </w:p>
        </w:tc>
        <w:tc>
          <w:tcPr>
            <w:tcW w:w="64" w:type="dxa"/>
            <w:tcMar>
              <w:top w:w="5" w:type="dxa"/>
              <w:left w:w="5" w:type="dxa"/>
              <w:bottom w:w="5" w:type="dxa"/>
              <w:right w:w="5" w:type="dxa"/>
            </w:tcMar>
            <w:vAlign w:val="bottom"/>
            <w:hideMark/>
          </w:tcPr>
          <w:p w14:paraId="1753838C" w14:textId="77777777" w:rsidR="00954279" w:rsidRDefault="00A66714">
            <w:pPr>
              <w:rPr>
                <w:color w:val="000000"/>
                <w:sz w:val="20"/>
                <w:szCs w:val="20"/>
              </w:rPr>
            </w:pPr>
            <w:r>
              <w:rPr>
                <w:color w:val="000000"/>
                <w:sz w:val="20"/>
                <w:szCs w:val="20"/>
              </w:rPr>
              <w:t> </w:t>
            </w:r>
          </w:p>
        </w:tc>
        <w:tc>
          <w:tcPr>
            <w:tcW w:w="111" w:type="dxa"/>
            <w:tcMar>
              <w:top w:w="5" w:type="dxa"/>
              <w:left w:w="5" w:type="dxa"/>
              <w:bottom w:w="5" w:type="dxa"/>
              <w:right w:w="5" w:type="dxa"/>
            </w:tcMar>
            <w:vAlign w:val="bottom"/>
            <w:hideMark/>
          </w:tcPr>
          <w:p w14:paraId="79EA54C4" w14:textId="77777777" w:rsidR="00954279" w:rsidRDefault="00A66714">
            <w:pPr>
              <w:rPr>
                <w:color w:val="000000"/>
                <w:sz w:val="20"/>
                <w:szCs w:val="20"/>
              </w:rPr>
            </w:pPr>
            <w:r>
              <w:rPr>
                <w:color w:val="000000"/>
                <w:sz w:val="20"/>
                <w:szCs w:val="20"/>
              </w:rPr>
              <w:t> </w:t>
            </w:r>
          </w:p>
        </w:tc>
        <w:tc>
          <w:tcPr>
            <w:tcW w:w="719" w:type="dxa"/>
            <w:tcMar>
              <w:top w:w="5" w:type="dxa"/>
              <w:left w:w="5" w:type="dxa"/>
              <w:bottom w:w="5" w:type="dxa"/>
              <w:right w:w="5" w:type="dxa"/>
            </w:tcMar>
            <w:vAlign w:val="bottom"/>
            <w:hideMark/>
          </w:tcPr>
          <w:p w14:paraId="2DC2EB46" w14:textId="77777777" w:rsidR="00954279" w:rsidRDefault="00A66714">
            <w:pPr>
              <w:jc w:val="right"/>
              <w:rPr>
                <w:color w:val="000000"/>
                <w:sz w:val="20"/>
                <w:szCs w:val="20"/>
              </w:rPr>
            </w:pPr>
            <w:r>
              <w:rPr>
                <w:color w:val="000000"/>
                <w:sz w:val="20"/>
                <w:szCs w:val="20"/>
              </w:rPr>
              <w:t>-</w:t>
            </w:r>
          </w:p>
        </w:tc>
        <w:tc>
          <w:tcPr>
            <w:tcW w:w="77" w:type="dxa"/>
            <w:noWrap/>
            <w:tcMar>
              <w:top w:w="5" w:type="dxa"/>
              <w:left w:w="5" w:type="dxa"/>
              <w:bottom w:w="5" w:type="dxa"/>
              <w:right w:w="5" w:type="dxa"/>
            </w:tcMar>
            <w:vAlign w:val="bottom"/>
            <w:hideMark/>
          </w:tcPr>
          <w:p w14:paraId="29C8B0E0" w14:textId="77777777" w:rsidR="00954279" w:rsidRDefault="00A66714">
            <w:pPr>
              <w:rPr>
                <w:color w:val="000000"/>
                <w:sz w:val="20"/>
                <w:szCs w:val="20"/>
              </w:rPr>
            </w:pPr>
            <w:r>
              <w:rPr>
                <w:color w:val="000000"/>
                <w:sz w:val="20"/>
                <w:szCs w:val="20"/>
              </w:rPr>
              <w:t> </w:t>
            </w:r>
          </w:p>
        </w:tc>
        <w:tc>
          <w:tcPr>
            <w:tcW w:w="65" w:type="dxa"/>
            <w:tcMar>
              <w:top w:w="5" w:type="dxa"/>
              <w:left w:w="5" w:type="dxa"/>
              <w:bottom w:w="5" w:type="dxa"/>
              <w:right w:w="5" w:type="dxa"/>
            </w:tcMar>
            <w:vAlign w:val="bottom"/>
            <w:hideMark/>
          </w:tcPr>
          <w:p w14:paraId="1336500E" w14:textId="77777777" w:rsidR="00954279" w:rsidRDefault="00A66714">
            <w:pPr>
              <w:rPr>
                <w:color w:val="000000"/>
                <w:sz w:val="20"/>
                <w:szCs w:val="20"/>
              </w:rPr>
            </w:pPr>
            <w:r>
              <w:rPr>
                <w:color w:val="000000"/>
                <w:sz w:val="20"/>
                <w:szCs w:val="20"/>
              </w:rPr>
              <w:t> </w:t>
            </w:r>
          </w:p>
        </w:tc>
        <w:tc>
          <w:tcPr>
            <w:tcW w:w="74" w:type="dxa"/>
            <w:tcMar>
              <w:top w:w="5" w:type="dxa"/>
              <w:left w:w="5" w:type="dxa"/>
              <w:bottom w:w="5" w:type="dxa"/>
              <w:right w:w="5" w:type="dxa"/>
            </w:tcMar>
            <w:vAlign w:val="bottom"/>
            <w:hideMark/>
          </w:tcPr>
          <w:p w14:paraId="25A9D1EC" w14:textId="77777777" w:rsidR="00954279" w:rsidRDefault="00A66714">
            <w:pPr>
              <w:rPr>
                <w:color w:val="000000"/>
                <w:sz w:val="20"/>
                <w:szCs w:val="20"/>
              </w:rPr>
            </w:pPr>
            <w:r>
              <w:rPr>
                <w:color w:val="000000"/>
                <w:sz w:val="20"/>
                <w:szCs w:val="20"/>
              </w:rPr>
              <w:t> </w:t>
            </w:r>
          </w:p>
        </w:tc>
        <w:tc>
          <w:tcPr>
            <w:tcW w:w="716" w:type="dxa"/>
            <w:tcMar>
              <w:top w:w="5" w:type="dxa"/>
              <w:left w:w="5" w:type="dxa"/>
              <w:bottom w:w="5" w:type="dxa"/>
              <w:right w:w="5" w:type="dxa"/>
            </w:tcMar>
            <w:vAlign w:val="bottom"/>
            <w:hideMark/>
          </w:tcPr>
          <w:p w14:paraId="7EE72458" w14:textId="77777777" w:rsidR="00954279" w:rsidRDefault="00A66714">
            <w:pPr>
              <w:jc w:val="right"/>
              <w:rPr>
                <w:color w:val="000000"/>
                <w:sz w:val="20"/>
                <w:szCs w:val="20"/>
              </w:rPr>
            </w:pPr>
            <w:r>
              <w:rPr>
                <w:color w:val="000000"/>
                <w:sz w:val="20"/>
                <w:szCs w:val="20"/>
              </w:rPr>
              <w:t>-</w:t>
            </w:r>
          </w:p>
        </w:tc>
        <w:tc>
          <w:tcPr>
            <w:tcW w:w="77" w:type="dxa"/>
            <w:noWrap/>
            <w:tcMar>
              <w:top w:w="5" w:type="dxa"/>
              <w:left w:w="5" w:type="dxa"/>
              <w:bottom w:w="5" w:type="dxa"/>
              <w:right w:w="5" w:type="dxa"/>
            </w:tcMar>
            <w:vAlign w:val="bottom"/>
            <w:hideMark/>
          </w:tcPr>
          <w:p w14:paraId="046A4D77" w14:textId="77777777" w:rsidR="00954279" w:rsidRDefault="00A66714">
            <w:pPr>
              <w:rPr>
                <w:color w:val="000000"/>
                <w:sz w:val="20"/>
                <w:szCs w:val="20"/>
              </w:rPr>
            </w:pPr>
            <w:r>
              <w:rPr>
                <w:color w:val="000000"/>
                <w:sz w:val="20"/>
                <w:szCs w:val="20"/>
              </w:rPr>
              <w:t> </w:t>
            </w:r>
          </w:p>
        </w:tc>
        <w:tc>
          <w:tcPr>
            <w:tcW w:w="65" w:type="dxa"/>
            <w:tcMar>
              <w:top w:w="5" w:type="dxa"/>
              <w:left w:w="5" w:type="dxa"/>
              <w:bottom w:w="5" w:type="dxa"/>
              <w:right w:w="5" w:type="dxa"/>
            </w:tcMar>
            <w:vAlign w:val="bottom"/>
            <w:hideMark/>
          </w:tcPr>
          <w:p w14:paraId="7D2A8DB1" w14:textId="77777777" w:rsidR="00954279" w:rsidRDefault="00A66714">
            <w:pPr>
              <w:rPr>
                <w:color w:val="000000"/>
                <w:sz w:val="20"/>
                <w:szCs w:val="20"/>
              </w:rPr>
            </w:pPr>
            <w:r>
              <w:rPr>
                <w:color w:val="000000"/>
                <w:sz w:val="20"/>
                <w:szCs w:val="20"/>
              </w:rPr>
              <w:t> </w:t>
            </w:r>
          </w:p>
        </w:tc>
        <w:tc>
          <w:tcPr>
            <w:tcW w:w="111" w:type="dxa"/>
            <w:tcMar>
              <w:top w:w="5" w:type="dxa"/>
              <w:left w:w="5" w:type="dxa"/>
              <w:bottom w:w="5" w:type="dxa"/>
              <w:right w:w="5" w:type="dxa"/>
            </w:tcMar>
            <w:vAlign w:val="bottom"/>
            <w:hideMark/>
          </w:tcPr>
          <w:p w14:paraId="648AB9BB" w14:textId="77777777" w:rsidR="00954279" w:rsidRDefault="00A66714">
            <w:pPr>
              <w:rPr>
                <w:color w:val="000000"/>
                <w:sz w:val="20"/>
                <w:szCs w:val="20"/>
              </w:rPr>
            </w:pPr>
            <w:r>
              <w:rPr>
                <w:color w:val="000000"/>
                <w:sz w:val="20"/>
                <w:szCs w:val="20"/>
              </w:rPr>
              <w:t> </w:t>
            </w:r>
          </w:p>
        </w:tc>
        <w:tc>
          <w:tcPr>
            <w:tcW w:w="719" w:type="dxa"/>
            <w:tcMar>
              <w:top w:w="5" w:type="dxa"/>
              <w:left w:w="5" w:type="dxa"/>
              <w:bottom w:w="5" w:type="dxa"/>
              <w:right w:w="5" w:type="dxa"/>
            </w:tcMar>
            <w:vAlign w:val="bottom"/>
            <w:hideMark/>
          </w:tcPr>
          <w:p w14:paraId="390433A5" w14:textId="77777777" w:rsidR="00954279" w:rsidRDefault="00A66714">
            <w:pPr>
              <w:jc w:val="right"/>
              <w:rPr>
                <w:color w:val="000000"/>
                <w:sz w:val="20"/>
                <w:szCs w:val="20"/>
              </w:rPr>
            </w:pPr>
            <w:r>
              <w:rPr>
                <w:color w:val="000000"/>
                <w:sz w:val="20"/>
                <w:szCs w:val="20"/>
              </w:rPr>
              <w:t>-</w:t>
            </w:r>
          </w:p>
        </w:tc>
        <w:tc>
          <w:tcPr>
            <w:tcW w:w="77" w:type="dxa"/>
            <w:noWrap/>
            <w:tcMar>
              <w:top w:w="5" w:type="dxa"/>
              <w:left w:w="5" w:type="dxa"/>
              <w:bottom w:w="5" w:type="dxa"/>
              <w:right w:w="5" w:type="dxa"/>
            </w:tcMar>
            <w:vAlign w:val="bottom"/>
            <w:hideMark/>
          </w:tcPr>
          <w:p w14:paraId="713E0C51" w14:textId="77777777" w:rsidR="00954279" w:rsidRDefault="00A66714">
            <w:pPr>
              <w:rPr>
                <w:color w:val="000000"/>
                <w:sz w:val="20"/>
                <w:szCs w:val="20"/>
              </w:rPr>
            </w:pPr>
            <w:r>
              <w:rPr>
                <w:color w:val="000000"/>
                <w:sz w:val="20"/>
                <w:szCs w:val="20"/>
              </w:rPr>
              <w:t> </w:t>
            </w:r>
          </w:p>
        </w:tc>
        <w:tc>
          <w:tcPr>
            <w:tcW w:w="65" w:type="dxa"/>
            <w:tcMar>
              <w:top w:w="5" w:type="dxa"/>
              <w:left w:w="5" w:type="dxa"/>
              <w:bottom w:w="5" w:type="dxa"/>
              <w:right w:w="5" w:type="dxa"/>
            </w:tcMar>
            <w:vAlign w:val="bottom"/>
            <w:hideMark/>
          </w:tcPr>
          <w:p w14:paraId="746B7549" w14:textId="77777777" w:rsidR="00954279" w:rsidRDefault="00A66714">
            <w:pPr>
              <w:rPr>
                <w:color w:val="000000"/>
                <w:sz w:val="20"/>
                <w:szCs w:val="20"/>
              </w:rPr>
            </w:pPr>
            <w:r>
              <w:rPr>
                <w:color w:val="000000"/>
                <w:sz w:val="20"/>
                <w:szCs w:val="20"/>
              </w:rPr>
              <w:t> </w:t>
            </w:r>
          </w:p>
        </w:tc>
        <w:tc>
          <w:tcPr>
            <w:tcW w:w="168" w:type="dxa"/>
            <w:tcMar>
              <w:top w:w="5" w:type="dxa"/>
              <w:left w:w="5" w:type="dxa"/>
              <w:bottom w:w="5" w:type="dxa"/>
              <w:right w:w="5" w:type="dxa"/>
            </w:tcMar>
            <w:vAlign w:val="bottom"/>
            <w:hideMark/>
          </w:tcPr>
          <w:p w14:paraId="597F6715" w14:textId="77777777" w:rsidR="00954279" w:rsidRDefault="00A66714">
            <w:pPr>
              <w:rPr>
                <w:color w:val="000000"/>
                <w:sz w:val="20"/>
                <w:szCs w:val="20"/>
              </w:rPr>
            </w:pPr>
            <w:r>
              <w:rPr>
                <w:color w:val="000000"/>
                <w:sz w:val="20"/>
                <w:szCs w:val="20"/>
              </w:rPr>
              <w:t> </w:t>
            </w:r>
          </w:p>
        </w:tc>
        <w:tc>
          <w:tcPr>
            <w:tcW w:w="1176" w:type="dxa"/>
            <w:tcMar>
              <w:top w:w="5" w:type="dxa"/>
              <w:left w:w="5" w:type="dxa"/>
              <w:bottom w:w="5" w:type="dxa"/>
              <w:right w:w="5" w:type="dxa"/>
            </w:tcMar>
            <w:vAlign w:val="bottom"/>
            <w:hideMark/>
          </w:tcPr>
          <w:p w14:paraId="07A26A52" w14:textId="77777777" w:rsidR="00954279" w:rsidRDefault="00A66714">
            <w:pPr>
              <w:jc w:val="right"/>
              <w:rPr>
                <w:color w:val="000000"/>
                <w:sz w:val="20"/>
                <w:szCs w:val="20"/>
              </w:rPr>
            </w:pPr>
            <w:r>
              <w:rPr>
                <w:color w:val="000000"/>
                <w:sz w:val="20"/>
                <w:szCs w:val="20"/>
              </w:rPr>
              <w:t>-</w:t>
            </w:r>
          </w:p>
        </w:tc>
        <w:tc>
          <w:tcPr>
            <w:tcW w:w="77" w:type="dxa"/>
            <w:noWrap/>
            <w:tcMar>
              <w:top w:w="5" w:type="dxa"/>
              <w:left w:w="5" w:type="dxa"/>
              <w:bottom w:w="5" w:type="dxa"/>
              <w:right w:w="5" w:type="dxa"/>
            </w:tcMar>
            <w:vAlign w:val="bottom"/>
            <w:hideMark/>
          </w:tcPr>
          <w:p w14:paraId="7CD58F85" w14:textId="77777777" w:rsidR="00954279" w:rsidRDefault="00A66714">
            <w:pPr>
              <w:rPr>
                <w:color w:val="000000"/>
                <w:sz w:val="20"/>
                <w:szCs w:val="20"/>
              </w:rPr>
            </w:pPr>
            <w:r>
              <w:rPr>
                <w:color w:val="000000"/>
                <w:sz w:val="20"/>
                <w:szCs w:val="20"/>
              </w:rPr>
              <w:t> </w:t>
            </w:r>
          </w:p>
        </w:tc>
        <w:tc>
          <w:tcPr>
            <w:tcW w:w="65" w:type="dxa"/>
            <w:tcMar>
              <w:top w:w="5" w:type="dxa"/>
              <w:left w:w="5" w:type="dxa"/>
              <w:bottom w:w="5" w:type="dxa"/>
              <w:right w:w="5" w:type="dxa"/>
            </w:tcMar>
            <w:vAlign w:val="bottom"/>
            <w:hideMark/>
          </w:tcPr>
          <w:p w14:paraId="27EFE950" w14:textId="77777777" w:rsidR="00954279" w:rsidRDefault="00A66714">
            <w:pPr>
              <w:rPr>
                <w:color w:val="000000"/>
                <w:sz w:val="20"/>
                <w:szCs w:val="20"/>
              </w:rPr>
            </w:pPr>
            <w:r>
              <w:rPr>
                <w:color w:val="000000"/>
                <w:sz w:val="20"/>
                <w:szCs w:val="20"/>
              </w:rPr>
              <w:t> </w:t>
            </w:r>
          </w:p>
        </w:tc>
        <w:tc>
          <w:tcPr>
            <w:tcW w:w="148" w:type="dxa"/>
            <w:tcMar>
              <w:top w:w="5" w:type="dxa"/>
              <w:left w:w="5" w:type="dxa"/>
              <w:bottom w:w="5" w:type="dxa"/>
              <w:right w:w="5" w:type="dxa"/>
            </w:tcMar>
            <w:vAlign w:val="bottom"/>
            <w:hideMark/>
          </w:tcPr>
          <w:p w14:paraId="39D66F9D" w14:textId="77777777" w:rsidR="00954279" w:rsidRDefault="00A66714">
            <w:pPr>
              <w:rPr>
                <w:color w:val="000000"/>
                <w:sz w:val="20"/>
                <w:szCs w:val="20"/>
              </w:rPr>
            </w:pPr>
            <w:r>
              <w:rPr>
                <w:color w:val="000000"/>
                <w:sz w:val="20"/>
                <w:szCs w:val="20"/>
              </w:rPr>
              <w:t> </w:t>
            </w:r>
          </w:p>
        </w:tc>
        <w:tc>
          <w:tcPr>
            <w:tcW w:w="1029" w:type="dxa"/>
            <w:tcMar>
              <w:top w:w="5" w:type="dxa"/>
              <w:left w:w="5" w:type="dxa"/>
              <w:bottom w:w="5" w:type="dxa"/>
              <w:right w:w="5" w:type="dxa"/>
            </w:tcMar>
            <w:vAlign w:val="bottom"/>
            <w:hideMark/>
          </w:tcPr>
          <w:p w14:paraId="7284B3CC" w14:textId="77777777" w:rsidR="00954279" w:rsidRDefault="00A66714">
            <w:pPr>
              <w:jc w:val="right"/>
              <w:rPr>
                <w:color w:val="000000"/>
                <w:sz w:val="20"/>
                <w:szCs w:val="20"/>
              </w:rPr>
            </w:pPr>
            <w:r>
              <w:rPr>
                <w:b/>
                <w:bCs/>
                <w:color w:val="000000"/>
                <w:sz w:val="20"/>
                <w:szCs w:val="20"/>
              </w:rPr>
              <w:t>5</w:t>
            </w:r>
          </w:p>
        </w:tc>
        <w:tc>
          <w:tcPr>
            <w:tcW w:w="77" w:type="dxa"/>
            <w:noWrap/>
            <w:tcMar>
              <w:top w:w="5" w:type="dxa"/>
              <w:left w:w="5" w:type="dxa"/>
              <w:bottom w:w="5" w:type="dxa"/>
              <w:right w:w="5" w:type="dxa"/>
            </w:tcMar>
            <w:vAlign w:val="bottom"/>
            <w:hideMark/>
          </w:tcPr>
          <w:p w14:paraId="67F28A2D" w14:textId="77777777" w:rsidR="00954279" w:rsidRDefault="00A66714">
            <w:pPr>
              <w:rPr>
                <w:color w:val="000000"/>
                <w:sz w:val="20"/>
                <w:szCs w:val="20"/>
              </w:rPr>
            </w:pPr>
            <w:r>
              <w:rPr>
                <w:color w:val="000000"/>
                <w:sz w:val="20"/>
                <w:szCs w:val="20"/>
              </w:rPr>
              <w:t> </w:t>
            </w:r>
          </w:p>
        </w:tc>
      </w:tr>
      <w:tr w:rsidR="00954279" w14:paraId="27F4011A" w14:textId="77777777" w:rsidTr="00717712">
        <w:tc>
          <w:tcPr>
            <w:tcW w:w="2678" w:type="dxa"/>
            <w:tcMar>
              <w:top w:w="5" w:type="dxa"/>
              <w:left w:w="5" w:type="dxa"/>
              <w:bottom w:w="5" w:type="dxa"/>
              <w:right w:w="5" w:type="dxa"/>
            </w:tcMar>
            <w:vAlign w:val="bottom"/>
            <w:hideMark/>
          </w:tcPr>
          <w:p w14:paraId="7DA24EA4" w14:textId="77777777" w:rsidR="00954279" w:rsidRDefault="00A66714">
            <w:pPr>
              <w:ind w:left="180"/>
              <w:rPr>
                <w:color w:val="000000"/>
                <w:sz w:val="20"/>
                <w:szCs w:val="20"/>
              </w:rPr>
            </w:pPr>
            <w:r>
              <w:rPr>
                <w:color w:val="000000"/>
                <w:sz w:val="20"/>
                <w:szCs w:val="20"/>
              </w:rPr>
              <w:t>Dividends declared on preferred stock</w:t>
            </w:r>
          </w:p>
        </w:tc>
        <w:tc>
          <w:tcPr>
            <w:tcW w:w="60" w:type="dxa"/>
            <w:tcMar>
              <w:top w:w="5" w:type="dxa"/>
              <w:left w:w="5" w:type="dxa"/>
              <w:bottom w:w="5" w:type="dxa"/>
              <w:right w:w="5" w:type="dxa"/>
            </w:tcMar>
            <w:vAlign w:val="bottom"/>
            <w:hideMark/>
          </w:tcPr>
          <w:p w14:paraId="56AFDB18" w14:textId="77777777" w:rsidR="00954279" w:rsidRDefault="00A66714">
            <w:pPr>
              <w:rPr>
                <w:color w:val="000000"/>
                <w:sz w:val="20"/>
                <w:szCs w:val="20"/>
              </w:rPr>
            </w:pPr>
            <w:r>
              <w:rPr>
                <w:color w:val="000000"/>
                <w:sz w:val="20"/>
                <w:szCs w:val="20"/>
              </w:rPr>
              <w:t> </w:t>
            </w:r>
          </w:p>
        </w:tc>
        <w:tc>
          <w:tcPr>
            <w:tcW w:w="74" w:type="dxa"/>
            <w:tcBorders>
              <w:bottom w:val="single" w:sz="6" w:space="0" w:color="000000"/>
            </w:tcBorders>
            <w:tcMar>
              <w:top w:w="5" w:type="dxa"/>
              <w:left w:w="5" w:type="dxa"/>
              <w:bottom w:w="8" w:type="dxa"/>
              <w:right w:w="5" w:type="dxa"/>
            </w:tcMar>
            <w:vAlign w:val="bottom"/>
            <w:hideMark/>
          </w:tcPr>
          <w:p w14:paraId="337508C1" w14:textId="77777777" w:rsidR="00954279" w:rsidRDefault="00A66714">
            <w:pPr>
              <w:rPr>
                <w:color w:val="000000"/>
                <w:sz w:val="20"/>
                <w:szCs w:val="20"/>
              </w:rPr>
            </w:pPr>
            <w:r>
              <w:rPr>
                <w:color w:val="000000"/>
                <w:sz w:val="20"/>
                <w:szCs w:val="20"/>
              </w:rPr>
              <w:t> </w:t>
            </w:r>
          </w:p>
        </w:tc>
        <w:tc>
          <w:tcPr>
            <w:tcW w:w="713" w:type="dxa"/>
            <w:tcBorders>
              <w:bottom w:val="single" w:sz="6" w:space="0" w:color="000000"/>
            </w:tcBorders>
            <w:tcMar>
              <w:top w:w="5" w:type="dxa"/>
              <w:left w:w="5" w:type="dxa"/>
              <w:bottom w:w="8" w:type="dxa"/>
              <w:right w:w="5" w:type="dxa"/>
            </w:tcMar>
            <w:vAlign w:val="bottom"/>
            <w:hideMark/>
          </w:tcPr>
          <w:p w14:paraId="2BDD9035" w14:textId="77777777" w:rsidR="00954279" w:rsidRDefault="00A66714">
            <w:pPr>
              <w:jc w:val="right"/>
              <w:rPr>
                <w:color w:val="000000"/>
                <w:sz w:val="20"/>
                <w:szCs w:val="20"/>
              </w:rPr>
            </w:pPr>
            <w:r>
              <w:rPr>
                <w:color w:val="000000"/>
                <w:sz w:val="20"/>
                <w:szCs w:val="20"/>
              </w:rPr>
              <w:t>-</w:t>
            </w:r>
          </w:p>
        </w:tc>
        <w:tc>
          <w:tcPr>
            <w:tcW w:w="69" w:type="dxa"/>
            <w:noWrap/>
            <w:tcMar>
              <w:top w:w="5" w:type="dxa"/>
              <w:left w:w="5" w:type="dxa"/>
              <w:bottom w:w="20" w:type="dxa"/>
              <w:right w:w="5" w:type="dxa"/>
            </w:tcMar>
            <w:vAlign w:val="bottom"/>
            <w:hideMark/>
          </w:tcPr>
          <w:p w14:paraId="6DF20EA7" w14:textId="77777777" w:rsidR="00954279" w:rsidRDefault="00A66714">
            <w:pPr>
              <w:rPr>
                <w:color w:val="000000"/>
                <w:sz w:val="20"/>
                <w:szCs w:val="20"/>
              </w:rPr>
            </w:pPr>
            <w:r>
              <w:rPr>
                <w:color w:val="000000"/>
                <w:sz w:val="20"/>
                <w:szCs w:val="20"/>
              </w:rPr>
              <w:t> </w:t>
            </w:r>
          </w:p>
        </w:tc>
        <w:tc>
          <w:tcPr>
            <w:tcW w:w="69" w:type="dxa"/>
            <w:tcMar>
              <w:top w:w="5" w:type="dxa"/>
              <w:left w:w="5" w:type="dxa"/>
              <w:bottom w:w="5" w:type="dxa"/>
              <w:right w:w="5" w:type="dxa"/>
            </w:tcMar>
            <w:vAlign w:val="bottom"/>
            <w:hideMark/>
          </w:tcPr>
          <w:p w14:paraId="7A290EDB" w14:textId="77777777" w:rsidR="00954279" w:rsidRDefault="00A66714">
            <w:pPr>
              <w:rPr>
                <w:color w:val="000000"/>
                <w:sz w:val="20"/>
                <w:szCs w:val="20"/>
              </w:rPr>
            </w:pPr>
            <w:r>
              <w:rPr>
                <w:color w:val="000000"/>
                <w:sz w:val="20"/>
                <w:szCs w:val="20"/>
              </w:rPr>
              <w:t> </w:t>
            </w:r>
          </w:p>
        </w:tc>
        <w:tc>
          <w:tcPr>
            <w:tcW w:w="111" w:type="dxa"/>
            <w:tcBorders>
              <w:bottom w:val="single" w:sz="6" w:space="0" w:color="000000"/>
            </w:tcBorders>
            <w:tcMar>
              <w:top w:w="5" w:type="dxa"/>
              <w:left w:w="5" w:type="dxa"/>
              <w:bottom w:w="8" w:type="dxa"/>
              <w:right w:w="5" w:type="dxa"/>
            </w:tcMar>
            <w:vAlign w:val="bottom"/>
            <w:hideMark/>
          </w:tcPr>
          <w:p w14:paraId="142BE0DF" w14:textId="77777777" w:rsidR="00954279" w:rsidRDefault="00A66714">
            <w:pPr>
              <w:rPr>
                <w:color w:val="000000"/>
                <w:sz w:val="20"/>
                <w:szCs w:val="20"/>
              </w:rPr>
            </w:pPr>
            <w:r>
              <w:rPr>
                <w:color w:val="000000"/>
                <w:sz w:val="20"/>
                <w:szCs w:val="20"/>
              </w:rPr>
              <w:t> </w:t>
            </w:r>
          </w:p>
        </w:tc>
        <w:tc>
          <w:tcPr>
            <w:tcW w:w="717" w:type="dxa"/>
            <w:tcBorders>
              <w:bottom w:val="single" w:sz="6" w:space="0" w:color="000000"/>
            </w:tcBorders>
            <w:tcMar>
              <w:top w:w="5" w:type="dxa"/>
              <w:left w:w="5" w:type="dxa"/>
              <w:bottom w:w="8" w:type="dxa"/>
              <w:right w:w="5" w:type="dxa"/>
            </w:tcMar>
            <w:vAlign w:val="bottom"/>
            <w:hideMark/>
          </w:tcPr>
          <w:p w14:paraId="725E817B" w14:textId="77777777" w:rsidR="00954279" w:rsidRDefault="00A66714">
            <w:pPr>
              <w:jc w:val="right"/>
              <w:rPr>
                <w:color w:val="000000"/>
                <w:sz w:val="20"/>
                <w:szCs w:val="20"/>
              </w:rPr>
            </w:pPr>
            <w:r>
              <w:rPr>
                <w:color w:val="000000"/>
                <w:sz w:val="20"/>
                <w:szCs w:val="20"/>
              </w:rPr>
              <w:t>-</w:t>
            </w:r>
          </w:p>
        </w:tc>
        <w:tc>
          <w:tcPr>
            <w:tcW w:w="69" w:type="dxa"/>
            <w:noWrap/>
            <w:tcMar>
              <w:top w:w="5" w:type="dxa"/>
              <w:left w:w="5" w:type="dxa"/>
              <w:bottom w:w="20" w:type="dxa"/>
              <w:right w:w="5" w:type="dxa"/>
            </w:tcMar>
            <w:vAlign w:val="bottom"/>
            <w:hideMark/>
          </w:tcPr>
          <w:p w14:paraId="2E9A4DE9" w14:textId="77777777" w:rsidR="00954279" w:rsidRDefault="00A66714">
            <w:pPr>
              <w:rPr>
                <w:color w:val="000000"/>
                <w:sz w:val="20"/>
                <w:szCs w:val="20"/>
              </w:rPr>
            </w:pPr>
            <w:r>
              <w:rPr>
                <w:color w:val="000000"/>
                <w:sz w:val="20"/>
                <w:szCs w:val="20"/>
              </w:rPr>
              <w:t> </w:t>
            </w:r>
          </w:p>
        </w:tc>
        <w:tc>
          <w:tcPr>
            <w:tcW w:w="70" w:type="dxa"/>
            <w:tcMar>
              <w:top w:w="5" w:type="dxa"/>
              <w:left w:w="5" w:type="dxa"/>
              <w:bottom w:w="5" w:type="dxa"/>
              <w:right w:w="5" w:type="dxa"/>
            </w:tcMar>
            <w:vAlign w:val="bottom"/>
            <w:hideMark/>
          </w:tcPr>
          <w:p w14:paraId="70ABB1CB" w14:textId="77777777" w:rsidR="00954279" w:rsidRDefault="00A66714">
            <w:pPr>
              <w:rPr>
                <w:color w:val="000000"/>
                <w:sz w:val="20"/>
                <w:szCs w:val="20"/>
              </w:rPr>
            </w:pPr>
            <w:r>
              <w:rPr>
                <w:color w:val="000000"/>
                <w:sz w:val="20"/>
                <w:szCs w:val="20"/>
              </w:rPr>
              <w:t> </w:t>
            </w:r>
          </w:p>
        </w:tc>
        <w:tc>
          <w:tcPr>
            <w:tcW w:w="116" w:type="dxa"/>
            <w:tcBorders>
              <w:bottom w:val="single" w:sz="6" w:space="0" w:color="000000"/>
            </w:tcBorders>
            <w:tcMar>
              <w:top w:w="5" w:type="dxa"/>
              <w:left w:w="5" w:type="dxa"/>
              <w:bottom w:w="8" w:type="dxa"/>
              <w:right w:w="5" w:type="dxa"/>
            </w:tcMar>
            <w:vAlign w:val="bottom"/>
            <w:hideMark/>
          </w:tcPr>
          <w:p w14:paraId="05D0A3E6" w14:textId="77777777" w:rsidR="00954279" w:rsidRDefault="00A66714">
            <w:pPr>
              <w:rPr>
                <w:color w:val="000000"/>
                <w:sz w:val="20"/>
                <w:szCs w:val="20"/>
              </w:rPr>
            </w:pPr>
            <w:r>
              <w:rPr>
                <w:color w:val="000000"/>
                <w:sz w:val="20"/>
                <w:szCs w:val="20"/>
              </w:rPr>
              <w:t> </w:t>
            </w:r>
          </w:p>
        </w:tc>
        <w:tc>
          <w:tcPr>
            <w:tcW w:w="806" w:type="dxa"/>
            <w:tcBorders>
              <w:bottom w:val="single" w:sz="6" w:space="0" w:color="000000"/>
            </w:tcBorders>
            <w:tcMar>
              <w:top w:w="5" w:type="dxa"/>
              <w:left w:w="5" w:type="dxa"/>
              <w:bottom w:w="8" w:type="dxa"/>
              <w:right w:w="5" w:type="dxa"/>
            </w:tcMar>
            <w:vAlign w:val="bottom"/>
            <w:hideMark/>
          </w:tcPr>
          <w:p w14:paraId="302C5871" w14:textId="77777777" w:rsidR="00954279" w:rsidRDefault="00A66714">
            <w:pPr>
              <w:jc w:val="right"/>
              <w:rPr>
                <w:color w:val="000000"/>
                <w:sz w:val="20"/>
                <w:szCs w:val="20"/>
              </w:rPr>
            </w:pPr>
            <w:r>
              <w:rPr>
                <w:color w:val="000000"/>
                <w:sz w:val="20"/>
                <w:szCs w:val="20"/>
              </w:rPr>
              <w:t>-</w:t>
            </w:r>
          </w:p>
        </w:tc>
        <w:tc>
          <w:tcPr>
            <w:tcW w:w="77" w:type="dxa"/>
            <w:noWrap/>
            <w:tcMar>
              <w:top w:w="5" w:type="dxa"/>
              <w:left w:w="5" w:type="dxa"/>
              <w:bottom w:w="20" w:type="dxa"/>
              <w:right w:w="5" w:type="dxa"/>
            </w:tcMar>
            <w:vAlign w:val="bottom"/>
            <w:hideMark/>
          </w:tcPr>
          <w:p w14:paraId="3049AF22" w14:textId="77777777" w:rsidR="00954279" w:rsidRDefault="00A66714">
            <w:pPr>
              <w:rPr>
                <w:color w:val="000000"/>
                <w:sz w:val="20"/>
                <w:szCs w:val="20"/>
              </w:rPr>
            </w:pPr>
            <w:r>
              <w:rPr>
                <w:color w:val="000000"/>
                <w:sz w:val="20"/>
                <w:szCs w:val="20"/>
              </w:rPr>
              <w:t> </w:t>
            </w:r>
          </w:p>
        </w:tc>
        <w:tc>
          <w:tcPr>
            <w:tcW w:w="64" w:type="dxa"/>
            <w:tcMar>
              <w:top w:w="5" w:type="dxa"/>
              <w:left w:w="5" w:type="dxa"/>
              <w:bottom w:w="5" w:type="dxa"/>
              <w:right w:w="5" w:type="dxa"/>
            </w:tcMar>
            <w:vAlign w:val="bottom"/>
            <w:hideMark/>
          </w:tcPr>
          <w:p w14:paraId="15D07B27" w14:textId="77777777" w:rsidR="00954279" w:rsidRDefault="00A66714">
            <w:pPr>
              <w:rPr>
                <w:color w:val="000000"/>
                <w:sz w:val="20"/>
                <w:szCs w:val="20"/>
              </w:rPr>
            </w:pPr>
            <w:r>
              <w:rPr>
                <w:color w:val="000000"/>
                <w:sz w:val="20"/>
                <w:szCs w:val="20"/>
              </w:rPr>
              <w:t> </w:t>
            </w:r>
          </w:p>
        </w:tc>
        <w:tc>
          <w:tcPr>
            <w:tcW w:w="111" w:type="dxa"/>
            <w:tcBorders>
              <w:bottom w:val="single" w:sz="6" w:space="0" w:color="000000"/>
            </w:tcBorders>
            <w:tcMar>
              <w:top w:w="5" w:type="dxa"/>
              <w:left w:w="5" w:type="dxa"/>
              <w:bottom w:w="8" w:type="dxa"/>
              <w:right w:w="5" w:type="dxa"/>
            </w:tcMar>
            <w:vAlign w:val="bottom"/>
            <w:hideMark/>
          </w:tcPr>
          <w:p w14:paraId="7A114BCD" w14:textId="77777777" w:rsidR="00954279" w:rsidRDefault="00A66714">
            <w:pPr>
              <w:rPr>
                <w:color w:val="000000"/>
                <w:sz w:val="20"/>
                <w:szCs w:val="20"/>
              </w:rPr>
            </w:pPr>
            <w:r>
              <w:rPr>
                <w:color w:val="000000"/>
                <w:sz w:val="20"/>
                <w:szCs w:val="20"/>
              </w:rPr>
              <w:t> </w:t>
            </w:r>
          </w:p>
        </w:tc>
        <w:tc>
          <w:tcPr>
            <w:tcW w:w="719" w:type="dxa"/>
            <w:tcBorders>
              <w:bottom w:val="single" w:sz="6" w:space="0" w:color="000000"/>
            </w:tcBorders>
            <w:tcMar>
              <w:top w:w="5" w:type="dxa"/>
              <w:left w:w="5" w:type="dxa"/>
              <w:bottom w:w="8" w:type="dxa"/>
              <w:right w:w="5" w:type="dxa"/>
            </w:tcMar>
            <w:vAlign w:val="bottom"/>
            <w:hideMark/>
          </w:tcPr>
          <w:p w14:paraId="0495E000" w14:textId="77777777" w:rsidR="00954279" w:rsidRDefault="00A66714">
            <w:pPr>
              <w:jc w:val="right"/>
              <w:rPr>
                <w:color w:val="000000"/>
                <w:sz w:val="20"/>
                <w:szCs w:val="20"/>
              </w:rPr>
            </w:pPr>
            <w:r>
              <w:rPr>
                <w:b/>
                <w:bCs/>
                <w:color w:val="000000"/>
                <w:sz w:val="20"/>
                <w:szCs w:val="20"/>
              </w:rPr>
              <w:t>(6</w:t>
            </w:r>
          </w:p>
        </w:tc>
        <w:tc>
          <w:tcPr>
            <w:tcW w:w="77" w:type="dxa"/>
            <w:noWrap/>
            <w:tcMar>
              <w:top w:w="5" w:type="dxa"/>
              <w:left w:w="5" w:type="dxa"/>
              <w:bottom w:w="20" w:type="dxa"/>
              <w:right w:w="5" w:type="dxa"/>
            </w:tcMar>
            <w:vAlign w:val="bottom"/>
            <w:hideMark/>
          </w:tcPr>
          <w:p w14:paraId="04BF2277" w14:textId="77777777" w:rsidR="00954279" w:rsidRDefault="00A66714">
            <w:pPr>
              <w:rPr>
                <w:color w:val="000000"/>
                <w:sz w:val="20"/>
                <w:szCs w:val="20"/>
              </w:rPr>
            </w:pPr>
            <w:r>
              <w:rPr>
                <w:color w:val="000000"/>
                <w:sz w:val="20"/>
                <w:szCs w:val="20"/>
              </w:rPr>
              <w:t>)</w:t>
            </w:r>
          </w:p>
        </w:tc>
        <w:tc>
          <w:tcPr>
            <w:tcW w:w="65" w:type="dxa"/>
            <w:tcMar>
              <w:top w:w="5" w:type="dxa"/>
              <w:left w:w="5" w:type="dxa"/>
              <w:bottom w:w="5" w:type="dxa"/>
              <w:right w:w="5" w:type="dxa"/>
            </w:tcMar>
            <w:vAlign w:val="bottom"/>
            <w:hideMark/>
          </w:tcPr>
          <w:p w14:paraId="3399E721" w14:textId="77777777" w:rsidR="00954279" w:rsidRDefault="00A66714">
            <w:pPr>
              <w:rPr>
                <w:color w:val="000000"/>
                <w:sz w:val="20"/>
                <w:szCs w:val="20"/>
              </w:rPr>
            </w:pPr>
            <w:r>
              <w:rPr>
                <w:color w:val="000000"/>
                <w:sz w:val="20"/>
                <w:szCs w:val="20"/>
              </w:rPr>
              <w:t> </w:t>
            </w:r>
          </w:p>
        </w:tc>
        <w:tc>
          <w:tcPr>
            <w:tcW w:w="74" w:type="dxa"/>
            <w:tcBorders>
              <w:bottom w:val="single" w:sz="6" w:space="0" w:color="000000"/>
            </w:tcBorders>
            <w:tcMar>
              <w:top w:w="5" w:type="dxa"/>
              <w:left w:w="5" w:type="dxa"/>
              <w:bottom w:w="8" w:type="dxa"/>
              <w:right w:w="5" w:type="dxa"/>
            </w:tcMar>
            <w:vAlign w:val="bottom"/>
            <w:hideMark/>
          </w:tcPr>
          <w:p w14:paraId="3244A3CC" w14:textId="77777777" w:rsidR="00954279" w:rsidRDefault="00A66714">
            <w:pPr>
              <w:rPr>
                <w:color w:val="000000"/>
                <w:sz w:val="20"/>
                <w:szCs w:val="20"/>
              </w:rPr>
            </w:pPr>
            <w:r>
              <w:rPr>
                <w:color w:val="000000"/>
                <w:sz w:val="20"/>
                <w:szCs w:val="20"/>
              </w:rPr>
              <w:t> </w:t>
            </w:r>
          </w:p>
        </w:tc>
        <w:tc>
          <w:tcPr>
            <w:tcW w:w="716" w:type="dxa"/>
            <w:tcBorders>
              <w:bottom w:val="single" w:sz="6" w:space="0" w:color="000000"/>
            </w:tcBorders>
            <w:tcMar>
              <w:top w:w="5" w:type="dxa"/>
              <w:left w:w="5" w:type="dxa"/>
              <w:bottom w:w="8" w:type="dxa"/>
              <w:right w:w="5" w:type="dxa"/>
            </w:tcMar>
            <w:vAlign w:val="bottom"/>
            <w:hideMark/>
          </w:tcPr>
          <w:p w14:paraId="0E4C958A" w14:textId="77777777" w:rsidR="00954279" w:rsidRDefault="00A66714">
            <w:pPr>
              <w:jc w:val="right"/>
              <w:rPr>
                <w:color w:val="000000"/>
                <w:sz w:val="20"/>
                <w:szCs w:val="20"/>
              </w:rPr>
            </w:pPr>
            <w:r>
              <w:rPr>
                <w:color w:val="000000"/>
                <w:sz w:val="20"/>
                <w:szCs w:val="20"/>
              </w:rPr>
              <w:t>-</w:t>
            </w:r>
          </w:p>
        </w:tc>
        <w:tc>
          <w:tcPr>
            <w:tcW w:w="77" w:type="dxa"/>
            <w:noWrap/>
            <w:tcMar>
              <w:top w:w="5" w:type="dxa"/>
              <w:left w:w="5" w:type="dxa"/>
              <w:bottom w:w="20" w:type="dxa"/>
              <w:right w:w="5" w:type="dxa"/>
            </w:tcMar>
            <w:vAlign w:val="bottom"/>
            <w:hideMark/>
          </w:tcPr>
          <w:p w14:paraId="2B118D1A" w14:textId="77777777" w:rsidR="00954279" w:rsidRDefault="00A66714">
            <w:pPr>
              <w:rPr>
                <w:color w:val="000000"/>
                <w:sz w:val="20"/>
                <w:szCs w:val="20"/>
              </w:rPr>
            </w:pPr>
            <w:r>
              <w:rPr>
                <w:color w:val="000000"/>
                <w:sz w:val="20"/>
                <w:szCs w:val="20"/>
              </w:rPr>
              <w:t> </w:t>
            </w:r>
          </w:p>
        </w:tc>
        <w:tc>
          <w:tcPr>
            <w:tcW w:w="65" w:type="dxa"/>
            <w:tcMar>
              <w:top w:w="5" w:type="dxa"/>
              <w:left w:w="5" w:type="dxa"/>
              <w:bottom w:w="5" w:type="dxa"/>
              <w:right w:w="5" w:type="dxa"/>
            </w:tcMar>
            <w:vAlign w:val="bottom"/>
            <w:hideMark/>
          </w:tcPr>
          <w:p w14:paraId="5B5EDA3D" w14:textId="77777777" w:rsidR="00954279" w:rsidRDefault="00A66714">
            <w:pPr>
              <w:rPr>
                <w:color w:val="000000"/>
                <w:sz w:val="20"/>
                <w:szCs w:val="20"/>
              </w:rPr>
            </w:pPr>
            <w:r>
              <w:rPr>
                <w:color w:val="000000"/>
                <w:sz w:val="20"/>
                <w:szCs w:val="20"/>
              </w:rPr>
              <w:t> </w:t>
            </w:r>
          </w:p>
        </w:tc>
        <w:tc>
          <w:tcPr>
            <w:tcW w:w="111" w:type="dxa"/>
            <w:tcBorders>
              <w:bottom w:val="single" w:sz="6" w:space="0" w:color="000000"/>
            </w:tcBorders>
            <w:tcMar>
              <w:top w:w="5" w:type="dxa"/>
              <w:left w:w="5" w:type="dxa"/>
              <w:bottom w:w="8" w:type="dxa"/>
              <w:right w:w="5" w:type="dxa"/>
            </w:tcMar>
            <w:vAlign w:val="bottom"/>
            <w:hideMark/>
          </w:tcPr>
          <w:p w14:paraId="60E72E0D" w14:textId="77777777" w:rsidR="00954279" w:rsidRDefault="00A66714">
            <w:pPr>
              <w:rPr>
                <w:color w:val="000000"/>
                <w:sz w:val="20"/>
                <w:szCs w:val="20"/>
              </w:rPr>
            </w:pPr>
            <w:r>
              <w:rPr>
                <w:color w:val="000000"/>
                <w:sz w:val="20"/>
                <w:szCs w:val="20"/>
              </w:rPr>
              <w:t> </w:t>
            </w:r>
          </w:p>
        </w:tc>
        <w:tc>
          <w:tcPr>
            <w:tcW w:w="719" w:type="dxa"/>
            <w:tcBorders>
              <w:bottom w:val="single" w:sz="6" w:space="0" w:color="000000"/>
            </w:tcBorders>
            <w:tcMar>
              <w:top w:w="5" w:type="dxa"/>
              <w:left w:w="5" w:type="dxa"/>
              <w:bottom w:w="8" w:type="dxa"/>
              <w:right w:w="5" w:type="dxa"/>
            </w:tcMar>
            <w:vAlign w:val="bottom"/>
            <w:hideMark/>
          </w:tcPr>
          <w:p w14:paraId="1FDE8509" w14:textId="77777777" w:rsidR="00954279" w:rsidRDefault="00A66714">
            <w:pPr>
              <w:jc w:val="right"/>
              <w:rPr>
                <w:color w:val="000000"/>
                <w:sz w:val="20"/>
                <w:szCs w:val="20"/>
              </w:rPr>
            </w:pPr>
            <w:r>
              <w:rPr>
                <w:color w:val="000000"/>
                <w:sz w:val="20"/>
                <w:szCs w:val="20"/>
              </w:rPr>
              <w:t>-</w:t>
            </w:r>
          </w:p>
        </w:tc>
        <w:tc>
          <w:tcPr>
            <w:tcW w:w="77" w:type="dxa"/>
            <w:noWrap/>
            <w:tcMar>
              <w:top w:w="5" w:type="dxa"/>
              <w:left w:w="5" w:type="dxa"/>
              <w:bottom w:w="20" w:type="dxa"/>
              <w:right w:w="5" w:type="dxa"/>
            </w:tcMar>
            <w:vAlign w:val="bottom"/>
            <w:hideMark/>
          </w:tcPr>
          <w:p w14:paraId="36A27BB8" w14:textId="77777777" w:rsidR="00954279" w:rsidRDefault="00A66714">
            <w:pPr>
              <w:rPr>
                <w:color w:val="000000"/>
                <w:sz w:val="20"/>
                <w:szCs w:val="20"/>
              </w:rPr>
            </w:pPr>
            <w:r>
              <w:rPr>
                <w:color w:val="000000"/>
                <w:sz w:val="20"/>
                <w:szCs w:val="20"/>
              </w:rPr>
              <w:t> </w:t>
            </w:r>
          </w:p>
        </w:tc>
        <w:tc>
          <w:tcPr>
            <w:tcW w:w="65" w:type="dxa"/>
            <w:tcMar>
              <w:top w:w="5" w:type="dxa"/>
              <w:left w:w="5" w:type="dxa"/>
              <w:bottom w:w="5" w:type="dxa"/>
              <w:right w:w="5" w:type="dxa"/>
            </w:tcMar>
            <w:vAlign w:val="bottom"/>
            <w:hideMark/>
          </w:tcPr>
          <w:p w14:paraId="12710655" w14:textId="77777777" w:rsidR="00954279" w:rsidRDefault="00A66714">
            <w:pPr>
              <w:rPr>
                <w:color w:val="000000"/>
                <w:sz w:val="20"/>
                <w:szCs w:val="20"/>
              </w:rPr>
            </w:pPr>
            <w:r>
              <w:rPr>
                <w:color w:val="000000"/>
                <w:sz w:val="20"/>
                <w:szCs w:val="20"/>
              </w:rPr>
              <w:t> </w:t>
            </w:r>
          </w:p>
        </w:tc>
        <w:tc>
          <w:tcPr>
            <w:tcW w:w="168" w:type="dxa"/>
            <w:tcBorders>
              <w:bottom w:val="single" w:sz="6" w:space="0" w:color="000000"/>
            </w:tcBorders>
            <w:tcMar>
              <w:top w:w="5" w:type="dxa"/>
              <w:left w:w="5" w:type="dxa"/>
              <w:bottom w:w="8" w:type="dxa"/>
              <w:right w:w="5" w:type="dxa"/>
            </w:tcMar>
            <w:vAlign w:val="bottom"/>
            <w:hideMark/>
          </w:tcPr>
          <w:p w14:paraId="150C9F1B" w14:textId="77777777" w:rsidR="00954279" w:rsidRDefault="00A66714">
            <w:pPr>
              <w:rPr>
                <w:color w:val="000000"/>
                <w:sz w:val="20"/>
                <w:szCs w:val="20"/>
              </w:rPr>
            </w:pPr>
            <w:r>
              <w:rPr>
                <w:color w:val="000000"/>
                <w:sz w:val="20"/>
                <w:szCs w:val="20"/>
              </w:rPr>
              <w:t> </w:t>
            </w:r>
          </w:p>
        </w:tc>
        <w:tc>
          <w:tcPr>
            <w:tcW w:w="1176" w:type="dxa"/>
            <w:tcBorders>
              <w:bottom w:val="single" w:sz="6" w:space="0" w:color="000000"/>
            </w:tcBorders>
            <w:tcMar>
              <w:top w:w="5" w:type="dxa"/>
              <w:left w:w="5" w:type="dxa"/>
              <w:bottom w:w="8" w:type="dxa"/>
              <w:right w:w="5" w:type="dxa"/>
            </w:tcMar>
            <w:vAlign w:val="bottom"/>
            <w:hideMark/>
          </w:tcPr>
          <w:p w14:paraId="20409970" w14:textId="77777777" w:rsidR="00954279" w:rsidRDefault="00A66714">
            <w:pPr>
              <w:jc w:val="right"/>
              <w:rPr>
                <w:color w:val="000000"/>
                <w:sz w:val="20"/>
                <w:szCs w:val="20"/>
              </w:rPr>
            </w:pPr>
            <w:r>
              <w:rPr>
                <w:color w:val="000000"/>
                <w:sz w:val="20"/>
                <w:szCs w:val="20"/>
              </w:rPr>
              <w:t>-</w:t>
            </w:r>
          </w:p>
        </w:tc>
        <w:tc>
          <w:tcPr>
            <w:tcW w:w="77" w:type="dxa"/>
            <w:noWrap/>
            <w:tcMar>
              <w:top w:w="5" w:type="dxa"/>
              <w:left w:w="5" w:type="dxa"/>
              <w:bottom w:w="20" w:type="dxa"/>
              <w:right w:w="5" w:type="dxa"/>
            </w:tcMar>
            <w:vAlign w:val="bottom"/>
            <w:hideMark/>
          </w:tcPr>
          <w:p w14:paraId="694B343A" w14:textId="77777777" w:rsidR="00954279" w:rsidRDefault="00A66714">
            <w:pPr>
              <w:rPr>
                <w:color w:val="000000"/>
                <w:sz w:val="20"/>
                <w:szCs w:val="20"/>
              </w:rPr>
            </w:pPr>
            <w:r>
              <w:rPr>
                <w:color w:val="000000"/>
                <w:sz w:val="20"/>
                <w:szCs w:val="20"/>
              </w:rPr>
              <w:t> </w:t>
            </w:r>
          </w:p>
        </w:tc>
        <w:tc>
          <w:tcPr>
            <w:tcW w:w="65" w:type="dxa"/>
            <w:tcMar>
              <w:top w:w="5" w:type="dxa"/>
              <w:left w:w="5" w:type="dxa"/>
              <w:bottom w:w="5" w:type="dxa"/>
              <w:right w:w="5" w:type="dxa"/>
            </w:tcMar>
            <w:vAlign w:val="bottom"/>
            <w:hideMark/>
          </w:tcPr>
          <w:p w14:paraId="051F8D69" w14:textId="77777777" w:rsidR="00954279" w:rsidRDefault="00A66714">
            <w:pPr>
              <w:rPr>
                <w:color w:val="000000"/>
                <w:sz w:val="20"/>
                <w:szCs w:val="20"/>
              </w:rPr>
            </w:pPr>
            <w:r>
              <w:rPr>
                <w:color w:val="000000"/>
                <w:sz w:val="20"/>
                <w:szCs w:val="20"/>
              </w:rPr>
              <w:t> </w:t>
            </w:r>
          </w:p>
        </w:tc>
        <w:tc>
          <w:tcPr>
            <w:tcW w:w="148" w:type="dxa"/>
            <w:tcBorders>
              <w:bottom w:val="single" w:sz="6" w:space="0" w:color="000000"/>
            </w:tcBorders>
            <w:tcMar>
              <w:top w:w="5" w:type="dxa"/>
              <w:left w:w="5" w:type="dxa"/>
              <w:bottom w:w="8" w:type="dxa"/>
              <w:right w:w="5" w:type="dxa"/>
            </w:tcMar>
            <w:vAlign w:val="bottom"/>
            <w:hideMark/>
          </w:tcPr>
          <w:p w14:paraId="26809DAF" w14:textId="77777777" w:rsidR="00954279" w:rsidRDefault="00A66714">
            <w:pPr>
              <w:rPr>
                <w:color w:val="000000"/>
                <w:sz w:val="20"/>
                <w:szCs w:val="20"/>
              </w:rPr>
            </w:pPr>
            <w:r>
              <w:rPr>
                <w:color w:val="000000"/>
                <w:sz w:val="20"/>
                <w:szCs w:val="20"/>
              </w:rPr>
              <w:t> </w:t>
            </w:r>
          </w:p>
        </w:tc>
        <w:tc>
          <w:tcPr>
            <w:tcW w:w="1029" w:type="dxa"/>
            <w:tcBorders>
              <w:bottom w:val="single" w:sz="6" w:space="0" w:color="000000"/>
            </w:tcBorders>
            <w:tcMar>
              <w:top w:w="5" w:type="dxa"/>
              <w:left w:w="5" w:type="dxa"/>
              <w:bottom w:w="8" w:type="dxa"/>
              <w:right w:w="5" w:type="dxa"/>
            </w:tcMar>
            <w:vAlign w:val="bottom"/>
            <w:hideMark/>
          </w:tcPr>
          <w:p w14:paraId="2F2E0051" w14:textId="77777777" w:rsidR="00954279" w:rsidRDefault="00A66714">
            <w:pPr>
              <w:jc w:val="right"/>
              <w:rPr>
                <w:color w:val="000000"/>
                <w:sz w:val="20"/>
                <w:szCs w:val="20"/>
              </w:rPr>
            </w:pPr>
            <w:r>
              <w:rPr>
                <w:b/>
                <w:bCs/>
                <w:color w:val="000000"/>
                <w:sz w:val="20"/>
                <w:szCs w:val="20"/>
              </w:rPr>
              <w:t>(6</w:t>
            </w:r>
          </w:p>
        </w:tc>
        <w:tc>
          <w:tcPr>
            <w:tcW w:w="77" w:type="dxa"/>
            <w:noWrap/>
            <w:tcMar>
              <w:top w:w="5" w:type="dxa"/>
              <w:left w:w="5" w:type="dxa"/>
              <w:bottom w:w="20" w:type="dxa"/>
              <w:right w:w="5" w:type="dxa"/>
            </w:tcMar>
            <w:vAlign w:val="bottom"/>
            <w:hideMark/>
          </w:tcPr>
          <w:p w14:paraId="12CEF0AE" w14:textId="77777777" w:rsidR="00954279" w:rsidRDefault="00A66714">
            <w:pPr>
              <w:rPr>
                <w:color w:val="000000"/>
                <w:sz w:val="20"/>
                <w:szCs w:val="20"/>
              </w:rPr>
            </w:pPr>
            <w:r>
              <w:rPr>
                <w:color w:val="000000"/>
                <w:sz w:val="20"/>
                <w:szCs w:val="20"/>
              </w:rPr>
              <w:t>)</w:t>
            </w:r>
          </w:p>
        </w:tc>
      </w:tr>
      <w:tr w:rsidR="00954279" w14:paraId="7E9572C1" w14:textId="77777777" w:rsidTr="00717712">
        <w:tc>
          <w:tcPr>
            <w:tcW w:w="2678" w:type="dxa"/>
            <w:tcMar>
              <w:top w:w="5" w:type="dxa"/>
              <w:left w:w="5" w:type="dxa"/>
              <w:bottom w:w="5" w:type="dxa"/>
              <w:right w:w="5" w:type="dxa"/>
            </w:tcMar>
            <w:vAlign w:val="bottom"/>
            <w:hideMark/>
          </w:tcPr>
          <w:p w14:paraId="56DB1DA2" w14:textId="77777777" w:rsidR="00954279" w:rsidRDefault="00A66714">
            <w:pPr>
              <w:rPr>
                <w:color w:val="000000"/>
                <w:sz w:val="20"/>
                <w:szCs w:val="20"/>
              </w:rPr>
            </w:pPr>
            <w:r>
              <w:rPr>
                <w:color w:val="000000"/>
                <w:sz w:val="20"/>
                <w:szCs w:val="20"/>
              </w:rPr>
              <w:t>Balance at March 31, 2021</w:t>
            </w:r>
          </w:p>
        </w:tc>
        <w:tc>
          <w:tcPr>
            <w:tcW w:w="60" w:type="dxa"/>
            <w:tcMar>
              <w:top w:w="5" w:type="dxa"/>
              <w:left w:w="5" w:type="dxa"/>
              <w:bottom w:w="5" w:type="dxa"/>
              <w:right w:w="5" w:type="dxa"/>
            </w:tcMar>
            <w:vAlign w:val="bottom"/>
            <w:hideMark/>
          </w:tcPr>
          <w:p w14:paraId="2F0CABDD" w14:textId="77777777" w:rsidR="00954279" w:rsidRDefault="00A66714">
            <w:pPr>
              <w:rPr>
                <w:color w:val="000000"/>
                <w:sz w:val="20"/>
                <w:szCs w:val="20"/>
              </w:rPr>
            </w:pPr>
            <w:r>
              <w:rPr>
                <w:color w:val="000000"/>
                <w:sz w:val="20"/>
                <w:szCs w:val="20"/>
              </w:rPr>
              <w:t> </w:t>
            </w:r>
          </w:p>
        </w:tc>
        <w:tc>
          <w:tcPr>
            <w:tcW w:w="74" w:type="dxa"/>
            <w:tcBorders>
              <w:bottom w:val="double" w:sz="6" w:space="0" w:color="000000"/>
            </w:tcBorders>
            <w:tcMar>
              <w:top w:w="5" w:type="dxa"/>
              <w:left w:w="5" w:type="dxa"/>
              <w:bottom w:w="22" w:type="dxa"/>
              <w:right w:w="5" w:type="dxa"/>
            </w:tcMar>
            <w:vAlign w:val="bottom"/>
            <w:hideMark/>
          </w:tcPr>
          <w:p w14:paraId="142A193A" w14:textId="77777777" w:rsidR="00954279" w:rsidRDefault="00A66714">
            <w:pPr>
              <w:rPr>
                <w:color w:val="000000"/>
                <w:sz w:val="20"/>
                <w:szCs w:val="20"/>
              </w:rPr>
            </w:pPr>
            <w:r>
              <w:rPr>
                <w:color w:val="000000"/>
                <w:sz w:val="20"/>
                <w:szCs w:val="20"/>
              </w:rPr>
              <w:t> </w:t>
            </w:r>
          </w:p>
        </w:tc>
        <w:tc>
          <w:tcPr>
            <w:tcW w:w="713" w:type="dxa"/>
            <w:tcBorders>
              <w:bottom w:val="double" w:sz="6" w:space="0" w:color="000000"/>
            </w:tcBorders>
            <w:tcMar>
              <w:top w:w="5" w:type="dxa"/>
              <w:left w:w="5" w:type="dxa"/>
              <w:bottom w:w="22" w:type="dxa"/>
              <w:right w:w="5" w:type="dxa"/>
            </w:tcMar>
            <w:vAlign w:val="bottom"/>
            <w:hideMark/>
          </w:tcPr>
          <w:p w14:paraId="2E1674AD" w14:textId="77777777" w:rsidR="00954279" w:rsidRDefault="00A66714">
            <w:pPr>
              <w:jc w:val="right"/>
              <w:rPr>
                <w:color w:val="000000"/>
                <w:sz w:val="20"/>
                <w:szCs w:val="20"/>
              </w:rPr>
            </w:pPr>
            <w:r>
              <w:rPr>
                <w:b/>
                <w:bCs/>
                <w:color w:val="000000"/>
                <w:sz w:val="20"/>
                <w:szCs w:val="20"/>
              </w:rPr>
              <w:t>107</w:t>
            </w:r>
          </w:p>
        </w:tc>
        <w:tc>
          <w:tcPr>
            <w:tcW w:w="69" w:type="dxa"/>
            <w:noWrap/>
            <w:tcMar>
              <w:top w:w="5" w:type="dxa"/>
              <w:left w:w="5" w:type="dxa"/>
              <w:bottom w:w="50" w:type="dxa"/>
              <w:right w:w="5" w:type="dxa"/>
            </w:tcMar>
            <w:vAlign w:val="bottom"/>
            <w:hideMark/>
          </w:tcPr>
          <w:p w14:paraId="2E86E9F0" w14:textId="77777777" w:rsidR="00954279" w:rsidRDefault="00A66714">
            <w:pPr>
              <w:rPr>
                <w:color w:val="000000"/>
                <w:sz w:val="20"/>
                <w:szCs w:val="20"/>
              </w:rPr>
            </w:pPr>
            <w:r>
              <w:rPr>
                <w:color w:val="000000"/>
                <w:sz w:val="20"/>
                <w:szCs w:val="20"/>
              </w:rPr>
              <w:t> </w:t>
            </w:r>
          </w:p>
        </w:tc>
        <w:tc>
          <w:tcPr>
            <w:tcW w:w="69" w:type="dxa"/>
            <w:tcMar>
              <w:top w:w="5" w:type="dxa"/>
              <w:left w:w="5" w:type="dxa"/>
              <w:bottom w:w="5" w:type="dxa"/>
              <w:right w:w="5" w:type="dxa"/>
            </w:tcMar>
            <w:vAlign w:val="bottom"/>
            <w:hideMark/>
          </w:tcPr>
          <w:p w14:paraId="08C974E8" w14:textId="77777777" w:rsidR="00954279" w:rsidRDefault="00A66714">
            <w:pPr>
              <w:rPr>
                <w:color w:val="000000"/>
                <w:sz w:val="20"/>
                <w:szCs w:val="20"/>
              </w:rPr>
            </w:pPr>
            <w:r>
              <w:rPr>
                <w:color w:val="000000"/>
                <w:sz w:val="20"/>
                <w:szCs w:val="20"/>
              </w:rPr>
              <w:t> </w:t>
            </w:r>
          </w:p>
        </w:tc>
        <w:tc>
          <w:tcPr>
            <w:tcW w:w="111" w:type="dxa"/>
            <w:tcBorders>
              <w:bottom w:val="double" w:sz="6" w:space="0" w:color="000000"/>
            </w:tcBorders>
            <w:tcMar>
              <w:top w:w="5" w:type="dxa"/>
              <w:left w:w="5" w:type="dxa"/>
              <w:bottom w:w="22" w:type="dxa"/>
              <w:right w:w="5" w:type="dxa"/>
            </w:tcMar>
            <w:vAlign w:val="bottom"/>
            <w:hideMark/>
          </w:tcPr>
          <w:p w14:paraId="33969E28" w14:textId="77777777" w:rsidR="00954279" w:rsidRDefault="00A66714">
            <w:pPr>
              <w:rPr>
                <w:color w:val="000000"/>
                <w:sz w:val="20"/>
                <w:szCs w:val="20"/>
              </w:rPr>
            </w:pPr>
            <w:r>
              <w:rPr>
                <w:color w:val="000000"/>
                <w:sz w:val="20"/>
                <w:szCs w:val="20"/>
              </w:rPr>
              <w:t>$</w:t>
            </w:r>
          </w:p>
        </w:tc>
        <w:tc>
          <w:tcPr>
            <w:tcW w:w="717" w:type="dxa"/>
            <w:tcBorders>
              <w:bottom w:val="double" w:sz="6" w:space="0" w:color="000000"/>
            </w:tcBorders>
            <w:tcMar>
              <w:top w:w="5" w:type="dxa"/>
              <w:left w:w="5" w:type="dxa"/>
              <w:bottom w:w="22" w:type="dxa"/>
              <w:right w:w="5" w:type="dxa"/>
            </w:tcMar>
            <w:vAlign w:val="bottom"/>
            <w:hideMark/>
          </w:tcPr>
          <w:p w14:paraId="343E2F03" w14:textId="77777777" w:rsidR="00954279" w:rsidRDefault="00A66714">
            <w:pPr>
              <w:jc w:val="right"/>
              <w:rPr>
                <w:color w:val="000000"/>
                <w:sz w:val="20"/>
                <w:szCs w:val="20"/>
              </w:rPr>
            </w:pPr>
            <w:r>
              <w:rPr>
                <w:b/>
                <w:bCs/>
                <w:color w:val="000000"/>
                <w:sz w:val="20"/>
                <w:szCs w:val="20"/>
              </w:rPr>
              <w:t>1</w:t>
            </w:r>
          </w:p>
        </w:tc>
        <w:tc>
          <w:tcPr>
            <w:tcW w:w="69" w:type="dxa"/>
            <w:noWrap/>
            <w:tcMar>
              <w:top w:w="5" w:type="dxa"/>
              <w:left w:w="5" w:type="dxa"/>
              <w:bottom w:w="50" w:type="dxa"/>
              <w:right w:w="5" w:type="dxa"/>
            </w:tcMar>
            <w:vAlign w:val="bottom"/>
            <w:hideMark/>
          </w:tcPr>
          <w:p w14:paraId="509E4EB2" w14:textId="77777777" w:rsidR="00954279" w:rsidRDefault="00A66714">
            <w:pPr>
              <w:rPr>
                <w:color w:val="000000"/>
                <w:sz w:val="20"/>
                <w:szCs w:val="20"/>
              </w:rPr>
            </w:pPr>
            <w:r>
              <w:rPr>
                <w:color w:val="000000"/>
                <w:sz w:val="20"/>
                <w:szCs w:val="20"/>
              </w:rPr>
              <w:t> </w:t>
            </w:r>
          </w:p>
        </w:tc>
        <w:tc>
          <w:tcPr>
            <w:tcW w:w="70" w:type="dxa"/>
            <w:tcMar>
              <w:top w:w="5" w:type="dxa"/>
              <w:left w:w="5" w:type="dxa"/>
              <w:bottom w:w="5" w:type="dxa"/>
              <w:right w:w="5" w:type="dxa"/>
            </w:tcMar>
            <w:vAlign w:val="bottom"/>
            <w:hideMark/>
          </w:tcPr>
          <w:p w14:paraId="643DDCE0" w14:textId="77777777" w:rsidR="00954279" w:rsidRDefault="00A66714">
            <w:pPr>
              <w:rPr>
                <w:color w:val="000000"/>
                <w:sz w:val="20"/>
                <w:szCs w:val="20"/>
              </w:rPr>
            </w:pPr>
            <w:r>
              <w:rPr>
                <w:color w:val="000000"/>
                <w:sz w:val="20"/>
                <w:szCs w:val="20"/>
              </w:rPr>
              <w:t> </w:t>
            </w:r>
          </w:p>
        </w:tc>
        <w:tc>
          <w:tcPr>
            <w:tcW w:w="116" w:type="dxa"/>
            <w:tcBorders>
              <w:bottom w:val="double" w:sz="6" w:space="0" w:color="000000"/>
            </w:tcBorders>
            <w:tcMar>
              <w:top w:w="5" w:type="dxa"/>
              <w:left w:w="5" w:type="dxa"/>
              <w:bottom w:w="22" w:type="dxa"/>
              <w:right w:w="5" w:type="dxa"/>
            </w:tcMar>
            <w:vAlign w:val="bottom"/>
            <w:hideMark/>
          </w:tcPr>
          <w:p w14:paraId="344F71E4" w14:textId="77777777" w:rsidR="00954279" w:rsidRDefault="00A66714">
            <w:pPr>
              <w:rPr>
                <w:color w:val="000000"/>
                <w:sz w:val="20"/>
                <w:szCs w:val="20"/>
              </w:rPr>
            </w:pPr>
            <w:r>
              <w:rPr>
                <w:color w:val="000000"/>
                <w:sz w:val="20"/>
                <w:szCs w:val="20"/>
              </w:rPr>
              <w:t>$</w:t>
            </w:r>
          </w:p>
        </w:tc>
        <w:tc>
          <w:tcPr>
            <w:tcW w:w="806" w:type="dxa"/>
            <w:tcBorders>
              <w:bottom w:val="double" w:sz="6" w:space="0" w:color="000000"/>
            </w:tcBorders>
            <w:tcMar>
              <w:top w:w="5" w:type="dxa"/>
              <w:left w:w="5" w:type="dxa"/>
              <w:bottom w:w="22" w:type="dxa"/>
              <w:right w:w="5" w:type="dxa"/>
            </w:tcMar>
            <w:vAlign w:val="bottom"/>
            <w:hideMark/>
          </w:tcPr>
          <w:p w14:paraId="66D0FC9C" w14:textId="77777777" w:rsidR="00954279" w:rsidRDefault="00A66714">
            <w:pPr>
              <w:jc w:val="right"/>
              <w:rPr>
                <w:color w:val="000000"/>
                <w:sz w:val="20"/>
                <w:szCs w:val="20"/>
              </w:rPr>
            </w:pPr>
            <w:r>
              <w:rPr>
                <w:b/>
                <w:bCs/>
                <w:color w:val="000000"/>
                <w:sz w:val="20"/>
                <w:szCs w:val="20"/>
              </w:rPr>
              <w:t>1,742</w:t>
            </w:r>
          </w:p>
        </w:tc>
        <w:tc>
          <w:tcPr>
            <w:tcW w:w="77" w:type="dxa"/>
            <w:noWrap/>
            <w:tcMar>
              <w:top w:w="5" w:type="dxa"/>
              <w:left w:w="5" w:type="dxa"/>
              <w:bottom w:w="50" w:type="dxa"/>
              <w:right w:w="5" w:type="dxa"/>
            </w:tcMar>
            <w:vAlign w:val="bottom"/>
            <w:hideMark/>
          </w:tcPr>
          <w:p w14:paraId="7A77E321" w14:textId="77777777" w:rsidR="00954279" w:rsidRDefault="00A66714">
            <w:pPr>
              <w:rPr>
                <w:color w:val="000000"/>
                <w:sz w:val="20"/>
                <w:szCs w:val="20"/>
              </w:rPr>
            </w:pPr>
            <w:r>
              <w:rPr>
                <w:color w:val="000000"/>
                <w:sz w:val="20"/>
                <w:szCs w:val="20"/>
              </w:rPr>
              <w:t> </w:t>
            </w:r>
          </w:p>
        </w:tc>
        <w:tc>
          <w:tcPr>
            <w:tcW w:w="64" w:type="dxa"/>
            <w:tcMar>
              <w:top w:w="5" w:type="dxa"/>
              <w:left w:w="5" w:type="dxa"/>
              <w:bottom w:w="5" w:type="dxa"/>
              <w:right w:w="5" w:type="dxa"/>
            </w:tcMar>
            <w:vAlign w:val="bottom"/>
            <w:hideMark/>
          </w:tcPr>
          <w:p w14:paraId="64516FDB" w14:textId="77777777" w:rsidR="00954279" w:rsidRDefault="00A66714">
            <w:pPr>
              <w:rPr>
                <w:color w:val="000000"/>
                <w:sz w:val="20"/>
                <w:szCs w:val="20"/>
              </w:rPr>
            </w:pPr>
            <w:r>
              <w:rPr>
                <w:color w:val="000000"/>
                <w:sz w:val="20"/>
                <w:szCs w:val="20"/>
              </w:rPr>
              <w:t> </w:t>
            </w:r>
          </w:p>
        </w:tc>
        <w:tc>
          <w:tcPr>
            <w:tcW w:w="111" w:type="dxa"/>
            <w:tcBorders>
              <w:bottom w:val="double" w:sz="6" w:space="0" w:color="000000"/>
            </w:tcBorders>
            <w:tcMar>
              <w:top w:w="5" w:type="dxa"/>
              <w:left w:w="5" w:type="dxa"/>
              <w:bottom w:w="22" w:type="dxa"/>
              <w:right w:w="5" w:type="dxa"/>
            </w:tcMar>
            <w:vAlign w:val="bottom"/>
            <w:hideMark/>
          </w:tcPr>
          <w:p w14:paraId="233D22F7" w14:textId="77777777" w:rsidR="00954279" w:rsidRDefault="00A66714">
            <w:pPr>
              <w:rPr>
                <w:color w:val="000000"/>
                <w:sz w:val="20"/>
                <w:szCs w:val="20"/>
              </w:rPr>
            </w:pPr>
            <w:r>
              <w:rPr>
                <w:color w:val="000000"/>
                <w:sz w:val="20"/>
                <w:szCs w:val="20"/>
              </w:rPr>
              <w:t>$</w:t>
            </w:r>
          </w:p>
        </w:tc>
        <w:tc>
          <w:tcPr>
            <w:tcW w:w="719" w:type="dxa"/>
            <w:tcBorders>
              <w:bottom w:val="double" w:sz="6" w:space="0" w:color="000000"/>
            </w:tcBorders>
            <w:tcMar>
              <w:top w:w="5" w:type="dxa"/>
              <w:left w:w="5" w:type="dxa"/>
              <w:bottom w:w="22" w:type="dxa"/>
              <w:right w:w="5" w:type="dxa"/>
            </w:tcMar>
            <w:vAlign w:val="bottom"/>
            <w:hideMark/>
          </w:tcPr>
          <w:p w14:paraId="7B73219D" w14:textId="77777777" w:rsidR="00954279" w:rsidRDefault="00A66714">
            <w:pPr>
              <w:jc w:val="right"/>
              <w:rPr>
                <w:color w:val="000000"/>
                <w:sz w:val="20"/>
                <w:szCs w:val="20"/>
              </w:rPr>
            </w:pPr>
            <w:r>
              <w:rPr>
                <w:b/>
                <w:bCs/>
                <w:color w:val="000000"/>
                <w:sz w:val="20"/>
                <w:szCs w:val="20"/>
              </w:rPr>
              <w:t>(790</w:t>
            </w:r>
          </w:p>
        </w:tc>
        <w:tc>
          <w:tcPr>
            <w:tcW w:w="77" w:type="dxa"/>
            <w:noWrap/>
            <w:tcMar>
              <w:top w:w="5" w:type="dxa"/>
              <w:left w:w="5" w:type="dxa"/>
              <w:bottom w:w="50" w:type="dxa"/>
              <w:right w:w="5" w:type="dxa"/>
            </w:tcMar>
            <w:vAlign w:val="bottom"/>
            <w:hideMark/>
          </w:tcPr>
          <w:p w14:paraId="0ADD739B" w14:textId="77777777" w:rsidR="00954279" w:rsidRDefault="00A66714">
            <w:pPr>
              <w:rPr>
                <w:color w:val="000000"/>
                <w:sz w:val="20"/>
                <w:szCs w:val="20"/>
              </w:rPr>
            </w:pPr>
            <w:r>
              <w:rPr>
                <w:b/>
                <w:bCs/>
                <w:color w:val="000000"/>
                <w:sz w:val="20"/>
                <w:szCs w:val="20"/>
              </w:rPr>
              <w:t>)</w:t>
            </w:r>
          </w:p>
        </w:tc>
        <w:tc>
          <w:tcPr>
            <w:tcW w:w="65" w:type="dxa"/>
            <w:tcMar>
              <w:top w:w="5" w:type="dxa"/>
              <w:left w:w="5" w:type="dxa"/>
              <w:bottom w:w="5" w:type="dxa"/>
              <w:right w:w="5" w:type="dxa"/>
            </w:tcMar>
            <w:vAlign w:val="bottom"/>
            <w:hideMark/>
          </w:tcPr>
          <w:p w14:paraId="6CA8C69D" w14:textId="77777777" w:rsidR="00954279" w:rsidRDefault="00A66714">
            <w:pPr>
              <w:rPr>
                <w:color w:val="000000"/>
                <w:sz w:val="20"/>
                <w:szCs w:val="20"/>
              </w:rPr>
            </w:pPr>
            <w:r>
              <w:rPr>
                <w:color w:val="000000"/>
                <w:sz w:val="20"/>
                <w:szCs w:val="20"/>
              </w:rPr>
              <w:t> </w:t>
            </w:r>
          </w:p>
        </w:tc>
        <w:tc>
          <w:tcPr>
            <w:tcW w:w="74" w:type="dxa"/>
            <w:tcBorders>
              <w:bottom w:val="double" w:sz="6" w:space="0" w:color="000000"/>
            </w:tcBorders>
            <w:tcMar>
              <w:top w:w="5" w:type="dxa"/>
              <w:left w:w="5" w:type="dxa"/>
              <w:bottom w:w="22" w:type="dxa"/>
              <w:right w:w="5" w:type="dxa"/>
            </w:tcMar>
            <w:vAlign w:val="bottom"/>
            <w:hideMark/>
          </w:tcPr>
          <w:p w14:paraId="21D875EA" w14:textId="77777777" w:rsidR="00954279" w:rsidRDefault="00A66714">
            <w:pPr>
              <w:rPr>
                <w:color w:val="000000"/>
                <w:sz w:val="20"/>
                <w:szCs w:val="20"/>
              </w:rPr>
            </w:pPr>
            <w:r>
              <w:rPr>
                <w:color w:val="000000"/>
                <w:sz w:val="20"/>
                <w:szCs w:val="20"/>
              </w:rPr>
              <w:t> </w:t>
            </w:r>
          </w:p>
        </w:tc>
        <w:tc>
          <w:tcPr>
            <w:tcW w:w="716" w:type="dxa"/>
            <w:tcBorders>
              <w:bottom w:val="double" w:sz="6" w:space="0" w:color="000000"/>
            </w:tcBorders>
            <w:tcMar>
              <w:top w:w="5" w:type="dxa"/>
              <w:left w:w="5" w:type="dxa"/>
              <w:bottom w:w="22" w:type="dxa"/>
              <w:right w:w="5" w:type="dxa"/>
            </w:tcMar>
            <w:vAlign w:val="bottom"/>
            <w:hideMark/>
          </w:tcPr>
          <w:p w14:paraId="083055AC" w14:textId="77777777" w:rsidR="00954279" w:rsidRDefault="00A66714">
            <w:pPr>
              <w:jc w:val="right"/>
              <w:rPr>
                <w:color w:val="000000"/>
                <w:sz w:val="20"/>
                <w:szCs w:val="20"/>
              </w:rPr>
            </w:pPr>
            <w:r>
              <w:rPr>
                <w:b/>
                <w:bCs/>
                <w:color w:val="000000"/>
                <w:sz w:val="20"/>
                <w:szCs w:val="20"/>
              </w:rPr>
              <w:t>(24</w:t>
            </w:r>
          </w:p>
        </w:tc>
        <w:tc>
          <w:tcPr>
            <w:tcW w:w="77" w:type="dxa"/>
            <w:noWrap/>
            <w:tcMar>
              <w:top w:w="5" w:type="dxa"/>
              <w:left w:w="5" w:type="dxa"/>
              <w:bottom w:w="50" w:type="dxa"/>
              <w:right w:w="5" w:type="dxa"/>
            </w:tcMar>
            <w:vAlign w:val="bottom"/>
            <w:hideMark/>
          </w:tcPr>
          <w:p w14:paraId="41535BC9" w14:textId="77777777" w:rsidR="00954279" w:rsidRDefault="00A66714">
            <w:pPr>
              <w:rPr>
                <w:color w:val="000000"/>
                <w:sz w:val="20"/>
                <w:szCs w:val="20"/>
              </w:rPr>
            </w:pPr>
            <w:r>
              <w:rPr>
                <w:b/>
                <w:bCs/>
                <w:color w:val="000000"/>
                <w:sz w:val="20"/>
                <w:szCs w:val="20"/>
              </w:rPr>
              <w:t>)</w:t>
            </w:r>
          </w:p>
        </w:tc>
        <w:tc>
          <w:tcPr>
            <w:tcW w:w="65" w:type="dxa"/>
            <w:tcMar>
              <w:top w:w="5" w:type="dxa"/>
              <w:left w:w="5" w:type="dxa"/>
              <w:bottom w:w="5" w:type="dxa"/>
              <w:right w:w="5" w:type="dxa"/>
            </w:tcMar>
            <w:vAlign w:val="bottom"/>
            <w:hideMark/>
          </w:tcPr>
          <w:p w14:paraId="35F4FF9E" w14:textId="77777777" w:rsidR="00954279" w:rsidRDefault="00A66714">
            <w:pPr>
              <w:rPr>
                <w:color w:val="000000"/>
                <w:sz w:val="20"/>
                <w:szCs w:val="20"/>
              </w:rPr>
            </w:pPr>
            <w:r>
              <w:rPr>
                <w:color w:val="000000"/>
                <w:sz w:val="20"/>
                <w:szCs w:val="20"/>
              </w:rPr>
              <w:t> </w:t>
            </w:r>
          </w:p>
        </w:tc>
        <w:tc>
          <w:tcPr>
            <w:tcW w:w="111" w:type="dxa"/>
            <w:tcBorders>
              <w:bottom w:val="double" w:sz="6" w:space="0" w:color="000000"/>
            </w:tcBorders>
            <w:tcMar>
              <w:top w:w="5" w:type="dxa"/>
              <w:left w:w="5" w:type="dxa"/>
              <w:bottom w:w="22" w:type="dxa"/>
              <w:right w:w="5" w:type="dxa"/>
            </w:tcMar>
            <w:vAlign w:val="bottom"/>
            <w:hideMark/>
          </w:tcPr>
          <w:p w14:paraId="12FF22D3" w14:textId="77777777" w:rsidR="00954279" w:rsidRDefault="00A66714">
            <w:pPr>
              <w:rPr>
                <w:color w:val="000000"/>
                <w:sz w:val="20"/>
                <w:szCs w:val="20"/>
              </w:rPr>
            </w:pPr>
            <w:r>
              <w:rPr>
                <w:color w:val="000000"/>
                <w:sz w:val="20"/>
                <w:szCs w:val="20"/>
              </w:rPr>
              <w:t>$</w:t>
            </w:r>
          </w:p>
        </w:tc>
        <w:tc>
          <w:tcPr>
            <w:tcW w:w="719" w:type="dxa"/>
            <w:tcBorders>
              <w:bottom w:val="double" w:sz="6" w:space="0" w:color="000000"/>
            </w:tcBorders>
            <w:tcMar>
              <w:top w:w="5" w:type="dxa"/>
              <w:left w:w="5" w:type="dxa"/>
              <w:bottom w:w="22" w:type="dxa"/>
              <w:right w:w="5" w:type="dxa"/>
            </w:tcMar>
            <w:vAlign w:val="bottom"/>
            <w:hideMark/>
          </w:tcPr>
          <w:p w14:paraId="60E7A4A2" w14:textId="77777777" w:rsidR="00954279" w:rsidRDefault="00A66714">
            <w:pPr>
              <w:jc w:val="right"/>
              <w:rPr>
                <w:color w:val="000000"/>
                <w:sz w:val="20"/>
                <w:szCs w:val="20"/>
              </w:rPr>
            </w:pPr>
            <w:r>
              <w:rPr>
                <w:b/>
                <w:bCs/>
                <w:color w:val="000000"/>
                <w:sz w:val="20"/>
                <w:szCs w:val="20"/>
              </w:rPr>
              <w:t>(375</w:t>
            </w:r>
          </w:p>
        </w:tc>
        <w:tc>
          <w:tcPr>
            <w:tcW w:w="77" w:type="dxa"/>
            <w:noWrap/>
            <w:tcMar>
              <w:top w:w="5" w:type="dxa"/>
              <w:left w:w="5" w:type="dxa"/>
              <w:bottom w:w="50" w:type="dxa"/>
              <w:right w:w="5" w:type="dxa"/>
            </w:tcMar>
            <w:vAlign w:val="bottom"/>
            <w:hideMark/>
          </w:tcPr>
          <w:p w14:paraId="31A3CC98" w14:textId="77777777" w:rsidR="00954279" w:rsidRDefault="00A66714">
            <w:pPr>
              <w:rPr>
                <w:color w:val="000000"/>
                <w:sz w:val="20"/>
                <w:szCs w:val="20"/>
              </w:rPr>
            </w:pPr>
            <w:r>
              <w:rPr>
                <w:b/>
                <w:bCs/>
                <w:color w:val="000000"/>
                <w:sz w:val="20"/>
                <w:szCs w:val="20"/>
              </w:rPr>
              <w:t>)</w:t>
            </w:r>
          </w:p>
        </w:tc>
        <w:tc>
          <w:tcPr>
            <w:tcW w:w="65" w:type="dxa"/>
            <w:tcMar>
              <w:top w:w="5" w:type="dxa"/>
              <w:left w:w="5" w:type="dxa"/>
              <w:bottom w:w="5" w:type="dxa"/>
              <w:right w:w="5" w:type="dxa"/>
            </w:tcMar>
            <w:vAlign w:val="bottom"/>
            <w:hideMark/>
          </w:tcPr>
          <w:p w14:paraId="73ECB2B7" w14:textId="77777777" w:rsidR="00954279" w:rsidRDefault="00A66714">
            <w:pPr>
              <w:rPr>
                <w:color w:val="000000"/>
                <w:sz w:val="20"/>
                <w:szCs w:val="20"/>
              </w:rPr>
            </w:pPr>
            <w:r>
              <w:rPr>
                <w:color w:val="000000"/>
                <w:sz w:val="20"/>
                <w:szCs w:val="20"/>
              </w:rPr>
              <w:t> </w:t>
            </w:r>
          </w:p>
        </w:tc>
        <w:tc>
          <w:tcPr>
            <w:tcW w:w="168" w:type="dxa"/>
            <w:tcBorders>
              <w:bottom w:val="double" w:sz="6" w:space="0" w:color="000000"/>
            </w:tcBorders>
            <w:tcMar>
              <w:top w:w="5" w:type="dxa"/>
              <w:left w:w="5" w:type="dxa"/>
              <w:bottom w:w="22" w:type="dxa"/>
              <w:right w:w="5" w:type="dxa"/>
            </w:tcMar>
            <w:vAlign w:val="bottom"/>
            <w:hideMark/>
          </w:tcPr>
          <w:p w14:paraId="5A910BF7" w14:textId="77777777" w:rsidR="00954279" w:rsidRDefault="00A66714">
            <w:pPr>
              <w:rPr>
                <w:color w:val="000000"/>
                <w:sz w:val="20"/>
                <w:szCs w:val="20"/>
              </w:rPr>
            </w:pPr>
            <w:r>
              <w:rPr>
                <w:color w:val="000000"/>
                <w:sz w:val="20"/>
                <w:szCs w:val="20"/>
              </w:rPr>
              <w:t>$</w:t>
            </w:r>
          </w:p>
        </w:tc>
        <w:tc>
          <w:tcPr>
            <w:tcW w:w="1176" w:type="dxa"/>
            <w:tcBorders>
              <w:bottom w:val="double" w:sz="6" w:space="0" w:color="000000"/>
            </w:tcBorders>
            <w:tcMar>
              <w:top w:w="5" w:type="dxa"/>
              <w:left w:w="5" w:type="dxa"/>
              <w:bottom w:w="22" w:type="dxa"/>
              <w:right w:w="5" w:type="dxa"/>
            </w:tcMar>
            <w:vAlign w:val="bottom"/>
            <w:hideMark/>
          </w:tcPr>
          <w:p w14:paraId="0984FBBE" w14:textId="77777777" w:rsidR="00954279" w:rsidRDefault="00A66714">
            <w:pPr>
              <w:jc w:val="right"/>
              <w:rPr>
                <w:color w:val="000000"/>
                <w:sz w:val="20"/>
                <w:szCs w:val="20"/>
              </w:rPr>
            </w:pPr>
            <w:r>
              <w:rPr>
                <w:b/>
                <w:bCs/>
                <w:color w:val="000000"/>
                <w:sz w:val="20"/>
                <w:szCs w:val="20"/>
              </w:rPr>
              <w:t>(234</w:t>
            </w:r>
          </w:p>
        </w:tc>
        <w:tc>
          <w:tcPr>
            <w:tcW w:w="77" w:type="dxa"/>
            <w:noWrap/>
            <w:tcMar>
              <w:top w:w="5" w:type="dxa"/>
              <w:left w:w="5" w:type="dxa"/>
              <w:bottom w:w="50" w:type="dxa"/>
              <w:right w:w="5" w:type="dxa"/>
            </w:tcMar>
            <w:vAlign w:val="bottom"/>
            <w:hideMark/>
          </w:tcPr>
          <w:p w14:paraId="4DBA68E9" w14:textId="77777777" w:rsidR="00954279" w:rsidRDefault="00A66714">
            <w:pPr>
              <w:rPr>
                <w:color w:val="000000"/>
                <w:sz w:val="20"/>
                <w:szCs w:val="20"/>
              </w:rPr>
            </w:pPr>
            <w:r>
              <w:rPr>
                <w:b/>
                <w:bCs/>
                <w:color w:val="000000"/>
                <w:sz w:val="20"/>
                <w:szCs w:val="20"/>
              </w:rPr>
              <w:t>)</w:t>
            </w:r>
          </w:p>
        </w:tc>
        <w:tc>
          <w:tcPr>
            <w:tcW w:w="65" w:type="dxa"/>
            <w:tcMar>
              <w:top w:w="5" w:type="dxa"/>
              <w:left w:w="5" w:type="dxa"/>
              <w:bottom w:w="5" w:type="dxa"/>
              <w:right w:w="5" w:type="dxa"/>
            </w:tcMar>
            <w:vAlign w:val="bottom"/>
            <w:hideMark/>
          </w:tcPr>
          <w:p w14:paraId="03579807" w14:textId="77777777" w:rsidR="00954279" w:rsidRDefault="00A66714">
            <w:pPr>
              <w:rPr>
                <w:color w:val="000000"/>
                <w:sz w:val="20"/>
                <w:szCs w:val="20"/>
              </w:rPr>
            </w:pPr>
            <w:r>
              <w:rPr>
                <w:color w:val="000000"/>
                <w:sz w:val="20"/>
                <w:szCs w:val="20"/>
              </w:rPr>
              <w:t> </w:t>
            </w:r>
          </w:p>
        </w:tc>
        <w:tc>
          <w:tcPr>
            <w:tcW w:w="148" w:type="dxa"/>
            <w:tcBorders>
              <w:bottom w:val="double" w:sz="6" w:space="0" w:color="000000"/>
            </w:tcBorders>
            <w:tcMar>
              <w:top w:w="5" w:type="dxa"/>
              <w:left w:w="5" w:type="dxa"/>
              <w:bottom w:w="22" w:type="dxa"/>
              <w:right w:w="5" w:type="dxa"/>
            </w:tcMar>
            <w:vAlign w:val="bottom"/>
            <w:hideMark/>
          </w:tcPr>
          <w:p w14:paraId="526FEECD" w14:textId="77777777" w:rsidR="00954279" w:rsidRDefault="00A66714">
            <w:pPr>
              <w:rPr>
                <w:color w:val="000000"/>
                <w:sz w:val="20"/>
                <w:szCs w:val="20"/>
              </w:rPr>
            </w:pPr>
            <w:r>
              <w:rPr>
                <w:color w:val="000000"/>
                <w:sz w:val="20"/>
                <w:szCs w:val="20"/>
              </w:rPr>
              <w:t>$</w:t>
            </w:r>
          </w:p>
        </w:tc>
        <w:tc>
          <w:tcPr>
            <w:tcW w:w="1029" w:type="dxa"/>
            <w:tcBorders>
              <w:bottom w:val="double" w:sz="6" w:space="0" w:color="000000"/>
            </w:tcBorders>
            <w:tcMar>
              <w:top w:w="5" w:type="dxa"/>
              <w:left w:w="5" w:type="dxa"/>
              <w:bottom w:w="22" w:type="dxa"/>
              <w:right w:w="5" w:type="dxa"/>
            </w:tcMar>
            <w:vAlign w:val="bottom"/>
            <w:hideMark/>
          </w:tcPr>
          <w:p w14:paraId="2B291966" w14:textId="77777777" w:rsidR="00954279" w:rsidRDefault="00A66714">
            <w:pPr>
              <w:jc w:val="right"/>
              <w:rPr>
                <w:color w:val="000000"/>
                <w:sz w:val="20"/>
                <w:szCs w:val="20"/>
              </w:rPr>
            </w:pPr>
            <w:r>
              <w:rPr>
                <w:b/>
                <w:bCs/>
                <w:color w:val="000000"/>
                <w:sz w:val="20"/>
                <w:szCs w:val="20"/>
              </w:rPr>
              <w:t>344</w:t>
            </w:r>
          </w:p>
        </w:tc>
        <w:tc>
          <w:tcPr>
            <w:tcW w:w="77" w:type="dxa"/>
            <w:noWrap/>
            <w:tcMar>
              <w:top w:w="5" w:type="dxa"/>
              <w:left w:w="5" w:type="dxa"/>
              <w:bottom w:w="50" w:type="dxa"/>
              <w:right w:w="5" w:type="dxa"/>
            </w:tcMar>
            <w:vAlign w:val="bottom"/>
            <w:hideMark/>
          </w:tcPr>
          <w:p w14:paraId="62C0193F" w14:textId="77777777" w:rsidR="00954279" w:rsidRDefault="00A66714">
            <w:pPr>
              <w:rPr>
                <w:color w:val="000000"/>
                <w:sz w:val="20"/>
                <w:szCs w:val="20"/>
              </w:rPr>
            </w:pPr>
            <w:r>
              <w:rPr>
                <w:color w:val="000000"/>
                <w:sz w:val="20"/>
                <w:szCs w:val="20"/>
              </w:rPr>
              <w:t> </w:t>
            </w:r>
          </w:p>
        </w:tc>
      </w:tr>
      <w:tr w:rsidR="00954279" w14:paraId="26D18144" w14:textId="77777777" w:rsidTr="00717712">
        <w:tc>
          <w:tcPr>
            <w:tcW w:w="2678" w:type="dxa"/>
            <w:tcMar>
              <w:top w:w="5" w:type="dxa"/>
              <w:left w:w="5" w:type="dxa"/>
              <w:bottom w:w="5" w:type="dxa"/>
              <w:right w:w="5" w:type="dxa"/>
            </w:tcMar>
            <w:vAlign w:val="bottom"/>
            <w:hideMark/>
          </w:tcPr>
          <w:p w14:paraId="46605365" w14:textId="77777777" w:rsidR="00954279" w:rsidRDefault="00A66714">
            <w:pPr>
              <w:ind w:left="180"/>
              <w:rPr>
                <w:color w:val="000000"/>
                <w:sz w:val="20"/>
                <w:szCs w:val="20"/>
              </w:rPr>
            </w:pPr>
            <w:r>
              <w:rPr>
                <w:color w:val="000000"/>
                <w:sz w:val="20"/>
                <w:szCs w:val="20"/>
              </w:rPr>
              <w:t>Net income</w:t>
            </w:r>
          </w:p>
        </w:tc>
        <w:tc>
          <w:tcPr>
            <w:tcW w:w="60" w:type="dxa"/>
            <w:tcMar>
              <w:top w:w="5" w:type="dxa"/>
              <w:left w:w="5" w:type="dxa"/>
              <w:bottom w:w="5" w:type="dxa"/>
              <w:right w:w="5" w:type="dxa"/>
            </w:tcMar>
            <w:vAlign w:val="bottom"/>
            <w:hideMark/>
          </w:tcPr>
          <w:p w14:paraId="786C1823" w14:textId="77777777" w:rsidR="00954279" w:rsidRDefault="00A66714">
            <w:pPr>
              <w:rPr>
                <w:color w:val="000000"/>
                <w:sz w:val="20"/>
                <w:szCs w:val="20"/>
              </w:rPr>
            </w:pPr>
            <w:r>
              <w:rPr>
                <w:color w:val="000000"/>
                <w:sz w:val="20"/>
                <w:szCs w:val="20"/>
              </w:rPr>
              <w:t> </w:t>
            </w:r>
          </w:p>
        </w:tc>
        <w:tc>
          <w:tcPr>
            <w:tcW w:w="74" w:type="dxa"/>
            <w:tcMar>
              <w:top w:w="5" w:type="dxa"/>
              <w:left w:w="5" w:type="dxa"/>
              <w:bottom w:w="5" w:type="dxa"/>
              <w:right w:w="5" w:type="dxa"/>
            </w:tcMar>
            <w:vAlign w:val="bottom"/>
            <w:hideMark/>
          </w:tcPr>
          <w:p w14:paraId="65E6FDBC" w14:textId="77777777" w:rsidR="00954279" w:rsidRDefault="00A66714">
            <w:pPr>
              <w:rPr>
                <w:color w:val="000000"/>
                <w:sz w:val="20"/>
                <w:szCs w:val="20"/>
              </w:rPr>
            </w:pPr>
            <w:r>
              <w:rPr>
                <w:color w:val="000000"/>
                <w:sz w:val="20"/>
                <w:szCs w:val="20"/>
              </w:rPr>
              <w:t> </w:t>
            </w:r>
          </w:p>
        </w:tc>
        <w:tc>
          <w:tcPr>
            <w:tcW w:w="713" w:type="dxa"/>
            <w:tcMar>
              <w:top w:w="5" w:type="dxa"/>
              <w:left w:w="5" w:type="dxa"/>
              <w:bottom w:w="5" w:type="dxa"/>
              <w:right w:w="5" w:type="dxa"/>
            </w:tcMar>
            <w:vAlign w:val="bottom"/>
            <w:hideMark/>
          </w:tcPr>
          <w:p w14:paraId="69A0FB6C" w14:textId="77777777" w:rsidR="00954279" w:rsidRDefault="00A66714">
            <w:pPr>
              <w:jc w:val="right"/>
              <w:rPr>
                <w:color w:val="000000"/>
                <w:sz w:val="20"/>
                <w:szCs w:val="20"/>
              </w:rPr>
            </w:pPr>
            <w:r>
              <w:rPr>
                <w:b/>
                <w:bCs/>
                <w:color w:val="000000"/>
                <w:sz w:val="20"/>
                <w:szCs w:val="20"/>
              </w:rPr>
              <w:t>-</w:t>
            </w:r>
          </w:p>
        </w:tc>
        <w:tc>
          <w:tcPr>
            <w:tcW w:w="69" w:type="dxa"/>
            <w:noWrap/>
            <w:tcMar>
              <w:top w:w="5" w:type="dxa"/>
              <w:left w:w="5" w:type="dxa"/>
              <w:bottom w:w="5" w:type="dxa"/>
              <w:right w:w="5" w:type="dxa"/>
            </w:tcMar>
            <w:vAlign w:val="bottom"/>
            <w:hideMark/>
          </w:tcPr>
          <w:p w14:paraId="5FDA4E2D" w14:textId="77777777" w:rsidR="00954279" w:rsidRDefault="00A66714">
            <w:pPr>
              <w:rPr>
                <w:color w:val="000000"/>
                <w:sz w:val="20"/>
                <w:szCs w:val="20"/>
              </w:rPr>
            </w:pPr>
            <w:r>
              <w:rPr>
                <w:color w:val="000000"/>
                <w:sz w:val="20"/>
                <w:szCs w:val="20"/>
              </w:rPr>
              <w:t> </w:t>
            </w:r>
          </w:p>
        </w:tc>
        <w:tc>
          <w:tcPr>
            <w:tcW w:w="69" w:type="dxa"/>
            <w:tcMar>
              <w:top w:w="5" w:type="dxa"/>
              <w:left w:w="5" w:type="dxa"/>
              <w:bottom w:w="5" w:type="dxa"/>
              <w:right w:w="5" w:type="dxa"/>
            </w:tcMar>
            <w:vAlign w:val="bottom"/>
            <w:hideMark/>
          </w:tcPr>
          <w:p w14:paraId="54F5FC6C" w14:textId="77777777" w:rsidR="00954279" w:rsidRDefault="00A66714">
            <w:pPr>
              <w:rPr>
                <w:color w:val="000000"/>
                <w:sz w:val="20"/>
                <w:szCs w:val="20"/>
              </w:rPr>
            </w:pPr>
            <w:r>
              <w:rPr>
                <w:color w:val="000000"/>
                <w:sz w:val="20"/>
                <w:szCs w:val="20"/>
              </w:rPr>
              <w:t> </w:t>
            </w:r>
          </w:p>
        </w:tc>
        <w:tc>
          <w:tcPr>
            <w:tcW w:w="111" w:type="dxa"/>
            <w:tcMar>
              <w:top w:w="5" w:type="dxa"/>
              <w:left w:w="5" w:type="dxa"/>
              <w:bottom w:w="5" w:type="dxa"/>
              <w:right w:w="5" w:type="dxa"/>
            </w:tcMar>
            <w:vAlign w:val="bottom"/>
            <w:hideMark/>
          </w:tcPr>
          <w:p w14:paraId="7BE1A089" w14:textId="77777777" w:rsidR="00954279" w:rsidRDefault="00A66714">
            <w:pPr>
              <w:rPr>
                <w:color w:val="000000"/>
                <w:sz w:val="20"/>
                <w:szCs w:val="20"/>
              </w:rPr>
            </w:pPr>
            <w:r>
              <w:rPr>
                <w:color w:val="000000"/>
                <w:sz w:val="20"/>
                <w:szCs w:val="20"/>
              </w:rPr>
              <w:t> </w:t>
            </w:r>
          </w:p>
        </w:tc>
        <w:tc>
          <w:tcPr>
            <w:tcW w:w="717" w:type="dxa"/>
            <w:tcMar>
              <w:top w:w="5" w:type="dxa"/>
              <w:left w:w="5" w:type="dxa"/>
              <w:bottom w:w="5" w:type="dxa"/>
              <w:right w:w="5" w:type="dxa"/>
            </w:tcMar>
            <w:vAlign w:val="bottom"/>
            <w:hideMark/>
          </w:tcPr>
          <w:p w14:paraId="19D897CA" w14:textId="77777777" w:rsidR="00954279" w:rsidRDefault="00A66714">
            <w:pPr>
              <w:jc w:val="right"/>
              <w:rPr>
                <w:color w:val="000000"/>
                <w:sz w:val="20"/>
                <w:szCs w:val="20"/>
              </w:rPr>
            </w:pPr>
            <w:r>
              <w:rPr>
                <w:b/>
                <w:bCs/>
                <w:color w:val="000000"/>
                <w:sz w:val="20"/>
                <w:szCs w:val="20"/>
              </w:rPr>
              <w:t>-</w:t>
            </w:r>
          </w:p>
        </w:tc>
        <w:tc>
          <w:tcPr>
            <w:tcW w:w="69" w:type="dxa"/>
            <w:noWrap/>
            <w:tcMar>
              <w:top w:w="5" w:type="dxa"/>
              <w:left w:w="5" w:type="dxa"/>
              <w:bottom w:w="5" w:type="dxa"/>
              <w:right w:w="5" w:type="dxa"/>
            </w:tcMar>
            <w:vAlign w:val="bottom"/>
            <w:hideMark/>
          </w:tcPr>
          <w:p w14:paraId="2543E924" w14:textId="77777777" w:rsidR="00954279" w:rsidRDefault="00A66714">
            <w:pPr>
              <w:rPr>
                <w:color w:val="000000"/>
                <w:sz w:val="20"/>
                <w:szCs w:val="20"/>
              </w:rPr>
            </w:pPr>
            <w:r>
              <w:rPr>
                <w:color w:val="000000"/>
                <w:sz w:val="20"/>
                <w:szCs w:val="20"/>
              </w:rPr>
              <w:t> </w:t>
            </w:r>
          </w:p>
        </w:tc>
        <w:tc>
          <w:tcPr>
            <w:tcW w:w="70" w:type="dxa"/>
            <w:tcMar>
              <w:top w:w="5" w:type="dxa"/>
              <w:left w:w="5" w:type="dxa"/>
              <w:bottom w:w="5" w:type="dxa"/>
              <w:right w:w="5" w:type="dxa"/>
            </w:tcMar>
            <w:vAlign w:val="bottom"/>
            <w:hideMark/>
          </w:tcPr>
          <w:p w14:paraId="3953CBDE" w14:textId="77777777" w:rsidR="00954279" w:rsidRDefault="00A66714">
            <w:pPr>
              <w:rPr>
                <w:color w:val="000000"/>
                <w:sz w:val="20"/>
                <w:szCs w:val="20"/>
              </w:rPr>
            </w:pPr>
            <w:r>
              <w:rPr>
                <w:color w:val="000000"/>
                <w:sz w:val="20"/>
                <w:szCs w:val="20"/>
              </w:rPr>
              <w:t> </w:t>
            </w:r>
          </w:p>
        </w:tc>
        <w:tc>
          <w:tcPr>
            <w:tcW w:w="116" w:type="dxa"/>
            <w:tcMar>
              <w:top w:w="5" w:type="dxa"/>
              <w:left w:w="5" w:type="dxa"/>
              <w:bottom w:w="5" w:type="dxa"/>
              <w:right w:w="5" w:type="dxa"/>
            </w:tcMar>
            <w:vAlign w:val="bottom"/>
            <w:hideMark/>
          </w:tcPr>
          <w:p w14:paraId="5EC0C98E" w14:textId="77777777" w:rsidR="00954279" w:rsidRDefault="00A66714">
            <w:pPr>
              <w:rPr>
                <w:color w:val="000000"/>
                <w:sz w:val="20"/>
                <w:szCs w:val="20"/>
              </w:rPr>
            </w:pPr>
            <w:r>
              <w:rPr>
                <w:color w:val="000000"/>
                <w:sz w:val="20"/>
                <w:szCs w:val="20"/>
              </w:rPr>
              <w:t> </w:t>
            </w:r>
          </w:p>
        </w:tc>
        <w:tc>
          <w:tcPr>
            <w:tcW w:w="806" w:type="dxa"/>
            <w:tcMar>
              <w:top w:w="5" w:type="dxa"/>
              <w:left w:w="5" w:type="dxa"/>
              <w:bottom w:w="5" w:type="dxa"/>
              <w:right w:w="5" w:type="dxa"/>
            </w:tcMar>
            <w:vAlign w:val="bottom"/>
            <w:hideMark/>
          </w:tcPr>
          <w:p w14:paraId="2501387C" w14:textId="77777777" w:rsidR="00954279" w:rsidRDefault="00A66714">
            <w:pPr>
              <w:jc w:val="right"/>
              <w:rPr>
                <w:color w:val="000000"/>
                <w:sz w:val="20"/>
                <w:szCs w:val="20"/>
              </w:rPr>
            </w:pPr>
            <w:r>
              <w:rPr>
                <w:b/>
                <w:bCs/>
                <w:color w:val="000000"/>
                <w:sz w:val="20"/>
                <w:szCs w:val="20"/>
              </w:rPr>
              <w:t>-</w:t>
            </w:r>
          </w:p>
        </w:tc>
        <w:tc>
          <w:tcPr>
            <w:tcW w:w="77" w:type="dxa"/>
            <w:noWrap/>
            <w:tcMar>
              <w:top w:w="5" w:type="dxa"/>
              <w:left w:w="5" w:type="dxa"/>
              <w:bottom w:w="5" w:type="dxa"/>
              <w:right w:w="5" w:type="dxa"/>
            </w:tcMar>
            <w:vAlign w:val="bottom"/>
            <w:hideMark/>
          </w:tcPr>
          <w:p w14:paraId="3AE0B61A" w14:textId="77777777" w:rsidR="00954279" w:rsidRDefault="00A66714">
            <w:pPr>
              <w:rPr>
                <w:color w:val="000000"/>
                <w:sz w:val="20"/>
                <w:szCs w:val="20"/>
              </w:rPr>
            </w:pPr>
            <w:r>
              <w:rPr>
                <w:color w:val="000000"/>
                <w:sz w:val="20"/>
                <w:szCs w:val="20"/>
              </w:rPr>
              <w:t> </w:t>
            </w:r>
          </w:p>
        </w:tc>
        <w:tc>
          <w:tcPr>
            <w:tcW w:w="64" w:type="dxa"/>
            <w:tcMar>
              <w:top w:w="5" w:type="dxa"/>
              <w:left w:w="5" w:type="dxa"/>
              <w:bottom w:w="5" w:type="dxa"/>
              <w:right w:w="5" w:type="dxa"/>
            </w:tcMar>
            <w:vAlign w:val="bottom"/>
            <w:hideMark/>
          </w:tcPr>
          <w:p w14:paraId="59B6E11B" w14:textId="77777777" w:rsidR="00954279" w:rsidRDefault="00A66714">
            <w:pPr>
              <w:rPr>
                <w:color w:val="000000"/>
                <w:sz w:val="20"/>
                <w:szCs w:val="20"/>
              </w:rPr>
            </w:pPr>
            <w:r>
              <w:rPr>
                <w:color w:val="000000"/>
                <w:sz w:val="20"/>
                <w:szCs w:val="20"/>
              </w:rPr>
              <w:t> </w:t>
            </w:r>
          </w:p>
        </w:tc>
        <w:tc>
          <w:tcPr>
            <w:tcW w:w="111" w:type="dxa"/>
            <w:tcMar>
              <w:top w:w="5" w:type="dxa"/>
              <w:left w:w="5" w:type="dxa"/>
              <w:bottom w:w="5" w:type="dxa"/>
              <w:right w:w="5" w:type="dxa"/>
            </w:tcMar>
            <w:vAlign w:val="bottom"/>
            <w:hideMark/>
          </w:tcPr>
          <w:p w14:paraId="57E6A498" w14:textId="77777777" w:rsidR="00954279" w:rsidRDefault="00A66714">
            <w:pPr>
              <w:rPr>
                <w:color w:val="000000"/>
                <w:sz w:val="20"/>
                <w:szCs w:val="20"/>
              </w:rPr>
            </w:pPr>
            <w:r>
              <w:rPr>
                <w:color w:val="000000"/>
                <w:sz w:val="20"/>
                <w:szCs w:val="20"/>
              </w:rPr>
              <w:t> </w:t>
            </w:r>
          </w:p>
        </w:tc>
        <w:tc>
          <w:tcPr>
            <w:tcW w:w="719" w:type="dxa"/>
            <w:tcMar>
              <w:top w:w="5" w:type="dxa"/>
              <w:left w:w="5" w:type="dxa"/>
              <w:bottom w:w="5" w:type="dxa"/>
              <w:right w:w="5" w:type="dxa"/>
            </w:tcMar>
            <w:vAlign w:val="bottom"/>
            <w:hideMark/>
          </w:tcPr>
          <w:p w14:paraId="4645489D" w14:textId="77777777" w:rsidR="00954279" w:rsidRDefault="00A66714">
            <w:pPr>
              <w:jc w:val="right"/>
              <w:rPr>
                <w:color w:val="000000"/>
                <w:sz w:val="20"/>
                <w:szCs w:val="20"/>
              </w:rPr>
            </w:pPr>
            <w:r>
              <w:rPr>
                <w:b/>
                <w:bCs/>
                <w:color w:val="000000"/>
                <w:sz w:val="20"/>
                <w:szCs w:val="20"/>
              </w:rPr>
              <w:t>4</w:t>
            </w:r>
          </w:p>
        </w:tc>
        <w:tc>
          <w:tcPr>
            <w:tcW w:w="77" w:type="dxa"/>
            <w:noWrap/>
            <w:tcMar>
              <w:top w:w="5" w:type="dxa"/>
              <w:left w:w="5" w:type="dxa"/>
              <w:bottom w:w="5" w:type="dxa"/>
              <w:right w:w="5" w:type="dxa"/>
            </w:tcMar>
            <w:vAlign w:val="bottom"/>
            <w:hideMark/>
          </w:tcPr>
          <w:p w14:paraId="6AFF905D" w14:textId="77777777" w:rsidR="00954279" w:rsidRDefault="00A66714">
            <w:pPr>
              <w:rPr>
                <w:color w:val="000000"/>
                <w:sz w:val="20"/>
                <w:szCs w:val="20"/>
              </w:rPr>
            </w:pPr>
            <w:r>
              <w:rPr>
                <w:color w:val="000000"/>
                <w:sz w:val="20"/>
                <w:szCs w:val="20"/>
              </w:rPr>
              <w:t> </w:t>
            </w:r>
          </w:p>
        </w:tc>
        <w:tc>
          <w:tcPr>
            <w:tcW w:w="65" w:type="dxa"/>
            <w:tcMar>
              <w:top w:w="5" w:type="dxa"/>
              <w:left w:w="5" w:type="dxa"/>
              <w:bottom w:w="5" w:type="dxa"/>
              <w:right w:w="5" w:type="dxa"/>
            </w:tcMar>
            <w:vAlign w:val="bottom"/>
            <w:hideMark/>
          </w:tcPr>
          <w:p w14:paraId="69523E1D" w14:textId="77777777" w:rsidR="00954279" w:rsidRDefault="00A66714">
            <w:pPr>
              <w:rPr>
                <w:color w:val="000000"/>
                <w:sz w:val="20"/>
                <w:szCs w:val="20"/>
              </w:rPr>
            </w:pPr>
            <w:r>
              <w:rPr>
                <w:color w:val="000000"/>
                <w:sz w:val="20"/>
                <w:szCs w:val="20"/>
              </w:rPr>
              <w:t> </w:t>
            </w:r>
          </w:p>
        </w:tc>
        <w:tc>
          <w:tcPr>
            <w:tcW w:w="74" w:type="dxa"/>
            <w:tcMar>
              <w:top w:w="5" w:type="dxa"/>
              <w:left w:w="5" w:type="dxa"/>
              <w:bottom w:w="5" w:type="dxa"/>
              <w:right w:w="5" w:type="dxa"/>
            </w:tcMar>
            <w:vAlign w:val="bottom"/>
            <w:hideMark/>
          </w:tcPr>
          <w:p w14:paraId="1325C1F8" w14:textId="77777777" w:rsidR="00954279" w:rsidRDefault="00A66714">
            <w:pPr>
              <w:rPr>
                <w:color w:val="000000"/>
                <w:sz w:val="20"/>
                <w:szCs w:val="20"/>
              </w:rPr>
            </w:pPr>
            <w:r>
              <w:rPr>
                <w:color w:val="000000"/>
                <w:sz w:val="20"/>
                <w:szCs w:val="20"/>
              </w:rPr>
              <w:t> </w:t>
            </w:r>
          </w:p>
        </w:tc>
        <w:tc>
          <w:tcPr>
            <w:tcW w:w="716" w:type="dxa"/>
            <w:tcMar>
              <w:top w:w="5" w:type="dxa"/>
              <w:left w:w="5" w:type="dxa"/>
              <w:bottom w:w="5" w:type="dxa"/>
              <w:right w:w="5" w:type="dxa"/>
            </w:tcMar>
            <w:vAlign w:val="bottom"/>
            <w:hideMark/>
          </w:tcPr>
          <w:p w14:paraId="2A8EFBFF" w14:textId="77777777" w:rsidR="00954279" w:rsidRDefault="00A66714">
            <w:pPr>
              <w:jc w:val="right"/>
              <w:rPr>
                <w:color w:val="000000"/>
                <w:sz w:val="20"/>
                <w:szCs w:val="20"/>
              </w:rPr>
            </w:pPr>
            <w:r>
              <w:rPr>
                <w:b/>
                <w:bCs/>
                <w:color w:val="000000"/>
                <w:sz w:val="20"/>
                <w:szCs w:val="20"/>
              </w:rPr>
              <w:t>-</w:t>
            </w:r>
          </w:p>
        </w:tc>
        <w:tc>
          <w:tcPr>
            <w:tcW w:w="77" w:type="dxa"/>
            <w:noWrap/>
            <w:tcMar>
              <w:top w:w="5" w:type="dxa"/>
              <w:left w:w="5" w:type="dxa"/>
              <w:bottom w:w="5" w:type="dxa"/>
              <w:right w:w="5" w:type="dxa"/>
            </w:tcMar>
            <w:vAlign w:val="bottom"/>
            <w:hideMark/>
          </w:tcPr>
          <w:p w14:paraId="4A662241" w14:textId="77777777" w:rsidR="00954279" w:rsidRDefault="00A66714">
            <w:pPr>
              <w:rPr>
                <w:color w:val="000000"/>
                <w:sz w:val="20"/>
                <w:szCs w:val="20"/>
              </w:rPr>
            </w:pPr>
            <w:r>
              <w:rPr>
                <w:color w:val="000000"/>
                <w:sz w:val="20"/>
                <w:szCs w:val="20"/>
              </w:rPr>
              <w:t> </w:t>
            </w:r>
          </w:p>
        </w:tc>
        <w:tc>
          <w:tcPr>
            <w:tcW w:w="65" w:type="dxa"/>
            <w:tcMar>
              <w:top w:w="5" w:type="dxa"/>
              <w:left w:w="5" w:type="dxa"/>
              <w:bottom w:w="5" w:type="dxa"/>
              <w:right w:w="5" w:type="dxa"/>
            </w:tcMar>
            <w:vAlign w:val="bottom"/>
            <w:hideMark/>
          </w:tcPr>
          <w:p w14:paraId="4B3CEF6E" w14:textId="77777777" w:rsidR="00954279" w:rsidRDefault="00A66714">
            <w:pPr>
              <w:rPr>
                <w:color w:val="000000"/>
                <w:sz w:val="20"/>
                <w:szCs w:val="20"/>
              </w:rPr>
            </w:pPr>
            <w:r>
              <w:rPr>
                <w:color w:val="000000"/>
                <w:sz w:val="20"/>
                <w:szCs w:val="20"/>
              </w:rPr>
              <w:t> </w:t>
            </w:r>
          </w:p>
        </w:tc>
        <w:tc>
          <w:tcPr>
            <w:tcW w:w="111" w:type="dxa"/>
            <w:tcMar>
              <w:top w:w="5" w:type="dxa"/>
              <w:left w:w="5" w:type="dxa"/>
              <w:bottom w:w="5" w:type="dxa"/>
              <w:right w:w="5" w:type="dxa"/>
            </w:tcMar>
            <w:vAlign w:val="bottom"/>
            <w:hideMark/>
          </w:tcPr>
          <w:p w14:paraId="7BBA244D" w14:textId="77777777" w:rsidR="00954279" w:rsidRDefault="00A66714">
            <w:pPr>
              <w:rPr>
                <w:color w:val="000000"/>
                <w:sz w:val="20"/>
                <w:szCs w:val="20"/>
              </w:rPr>
            </w:pPr>
            <w:r>
              <w:rPr>
                <w:color w:val="000000"/>
                <w:sz w:val="20"/>
                <w:szCs w:val="20"/>
              </w:rPr>
              <w:t> </w:t>
            </w:r>
          </w:p>
        </w:tc>
        <w:tc>
          <w:tcPr>
            <w:tcW w:w="719" w:type="dxa"/>
            <w:tcMar>
              <w:top w:w="5" w:type="dxa"/>
              <w:left w:w="5" w:type="dxa"/>
              <w:bottom w:w="5" w:type="dxa"/>
              <w:right w:w="5" w:type="dxa"/>
            </w:tcMar>
            <w:vAlign w:val="bottom"/>
            <w:hideMark/>
          </w:tcPr>
          <w:p w14:paraId="2F0F99E8" w14:textId="77777777" w:rsidR="00954279" w:rsidRDefault="00A66714">
            <w:pPr>
              <w:jc w:val="right"/>
              <w:rPr>
                <w:color w:val="000000"/>
                <w:sz w:val="20"/>
                <w:szCs w:val="20"/>
              </w:rPr>
            </w:pPr>
            <w:r>
              <w:rPr>
                <w:b/>
                <w:bCs/>
                <w:color w:val="000000"/>
                <w:sz w:val="20"/>
                <w:szCs w:val="20"/>
              </w:rPr>
              <w:t>-</w:t>
            </w:r>
          </w:p>
        </w:tc>
        <w:tc>
          <w:tcPr>
            <w:tcW w:w="77" w:type="dxa"/>
            <w:noWrap/>
            <w:tcMar>
              <w:top w:w="5" w:type="dxa"/>
              <w:left w:w="5" w:type="dxa"/>
              <w:bottom w:w="5" w:type="dxa"/>
              <w:right w:w="5" w:type="dxa"/>
            </w:tcMar>
            <w:vAlign w:val="bottom"/>
            <w:hideMark/>
          </w:tcPr>
          <w:p w14:paraId="04901D8B" w14:textId="77777777" w:rsidR="00954279" w:rsidRDefault="00A66714">
            <w:pPr>
              <w:rPr>
                <w:color w:val="000000"/>
                <w:sz w:val="20"/>
                <w:szCs w:val="20"/>
              </w:rPr>
            </w:pPr>
            <w:r>
              <w:rPr>
                <w:color w:val="000000"/>
                <w:sz w:val="20"/>
                <w:szCs w:val="20"/>
              </w:rPr>
              <w:t> </w:t>
            </w:r>
          </w:p>
        </w:tc>
        <w:tc>
          <w:tcPr>
            <w:tcW w:w="65" w:type="dxa"/>
            <w:tcMar>
              <w:top w:w="5" w:type="dxa"/>
              <w:left w:w="5" w:type="dxa"/>
              <w:bottom w:w="5" w:type="dxa"/>
              <w:right w:w="5" w:type="dxa"/>
            </w:tcMar>
            <w:vAlign w:val="bottom"/>
            <w:hideMark/>
          </w:tcPr>
          <w:p w14:paraId="27CA232E" w14:textId="77777777" w:rsidR="00954279" w:rsidRDefault="00A66714">
            <w:pPr>
              <w:rPr>
                <w:color w:val="000000"/>
                <w:sz w:val="20"/>
                <w:szCs w:val="20"/>
              </w:rPr>
            </w:pPr>
            <w:r>
              <w:rPr>
                <w:color w:val="000000"/>
                <w:sz w:val="20"/>
                <w:szCs w:val="20"/>
              </w:rPr>
              <w:t> </w:t>
            </w:r>
          </w:p>
        </w:tc>
        <w:tc>
          <w:tcPr>
            <w:tcW w:w="168" w:type="dxa"/>
            <w:tcMar>
              <w:top w:w="5" w:type="dxa"/>
              <w:left w:w="5" w:type="dxa"/>
              <w:bottom w:w="5" w:type="dxa"/>
              <w:right w:w="5" w:type="dxa"/>
            </w:tcMar>
            <w:vAlign w:val="bottom"/>
            <w:hideMark/>
          </w:tcPr>
          <w:p w14:paraId="10B472B5" w14:textId="77777777" w:rsidR="00954279" w:rsidRDefault="00A66714">
            <w:pPr>
              <w:rPr>
                <w:color w:val="000000"/>
                <w:sz w:val="20"/>
                <w:szCs w:val="20"/>
              </w:rPr>
            </w:pPr>
            <w:r>
              <w:rPr>
                <w:color w:val="000000"/>
                <w:sz w:val="20"/>
                <w:szCs w:val="20"/>
              </w:rPr>
              <w:t> </w:t>
            </w:r>
          </w:p>
        </w:tc>
        <w:tc>
          <w:tcPr>
            <w:tcW w:w="1176" w:type="dxa"/>
            <w:tcMar>
              <w:top w:w="5" w:type="dxa"/>
              <w:left w:w="5" w:type="dxa"/>
              <w:bottom w:w="5" w:type="dxa"/>
              <w:right w:w="5" w:type="dxa"/>
            </w:tcMar>
            <w:vAlign w:val="bottom"/>
            <w:hideMark/>
          </w:tcPr>
          <w:p w14:paraId="75A138CE" w14:textId="77777777" w:rsidR="00954279" w:rsidRDefault="00A66714">
            <w:pPr>
              <w:jc w:val="right"/>
              <w:rPr>
                <w:color w:val="000000"/>
                <w:sz w:val="20"/>
                <w:szCs w:val="20"/>
              </w:rPr>
            </w:pPr>
            <w:r>
              <w:rPr>
                <w:b/>
                <w:bCs/>
                <w:color w:val="000000"/>
                <w:sz w:val="20"/>
                <w:szCs w:val="20"/>
              </w:rPr>
              <w:t>-</w:t>
            </w:r>
          </w:p>
        </w:tc>
        <w:tc>
          <w:tcPr>
            <w:tcW w:w="77" w:type="dxa"/>
            <w:noWrap/>
            <w:tcMar>
              <w:top w:w="5" w:type="dxa"/>
              <w:left w:w="5" w:type="dxa"/>
              <w:bottom w:w="5" w:type="dxa"/>
              <w:right w:w="5" w:type="dxa"/>
            </w:tcMar>
            <w:vAlign w:val="bottom"/>
            <w:hideMark/>
          </w:tcPr>
          <w:p w14:paraId="450D39BC" w14:textId="77777777" w:rsidR="00954279" w:rsidRDefault="00A66714">
            <w:pPr>
              <w:rPr>
                <w:color w:val="000000"/>
                <w:sz w:val="20"/>
                <w:szCs w:val="20"/>
              </w:rPr>
            </w:pPr>
            <w:r>
              <w:rPr>
                <w:color w:val="000000"/>
                <w:sz w:val="20"/>
                <w:szCs w:val="20"/>
              </w:rPr>
              <w:t> </w:t>
            </w:r>
          </w:p>
        </w:tc>
        <w:tc>
          <w:tcPr>
            <w:tcW w:w="65" w:type="dxa"/>
            <w:tcMar>
              <w:top w:w="5" w:type="dxa"/>
              <w:left w:w="5" w:type="dxa"/>
              <w:bottom w:w="5" w:type="dxa"/>
              <w:right w:w="5" w:type="dxa"/>
            </w:tcMar>
            <w:vAlign w:val="bottom"/>
            <w:hideMark/>
          </w:tcPr>
          <w:p w14:paraId="276CC7BA" w14:textId="77777777" w:rsidR="00954279" w:rsidRDefault="00A66714">
            <w:pPr>
              <w:rPr>
                <w:color w:val="000000"/>
                <w:sz w:val="20"/>
                <w:szCs w:val="20"/>
              </w:rPr>
            </w:pPr>
            <w:r>
              <w:rPr>
                <w:color w:val="000000"/>
                <w:sz w:val="20"/>
                <w:szCs w:val="20"/>
              </w:rPr>
              <w:t> </w:t>
            </w:r>
          </w:p>
        </w:tc>
        <w:tc>
          <w:tcPr>
            <w:tcW w:w="148" w:type="dxa"/>
            <w:tcMar>
              <w:top w:w="5" w:type="dxa"/>
              <w:left w:w="5" w:type="dxa"/>
              <w:bottom w:w="5" w:type="dxa"/>
              <w:right w:w="5" w:type="dxa"/>
            </w:tcMar>
            <w:vAlign w:val="bottom"/>
            <w:hideMark/>
          </w:tcPr>
          <w:p w14:paraId="1336E9AA" w14:textId="77777777" w:rsidR="00954279" w:rsidRDefault="00A66714">
            <w:pPr>
              <w:rPr>
                <w:color w:val="000000"/>
                <w:sz w:val="20"/>
                <w:szCs w:val="20"/>
              </w:rPr>
            </w:pPr>
            <w:r>
              <w:rPr>
                <w:color w:val="000000"/>
                <w:sz w:val="20"/>
                <w:szCs w:val="20"/>
              </w:rPr>
              <w:t> </w:t>
            </w:r>
          </w:p>
        </w:tc>
        <w:tc>
          <w:tcPr>
            <w:tcW w:w="1029" w:type="dxa"/>
            <w:tcMar>
              <w:top w:w="5" w:type="dxa"/>
              <w:left w:w="5" w:type="dxa"/>
              <w:bottom w:w="5" w:type="dxa"/>
              <w:right w:w="5" w:type="dxa"/>
            </w:tcMar>
            <w:vAlign w:val="bottom"/>
            <w:hideMark/>
          </w:tcPr>
          <w:p w14:paraId="3CAECFFC" w14:textId="77777777" w:rsidR="00954279" w:rsidRDefault="00A66714">
            <w:pPr>
              <w:jc w:val="right"/>
              <w:rPr>
                <w:color w:val="000000"/>
                <w:sz w:val="20"/>
                <w:szCs w:val="20"/>
              </w:rPr>
            </w:pPr>
            <w:r>
              <w:rPr>
                <w:b/>
                <w:bCs/>
                <w:color w:val="000000"/>
                <w:sz w:val="20"/>
                <w:szCs w:val="20"/>
              </w:rPr>
              <w:t>4</w:t>
            </w:r>
          </w:p>
        </w:tc>
        <w:tc>
          <w:tcPr>
            <w:tcW w:w="77" w:type="dxa"/>
            <w:noWrap/>
            <w:tcMar>
              <w:top w:w="5" w:type="dxa"/>
              <w:left w:w="5" w:type="dxa"/>
              <w:bottom w:w="5" w:type="dxa"/>
              <w:right w:w="5" w:type="dxa"/>
            </w:tcMar>
            <w:vAlign w:val="bottom"/>
            <w:hideMark/>
          </w:tcPr>
          <w:p w14:paraId="196DDD5A" w14:textId="77777777" w:rsidR="00954279" w:rsidRDefault="00A66714">
            <w:pPr>
              <w:rPr>
                <w:color w:val="000000"/>
                <w:sz w:val="20"/>
                <w:szCs w:val="20"/>
              </w:rPr>
            </w:pPr>
            <w:r>
              <w:rPr>
                <w:color w:val="000000"/>
                <w:sz w:val="20"/>
                <w:szCs w:val="20"/>
              </w:rPr>
              <w:t> </w:t>
            </w:r>
          </w:p>
        </w:tc>
      </w:tr>
      <w:tr w:rsidR="00954279" w14:paraId="0DA8CC47" w14:textId="77777777" w:rsidTr="00717712">
        <w:tc>
          <w:tcPr>
            <w:tcW w:w="2678" w:type="dxa"/>
            <w:tcMar>
              <w:top w:w="5" w:type="dxa"/>
              <w:left w:w="5" w:type="dxa"/>
              <w:bottom w:w="5" w:type="dxa"/>
              <w:right w:w="5" w:type="dxa"/>
            </w:tcMar>
            <w:vAlign w:val="bottom"/>
            <w:hideMark/>
          </w:tcPr>
          <w:p w14:paraId="4E58D0B0" w14:textId="77777777" w:rsidR="00954279" w:rsidRDefault="00A66714">
            <w:pPr>
              <w:ind w:left="180"/>
              <w:rPr>
                <w:color w:val="000000"/>
                <w:sz w:val="20"/>
                <w:szCs w:val="20"/>
              </w:rPr>
            </w:pPr>
            <w:r>
              <w:rPr>
                <w:color w:val="000000"/>
                <w:sz w:val="20"/>
                <w:szCs w:val="20"/>
              </w:rPr>
              <w:t>Foreign currency translation</w:t>
            </w:r>
          </w:p>
        </w:tc>
        <w:tc>
          <w:tcPr>
            <w:tcW w:w="60" w:type="dxa"/>
            <w:tcMar>
              <w:top w:w="5" w:type="dxa"/>
              <w:left w:w="5" w:type="dxa"/>
              <w:bottom w:w="5" w:type="dxa"/>
              <w:right w:w="5" w:type="dxa"/>
            </w:tcMar>
            <w:vAlign w:val="bottom"/>
            <w:hideMark/>
          </w:tcPr>
          <w:p w14:paraId="404AD89D" w14:textId="77777777" w:rsidR="00954279" w:rsidRDefault="00A66714">
            <w:pPr>
              <w:rPr>
                <w:color w:val="000000"/>
                <w:sz w:val="20"/>
                <w:szCs w:val="20"/>
              </w:rPr>
            </w:pPr>
            <w:r>
              <w:rPr>
                <w:color w:val="000000"/>
                <w:sz w:val="20"/>
                <w:szCs w:val="20"/>
              </w:rPr>
              <w:t> </w:t>
            </w:r>
          </w:p>
        </w:tc>
        <w:tc>
          <w:tcPr>
            <w:tcW w:w="74" w:type="dxa"/>
            <w:tcMar>
              <w:top w:w="5" w:type="dxa"/>
              <w:left w:w="5" w:type="dxa"/>
              <w:bottom w:w="5" w:type="dxa"/>
              <w:right w:w="5" w:type="dxa"/>
            </w:tcMar>
            <w:vAlign w:val="bottom"/>
            <w:hideMark/>
          </w:tcPr>
          <w:p w14:paraId="1264CF5D" w14:textId="77777777" w:rsidR="00954279" w:rsidRDefault="00A66714">
            <w:pPr>
              <w:rPr>
                <w:color w:val="000000"/>
                <w:sz w:val="20"/>
                <w:szCs w:val="20"/>
              </w:rPr>
            </w:pPr>
            <w:r>
              <w:rPr>
                <w:color w:val="000000"/>
                <w:sz w:val="20"/>
                <w:szCs w:val="20"/>
              </w:rPr>
              <w:t> </w:t>
            </w:r>
          </w:p>
        </w:tc>
        <w:tc>
          <w:tcPr>
            <w:tcW w:w="713" w:type="dxa"/>
            <w:tcMar>
              <w:top w:w="5" w:type="dxa"/>
              <w:left w:w="5" w:type="dxa"/>
              <w:bottom w:w="5" w:type="dxa"/>
              <w:right w:w="5" w:type="dxa"/>
            </w:tcMar>
            <w:vAlign w:val="bottom"/>
            <w:hideMark/>
          </w:tcPr>
          <w:p w14:paraId="4073CB79" w14:textId="77777777" w:rsidR="00954279" w:rsidRDefault="00A66714">
            <w:pPr>
              <w:jc w:val="right"/>
              <w:rPr>
                <w:color w:val="000000"/>
                <w:sz w:val="20"/>
                <w:szCs w:val="20"/>
              </w:rPr>
            </w:pPr>
            <w:r>
              <w:rPr>
                <w:b/>
                <w:bCs/>
                <w:color w:val="000000"/>
                <w:sz w:val="20"/>
                <w:szCs w:val="20"/>
              </w:rPr>
              <w:t>-</w:t>
            </w:r>
          </w:p>
        </w:tc>
        <w:tc>
          <w:tcPr>
            <w:tcW w:w="69" w:type="dxa"/>
            <w:noWrap/>
            <w:tcMar>
              <w:top w:w="5" w:type="dxa"/>
              <w:left w:w="5" w:type="dxa"/>
              <w:bottom w:w="5" w:type="dxa"/>
              <w:right w:w="5" w:type="dxa"/>
            </w:tcMar>
            <w:vAlign w:val="bottom"/>
            <w:hideMark/>
          </w:tcPr>
          <w:p w14:paraId="3551ACA3" w14:textId="77777777" w:rsidR="00954279" w:rsidRDefault="00A66714">
            <w:pPr>
              <w:rPr>
                <w:color w:val="000000"/>
                <w:sz w:val="20"/>
                <w:szCs w:val="20"/>
              </w:rPr>
            </w:pPr>
            <w:r>
              <w:rPr>
                <w:color w:val="000000"/>
                <w:sz w:val="20"/>
                <w:szCs w:val="20"/>
              </w:rPr>
              <w:t> </w:t>
            </w:r>
          </w:p>
        </w:tc>
        <w:tc>
          <w:tcPr>
            <w:tcW w:w="69" w:type="dxa"/>
            <w:tcMar>
              <w:top w:w="5" w:type="dxa"/>
              <w:left w:w="5" w:type="dxa"/>
              <w:bottom w:w="5" w:type="dxa"/>
              <w:right w:w="5" w:type="dxa"/>
            </w:tcMar>
            <w:vAlign w:val="bottom"/>
            <w:hideMark/>
          </w:tcPr>
          <w:p w14:paraId="1958AE3A" w14:textId="77777777" w:rsidR="00954279" w:rsidRDefault="00A66714">
            <w:pPr>
              <w:rPr>
                <w:color w:val="000000"/>
                <w:sz w:val="20"/>
                <w:szCs w:val="20"/>
              </w:rPr>
            </w:pPr>
            <w:r>
              <w:rPr>
                <w:color w:val="000000"/>
                <w:sz w:val="20"/>
                <w:szCs w:val="20"/>
              </w:rPr>
              <w:t> </w:t>
            </w:r>
          </w:p>
        </w:tc>
        <w:tc>
          <w:tcPr>
            <w:tcW w:w="111" w:type="dxa"/>
            <w:tcMar>
              <w:top w:w="5" w:type="dxa"/>
              <w:left w:w="5" w:type="dxa"/>
              <w:bottom w:w="5" w:type="dxa"/>
              <w:right w:w="5" w:type="dxa"/>
            </w:tcMar>
            <w:vAlign w:val="bottom"/>
            <w:hideMark/>
          </w:tcPr>
          <w:p w14:paraId="7A20A5B5" w14:textId="77777777" w:rsidR="00954279" w:rsidRDefault="00A66714">
            <w:pPr>
              <w:rPr>
                <w:color w:val="000000"/>
                <w:sz w:val="20"/>
                <w:szCs w:val="20"/>
              </w:rPr>
            </w:pPr>
            <w:r>
              <w:rPr>
                <w:color w:val="000000"/>
                <w:sz w:val="20"/>
                <w:szCs w:val="20"/>
              </w:rPr>
              <w:t> </w:t>
            </w:r>
          </w:p>
        </w:tc>
        <w:tc>
          <w:tcPr>
            <w:tcW w:w="717" w:type="dxa"/>
            <w:tcMar>
              <w:top w:w="5" w:type="dxa"/>
              <w:left w:w="5" w:type="dxa"/>
              <w:bottom w:w="5" w:type="dxa"/>
              <w:right w:w="5" w:type="dxa"/>
            </w:tcMar>
            <w:vAlign w:val="bottom"/>
            <w:hideMark/>
          </w:tcPr>
          <w:p w14:paraId="51820B43" w14:textId="77777777" w:rsidR="00954279" w:rsidRDefault="00A66714">
            <w:pPr>
              <w:jc w:val="right"/>
              <w:rPr>
                <w:color w:val="000000"/>
                <w:sz w:val="20"/>
                <w:szCs w:val="20"/>
              </w:rPr>
            </w:pPr>
            <w:r>
              <w:rPr>
                <w:b/>
                <w:bCs/>
                <w:color w:val="000000"/>
                <w:sz w:val="20"/>
                <w:szCs w:val="20"/>
              </w:rPr>
              <w:t>-</w:t>
            </w:r>
          </w:p>
        </w:tc>
        <w:tc>
          <w:tcPr>
            <w:tcW w:w="69" w:type="dxa"/>
            <w:noWrap/>
            <w:tcMar>
              <w:top w:w="5" w:type="dxa"/>
              <w:left w:w="5" w:type="dxa"/>
              <w:bottom w:w="5" w:type="dxa"/>
              <w:right w:w="5" w:type="dxa"/>
            </w:tcMar>
            <w:vAlign w:val="bottom"/>
            <w:hideMark/>
          </w:tcPr>
          <w:p w14:paraId="04F6E295" w14:textId="77777777" w:rsidR="00954279" w:rsidRDefault="00A66714">
            <w:pPr>
              <w:rPr>
                <w:color w:val="000000"/>
                <w:sz w:val="20"/>
                <w:szCs w:val="20"/>
              </w:rPr>
            </w:pPr>
            <w:r>
              <w:rPr>
                <w:color w:val="000000"/>
                <w:sz w:val="20"/>
                <w:szCs w:val="20"/>
              </w:rPr>
              <w:t> </w:t>
            </w:r>
          </w:p>
        </w:tc>
        <w:tc>
          <w:tcPr>
            <w:tcW w:w="70" w:type="dxa"/>
            <w:tcMar>
              <w:top w:w="5" w:type="dxa"/>
              <w:left w:w="5" w:type="dxa"/>
              <w:bottom w:w="5" w:type="dxa"/>
              <w:right w:w="5" w:type="dxa"/>
            </w:tcMar>
            <w:vAlign w:val="bottom"/>
            <w:hideMark/>
          </w:tcPr>
          <w:p w14:paraId="0E5F2E6C" w14:textId="77777777" w:rsidR="00954279" w:rsidRDefault="00A66714">
            <w:pPr>
              <w:rPr>
                <w:color w:val="000000"/>
                <w:sz w:val="20"/>
                <w:szCs w:val="20"/>
              </w:rPr>
            </w:pPr>
            <w:r>
              <w:rPr>
                <w:color w:val="000000"/>
                <w:sz w:val="20"/>
                <w:szCs w:val="20"/>
              </w:rPr>
              <w:t> </w:t>
            </w:r>
          </w:p>
        </w:tc>
        <w:tc>
          <w:tcPr>
            <w:tcW w:w="116" w:type="dxa"/>
            <w:tcMar>
              <w:top w:w="5" w:type="dxa"/>
              <w:left w:w="5" w:type="dxa"/>
              <w:bottom w:w="5" w:type="dxa"/>
              <w:right w:w="5" w:type="dxa"/>
            </w:tcMar>
            <w:vAlign w:val="bottom"/>
            <w:hideMark/>
          </w:tcPr>
          <w:p w14:paraId="748492DD" w14:textId="77777777" w:rsidR="00954279" w:rsidRDefault="00A66714">
            <w:pPr>
              <w:rPr>
                <w:color w:val="000000"/>
                <w:sz w:val="20"/>
                <w:szCs w:val="20"/>
              </w:rPr>
            </w:pPr>
            <w:r>
              <w:rPr>
                <w:color w:val="000000"/>
                <w:sz w:val="20"/>
                <w:szCs w:val="20"/>
              </w:rPr>
              <w:t> </w:t>
            </w:r>
          </w:p>
        </w:tc>
        <w:tc>
          <w:tcPr>
            <w:tcW w:w="806" w:type="dxa"/>
            <w:tcMar>
              <w:top w:w="5" w:type="dxa"/>
              <w:left w:w="5" w:type="dxa"/>
              <w:bottom w:w="5" w:type="dxa"/>
              <w:right w:w="5" w:type="dxa"/>
            </w:tcMar>
            <w:vAlign w:val="bottom"/>
            <w:hideMark/>
          </w:tcPr>
          <w:p w14:paraId="1D0319E1" w14:textId="77777777" w:rsidR="00954279" w:rsidRDefault="00A66714">
            <w:pPr>
              <w:jc w:val="right"/>
              <w:rPr>
                <w:color w:val="000000"/>
                <w:sz w:val="20"/>
                <w:szCs w:val="20"/>
              </w:rPr>
            </w:pPr>
            <w:r>
              <w:rPr>
                <w:b/>
                <w:bCs/>
                <w:color w:val="000000"/>
                <w:sz w:val="20"/>
                <w:szCs w:val="20"/>
              </w:rPr>
              <w:t>-</w:t>
            </w:r>
          </w:p>
        </w:tc>
        <w:tc>
          <w:tcPr>
            <w:tcW w:w="77" w:type="dxa"/>
            <w:noWrap/>
            <w:tcMar>
              <w:top w:w="5" w:type="dxa"/>
              <w:left w:w="5" w:type="dxa"/>
              <w:bottom w:w="5" w:type="dxa"/>
              <w:right w:w="5" w:type="dxa"/>
            </w:tcMar>
            <w:vAlign w:val="bottom"/>
            <w:hideMark/>
          </w:tcPr>
          <w:p w14:paraId="1B048E4E" w14:textId="77777777" w:rsidR="00954279" w:rsidRDefault="00A66714">
            <w:pPr>
              <w:rPr>
                <w:color w:val="000000"/>
                <w:sz w:val="20"/>
                <w:szCs w:val="20"/>
              </w:rPr>
            </w:pPr>
            <w:r>
              <w:rPr>
                <w:color w:val="000000"/>
                <w:sz w:val="20"/>
                <w:szCs w:val="20"/>
              </w:rPr>
              <w:t> </w:t>
            </w:r>
          </w:p>
        </w:tc>
        <w:tc>
          <w:tcPr>
            <w:tcW w:w="64" w:type="dxa"/>
            <w:tcMar>
              <w:top w:w="5" w:type="dxa"/>
              <w:left w:w="5" w:type="dxa"/>
              <w:bottom w:w="5" w:type="dxa"/>
              <w:right w:w="5" w:type="dxa"/>
            </w:tcMar>
            <w:vAlign w:val="bottom"/>
            <w:hideMark/>
          </w:tcPr>
          <w:p w14:paraId="18D3F757" w14:textId="77777777" w:rsidR="00954279" w:rsidRDefault="00A66714">
            <w:pPr>
              <w:rPr>
                <w:color w:val="000000"/>
                <w:sz w:val="20"/>
                <w:szCs w:val="20"/>
              </w:rPr>
            </w:pPr>
            <w:r>
              <w:rPr>
                <w:color w:val="000000"/>
                <w:sz w:val="20"/>
                <w:szCs w:val="20"/>
              </w:rPr>
              <w:t> </w:t>
            </w:r>
          </w:p>
        </w:tc>
        <w:tc>
          <w:tcPr>
            <w:tcW w:w="111" w:type="dxa"/>
            <w:tcMar>
              <w:top w:w="5" w:type="dxa"/>
              <w:left w:w="5" w:type="dxa"/>
              <w:bottom w:w="5" w:type="dxa"/>
              <w:right w:w="5" w:type="dxa"/>
            </w:tcMar>
            <w:vAlign w:val="bottom"/>
            <w:hideMark/>
          </w:tcPr>
          <w:p w14:paraId="16C49681" w14:textId="77777777" w:rsidR="00954279" w:rsidRDefault="00A66714">
            <w:pPr>
              <w:rPr>
                <w:color w:val="000000"/>
                <w:sz w:val="20"/>
                <w:szCs w:val="20"/>
              </w:rPr>
            </w:pPr>
            <w:r>
              <w:rPr>
                <w:color w:val="000000"/>
                <w:sz w:val="20"/>
                <w:szCs w:val="20"/>
              </w:rPr>
              <w:t> </w:t>
            </w:r>
          </w:p>
        </w:tc>
        <w:tc>
          <w:tcPr>
            <w:tcW w:w="719" w:type="dxa"/>
            <w:tcMar>
              <w:top w:w="5" w:type="dxa"/>
              <w:left w:w="5" w:type="dxa"/>
              <w:bottom w:w="5" w:type="dxa"/>
              <w:right w:w="5" w:type="dxa"/>
            </w:tcMar>
            <w:vAlign w:val="bottom"/>
            <w:hideMark/>
          </w:tcPr>
          <w:p w14:paraId="0ECE9ACC" w14:textId="77777777" w:rsidR="00954279" w:rsidRDefault="00A66714">
            <w:pPr>
              <w:jc w:val="right"/>
              <w:rPr>
                <w:color w:val="000000"/>
                <w:sz w:val="20"/>
                <w:szCs w:val="20"/>
              </w:rPr>
            </w:pPr>
            <w:r>
              <w:rPr>
                <w:b/>
                <w:bCs/>
                <w:color w:val="000000"/>
                <w:sz w:val="20"/>
                <w:szCs w:val="20"/>
              </w:rPr>
              <w:t>-</w:t>
            </w:r>
          </w:p>
        </w:tc>
        <w:tc>
          <w:tcPr>
            <w:tcW w:w="77" w:type="dxa"/>
            <w:noWrap/>
            <w:tcMar>
              <w:top w:w="5" w:type="dxa"/>
              <w:left w:w="5" w:type="dxa"/>
              <w:bottom w:w="5" w:type="dxa"/>
              <w:right w:w="5" w:type="dxa"/>
            </w:tcMar>
            <w:vAlign w:val="bottom"/>
            <w:hideMark/>
          </w:tcPr>
          <w:p w14:paraId="271545F9" w14:textId="77777777" w:rsidR="00954279" w:rsidRDefault="00A66714">
            <w:pPr>
              <w:rPr>
                <w:color w:val="000000"/>
                <w:sz w:val="20"/>
                <w:szCs w:val="20"/>
              </w:rPr>
            </w:pPr>
            <w:r>
              <w:rPr>
                <w:color w:val="000000"/>
                <w:sz w:val="20"/>
                <w:szCs w:val="20"/>
              </w:rPr>
              <w:t> </w:t>
            </w:r>
          </w:p>
        </w:tc>
        <w:tc>
          <w:tcPr>
            <w:tcW w:w="65" w:type="dxa"/>
            <w:tcMar>
              <w:top w:w="5" w:type="dxa"/>
              <w:left w:w="5" w:type="dxa"/>
              <w:bottom w:w="5" w:type="dxa"/>
              <w:right w:w="5" w:type="dxa"/>
            </w:tcMar>
            <w:vAlign w:val="bottom"/>
            <w:hideMark/>
          </w:tcPr>
          <w:p w14:paraId="762A2E55" w14:textId="77777777" w:rsidR="00954279" w:rsidRDefault="00A66714">
            <w:pPr>
              <w:rPr>
                <w:color w:val="000000"/>
                <w:sz w:val="20"/>
                <w:szCs w:val="20"/>
              </w:rPr>
            </w:pPr>
            <w:r>
              <w:rPr>
                <w:color w:val="000000"/>
                <w:sz w:val="20"/>
                <w:szCs w:val="20"/>
              </w:rPr>
              <w:t> </w:t>
            </w:r>
          </w:p>
        </w:tc>
        <w:tc>
          <w:tcPr>
            <w:tcW w:w="74" w:type="dxa"/>
            <w:tcMar>
              <w:top w:w="5" w:type="dxa"/>
              <w:left w:w="5" w:type="dxa"/>
              <w:bottom w:w="5" w:type="dxa"/>
              <w:right w:w="5" w:type="dxa"/>
            </w:tcMar>
            <w:vAlign w:val="bottom"/>
            <w:hideMark/>
          </w:tcPr>
          <w:p w14:paraId="4B405AA7" w14:textId="77777777" w:rsidR="00954279" w:rsidRDefault="00A66714">
            <w:pPr>
              <w:rPr>
                <w:color w:val="000000"/>
                <w:sz w:val="20"/>
                <w:szCs w:val="20"/>
              </w:rPr>
            </w:pPr>
            <w:r>
              <w:rPr>
                <w:color w:val="000000"/>
                <w:sz w:val="20"/>
                <w:szCs w:val="20"/>
              </w:rPr>
              <w:t> </w:t>
            </w:r>
          </w:p>
        </w:tc>
        <w:tc>
          <w:tcPr>
            <w:tcW w:w="716" w:type="dxa"/>
            <w:tcMar>
              <w:top w:w="5" w:type="dxa"/>
              <w:left w:w="5" w:type="dxa"/>
              <w:bottom w:w="5" w:type="dxa"/>
              <w:right w:w="5" w:type="dxa"/>
            </w:tcMar>
            <w:vAlign w:val="bottom"/>
            <w:hideMark/>
          </w:tcPr>
          <w:p w14:paraId="7EE2A888" w14:textId="77777777" w:rsidR="00954279" w:rsidRDefault="00A66714">
            <w:pPr>
              <w:jc w:val="right"/>
              <w:rPr>
                <w:color w:val="000000"/>
                <w:sz w:val="20"/>
                <w:szCs w:val="20"/>
              </w:rPr>
            </w:pPr>
            <w:r>
              <w:rPr>
                <w:b/>
                <w:bCs/>
                <w:color w:val="000000"/>
                <w:sz w:val="20"/>
                <w:szCs w:val="20"/>
              </w:rPr>
              <w:t>-</w:t>
            </w:r>
          </w:p>
        </w:tc>
        <w:tc>
          <w:tcPr>
            <w:tcW w:w="77" w:type="dxa"/>
            <w:noWrap/>
            <w:tcMar>
              <w:top w:w="5" w:type="dxa"/>
              <w:left w:w="5" w:type="dxa"/>
              <w:bottom w:w="5" w:type="dxa"/>
              <w:right w:w="5" w:type="dxa"/>
            </w:tcMar>
            <w:vAlign w:val="bottom"/>
            <w:hideMark/>
          </w:tcPr>
          <w:p w14:paraId="586870E0" w14:textId="77777777" w:rsidR="00954279" w:rsidRDefault="00A66714">
            <w:pPr>
              <w:rPr>
                <w:color w:val="000000"/>
                <w:sz w:val="20"/>
                <w:szCs w:val="20"/>
              </w:rPr>
            </w:pPr>
            <w:r>
              <w:rPr>
                <w:color w:val="000000"/>
                <w:sz w:val="20"/>
                <w:szCs w:val="20"/>
              </w:rPr>
              <w:t> </w:t>
            </w:r>
          </w:p>
        </w:tc>
        <w:tc>
          <w:tcPr>
            <w:tcW w:w="65" w:type="dxa"/>
            <w:tcMar>
              <w:top w:w="5" w:type="dxa"/>
              <w:left w:w="5" w:type="dxa"/>
              <w:bottom w:w="5" w:type="dxa"/>
              <w:right w:w="5" w:type="dxa"/>
            </w:tcMar>
            <w:vAlign w:val="bottom"/>
            <w:hideMark/>
          </w:tcPr>
          <w:p w14:paraId="39BF2ACD" w14:textId="77777777" w:rsidR="00954279" w:rsidRDefault="00A66714">
            <w:pPr>
              <w:rPr>
                <w:color w:val="000000"/>
                <w:sz w:val="20"/>
                <w:szCs w:val="20"/>
              </w:rPr>
            </w:pPr>
            <w:r>
              <w:rPr>
                <w:color w:val="000000"/>
                <w:sz w:val="20"/>
                <w:szCs w:val="20"/>
              </w:rPr>
              <w:t> </w:t>
            </w:r>
          </w:p>
        </w:tc>
        <w:tc>
          <w:tcPr>
            <w:tcW w:w="111" w:type="dxa"/>
            <w:tcMar>
              <w:top w:w="5" w:type="dxa"/>
              <w:left w:w="5" w:type="dxa"/>
              <w:bottom w:w="5" w:type="dxa"/>
              <w:right w:w="5" w:type="dxa"/>
            </w:tcMar>
            <w:vAlign w:val="bottom"/>
            <w:hideMark/>
          </w:tcPr>
          <w:p w14:paraId="75D9C3C0" w14:textId="77777777" w:rsidR="00954279" w:rsidRDefault="00A66714">
            <w:pPr>
              <w:rPr>
                <w:color w:val="000000"/>
                <w:sz w:val="20"/>
                <w:szCs w:val="20"/>
              </w:rPr>
            </w:pPr>
            <w:r>
              <w:rPr>
                <w:color w:val="000000"/>
                <w:sz w:val="20"/>
                <w:szCs w:val="20"/>
              </w:rPr>
              <w:t> </w:t>
            </w:r>
          </w:p>
        </w:tc>
        <w:tc>
          <w:tcPr>
            <w:tcW w:w="719" w:type="dxa"/>
            <w:tcMar>
              <w:top w:w="5" w:type="dxa"/>
              <w:left w:w="5" w:type="dxa"/>
              <w:bottom w:w="5" w:type="dxa"/>
              <w:right w:w="5" w:type="dxa"/>
            </w:tcMar>
            <w:vAlign w:val="bottom"/>
            <w:hideMark/>
          </w:tcPr>
          <w:p w14:paraId="3E378F51" w14:textId="77777777" w:rsidR="00954279" w:rsidRDefault="00A66714">
            <w:pPr>
              <w:jc w:val="right"/>
              <w:rPr>
                <w:color w:val="000000"/>
                <w:sz w:val="20"/>
                <w:szCs w:val="20"/>
              </w:rPr>
            </w:pPr>
            <w:r>
              <w:rPr>
                <w:b/>
                <w:bCs/>
                <w:color w:val="000000"/>
                <w:sz w:val="20"/>
                <w:szCs w:val="20"/>
              </w:rPr>
              <w:t>-</w:t>
            </w:r>
          </w:p>
        </w:tc>
        <w:tc>
          <w:tcPr>
            <w:tcW w:w="77" w:type="dxa"/>
            <w:noWrap/>
            <w:tcMar>
              <w:top w:w="5" w:type="dxa"/>
              <w:left w:w="5" w:type="dxa"/>
              <w:bottom w:w="5" w:type="dxa"/>
              <w:right w:w="5" w:type="dxa"/>
            </w:tcMar>
            <w:vAlign w:val="bottom"/>
            <w:hideMark/>
          </w:tcPr>
          <w:p w14:paraId="7481E5EC" w14:textId="77777777" w:rsidR="00954279" w:rsidRDefault="00A66714">
            <w:pPr>
              <w:rPr>
                <w:color w:val="000000"/>
                <w:sz w:val="20"/>
                <w:szCs w:val="20"/>
              </w:rPr>
            </w:pPr>
            <w:r>
              <w:rPr>
                <w:color w:val="000000"/>
                <w:sz w:val="20"/>
                <w:szCs w:val="20"/>
              </w:rPr>
              <w:t> </w:t>
            </w:r>
          </w:p>
        </w:tc>
        <w:tc>
          <w:tcPr>
            <w:tcW w:w="65" w:type="dxa"/>
            <w:tcMar>
              <w:top w:w="5" w:type="dxa"/>
              <w:left w:w="5" w:type="dxa"/>
              <w:bottom w:w="5" w:type="dxa"/>
              <w:right w:w="5" w:type="dxa"/>
            </w:tcMar>
            <w:vAlign w:val="bottom"/>
            <w:hideMark/>
          </w:tcPr>
          <w:p w14:paraId="365E8439" w14:textId="77777777" w:rsidR="00954279" w:rsidRDefault="00A66714">
            <w:pPr>
              <w:rPr>
                <w:color w:val="000000"/>
                <w:sz w:val="20"/>
                <w:szCs w:val="20"/>
              </w:rPr>
            </w:pPr>
            <w:r>
              <w:rPr>
                <w:color w:val="000000"/>
                <w:sz w:val="20"/>
                <w:szCs w:val="20"/>
              </w:rPr>
              <w:t> </w:t>
            </w:r>
          </w:p>
        </w:tc>
        <w:tc>
          <w:tcPr>
            <w:tcW w:w="168" w:type="dxa"/>
            <w:tcMar>
              <w:top w:w="5" w:type="dxa"/>
              <w:left w:w="5" w:type="dxa"/>
              <w:bottom w:w="5" w:type="dxa"/>
              <w:right w:w="5" w:type="dxa"/>
            </w:tcMar>
            <w:vAlign w:val="bottom"/>
            <w:hideMark/>
          </w:tcPr>
          <w:p w14:paraId="6303515A" w14:textId="77777777" w:rsidR="00954279" w:rsidRDefault="00A66714">
            <w:pPr>
              <w:rPr>
                <w:color w:val="000000"/>
                <w:sz w:val="20"/>
                <w:szCs w:val="20"/>
              </w:rPr>
            </w:pPr>
            <w:r>
              <w:rPr>
                <w:color w:val="000000"/>
                <w:sz w:val="20"/>
                <w:szCs w:val="20"/>
              </w:rPr>
              <w:t> </w:t>
            </w:r>
          </w:p>
        </w:tc>
        <w:tc>
          <w:tcPr>
            <w:tcW w:w="1176" w:type="dxa"/>
            <w:tcMar>
              <w:top w:w="5" w:type="dxa"/>
              <w:left w:w="5" w:type="dxa"/>
              <w:bottom w:w="5" w:type="dxa"/>
              <w:right w:w="5" w:type="dxa"/>
            </w:tcMar>
            <w:vAlign w:val="bottom"/>
            <w:hideMark/>
          </w:tcPr>
          <w:p w14:paraId="1154D0F3" w14:textId="77777777" w:rsidR="00954279" w:rsidRDefault="00A66714">
            <w:pPr>
              <w:jc w:val="right"/>
              <w:rPr>
                <w:color w:val="000000"/>
                <w:sz w:val="20"/>
                <w:szCs w:val="20"/>
              </w:rPr>
            </w:pPr>
            <w:r>
              <w:rPr>
                <w:b/>
                <w:bCs/>
                <w:color w:val="000000"/>
                <w:sz w:val="20"/>
                <w:szCs w:val="20"/>
              </w:rPr>
              <w:t>1</w:t>
            </w:r>
          </w:p>
        </w:tc>
        <w:tc>
          <w:tcPr>
            <w:tcW w:w="77" w:type="dxa"/>
            <w:noWrap/>
            <w:tcMar>
              <w:top w:w="5" w:type="dxa"/>
              <w:left w:w="5" w:type="dxa"/>
              <w:bottom w:w="5" w:type="dxa"/>
              <w:right w:w="5" w:type="dxa"/>
            </w:tcMar>
            <w:vAlign w:val="bottom"/>
            <w:hideMark/>
          </w:tcPr>
          <w:p w14:paraId="7DE0B94A" w14:textId="77777777" w:rsidR="00954279" w:rsidRDefault="00A66714">
            <w:pPr>
              <w:rPr>
                <w:color w:val="000000"/>
                <w:sz w:val="20"/>
                <w:szCs w:val="20"/>
              </w:rPr>
            </w:pPr>
            <w:r>
              <w:rPr>
                <w:color w:val="000000"/>
                <w:sz w:val="20"/>
                <w:szCs w:val="20"/>
              </w:rPr>
              <w:t> </w:t>
            </w:r>
          </w:p>
        </w:tc>
        <w:tc>
          <w:tcPr>
            <w:tcW w:w="65" w:type="dxa"/>
            <w:tcMar>
              <w:top w:w="5" w:type="dxa"/>
              <w:left w:w="5" w:type="dxa"/>
              <w:bottom w:w="5" w:type="dxa"/>
              <w:right w:w="5" w:type="dxa"/>
            </w:tcMar>
            <w:vAlign w:val="bottom"/>
            <w:hideMark/>
          </w:tcPr>
          <w:p w14:paraId="313142DF" w14:textId="77777777" w:rsidR="00954279" w:rsidRDefault="00A66714">
            <w:pPr>
              <w:rPr>
                <w:color w:val="000000"/>
                <w:sz w:val="20"/>
                <w:szCs w:val="20"/>
              </w:rPr>
            </w:pPr>
            <w:r>
              <w:rPr>
                <w:color w:val="000000"/>
                <w:sz w:val="20"/>
                <w:szCs w:val="20"/>
              </w:rPr>
              <w:t> </w:t>
            </w:r>
          </w:p>
        </w:tc>
        <w:tc>
          <w:tcPr>
            <w:tcW w:w="148" w:type="dxa"/>
            <w:tcMar>
              <w:top w:w="5" w:type="dxa"/>
              <w:left w:w="5" w:type="dxa"/>
              <w:bottom w:w="5" w:type="dxa"/>
              <w:right w:w="5" w:type="dxa"/>
            </w:tcMar>
            <w:vAlign w:val="bottom"/>
            <w:hideMark/>
          </w:tcPr>
          <w:p w14:paraId="49DF2992" w14:textId="77777777" w:rsidR="00954279" w:rsidRDefault="00A66714">
            <w:pPr>
              <w:rPr>
                <w:color w:val="000000"/>
                <w:sz w:val="20"/>
                <w:szCs w:val="20"/>
              </w:rPr>
            </w:pPr>
            <w:r>
              <w:rPr>
                <w:color w:val="000000"/>
                <w:sz w:val="20"/>
                <w:szCs w:val="20"/>
              </w:rPr>
              <w:t> </w:t>
            </w:r>
          </w:p>
        </w:tc>
        <w:tc>
          <w:tcPr>
            <w:tcW w:w="1029" w:type="dxa"/>
            <w:tcMar>
              <w:top w:w="5" w:type="dxa"/>
              <w:left w:w="5" w:type="dxa"/>
              <w:bottom w:w="5" w:type="dxa"/>
              <w:right w:w="5" w:type="dxa"/>
            </w:tcMar>
            <w:vAlign w:val="bottom"/>
            <w:hideMark/>
          </w:tcPr>
          <w:p w14:paraId="114AA799" w14:textId="77777777" w:rsidR="00954279" w:rsidRDefault="00A66714">
            <w:pPr>
              <w:jc w:val="right"/>
              <w:rPr>
                <w:color w:val="000000"/>
                <w:sz w:val="20"/>
                <w:szCs w:val="20"/>
              </w:rPr>
            </w:pPr>
            <w:r>
              <w:rPr>
                <w:b/>
                <w:bCs/>
                <w:color w:val="000000"/>
                <w:sz w:val="20"/>
                <w:szCs w:val="20"/>
              </w:rPr>
              <w:t>1</w:t>
            </w:r>
          </w:p>
        </w:tc>
        <w:tc>
          <w:tcPr>
            <w:tcW w:w="77" w:type="dxa"/>
            <w:noWrap/>
            <w:tcMar>
              <w:top w:w="5" w:type="dxa"/>
              <w:left w:w="5" w:type="dxa"/>
              <w:bottom w:w="5" w:type="dxa"/>
              <w:right w:w="5" w:type="dxa"/>
            </w:tcMar>
            <w:vAlign w:val="bottom"/>
            <w:hideMark/>
          </w:tcPr>
          <w:p w14:paraId="780C5F16" w14:textId="77777777" w:rsidR="00954279" w:rsidRDefault="00A66714">
            <w:pPr>
              <w:rPr>
                <w:color w:val="000000"/>
                <w:sz w:val="20"/>
                <w:szCs w:val="20"/>
              </w:rPr>
            </w:pPr>
            <w:r>
              <w:rPr>
                <w:color w:val="000000"/>
                <w:sz w:val="20"/>
                <w:szCs w:val="20"/>
              </w:rPr>
              <w:t> </w:t>
            </w:r>
          </w:p>
        </w:tc>
      </w:tr>
      <w:tr w:rsidR="00954279" w14:paraId="4208238C" w14:textId="77777777" w:rsidTr="00717712">
        <w:tc>
          <w:tcPr>
            <w:tcW w:w="2678" w:type="dxa"/>
            <w:tcMar>
              <w:top w:w="5" w:type="dxa"/>
              <w:left w:w="5" w:type="dxa"/>
              <w:bottom w:w="5" w:type="dxa"/>
              <w:right w:w="5" w:type="dxa"/>
            </w:tcMar>
            <w:vAlign w:val="bottom"/>
            <w:hideMark/>
          </w:tcPr>
          <w:p w14:paraId="1FB167E2" w14:textId="77777777" w:rsidR="00954279" w:rsidRDefault="00A66714">
            <w:pPr>
              <w:ind w:left="180"/>
              <w:rPr>
                <w:color w:val="000000"/>
                <w:sz w:val="20"/>
                <w:szCs w:val="20"/>
              </w:rPr>
            </w:pPr>
            <w:r>
              <w:rPr>
                <w:color w:val="000000"/>
                <w:sz w:val="20"/>
                <w:szCs w:val="20"/>
              </w:rPr>
              <w:t>Hedge accounting adjustments</w:t>
            </w:r>
          </w:p>
        </w:tc>
        <w:tc>
          <w:tcPr>
            <w:tcW w:w="60" w:type="dxa"/>
            <w:tcMar>
              <w:top w:w="5" w:type="dxa"/>
              <w:left w:w="5" w:type="dxa"/>
              <w:bottom w:w="5" w:type="dxa"/>
              <w:right w:w="5" w:type="dxa"/>
            </w:tcMar>
            <w:vAlign w:val="bottom"/>
            <w:hideMark/>
          </w:tcPr>
          <w:p w14:paraId="73EB0365" w14:textId="77777777" w:rsidR="00954279" w:rsidRDefault="00A66714">
            <w:pPr>
              <w:rPr>
                <w:color w:val="000000"/>
                <w:sz w:val="20"/>
                <w:szCs w:val="20"/>
              </w:rPr>
            </w:pPr>
            <w:r>
              <w:rPr>
                <w:color w:val="000000"/>
                <w:sz w:val="20"/>
                <w:szCs w:val="20"/>
              </w:rPr>
              <w:t> </w:t>
            </w:r>
          </w:p>
        </w:tc>
        <w:tc>
          <w:tcPr>
            <w:tcW w:w="74" w:type="dxa"/>
            <w:tcMar>
              <w:top w:w="5" w:type="dxa"/>
              <w:left w:w="5" w:type="dxa"/>
              <w:bottom w:w="5" w:type="dxa"/>
              <w:right w:w="5" w:type="dxa"/>
            </w:tcMar>
            <w:vAlign w:val="bottom"/>
            <w:hideMark/>
          </w:tcPr>
          <w:p w14:paraId="19EE1FAC" w14:textId="77777777" w:rsidR="00954279" w:rsidRDefault="00A66714">
            <w:pPr>
              <w:rPr>
                <w:color w:val="000000"/>
                <w:sz w:val="20"/>
                <w:szCs w:val="20"/>
              </w:rPr>
            </w:pPr>
            <w:r>
              <w:rPr>
                <w:color w:val="000000"/>
                <w:sz w:val="20"/>
                <w:szCs w:val="20"/>
              </w:rPr>
              <w:t> </w:t>
            </w:r>
          </w:p>
        </w:tc>
        <w:tc>
          <w:tcPr>
            <w:tcW w:w="713" w:type="dxa"/>
            <w:tcMar>
              <w:top w:w="5" w:type="dxa"/>
              <w:left w:w="5" w:type="dxa"/>
              <w:bottom w:w="5" w:type="dxa"/>
              <w:right w:w="5" w:type="dxa"/>
            </w:tcMar>
            <w:vAlign w:val="bottom"/>
            <w:hideMark/>
          </w:tcPr>
          <w:p w14:paraId="5F41C533" w14:textId="77777777" w:rsidR="00954279" w:rsidRDefault="00A66714">
            <w:pPr>
              <w:jc w:val="right"/>
              <w:rPr>
                <w:color w:val="000000"/>
                <w:sz w:val="20"/>
                <w:szCs w:val="20"/>
              </w:rPr>
            </w:pPr>
            <w:r>
              <w:rPr>
                <w:b/>
                <w:bCs/>
                <w:color w:val="000000"/>
                <w:sz w:val="20"/>
                <w:szCs w:val="20"/>
              </w:rPr>
              <w:t>-</w:t>
            </w:r>
          </w:p>
        </w:tc>
        <w:tc>
          <w:tcPr>
            <w:tcW w:w="69" w:type="dxa"/>
            <w:noWrap/>
            <w:tcMar>
              <w:top w:w="5" w:type="dxa"/>
              <w:left w:w="5" w:type="dxa"/>
              <w:bottom w:w="5" w:type="dxa"/>
              <w:right w:w="5" w:type="dxa"/>
            </w:tcMar>
            <w:vAlign w:val="bottom"/>
            <w:hideMark/>
          </w:tcPr>
          <w:p w14:paraId="79372CCF" w14:textId="77777777" w:rsidR="00954279" w:rsidRDefault="00A66714">
            <w:pPr>
              <w:rPr>
                <w:color w:val="000000"/>
                <w:sz w:val="20"/>
                <w:szCs w:val="20"/>
              </w:rPr>
            </w:pPr>
            <w:r>
              <w:rPr>
                <w:color w:val="000000"/>
                <w:sz w:val="20"/>
                <w:szCs w:val="20"/>
              </w:rPr>
              <w:t> </w:t>
            </w:r>
          </w:p>
        </w:tc>
        <w:tc>
          <w:tcPr>
            <w:tcW w:w="69" w:type="dxa"/>
            <w:tcMar>
              <w:top w:w="5" w:type="dxa"/>
              <w:left w:w="5" w:type="dxa"/>
              <w:bottom w:w="5" w:type="dxa"/>
              <w:right w:w="5" w:type="dxa"/>
            </w:tcMar>
            <w:vAlign w:val="bottom"/>
            <w:hideMark/>
          </w:tcPr>
          <w:p w14:paraId="54BF07FF" w14:textId="77777777" w:rsidR="00954279" w:rsidRDefault="00A66714">
            <w:pPr>
              <w:rPr>
                <w:color w:val="000000"/>
                <w:sz w:val="20"/>
                <w:szCs w:val="20"/>
              </w:rPr>
            </w:pPr>
            <w:r>
              <w:rPr>
                <w:color w:val="000000"/>
                <w:sz w:val="20"/>
                <w:szCs w:val="20"/>
              </w:rPr>
              <w:t> </w:t>
            </w:r>
          </w:p>
        </w:tc>
        <w:tc>
          <w:tcPr>
            <w:tcW w:w="111" w:type="dxa"/>
            <w:tcMar>
              <w:top w:w="5" w:type="dxa"/>
              <w:left w:w="5" w:type="dxa"/>
              <w:bottom w:w="5" w:type="dxa"/>
              <w:right w:w="5" w:type="dxa"/>
            </w:tcMar>
            <w:vAlign w:val="bottom"/>
            <w:hideMark/>
          </w:tcPr>
          <w:p w14:paraId="3FA292C9" w14:textId="77777777" w:rsidR="00954279" w:rsidRDefault="00A66714">
            <w:pPr>
              <w:rPr>
                <w:color w:val="000000"/>
                <w:sz w:val="20"/>
                <w:szCs w:val="20"/>
              </w:rPr>
            </w:pPr>
            <w:r>
              <w:rPr>
                <w:color w:val="000000"/>
                <w:sz w:val="20"/>
                <w:szCs w:val="20"/>
              </w:rPr>
              <w:t> </w:t>
            </w:r>
          </w:p>
        </w:tc>
        <w:tc>
          <w:tcPr>
            <w:tcW w:w="717" w:type="dxa"/>
            <w:tcMar>
              <w:top w:w="5" w:type="dxa"/>
              <w:left w:w="5" w:type="dxa"/>
              <w:bottom w:w="5" w:type="dxa"/>
              <w:right w:w="5" w:type="dxa"/>
            </w:tcMar>
            <w:vAlign w:val="bottom"/>
            <w:hideMark/>
          </w:tcPr>
          <w:p w14:paraId="5AE5F7FE" w14:textId="77777777" w:rsidR="00954279" w:rsidRDefault="00A66714">
            <w:pPr>
              <w:jc w:val="right"/>
              <w:rPr>
                <w:color w:val="000000"/>
                <w:sz w:val="20"/>
                <w:szCs w:val="20"/>
              </w:rPr>
            </w:pPr>
            <w:r>
              <w:rPr>
                <w:b/>
                <w:bCs/>
                <w:color w:val="000000"/>
                <w:sz w:val="20"/>
                <w:szCs w:val="20"/>
              </w:rPr>
              <w:t>-</w:t>
            </w:r>
          </w:p>
        </w:tc>
        <w:tc>
          <w:tcPr>
            <w:tcW w:w="69" w:type="dxa"/>
            <w:noWrap/>
            <w:tcMar>
              <w:top w:w="5" w:type="dxa"/>
              <w:left w:w="5" w:type="dxa"/>
              <w:bottom w:w="5" w:type="dxa"/>
              <w:right w:w="5" w:type="dxa"/>
            </w:tcMar>
            <w:vAlign w:val="bottom"/>
            <w:hideMark/>
          </w:tcPr>
          <w:p w14:paraId="4367B659" w14:textId="77777777" w:rsidR="00954279" w:rsidRDefault="00A66714">
            <w:pPr>
              <w:rPr>
                <w:color w:val="000000"/>
                <w:sz w:val="20"/>
                <w:szCs w:val="20"/>
              </w:rPr>
            </w:pPr>
            <w:r>
              <w:rPr>
                <w:color w:val="000000"/>
                <w:sz w:val="20"/>
                <w:szCs w:val="20"/>
              </w:rPr>
              <w:t> </w:t>
            </w:r>
          </w:p>
        </w:tc>
        <w:tc>
          <w:tcPr>
            <w:tcW w:w="70" w:type="dxa"/>
            <w:tcMar>
              <w:top w:w="5" w:type="dxa"/>
              <w:left w:w="5" w:type="dxa"/>
              <w:bottom w:w="5" w:type="dxa"/>
              <w:right w:w="5" w:type="dxa"/>
            </w:tcMar>
            <w:vAlign w:val="bottom"/>
            <w:hideMark/>
          </w:tcPr>
          <w:p w14:paraId="7CCB3D75" w14:textId="77777777" w:rsidR="00954279" w:rsidRDefault="00A66714">
            <w:pPr>
              <w:rPr>
                <w:color w:val="000000"/>
                <w:sz w:val="20"/>
                <w:szCs w:val="20"/>
              </w:rPr>
            </w:pPr>
            <w:r>
              <w:rPr>
                <w:color w:val="000000"/>
                <w:sz w:val="20"/>
                <w:szCs w:val="20"/>
              </w:rPr>
              <w:t> </w:t>
            </w:r>
          </w:p>
        </w:tc>
        <w:tc>
          <w:tcPr>
            <w:tcW w:w="116" w:type="dxa"/>
            <w:tcMar>
              <w:top w:w="5" w:type="dxa"/>
              <w:left w:w="5" w:type="dxa"/>
              <w:bottom w:w="5" w:type="dxa"/>
              <w:right w:w="5" w:type="dxa"/>
            </w:tcMar>
            <w:vAlign w:val="bottom"/>
            <w:hideMark/>
          </w:tcPr>
          <w:p w14:paraId="1C01BC80" w14:textId="77777777" w:rsidR="00954279" w:rsidRDefault="00A66714">
            <w:pPr>
              <w:rPr>
                <w:color w:val="000000"/>
                <w:sz w:val="20"/>
                <w:szCs w:val="20"/>
              </w:rPr>
            </w:pPr>
            <w:r>
              <w:rPr>
                <w:color w:val="000000"/>
                <w:sz w:val="20"/>
                <w:szCs w:val="20"/>
              </w:rPr>
              <w:t> </w:t>
            </w:r>
          </w:p>
        </w:tc>
        <w:tc>
          <w:tcPr>
            <w:tcW w:w="806" w:type="dxa"/>
            <w:tcMar>
              <w:top w:w="5" w:type="dxa"/>
              <w:left w:w="5" w:type="dxa"/>
              <w:bottom w:w="5" w:type="dxa"/>
              <w:right w:w="5" w:type="dxa"/>
            </w:tcMar>
            <w:vAlign w:val="bottom"/>
            <w:hideMark/>
          </w:tcPr>
          <w:p w14:paraId="09A92BE2" w14:textId="77777777" w:rsidR="00954279" w:rsidRDefault="00A66714">
            <w:pPr>
              <w:jc w:val="right"/>
              <w:rPr>
                <w:color w:val="000000"/>
                <w:sz w:val="20"/>
                <w:szCs w:val="20"/>
              </w:rPr>
            </w:pPr>
            <w:r>
              <w:rPr>
                <w:b/>
                <w:bCs/>
                <w:color w:val="000000"/>
                <w:sz w:val="20"/>
                <w:szCs w:val="20"/>
              </w:rPr>
              <w:t>-</w:t>
            </w:r>
          </w:p>
        </w:tc>
        <w:tc>
          <w:tcPr>
            <w:tcW w:w="77" w:type="dxa"/>
            <w:noWrap/>
            <w:tcMar>
              <w:top w:w="5" w:type="dxa"/>
              <w:left w:w="5" w:type="dxa"/>
              <w:bottom w:w="5" w:type="dxa"/>
              <w:right w:w="5" w:type="dxa"/>
            </w:tcMar>
            <w:vAlign w:val="bottom"/>
            <w:hideMark/>
          </w:tcPr>
          <w:p w14:paraId="3A05251D" w14:textId="77777777" w:rsidR="00954279" w:rsidRDefault="00A66714">
            <w:pPr>
              <w:rPr>
                <w:color w:val="000000"/>
                <w:sz w:val="20"/>
                <w:szCs w:val="20"/>
              </w:rPr>
            </w:pPr>
            <w:r>
              <w:rPr>
                <w:color w:val="000000"/>
                <w:sz w:val="20"/>
                <w:szCs w:val="20"/>
              </w:rPr>
              <w:t> </w:t>
            </w:r>
          </w:p>
        </w:tc>
        <w:tc>
          <w:tcPr>
            <w:tcW w:w="64" w:type="dxa"/>
            <w:tcMar>
              <w:top w:w="5" w:type="dxa"/>
              <w:left w:w="5" w:type="dxa"/>
              <w:bottom w:w="5" w:type="dxa"/>
              <w:right w:w="5" w:type="dxa"/>
            </w:tcMar>
            <w:vAlign w:val="bottom"/>
            <w:hideMark/>
          </w:tcPr>
          <w:p w14:paraId="726DA339" w14:textId="77777777" w:rsidR="00954279" w:rsidRDefault="00A66714">
            <w:pPr>
              <w:rPr>
                <w:color w:val="000000"/>
                <w:sz w:val="20"/>
                <w:szCs w:val="20"/>
              </w:rPr>
            </w:pPr>
            <w:r>
              <w:rPr>
                <w:color w:val="000000"/>
                <w:sz w:val="20"/>
                <w:szCs w:val="20"/>
              </w:rPr>
              <w:t> </w:t>
            </w:r>
          </w:p>
        </w:tc>
        <w:tc>
          <w:tcPr>
            <w:tcW w:w="111" w:type="dxa"/>
            <w:tcMar>
              <w:top w:w="5" w:type="dxa"/>
              <w:left w:w="5" w:type="dxa"/>
              <w:bottom w:w="5" w:type="dxa"/>
              <w:right w:w="5" w:type="dxa"/>
            </w:tcMar>
            <w:vAlign w:val="bottom"/>
            <w:hideMark/>
          </w:tcPr>
          <w:p w14:paraId="731BABCD" w14:textId="77777777" w:rsidR="00954279" w:rsidRDefault="00A66714">
            <w:pPr>
              <w:rPr>
                <w:color w:val="000000"/>
                <w:sz w:val="20"/>
                <w:szCs w:val="20"/>
              </w:rPr>
            </w:pPr>
            <w:r>
              <w:rPr>
                <w:color w:val="000000"/>
                <w:sz w:val="20"/>
                <w:szCs w:val="20"/>
              </w:rPr>
              <w:t> </w:t>
            </w:r>
          </w:p>
        </w:tc>
        <w:tc>
          <w:tcPr>
            <w:tcW w:w="719" w:type="dxa"/>
            <w:tcMar>
              <w:top w:w="5" w:type="dxa"/>
              <w:left w:w="5" w:type="dxa"/>
              <w:bottom w:w="5" w:type="dxa"/>
              <w:right w:w="5" w:type="dxa"/>
            </w:tcMar>
            <w:vAlign w:val="bottom"/>
            <w:hideMark/>
          </w:tcPr>
          <w:p w14:paraId="079ADF79" w14:textId="77777777" w:rsidR="00954279" w:rsidRDefault="00A66714">
            <w:pPr>
              <w:jc w:val="right"/>
              <w:rPr>
                <w:color w:val="000000"/>
                <w:sz w:val="20"/>
                <w:szCs w:val="20"/>
              </w:rPr>
            </w:pPr>
            <w:r>
              <w:rPr>
                <w:b/>
                <w:bCs/>
                <w:color w:val="000000"/>
                <w:sz w:val="20"/>
                <w:szCs w:val="20"/>
              </w:rPr>
              <w:t>-</w:t>
            </w:r>
          </w:p>
        </w:tc>
        <w:tc>
          <w:tcPr>
            <w:tcW w:w="77" w:type="dxa"/>
            <w:noWrap/>
            <w:tcMar>
              <w:top w:w="5" w:type="dxa"/>
              <w:left w:w="5" w:type="dxa"/>
              <w:bottom w:w="5" w:type="dxa"/>
              <w:right w:w="5" w:type="dxa"/>
            </w:tcMar>
            <w:vAlign w:val="bottom"/>
            <w:hideMark/>
          </w:tcPr>
          <w:p w14:paraId="5B7BCC25" w14:textId="77777777" w:rsidR="00954279" w:rsidRDefault="00A66714">
            <w:pPr>
              <w:rPr>
                <w:color w:val="000000"/>
                <w:sz w:val="20"/>
                <w:szCs w:val="20"/>
              </w:rPr>
            </w:pPr>
            <w:r>
              <w:rPr>
                <w:color w:val="000000"/>
                <w:sz w:val="20"/>
                <w:szCs w:val="20"/>
              </w:rPr>
              <w:t> </w:t>
            </w:r>
          </w:p>
        </w:tc>
        <w:tc>
          <w:tcPr>
            <w:tcW w:w="65" w:type="dxa"/>
            <w:tcMar>
              <w:top w:w="5" w:type="dxa"/>
              <w:left w:w="5" w:type="dxa"/>
              <w:bottom w:w="5" w:type="dxa"/>
              <w:right w:w="5" w:type="dxa"/>
            </w:tcMar>
            <w:vAlign w:val="bottom"/>
            <w:hideMark/>
          </w:tcPr>
          <w:p w14:paraId="37538135" w14:textId="77777777" w:rsidR="00954279" w:rsidRDefault="00A66714">
            <w:pPr>
              <w:rPr>
                <w:color w:val="000000"/>
                <w:sz w:val="20"/>
                <w:szCs w:val="20"/>
              </w:rPr>
            </w:pPr>
            <w:r>
              <w:rPr>
                <w:color w:val="000000"/>
                <w:sz w:val="20"/>
                <w:szCs w:val="20"/>
              </w:rPr>
              <w:t> </w:t>
            </w:r>
          </w:p>
        </w:tc>
        <w:tc>
          <w:tcPr>
            <w:tcW w:w="74" w:type="dxa"/>
            <w:tcMar>
              <w:top w:w="5" w:type="dxa"/>
              <w:left w:w="5" w:type="dxa"/>
              <w:bottom w:w="5" w:type="dxa"/>
              <w:right w:w="5" w:type="dxa"/>
            </w:tcMar>
            <w:vAlign w:val="bottom"/>
            <w:hideMark/>
          </w:tcPr>
          <w:p w14:paraId="199098F6" w14:textId="77777777" w:rsidR="00954279" w:rsidRDefault="00A66714">
            <w:pPr>
              <w:rPr>
                <w:color w:val="000000"/>
                <w:sz w:val="20"/>
                <w:szCs w:val="20"/>
              </w:rPr>
            </w:pPr>
            <w:r>
              <w:rPr>
                <w:color w:val="000000"/>
                <w:sz w:val="20"/>
                <w:szCs w:val="20"/>
              </w:rPr>
              <w:t> </w:t>
            </w:r>
          </w:p>
        </w:tc>
        <w:tc>
          <w:tcPr>
            <w:tcW w:w="716" w:type="dxa"/>
            <w:tcMar>
              <w:top w:w="5" w:type="dxa"/>
              <w:left w:w="5" w:type="dxa"/>
              <w:bottom w:w="5" w:type="dxa"/>
              <w:right w:w="5" w:type="dxa"/>
            </w:tcMar>
            <w:vAlign w:val="bottom"/>
            <w:hideMark/>
          </w:tcPr>
          <w:p w14:paraId="5B48CC83" w14:textId="77777777" w:rsidR="00954279" w:rsidRDefault="00A66714">
            <w:pPr>
              <w:jc w:val="right"/>
              <w:rPr>
                <w:color w:val="000000"/>
                <w:sz w:val="20"/>
                <w:szCs w:val="20"/>
              </w:rPr>
            </w:pPr>
            <w:r>
              <w:rPr>
                <w:b/>
                <w:bCs/>
                <w:color w:val="000000"/>
                <w:sz w:val="20"/>
                <w:szCs w:val="20"/>
              </w:rPr>
              <w:t>-</w:t>
            </w:r>
          </w:p>
        </w:tc>
        <w:tc>
          <w:tcPr>
            <w:tcW w:w="77" w:type="dxa"/>
            <w:noWrap/>
            <w:tcMar>
              <w:top w:w="5" w:type="dxa"/>
              <w:left w:w="5" w:type="dxa"/>
              <w:bottom w:w="5" w:type="dxa"/>
              <w:right w:w="5" w:type="dxa"/>
            </w:tcMar>
            <w:vAlign w:val="bottom"/>
            <w:hideMark/>
          </w:tcPr>
          <w:p w14:paraId="12DAB1CF" w14:textId="77777777" w:rsidR="00954279" w:rsidRDefault="00A66714">
            <w:pPr>
              <w:rPr>
                <w:color w:val="000000"/>
                <w:sz w:val="20"/>
                <w:szCs w:val="20"/>
              </w:rPr>
            </w:pPr>
            <w:r>
              <w:rPr>
                <w:color w:val="000000"/>
                <w:sz w:val="20"/>
                <w:szCs w:val="20"/>
              </w:rPr>
              <w:t> </w:t>
            </w:r>
          </w:p>
        </w:tc>
        <w:tc>
          <w:tcPr>
            <w:tcW w:w="65" w:type="dxa"/>
            <w:tcMar>
              <w:top w:w="5" w:type="dxa"/>
              <w:left w:w="5" w:type="dxa"/>
              <w:bottom w:w="5" w:type="dxa"/>
              <w:right w:w="5" w:type="dxa"/>
            </w:tcMar>
            <w:vAlign w:val="bottom"/>
            <w:hideMark/>
          </w:tcPr>
          <w:p w14:paraId="6AE3FB1C" w14:textId="77777777" w:rsidR="00954279" w:rsidRDefault="00A66714">
            <w:pPr>
              <w:rPr>
                <w:color w:val="000000"/>
                <w:sz w:val="20"/>
                <w:szCs w:val="20"/>
              </w:rPr>
            </w:pPr>
            <w:r>
              <w:rPr>
                <w:color w:val="000000"/>
                <w:sz w:val="20"/>
                <w:szCs w:val="20"/>
              </w:rPr>
              <w:t> </w:t>
            </w:r>
          </w:p>
        </w:tc>
        <w:tc>
          <w:tcPr>
            <w:tcW w:w="111" w:type="dxa"/>
            <w:tcMar>
              <w:top w:w="5" w:type="dxa"/>
              <w:left w:w="5" w:type="dxa"/>
              <w:bottom w:w="5" w:type="dxa"/>
              <w:right w:w="5" w:type="dxa"/>
            </w:tcMar>
            <w:vAlign w:val="bottom"/>
            <w:hideMark/>
          </w:tcPr>
          <w:p w14:paraId="472541C1" w14:textId="77777777" w:rsidR="00954279" w:rsidRDefault="00A66714">
            <w:pPr>
              <w:rPr>
                <w:color w:val="000000"/>
                <w:sz w:val="20"/>
                <w:szCs w:val="20"/>
              </w:rPr>
            </w:pPr>
            <w:r>
              <w:rPr>
                <w:color w:val="000000"/>
                <w:sz w:val="20"/>
                <w:szCs w:val="20"/>
              </w:rPr>
              <w:t> </w:t>
            </w:r>
          </w:p>
        </w:tc>
        <w:tc>
          <w:tcPr>
            <w:tcW w:w="719" w:type="dxa"/>
            <w:tcMar>
              <w:top w:w="5" w:type="dxa"/>
              <w:left w:w="5" w:type="dxa"/>
              <w:bottom w:w="5" w:type="dxa"/>
              <w:right w:w="5" w:type="dxa"/>
            </w:tcMar>
            <w:vAlign w:val="bottom"/>
            <w:hideMark/>
          </w:tcPr>
          <w:p w14:paraId="7B586832" w14:textId="77777777" w:rsidR="00954279" w:rsidRDefault="00A66714">
            <w:pPr>
              <w:jc w:val="right"/>
              <w:rPr>
                <w:color w:val="000000"/>
                <w:sz w:val="20"/>
                <w:szCs w:val="20"/>
              </w:rPr>
            </w:pPr>
            <w:r>
              <w:rPr>
                <w:b/>
                <w:bCs/>
                <w:color w:val="000000"/>
                <w:sz w:val="20"/>
                <w:szCs w:val="20"/>
              </w:rPr>
              <w:t>-</w:t>
            </w:r>
          </w:p>
        </w:tc>
        <w:tc>
          <w:tcPr>
            <w:tcW w:w="77" w:type="dxa"/>
            <w:noWrap/>
            <w:tcMar>
              <w:top w:w="5" w:type="dxa"/>
              <w:left w:w="5" w:type="dxa"/>
              <w:bottom w:w="5" w:type="dxa"/>
              <w:right w:w="5" w:type="dxa"/>
            </w:tcMar>
            <w:vAlign w:val="bottom"/>
            <w:hideMark/>
          </w:tcPr>
          <w:p w14:paraId="09A23343" w14:textId="77777777" w:rsidR="00954279" w:rsidRDefault="00A66714">
            <w:pPr>
              <w:rPr>
                <w:color w:val="000000"/>
                <w:sz w:val="20"/>
                <w:szCs w:val="20"/>
              </w:rPr>
            </w:pPr>
            <w:r>
              <w:rPr>
                <w:color w:val="000000"/>
                <w:sz w:val="20"/>
                <w:szCs w:val="20"/>
              </w:rPr>
              <w:t> </w:t>
            </w:r>
          </w:p>
        </w:tc>
        <w:tc>
          <w:tcPr>
            <w:tcW w:w="65" w:type="dxa"/>
            <w:tcMar>
              <w:top w:w="5" w:type="dxa"/>
              <w:left w:w="5" w:type="dxa"/>
              <w:bottom w:w="5" w:type="dxa"/>
              <w:right w:w="5" w:type="dxa"/>
            </w:tcMar>
            <w:vAlign w:val="bottom"/>
            <w:hideMark/>
          </w:tcPr>
          <w:p w14:paraId="2E9556CD" w14:textId="77777777" w:rsidR="00954279" w:rsidRDefault="00A66714">
            <w:pPr>
              <w:rPr>
                <w:color w:val="000000"/>
                <w:sz w:val="20"/>
                <w:szCs w:val="20"/>
              </w:rPr>
            </w:pPr>
            <w:r>
              <w:rPr>
                <w:color w:val="000000"/>
                <w:sz w:val="20"/>
                <w:szCs w:val="20"/>
              </w:rPr>
              <w:t> </w:t>
            </w:r>
          </w:p>
        </w:tc>
        <w:tc>
          <w:tcPr>
            <w:tcW w:w="168" w:type="dxa"/>
            <w:tcMar>
              <w:top w:w="5" w:type="dxa"/>
              <w:left w:w="5" w:type="dxa"/>
              <w:bottom w:w="5" w:type="dxa"/>
              <w:right w:w="5" w:type="dxa"/>
            </w:tcMar>
            <w:vAlign w:val="bottom"/>
            <w:hideMark/>
          </w:tcPr>
          <w:p w14:paraId="322FB890" w14:textId="77777777" w:rsidR="00954279" w:rsidRDefault="00A66714">
            <w:pPr>
              <w:rPr>
                <w:color w:val="000000"/>
                <w:sz w:val="20"/>
                <w:szCs w:val="20"/>
              </w:rPr>
            </w:pPr>
            <w:r>
              <w:rPr>
                <w:color w:val="000000"/>
                <w:sz w:val="20"/>
                <w:szCs w:val="20"/>
              </w:rPr>
              <w:t> </w:t>
            </w:r>
          </w:p>
        </w:tc>
        <w:tc>
          <w:tcPr>
            <w:tcW w:w="1176" w:type="dxa"/>
            <w:tcMar>
              <w:top w:w="5" w:type="dxa"/>
              <w:left w:w="5" w:type="dxa"/>
              <w:bottom w:w="5" w:type="dxa"/>
              <w:right w:w="5" w:type="dxa"/>
            </w:tcMar>
            <w:vAlign w:val="bottom"/>
            <w:hideMark/>
          </w:tcPr>
          <w:p w14:paraId="6BC827BA" w14:textId="77777777" w:rsidR="00954279" w:rsidRDefault="00A66714">
            <w:pPr>
              <w:jc w:val="right"/>
              <w:rPr>
                <w:color w:val="000000"/>
                <w:sz w:val="20"/>
                <w:szCs w:val="20"/>
              </w:rPr>
            </w:pPr>
            <w:r>
              <w:rPr>
                <w:b/>
                <w:bCs/>
                <w:color w:val="000000"/>
                <w:sz w:val="20"/>
                <w:szCs w:val="20"/>
              </w:rPr>
              <w:t>2</w:t>
            </w:r>
          </w:p>
        </w:tc>
        <w:tc>
          <w:tcPr>
            <w:tcW w:w="77" w:type="dxa"/>
            <w:noWrap/>
            <w:tcMar>
              <w:top w:w="5" w:type="dxa"/>
              <w:left w:w="5" w:type="dxa"/>
              <w:bottom w:w="5" w:type="dxa"/>
              <w:right w:w="5" w:type="dxa"/>
            </w:tcMar>
            <w:vAlign w:val="bottom"/>
            <w:hideMark/>
          </w:tcPr>
          <w:p w14:paraId="78A90C58" w14:textId="77777777" w:rsidR="00954279" w:rsidRDefault="00A66714">
            <w:pPr>
              <w:rPr>
                <w:color w:val="000000"/>
                <w:sz w:val="20"/>
                <w:szCs w:val="20"/>
              </w:rPr>
            </w:pPr>
            <w:r>
              <w:rPr>
                <w:color w:val="000000"/>
                <w:sz w:val="20"/>
                <w:szCs w:val="20"/>
              </w:rPr>
              <w:t> </w:t>
            </w:r>
          </w:p>
        </w:tc>
        <w:tc>
          <w:tcPr>
            <w:tcW w:w="65" w:type="dxa"/>
            <w:tcMar>
              <w:top w:w="5" w:type="dxa"/>
              <w:left w:w="5" w:type="dxa"/>
              <w:bottom w:w="5" w:type="dxa"/>
              <w:right w:w="5" w:type="dxa"/>
            </w:tcMar>
            <w:vAlign w:val="bottom"/>
            <w:hideMark/>
          </w:tcPr>
          <w:p w14:paraId="084B7CE4" w14:textId="77777777" w:rsidR="00954279" w:rsidRDefault="00A66714">
            <w:pPr>
              <w:rPr>
                <w:color w:val="000000"/>
                <w:sz w:val="20"/>
                <w:szCs w:val="20"/>
              </w:rPr>
            </w:pPr>
            <w:r>
              <w:rPr>
                <w:color w:val="000000"/>
                <w:sz w:val="20"/>
                <w:szCs w:val="20"/>
              </w:rPr>
              <w:t> </w:t>
            </w:r>
          </w:p>
        </w:tc>
        <w:tc>
          <w:tcPr>
            <w:tcW w:w="148" w:type="dxa"/>
            <w:tcMar>
              <w:top w:w="5" w:type="dxa"/>
              <w:left w:w="5" w:type="dxa"/>
              <w:bottom w:w="5" w:type="dxa"/>
              <w:right w:w="5" w:type="dxa"/>
            </w:tcMar>
            <w:vAlign w:val="bottom"/>
            <w:hideMark/>
          </w:tcPr>
          <w:p w14:paraId="5302E01D" w14:textId="77777777" w:rsidR="00954279" w:rsidRDefault="00A66714">
            <w:pPr>
              <w:rPr>
                <w:color w:val="000000"/>
                <w:sz w:val="20"/>
                <w:szCs w:val="20"/>
              </w:rPr>
            </w:pPr>
            <w:r>
              <w:rPr>
                <w:color w:val="000000"/>
                <w:sz w:val="20"/>
                <w:szCs w:val="20"/>
              </w:rPr>
              <w:t> </w:t>
            </w:r>
          </w:p>
        </w:tc>
        <w:tc>
          <w:tcPr>
            <w:tcW w:w="1029" w:type="dxa"/>
            <w:tcMar>
              <w:top w:w="5" w:type="dxa"/>
              <w:left w:w="5" w:type="dxa"/>
              <w:bottom w:w="5" w:type="dxa"/>
              <w:right w:w="5" w:type="dxa"/>
            </w:tcMar>
            <w:vAlign w:val="bottom"/>
            <w:hideMark/>
          </w:tcPr>
          <w:p w14:paraId="305C9599" w14:textId="77777777" w:rsidR="00954279" w:rsidRDefault="00A66714">
            <w:pPr>
              <w:jc w:val="right"/>
              <w:rPr>
                <w:color w:val="000000"/>
                <w:sz w:val="20"/>
                <w:szCs w:val="20"/>
              </w:rPr>
            </w:pPr>
            <w:r>
              <w:rPr>
                <w:b/>
                <w:bCs/>
                <w:color w:val="000000"/>
                <w:sz w:val="20"/>
                <w:szCs w:val="20"/>
              </w:rPr>
              <w:t>2</w:t>
            </w:r>
          </w:p>
        </w:tc>
        <w:tc>
          <w:tcPr>
            <w:tcW w:w="77" w:type="dxa"/>
            <w:noWrap/>
            <w:tcMar>
              <w:top w:w="5" w:type="dxa"/>
              <w:left w:w="5" w:type="dxa"/>
              <w:bottom w:w="5" w:type="dxa"/>
              <w:right w:w="5" w:type="dxa"/>
            </w:tcMar>
            <w:vAlign w:val="bottom"/>
            <w:hideMark/>
          </w:tcPr>
          <w:p w14:paraId="6AE3D8FC" w14:textId="77777777" w:rsidR="00954279" w:rsidRDefault="00A66714">
            <w:pPr>
              <w:rPr>
                <w:color w:val="000000"/>
                <w:sz w:val="20"/>
                <w:szCs w:val="20"/>
              </w:rPr>
            </w:pPr>
            <w:r>
              <w:rPr>
                <w:color w:val="000000"/>
                <w:sz w:val="20"/>
                <w:szCs w:val="20"/>
              </w:rPr>
              <w:t> </w:t>
            </w:r>
          </w:p>
        </w:tc>
      </w:tr>
      <w:tr w:rsidR="00954279" w14:paraId="0218C487" w14:textId="77777777" w:rsidTr="00717712">
        <w:tc>
          <w:tcPr>
            <w:tcW w:w="2678" w:type="dxa"/>
            <w:tcMar>
              <w:top w:w="5" w:type="dxa"/>
              <w:left w:w="5" w:type="dxa"/>
              <w:bottom w:w="5" w:type="dxa"/>
              <w:right w:w="5" w:type="dxa"/>
            </w:tcMar>
            <w:vAlign w:val="bottom"/>
            <w:hideMark/>
          </w:tcPr>
          <w:p w14:paraId="4D489032" w14:textId="77777777" w:rsidR="00954279" w:rsidRDefault="00A66714">
            <w:pPr>
              <w:ind w:left="180"/>
              <w:rPr>
                <w:color w:val="000000"/>
                <w:sz w:val="20"/>
                <w:szCs w:val="20"/>
              </w:rPr>
            </w:pPr>
            <w:r>
              <w:rPr>
                <w:color w:val="000000"/>
                <w:sz w:val="20"/>
                <w:szCs w:val="20"/>
              </w:rPr>
              <w:t>Equity-based compensation expense</w:t>
            </w:r>
          </w:p>
        </w:tc>
        <w:tc>
          <w:tcPr>
            <w:tcW w:w="60" w:type="dxa"/>
            <w:tcMar>
              <w:top w:w="5" w:type="dxa"/>
              <w:left w:w="5" w:type="dxa"/>
              <w:bottom w:w="5" w:type="dxa"/>
              <w:right w:w="5" w:type="dxa"/>
            </w:tcMar>
            <w:vAlign w:val="bottom"/>
            <w:hideMark/>
          </w:tcPr>
          <w:p w14:paraId="73D09BF0" w14:textId="77777777" w:rsidR="00954279" w:rsidRDefault="00A66714">
            <w:pPr>
              <w:rPr>
                <w:color w:val="000000"/>
                <w:sz w:val="20"/>
                <w:szCs w:val="20"/>
              </w:rPr>
            </w:pPr>
            <w:r>
              <w:rPr>
                <w:color w:val="000000"/>
                <w:sz w:val="20"/>
                <w:szCs w:val="20"/>
              </w:rPr>
              <w:t> </w:t>
            </w:r>
          </w:p>
        </w:tc>
        <w:tc>
          <w:tcPr>
            <w:tcW w:w="74" w:type="dxa"/>
            <w:tcMar>
              <w:top w:w="5" w:type="dxa"/>
              <w:left w:w="5" w:type="dxa"/>
              <w:bottom w:w="5" w:type="dxa"/>
              <w:right w:w="5" w:type="dxa"/>
            </w:tcMar>
            <w:vAlign w:val="bottom"/>
            <w:hideMark/>
          </w:tcPr>
          <w:p w14:paraId="24FB34DC" w14:textId="77777777" w:rsidR="00954279" w:rsidRDefault="00A66714">
            <w:pPr>
              <w:rPr>
                <w:color w:val="000000"/>
                <w:sz w:val="20"/>
                <w:szCs w:val="20"/>
              </w:rPr>
            </w:pPr>
            <w:r>
              <w:rPr>
                <w:color w:val="000000"/>
                <w:sz w:val="20"/>
                <w:szCs w:val="20"/>
              </w:rPr>
              <w:t> </w:t>
            </w:r>
          </w:p>
        </w:tc>
        <w:tc>
          <w:tcPr>
            <w:tcW w:w="713" w:type="dxa"/>
            <w:tcMar>
              <w:top w:w="5" w:type="dxa"/>
              <w:left w:w="5" w:type="dxa"/>
              <w:bottom w:w="5" w:type="dxa"/>
              <w:right w:w="5" w:type="dxa"/>
            </w:tcMar>
            <w:vAlign w:val="bottom"/>
            <w:hideMark/>
          </w:tcPr>
          <w:p w14:paraId="54279A56" w14:textId="77777777" w:rsidR="00954279" w:rsidRDefault="00A66714">
            <w:pPr>
              <w:jc w:val="right"/>
              <w:rPr>
                <w:color w:val="000000"/>
                <w:sz w:val="20"/>
                <w:szCs w:val="20"/>
              </w:rPr>
            </w:pPr>
            <w:r>
              <w:rPr>
                <w:b/>
                <w:bCs/>
                <w:color w:val="000000"/>
                <w:sz w:val="20"/>
                <w:szCs w:val="20"/>
              </w:rPr>
              <w:t>-</w:t>
            </w:r>
          </w:p>
        </w:tc>
        <w:tc>
          <w:tcPr>
            <w:tcW w:w="69" w:type="dxa"/>
            <w:noWrap/>
            <w:tcMar>
              <w:top w:w="5" w:type="dxa"/>
              <w:left w:w="5" w:type="dxa"/>
              <w:bottom w:w="5" w:type="dxa"/>
              <w:right w:w="5" w:type="dxa"/>
            </w:tcMar>
            <w:vAlign w:val="bottom"/>
            <w:hideMark/>
          </w:tcPr>
          <w:p w14:paraId="0E58BAD9" w14:textId="77777777" w:rsidR="00954279" w:rsidRDefault="00A66714">
            <w:pPr>
              <w:rPr>
                <w:color w:val="000000"/>
                <w:sz w:val="20"/>
                <w:szCs w:val="20"/>
              </w:rPr>
            </w:pPr>
            <w:r>
              <w:rPr>
                <w:color w:val="000000"/>
                <w:sz w:val="20"/>
                <w:szCs w:val="20"/>
              </w:rPr>
              <w:t> </w:t>
            </w:r>
          </w:p>
        </w:tc>
        <w:tc>
          <w:tcPr>
            <w:tcW w:w="69" w:type="dxa"/>
            <w:tcMar>
              <w:top w:w="5" w:type="dxa"/>
              <w:left w:w="5" w:type="dxa"/>
              <w:bottom w:w="5" w:type="dxa"/>
              <w:right w:w="5" w:type="dxa"/>
            </w:tcMar>
            <w:vAlign w:val="bottom"/>
            <w:hideMark/>
          </w:tcPr>
          <w:p w14:paraId="7D04D5FE" w14:textId="77777777" w:rsidR="00954279" w:rsidRDefault="00A66714">
            <w:pPr>
              <w:rPr>
                <w:color w:val="000000"/>
                <w:sz w:val="20"/>
                <w:szCs w:val="20"/>
              </w:rPr>
            </w:pPr>
            <w:r>
              <w:rPr>
                <w:color w:val="000000"/>
                <w:sz w:val="20"/>
                <w:szCs w:val="20"/>
              </w:rPr>
              <w:t> </w:t>
            </w:r>
          </w:p>
        </w:tc>
        <w:tc>
          <w:tcPr>
            <w:tcW w:w="111" w:type="dxa"/>
            <w:tcMar>
              <w:top w:w="5" w:type="dxa"/>
              <w:left w:w="5" w:type="dxa"/>
              <w:bottom w:w="5" w:type="dxa"/>
              <w:right w:w="5" w:type="dxa"/>
            </w:tcMar>
            <w:vAlign w:val="bottom"/>
            <w:hideMark/>
          </w:tcPr>
          <w:p w14:paraId="3D927632" w14:textId="77777777" w:rsidR="00954279" w:rsidRDefault="00A66714">
            <w:pPr>
              <w:rPr>
                <w:color w:val="000000"/>
                <w:sz w:val="20"/>
                <w:szCs w:val="20"/>
              </w:rPr>
            </w:pPr>
            <w:r>
              <w:rPr>
                <w:color w:val="000000"/>
                <w:sz w:val="20"/>
                <w:szCs w:val="20"/>
              </w:rPr>
              <w:t> </w:t>
            </w:r>
          </w:p>
        </w:tc>
        <w:tc>
          <w:tcPr>
            <w:tcW w:w="717" w:type="dxa"/>
            <w:tcMar>
              <w:top w:w="5" w:type="dxa"/>
              <w:left w:w="5" w:type="dxa"/>
              <w:bottom w:w="5" w:type="dxa"/>
              <w:right w:w="5" w:type="dxa"/>
            </w:tcMar>
            <w:vAlign w:val="bottom"/>
            <w:hideMark/>
          </w:tcPr>
          <w:p w14:paraId="36CD3EFF" w14:textId="77777777" w:rsidR="00954279" w:rsidRDefault="00A66714">
            <w:pPr>
              <w:jc w:val="right"/>
              <w:rPr>
                <w:color w:val="000000"/>
                <w:sz w:val="20"/>
                <w:szCs w:val="20"/>
              </w:rPr>
            </w:pPr>
            <w:r>
              <w:rPr>
                <w:b/>
                <w:bCs/>
                <w:color w:val="000000"/>
                <w:sz w:val="20"/>
                <w:szCs w:val="20"/>
              </w:rPr>
              <w:t>-</w:t>
            </w:r>
          </w:p>
        </w:tc>
        <w:tc>
          <w:tcPr>
            <w:tcW w:w="69" w:type="dxa"/>
            <w:noWrap/>
            <w:tcMar>
              <w:top w:w="5" w:type="dxa"/>
              <w:left w:w="5" w:type="dxa"/>
              <w:bottom w:w="5" w:type="dxa"/>
              <w:right w:w="5" w:type="dxa"/>
            </w:tcMar>
            <w:vAlign w:val="bottom"/>
            <w:hideMark/>
          </w:tcPr>
          <w:p w14:paraId="7AF68683" w14:textId="77777777" w:rsidR="00954279" w:rsidRDefault="00A66714">
            <w:pPr>
              <w:rPr>
                <w:color w:val="000000"/>
                <w:sz w:val="20"/>
                <w:szCs w:val="20"/>
              </w:rPr>
            </w:pPr>
            <w:r>
              <w:rPr>
                <w:color w:val="000000"/>
                <w:sz w:val="20"/>
                <w:szCs w:val="20"/>
              </w:rPr>
              <w:t> </w:t>
            </w:r>
          </w:p>
        </w:tc>
        <w:tc>
          <w:tcPr>
            <w:tcW w:w="70" w:type="dxa"/>
            <w:tcMar>
              <w:top w:w="5" w:type="dxa"/>
              <w:left w:w="5" w:type="dxa"/>
              <w:bottom w:w="5" w:type="dxa"/>
              <w:right w:w="5" w:type="dxa"/>
            </w:tcMar>
            <w:vAlign w:val="bottom"/>
            <w:hideMark/>
          </w:tcPr>
          <w:p w14:paraId="5E935389" w14:textId="77777777" w:rsidR="00954279" w:rsidRDefault="00A66714">
            <w:pPr>
              <w:rPr>
                <w:color w:val="000000"/>
                <w:sz w:val="20"/>
                <w:szCs w:val="20"/>
              </w:rPr>
            </w:pPr>
            <w:r>
              <w:rPr>
                <w:color w:val="000000"/>
                <w:sz w:val="20"/>
                <w:szCs w:val="20"/>
              </w:rPr>
              <w:t> </w:t>
            </w:r>
          </w:p>
        </w:tc>
        <w:tc>
          <w:tcPr>
            <w:tcW w:w="116" w:type="dxa"/>
            <w:tcMar>
              <w:top w:w="5" w:type="dxa"/>
              <w:left w:w="5" w:type="dxa"/>
              <w:bottom w:w="5" w:type="dxa"/>
              <w:right w:w="5" w:type="dxa"/>
            </w:tcMar>
            <w:vAlign w:val="bottom"/>
            <w:hideMark/>
          </w:tcPr>
          <w:p w14:paraId="54F8AA07" w14:textId="77777777" w:rsidR="00954279" w:rsidRDefault="00A66714">
            <w:pPr>
              <w:rPr>
                <w:color w:val="000000"/>
                <w:sz w:val="20"/>
                <w:szCs w:val="20"/>
              </w:rPr>
            </w:pPr>
            <w:r>
              <w:rPr>
                <w:color w:val="000000"/>
                <w:sz w:val="20"/>
                <w:szCs w:val="20"/>
              </w:rPr>
              <w:t> </w:t>
            </w:r>
          </w:p>
        </w:tc>
        <w:tc>
          <w:tcPr>
            <w:tcW w:w="806" w:type="dxa"/>
            <w:tcMar>
              <w:top w:w="5" w:type="dxa"/>
              <w:left w:w="5" w:type="dxa"/>
              <w:bottom w:w="5" w:type="dxa"/>
              <w:right w:w="5" w:type="dxa"/>
            </w:tcMar>
            <w:vAlign w:val="bottom"/>
            <w:hideMark/>
          </w:tcPr>
          <w:p w14:paraId="629FA0AA" w14:textId="77777777" w:rsidR="00954279" w:rsidRDefault="00A66714">
            <w:pPr>
              <w:jc w:val="right"/>
              <w:rPr>
                <w:color w:val="000000"/>
                <w:sz w:val="20"/>
                <w:szCs w:val="20"/>
              </w:rPr>
            </w:pPr>
            <w:r>
              <w:rPr>
                <w:b/>
                <w:bCs/>
                <w:color w:val="000000"/>
                <w:sz w:val="20"/>
                <w:szCs w:val="20"/>
              </w:rPr>
              <w:t>2</w:t>
            </w:r>
          </w:p>
        </w:tc>
        <w:tc>
          <w:tcPr>
            <w:tcW w:w="77" w:type="dxa"/>
            <w:noWrap/>
            <w:tcMar>
              <w:top w:w="5" w:type="dxa"/>
              <w:left w:w="5" w:type="dxa"/>
              <w:bottom w:w="5" w:type="dxa"/>
              <w:right w:w="5" w:type="dxa"/>
            </w:tcMar>
            <w:vAlign w:val="bottom"/>
            <w:hideMark/>
          </w:tcPr>
          <w:p w14:paraId="20E37699" w14:textId="77777777" w:rsidR="00954279" w:rsidRDefault="00A66714">
            <w:pPr>
              <w:rPr>
                <w:color w:val="000000"/>
                <w:sz w:val="20"/>
                <w:szCs w:val="20"/>
              </w:rPr>
            </w:pPr>
            <w:r>
              <w:rPr>
                <w:color w:val="000000"/>
                <w:sz w:val="20"/>
                <w:szCs w:val="20"/>
              </w:rPr>
              <w:t> </w:t>
            </w:r>
          </w:p>
        </w:tc>
        <w:tc>
          <w:tcPr>
            <w:tcW w:w="64" w:type="dxa"/>
            <w:tcMar>
              <w:top w:w="5" w:type="dxa"/>
              <w:left w:w="5" w:type="dxa"/>
              <w:bottom w:w="5" w:type="dxa"/>
              <w:right w:w="5" w:type="dxa"/>
            </w:tcMar>
            <w:vAlign w:val="bottom"/>
            <w:hideMark/>
          </w:tcPr>
          <w:p w14:paraId="51498115" w14:textId="77777777" w:rsidR="00954279" w:rsidRDefault="00A66714">
            <w:pPr>
              <w:rPr>
                <w:color w:val="000000"/>
                <w:sz w:val="20"/>
                <w:szCs w:val="20"/>
              </w:rPr>
            </w:pPr>
            <w:r>
              <w:rPr>
                <w:color w:val="000000"/>
                <w:sz w:val="20"/>
                <w:szCs w:val="20"/>
              </w:rPr>
              <w:t> </w:t>
            </w:r>
          </w:p>
        </w:tc>
        <w:tc>
          <w:tcPr>
            <w:tcW w:w="111" w:type="dxa"/>
            <w:tcMar>
              <w:top w:w="5" w:type="dxa"/>
              <w:left w:w="5" w:type="dxa"/>
              <w:bottom w:w="5" w:type="dxa"/>
              <w:right w:w="5" w:type="dxa"/>
            </w:tcMar>
            <w:vAlign w:val="bottom"/>
            <w:hideMark/>
          </w:tcPr>
          <w:p w14:paraId="0BE9D0A2" w14:textId="77777777" w:rsidR="00954279" w:rsidRDefault="00A66714">
            <w:pPr>
              <w:rPr>
                <w:color w:val="000000"/>
                <w:sz w:val="20"/>
                <w:szCs w:val="20"/>
              </w:rPr>
            </w:pPr>
            <w:r>
              <w:rPr>
                <w:color w:val="000000"/>
                <w:sz w:val="20"/>
                <w:szCs w:val="20"/>
              </w:rPr>
              <w:t> </w:t>
            </w:r>
          </w:p>
        </w:tc>
        <w:tc>
          <w:tcPr>
            <w:tcW w:w="719" w:type="dxa"/>
            <w:tcMar>
              <w:top w:w="5" w:type="dxa"/>
              <w:left w:w="5" w:type="dxa"/>
              <w:bottom w:w="5" w:type="dxa"/>
              <w:right w:w="5" w:type="dxa"/>
            </w:tcMar>
            <w:vAlign w:val="bottom"/>
            <w:hideMark/>
          </w:tcPr>
          <w:p w14:paraId="23F58DB3" w14:textId="77777777" w:rsidR="00954279" w:rsidRDefault="00A66714">
            <w:pPr>
              <w:jc w:val="right"/>
              <w:rPr>
                <w:color w:val="000000"/>
                <w:sz w:val="20"/>
                <w:szCs w:val="20"/>
              </w:rPr>
            </w:pPr>
            <w:r>
              <w:rPr>
                <w:b/>
                <w:bCs/>
                <w:color w:val="000000"/>
                <w:sz w:val="20"/>
                <w:szCs w:val="20"/>
              </w:rPr>
              <w:t>-</w:t>
            </w:r>
          </w:p>
        </w:tc>
        <w:tc>
          <w:tcPr>
            <w:tcW w:w="77" w:type="dxa"/>
            <w:noWrap/>
            <w:tcMar>
              <w:top w:w="5" w:type="dxa"/>
              <w:left w:w="5" w:type="dxa"/>
              <w:bottom w:w="5" w:type="dxa"/>
              <w:right w:w="5" w:type="dxa"/>
            </w:tcMar>
            <w:vAlign w:val="bottom"/>
            <w:hideMark/>
          </w:tcPr>
          <w:p w14:paraId="1E49E45F" w14:textId="77777777" w:rsidR="00954279" w:rsidRDefault="00A66714">
            <w:pPr>
              <w:rPr>
                <w:color w:val="000000"/>
                <w:sz w:val="20"/>
                <w:szCs w:val="20"/>
              </w:rPr>
            </w:pPr>
            <w:r>
              <w:rPr>
                <w:color w:val="000000"/>
                <w:sz w:val="20"/>
                <w:szCs w:val="20"/>
              </w:rPr>
              <w:t> </w:t>
            </w:r>
          </w:p>
        </w:tc>
        <w:tc>
          <w:tcPr>
            <w:tcW w:w="65" w:type="dxa"/>
            <w:tcMar>
              <w:top w:w="5" w:type="dxa"/>
              <w:left w:w="5" w:type="dxa"/>
              <w:bottom w:w="5" w:type="dxa"/>
              <w:right w:w="5" w:type="dxa"/>
            </w:tcMar>
            <w:vAlign w:val="bottom"/>
            <w:hideMark/>
          </w:tcPr>
          <w:p w14:paraId="13CAC9E9" w14:textId="77777777" w:rsidR="00954279" w:rsidRDefault="00A66714">
            <w:pPr>
              <w:rPr>
                <w:color w:val="000000"/>
                <w:sz w:val="20"/>
                <w:szCs w:val="20"/>
              </w:rPr>
            </w:pPr>
            <w:r>
              <w:rPr>
                <w:color w:val="000000"/>
                <w:sz w:val="20"/>
                <w:szCs w:val="20"/>
              </w:rPr>
              <w:t> </w:t>
            </w:r>
          </w:p>
        </w:tc>
        <w:tc>
          <w:tcPr>
            <w:tcW w:w="74" w:type="dxa"/>
            <w:tcMar>
              <w:top w:w="5" w:type="dxa"/>
              <w:left w:w="5" w:type="dxa"/>
              <w:bottom w:w="5" w:type="dxa"/>
              <w:right w:w="5" w:type="dxa"/>
            </w:tcMar>
            <w:vAlign w:val="bottom"/>
            <w:hideMark/>
          </w:tcPr>
          <w:p w14:paraId="65B0A85D" w14:textId="77777777" w:rsidR="00954279" w:rsidRDefault="00A66714">
            <w:pPr>
              <w:rPr>
                <w:color w:val="000000"/>
                <w:sz w:val="20"/>
                <w:szCs w:val="20"/>
              </w:rPr>
            </w:pPr>
            <w:r>
              <w:rPr>
                <w:color w:val="000000"/>
                <w:sz w:val="20"/>
                <w:szCs w:val="20"/>
              </w:rPr>
              <w:t> </w:t>
            </w:r>
          </w:p>
        </w:tc>
        <w:tc>
          <w:tcPr>
            <w:tcW w:w="716" w:type="dxa"/>
            <w:tcMar>
              <w:top w:w="5" w:type="dxa"/>
              <w:left w:w="5" w:type="dxa"/>
              <w:bottom w:w="5" w:type="dxa"/>
              <w:right w:w="5" w:type="dxa"/>
            </w:tcMar>
            <w:vAlign w:val="bottom"/>
            <w:hideMark/>
          </w:tcPr>
          <w:p w14:paraId="4537E4E1" w14:textId="77777777" w:rsidR="00954279" w:rsidRDefault="00A66714">
            <w:pPr>
              <w:jc w:val="right"/>
              <w:rPr>
                <w:color w:val="000000"/>
                <w:sz w:val="20"/>
                <w:szCs w:val="20"/>
              </w:rPr>
            </w:pPr>
            <w:r>
              <w:rPr>
                <w:b/>
                <w:bCs/>
                <w:color w:val="000000"/>
                <w:sz w:val="20"/>
                <w:szCs w:val="20"/>
              </w:rPr>
              <w:t>-</w:t>
            </w:r>
          </w:p>
        </w:tc>
        <w:tc>
          <w:tcPr>
            <w:tcW w:w="77" w:type="dxa"/>
            <w:noWrap/>
            <w:tcMar>
              <w:top w:w="5" w:type="dxa"/>
              <w:left w:w="5" w:type="dxa"/>
              <w:bottom w:w="5" w:type="dxa"/>
              <w:right w:w="5" w:type="dxa"/>
            </w:tcMar>
            <w:vAlign w:val="bottom"/>
            <w:hideMark/>
          </w:tcPr>
          <w:p w14:paraId="0C547790" w14:textId="77777777" w:rsidR="00954279" w:rsidRDefault="00A66714">
            <w:pPr>
              <w:rPr>
                <w:color w:val="000000"/>
                <w:sz w:val="20"/>
                <w:szCs w:val="20"/>
              </w:rPr>
            </w:pPr>
            <w:r>
              <w:rPr>
                <w:color w:val="000000"/>
                <w:sz w:val="20"/>
                <w:szCs w:val="20"/>
              </w:rPr>
              <w:t> </w:t>
            </w:r>
          </w:p>
        </w:tc>
        <w:tc>
          <w:tcPr>
            <w:tcW w:w="65" w:type="dxa"/>
            <w:tcMar>
              <w:top w:w="5" w:type="dxa"/>
              <w:left w:w="5" w:type="dxa"/>
              <w:bottom w:w="5" w:type="dxa"/>
              <w:right w:w="5" w:type="dxa"/>
            </w:tcMar>
            <w:vAlign w:val="bottom"/>
            <w:hideMark/>
          </w:tcPr>
          <w:p w14:paraId="1F7B9167" w14:textId="77777777" w:rsidR="00954279" w:rsidRDefault="00A66714">
            <w:pPr>
              <w:rPr>
                <w:color w:val="000000"/>
                <w:sz w:val="20"/>
                <w:szCs w:val="20"/>
              </w:rPr>
            </w:pPr>
            <w:r>
              <w:rPr>
                <w:color w:val="000000"/>
                <w:sz w:val="20"/>
                <w:szCs w:val="20"/>
              </w:rPr>
              <w:t> </w:t>
            </w:r>
          </w:p>
        </w:tc>
        <w:tc>
          <w:tcPr>
            <w:tcW w:w="111" w:type="dxa"/>
            <w:tcMar>
              <w:top w:w="5" w:type="dxa"/>
              <w:left w:w="5" w:type="dxa"/>
              <w:bottom w:w="5" w:type="dxa"/>
              <w:right w:w="5" w:type="dxa"/>
            </w:tcMar>
            <w:vAlign w:val="bottom"/>
            <w:hideMark/>
          </w:tcPr>
          <w:p w14:paraId="6285D7D6" w14:textId="77777777" w:rsidR="00954279" w:rsidRDefault="00A66714">
            <w:pPr>
              <w:rPr>
                <w:color w:val="000000"/>
                <w:sz w:val="20"/>
                <w:szCs w:val="20"/>
              </w:rPr>
            </w:pPr>
            <w:r>
              <w:rPr>
                <w:color w:val="000000"/>
                <w:sz w:val="20"/>
                <w:szCs w:val="20"/>
              </w:rPr>
              <w:t> </w:t>
            </w:r>
          </w:p>
        </w:tc>
        <w:tc>
          <w:tcPr>
            <w:tcW w:w="719" w:type="dxa"/>
            <w:tcMar>
              <w:top w:w="5" w:type="dxa"/>
              <w:left w:w="5" w:type="dxa"/>
              <w:bottom w:w="5" w:type="dxa"/>
              <w:right w:w="5" w:type="dxa"/>
            </w:tcMar>
            <w:vAlign w:val="bottom"/>
            <w:hideMark/>
          </w:tcPr>
          <w:p w14:paraId="43B60828" w14:textId="77777777" w:rsidR="00954279" w:rsidRDefault="00A66714">
            <w:pPr>
              <w:jc w:val="right"/>
              <w:rPr>
                <w:color w:val="000000"/>
                <w:sz w:val="20"/>
                <w:szCs w:val="20"/>
              </w:rPr>
            </w:pPr>
            <w:r>
              <w:rPr>
                <w:b/>
                <w:bCs/>
                <w:color w:val="000000"/>
                <w:sz w:val="20"/>
                <w:szCs w:val="20"/>
              </w:rPr>
              <w:t>-</w:t>
            </w:r>
          </w:p>
        </w:tc>
        <w:tc>
          <w:tcPr>
            <w:tcW w:w="77" w:type="dxa"/>
            <w:noWrap/>
            <w:tcMar>
              <w:top w:w="5" w:type="dxa"/>
              <w:left w:w="5" w:type="dxa"/>
              <w:bottom w:w="5" w:type="dxa"/>
              <w:right w:w="5" w:type="dxa"/>
            </w:tcMar>
            <w:vAlign w:val="bottom"/>
            <w:hideMark/>
          </w:tcPr>
          <w:p w14:paraId="3963B116" w14:textId="77777777" w:rsidR="00954279" w:rsidRDefault="00A66714">
            <w:pPr>
              <w:rPr>
                <w:color w:val="000000"/>
                <w:sz w:val="20"/>
                <w:szCs w:val="20"/>
              </w:rPr>
            </w:pPr>
            <w:r>
              <w:rPr>
                <w:color w:val="000000"/>
                <w:sz w:val="20"/>
                <w:szCs w:val="20"/>
              </w:rPr>
              <w:t> </w:t>
            </w:r>
          </w:p>
        </w:tc>
        <w:tc>
          <w:tcPr>
            <w:tcW w:w="65" w:type="dxa"/>
            <w:tcMar>
              <w:top w:w="5" w:type="dxa"/>
              <w:left w:w="5" w:type="dxa"/>
              <w:bottom w:w="5" w:type="dxa"/>
              <w:right w:w="5" w:type="dxa"/>
            </w:tcMar>
            <w:vAlign w:val="bottom"/>
            <w:hideMark/>
          </w:tcPr>
          <w:p w14:paraId="408D6891" w14:textId="77777777" w:rsidR="00954279" w:rsidRDefault="00A66714">
            <w:pPr>
              <w:rPr>
                <w:color w:val="000000"/>
                <w:sz w:val="20"/>
                <w:szCs w:val="20"/>
              </w:rPr>
            </w:pPr>
            <w:r>
              <w:rPr>
                <w:color w:val="000000"/>
                <w:sz w:val="20"/>
                <w:szCs w:val="20"/>
              </w:rPr>
              <w:t> </w:t>
            </w:r>
          </w:p>
        </w:tc>
        <w:tc>
          <w:tcPr>
            <w:tcW w:w="168" w:type="dxa"/>
            <w:tcMar>
              <w:top w:w="5" w:type="dxa"/>
              <w:left w:w="5" w:type="dxa"/>
              <w:bottom w:w="5" w:type="dxa"/>
              <w:right w:w="5" w:type="dxa"/>
            </w:tcMar>
            <w:vAlign w:val="bottom"/>
            <w:hideMark/>
          </w:tcPr>
          <w:p w14:paraId="0BF158C6" w14:textId="77777777" w:rsidR="00954279" w:rsidRDefault="00A66714">
            <w:pPr>
              <w:rPr>
                <w:color w:val="000000"/>
                <w:sz w:val="20"/>
                <w:szCs w:val="20"/>
              </w:rPr>
            </w:pPr>
            <w:r>
              <w:rPr>
                <w:color w:val="000000"/>
                <w:sz w:val="20"/>
                <w:szCs w:val="20"/>
              </w:rPr>
              <w:t> </w:t>
            </w:r>
          </w:p>
        </w:tc>
        <w:tc>
          <w:tcPr>
            <w:tcW w:w="1176" w:type="dxa"/>
            <w:tcMar>
              <w:top w:w="5" w:type="dxa"/>
              <w:left w:w="5" w:type="dxa"/>
              <w:bottom w:w="5" w:type="dxa"/>
              <w:right w:w="5" w:type="dxa"/>
            </w:tcMar>
            <w:vAlign w:val="bottom"/>
            <w:hideMark/>
          </w:tcPr>
          <w:p w14:paraId="44E74C17" w14:textId="77777777" w:rsidR="00954279" w:rsidRDefault="00A66714">
            <w:pPr>
              <w:jc w:val="right"/>
              <w:rPr>
                <w:color w:val="000000"/>
                <w:sz w:val="20"/>
                <w:szCs w:val="20"/>
              </w:rPr>
            </w:pPr>
            <w:r>
              <w:rPr>
                <w:b/>
                <w:bCs/>
                <w:color w:val="000000"/>
                <w:sz w:val="20"/>
                <w:szCs w:val="20"/>
              </w:rPr>
              <w:t>-</w:t>
            </w:r>
          </w:p>
        </w:tc>
        <w:tc>
          <w:tcPr>
            <w:tcW w:w="77" w:type="dxa"/>
            <w:noWrap/>
            <w:tcMar>
              <w:top w:w="5" w:type="dxa"/>
              <w:left w:w="5" w:type="dxa"/>
              <w:bottom w:w="5" w:type="dxa"/>
              <w:right w:w="5" w:type="dxa"/>
            </w:tcMar>
            <w:vAlign w:val="bottom"/>
            <w:hideMark/>
          </w:tcPr>
          <w:p w14:paraId="785EF5FA" w14:textId="77777777" w:rsidR="00954279" w:rsidRDefault="00A66714">
            <w:pPr>
              <w:rPr>
                <w:color w:val="000000"/>
                <w:sz w:val="20"/>
                <w:szCs w:val="20"/>
              </w:rPr>
            </w:pPr>
            <w:r>
              <w:rPr>
                <w:color w:val="000000"/>
                <w:sz w:val="20"/>
                <w:szCs w:val="20"/>
              </w:rPr>
              <w:t> </w:t>
            </w:r>
          </w:p>
        </w:tc>
        <w:tc>
          <w:tcPr>
            <w:tcW w:w="65" w:type="dxa"/>
            <w:tcMar>
              <w:top w:w="5" w:type="dxa"/>
              <w:left w:w="5" w:type="dxa"/>
              <w:bottom w:w="5" w:type="dxa"/>
              <w:right w:w="5" w:type="dxa"/>
            </w:tcMar>
            <w:vAlign w:val="bottom"/>
            <w:hideMark/>
          </w:tcPr>
          <w:p w14:paraId="6E0F800A" w14:textId="77777777" w:rsidR="00954279" w:rsidRDefault="00A66714">
            <w:pPr>
              <w:rPr>
                <w:color w:val="000000"/>
                <w:sz w:val="20"/>
                <w:szCs w:val="20"/>
              </w:rPr>
            </w:pPr>
            <w:r>
              <w:rPr>
                <w:color w:val="000000"/>
                <w:sz w:val="20"/>
                <w:szCs w:val="20"/>
              </w:rPr>
              <w:t> </w:t>
            </w:r>
          </w:p>
        </w:tc>
        <w:tc>
          <w:tcPr>
            <w:tcW w:w="148" w:type="dxa"/>
            <w:tcMar>
              <w:top w:w="5" w:type="dxa"/>
              <w:left w:w="5" w:type="dxa"/>
              <w:bottom w:w="5" w:type="dxa"/>
              <w:right w:w="5" w:type="dxa"/>
            </w:tcMar>
            <w:vAlign w:val="bottom"/>
            <w:hideMark/>
          </w:tcPr>
          <w:p w14:paraId="63AFE229" w14:textId="77777777" w:rsidR="00954279" w:rsidRDefault="00A66714">
            <w:pPr>
              <w:rPr>
                <w:color w:val="000000"/>
                <w:sz w:val="20"/>
                <w:szCs w:val="20"/>
              </w:rPr>
            </w:pPr>
            <w:r>
              <w:rPr>
                <w:color w:val="000000"/>
                <w:sz w:val="20"/>
                <w:szCs w:val="20"/>
              </w:rPr>
              <w:t> </w:t>
            </w:r>
          </w:p>
        </w:tc>
        <w:tc>
          <w:tcPr>
            <w:tcW w:w="1029" w:type="dxa"/>
            <w:tcMar>
              <w:top w:w="5" w:type="dxa"/>
              <w:left w:w="5" w:type="dxa"/>
              <w:bottom w:w="5" w:type="dxa"/>
              <w:right w:w="5" w:type="dxa"/>
            </w:tcMar>
            <w:vAlign w:val="bottom"/>
            <w:hideMark/>
          </w:tcPr>
          <w:p w14:paraId="6D8439B3" w14:textId="77777777" w:rsidR="00954279" w:rsidRDefault="00A66714">
            <w:pPr>
              <w:jc w:val="right"/>
              <w:rPr>
                <w:color w:val="000000"/>
                <w:sz w:val="20"/>
                <w:szCs w:val="20"/>
              </w:rPr>
            </w:pPr>
            <w:r>
              <w:rPr>
                <w:b/>
                <w:bCs/>
                <w:color w:val="000000"/>
                <w:sz w:val="20"/>
                <w:szCs w:val="20"/>
              </w:rPr>
              <w:t>2</w:t>
            </w:r>
          </w:p>
        </w:tc>
        <w:tc>
          <w:tcPr>
            <w:tcW w:w="77" w:type="dxa"/>
            <w:noWrap/>
            <w:tcMar>
              <w:top w:w="5" w:type="dxa"/>
              <w:left w:w="5" w:type="dxa"/>
              <w:bottom w:w="5" w:type="dxa"/>
              <w:right w:w="5" w:type="dxa"/>
            </w:tcMar>
            <w:vAlign w:val="bottom"/>
            <w:hideMark/>
          </w:tcPr>
          <w:p w14:paraId="04A67D12" w14:textId="77777777" w:rsidR="00954279" w:rsidRDefault="00A66714">
            <w:pPr>
              <w:rPr>
                <w:color w:val="000000"/>
                <w:sz w:val="20"/>
                <w:szCs w:val="20"/>
              </w:rPr>
            </w:pPr>
            <w:r>
              <w:rPr>
                <w:color w:val="000000"/>
                <w:sz w:val="20"/>
                <w:szCs w:val="20"/>
              </w:rPr>
              <w:t> </w:t>
            </w:r>
          </w:p>
        </w:tc>
      </w:tr>
      <w:tr w:rsidR="00954279" w14:paraId="4430EEBE" w14:textId="77777777" w:rsidTr="00717712">
        <w:tc>
          <w:tcPr>
            <w:tcW w:w="2678" w:type="dxa"/>
            <w:tcMar>
              <w:top w:w="5" w:type="dxa"/>
              <w:left w:w="5" w:type="dxa"/>
              <w:bottom w:w="5" w:type="dxa"/>
              <w:right w:w="5" w:type="dxa"/>
            </w:tcMar>
            <w:vAlign w:val="bottom"/>
            <w:hideMark/>
          </w:tcPr>
          <w:p w14:paraId="0B38303C" w14:textId="77777777" w:rsidR="00954279" w:rsidRDefault="00A66714">
            <w:pPr>
              <w:ind w:left="180"/>
              <w:rPr>
                <w:color w:val="000000"/>
                <w:sz w:val="20"/>
                <w:szCs w:val="20"/>
              </w:rPr>
            </w:pPr>
            <w:r>
              <w:rPr>
                <w:color w:val="000000"/>
                <w:sz w:val="20"/>
                <w:szCs w:val="20"/>
              </w:rPr>
              <w:t>Dividends declared on preferred stock</w:t>
            </w:r>
          </w:p>
        </w:tc>
        <w:tc>
          <w:tcPr>
            <w:tcW w:w="60" w:type="dxa"/>
            <w:tcMar>
              <w:top w:w="5" w:type="dxa"/>
              <w:left w:w="5" w:type="dxa"/>
              <w:bottom w:w="20" w:type="dxa"/>
              <w:right w:w="5" w:type="dxa"/>
            </w:tcMar>
            <w:vAlign w:val="bottom"/>
            <w:hideMark/>
          </w:tcPr>
          <w:p w14:paraId="059F2254" w14:textId="77777777" w:rsidR="00954279" w:rsidRDefault="00A66714">
            <w:pPr>
              <w:rPr>
                <w:color w:val="000000"/>
                <w:sz w:val="20"/>
                <w:szCs w:val="20"/>
              </w:rPr>
            </w:pPr>
            <w:r>
              <w:rPr>
                <w:color w:val="000000"/>
                <w:sz w:val="20"/>
                <w:szCs w:val="20"/>
              </w:rPr>
              <w:t> </w:t>
            </w:r>
          </w:p>
        </w:tc>
        <w:tc>
          <w:tcPr>
            <w:tcW w:w="74" w:type="dxa"/>
            <w:tcBorders>
              <w:bottom w:val="single" w:sz="6" w:space="0" w:color="000000"/>
            </w:tcBorders>
            <w:tcMar>
              <w:top w:w="5" w:type="dxa"/>
              <w:left w:w="5" w:type="dxa"/>
              <w:bottom w:w="8" w:type="dxa"/>
              <w:right w:w="5" w:type="dxa"/>
            </w:tcMar>
            <w:vAlign w:val="bottom"/>
            <w:hideMark/>
          </w:tcPr>
          <w:p w14:paraId="44F4A149" w14:textId="77777777" w:rsidR="00954279" w:rsidRDefault="00A66714">
            <w:pPr>
              <w:rPr>
                <w:color w:val="000000"/>
                <w:sz w:val="20"/>
                <w:szCs w:val="20"/>
              </w:rPr>
            </w:pPr>
            <w:r>
              <w:rPr>
                <w:color w:val="000000"/>
                <w:sz w:val="20"/>
                <w:szCs w:val="20"/>
              </w:rPr>
              <w:t> </w:t>
            </w:r>
          </w:p>
        </w:tc>
        <w:tc>
          <w:tcPr>
            <w:tcW w:w="713" w:type="dxa"/>
            <w:tcBorders>
              <w:bottom w:val="single" w:sz="6" w:space="0" w:color="000000"/>
            </w:tcBorders>
            <w:tcMar>
              <w:top w:w="5" w:type="dxa"/>
              <w:left w:w="5" w:type="dxa"/>
              <w:bottom w:w="8" w:type="dxa"/>
              <w:right w:w="5" w:type="dxa"/>
            </w:tcMar>
            <w:vAlign w:val="bottom"/>
            <w:hideMark/>
          </w:tcPr>
          <w:p w14:paraId="77DC419D" w14:textId="77777777" w:rsidR="00954279" w:rsidRDefault="00A66714">
            <w:pPr>
              <w:jc w:val="right"/>
              <w:rPr>
                <w:color w:val="000000"/>
                <w:sz w:val="20"/>
                <w:szCs w:val="20"/>
              </w:rPr>
            </w:pPr>
            <w:r>
              <w:rPr>
                <w:b/>
                <w:bCs/>
                <w:color w:val="000000"/>
                <w:sz w:val="20"/>
                <w:szCs w:val="20"/>
              </w:rPr>
              <w:t>-</w:t>
            </w:r>
          </w:p>
        </w:tc>
        <w:tc>
          <w:tcPr>
            <w:tcW w:w="69" w:type="dxa"/>
            <w:noWrap/>
            <w:tcMar>
              <w:top w:w="5" w:type="dxa"/>
              <w:left w:w="5" w:type="dxa"/>
              <w:bottom w:w="20" w:type="dxa"/>
              <w:right w:w="5" w:type="dxa"/>
            </w:tcMar>
            <w:vAlign w:val="bottom"/>
            <w:hideMark/>
          </w:tcPr>
          <w:p w14:paraId="57CE2403" w14:textId="77777777" w:rsidR="00954279" w:rsidRDefault="00A66714">
            <w:pPr>
              <w:rPr>
                <w:color w:val="000000"/>
                <w:sz w:val="20"/>
                <w:szCs w:val="20"/>
              </w:rPr>
            </w:pPr>
            <w:r>
              <w:rPr>
                <w:color w:val="000000"/>
                <w:sz w:val="20"/>
                <w:szCs w:val="20"/>
              </w:rPr>
              <w:t> </w:t>
            </w:r>
          </w:p>
        </w:tc>
        <w:tc>
          <w:tcPr>
            <w:tcW w:w="69" w:type="dxa"/>
            <w:tcMar>
              <w:top w:w="5" w:type="dxa"/>
              <w:left w:w="5" w:type="dxa"/>
              <w:bottom w:w="20" w:type="dxa"/>
              <w:right w:w="5" w:type="dxa"/>
            </w:tcMar>
            <w:vAlign w:val="bottom"/>
            <w:hideMark/>
          </w:tcPr>
          <w:p w14:paraId="1A486A39" w14:textId="77777777" w:rsidR="00954279" w:rsidRDefault="00A66714">
            <w:pPr>
              <w:rPr>
                <w:color w:val="000000"/>
                <w:sz w:val="20"/>
                <w:szCs w:val="20"/>
              </w:rPr>
            </w:pPr>
            <w:r>
              <w:rPr>
                <w:color w:val="000000"/>
                <w:sz w:val="20"/>
                <w:szCs w:val="20"/>
              </w:rPr>
              <w:t> </w:t>
            </w:r>
          </w:p>
        </w:tc>
        <w:tc>
          <w:tcPr>
            <w:tcW w:w="111" w:type="dxa"/>
            <w:tcBorders>
              <w:bottom w:val="single" w:sz="6" w:space="0" w:color="000000"/>
            </w:tcBorders>
            <w:tcMar>
              <w:top w:w="5" w:type="dxa"/>
              <w:left w:w="5" w:type="dxa"/>
              <w:bottom w:w="8" w:type="dxa"/>
              <w:right w:w="5" w:type="dxa"/>
            </w:tcMar>
            <w:vAlign w:val="bottom"/>
            <w:hideMark/>
          </w:tcPr>
          <w:p w14:paraId="671FCC18" w14:textId="77777777" w:rsidR="00954279" w:rsidRDefault="00A66714">
            <w:pPr>
              <w:rPr>
                <w:color w:val="000000"/>
                <w:sz w:val="20"/>
                <w:szCs w:val="20"/>
              </w:rPr>
            </w:pPr>
            <w:r>
              <w:rPr>
                <w:color w:val="000000"/>
                <w:sz w:val="20"/>
                <w:szCs w:val="20"/>
              </w:rPr>
              <w:t> </w:t>
            </w:r>
          </w:p>
        </w:tc>
        <w:tc>
          <w:tcPr>
            <w:tcW w:w="717" w:type="dxa"/>
            <w:tcBorders>
              <w:bottom w:val="single" w:sz="6" w:space="0" w:color="000000"/>
            </w:tcBorders>
            <w:tcMar>
              <w:top w:w="5" w:type="dxa"/>
              <w:left w:w="5" w:type="dxa"/>
              <w:bottom w:w="8" w:type="dxa"/>
              <w:right w:w="5" w:type="dxa"/>
            </w:tcMar>
            <w:vAlign w:val="bottom"/>
            <w:hideMark/>
          </w:tcPr>
          <w:p w14:paraId="49E5A82F" w14:textId="77777777" w:rsidR="00954279" w:rsidRDefault="00A66714">
            <w:pPr>
              <w:jc w:val="right"/>
              <w:rPr>
                <w:color w:val="000000"/>
                <w:sz w:val="20"/>
                <w:szCs w:val="20"/>
              </w:rPr>
            </w:pPr>
            <w:r>
              <w:rPr>
                <w:b/>
                <w:bCs/>
                <w:color w:val="000000"/>
                <w:sz w:val="20"/>
                <w:szCs w:val="20"/>
              </w:rPr>
              <w:t>-</w:t>
            </w:r>
          </w:p>
        </w:tc>
        <w:tc>
          <w:tcPr>
            <w:tcW w:w="69" w:type="dxa"/>
            <w:noWrap/>
            <w:tcMar>
              <w:top w:w="5" w:type="dxa"/>
              <w:left w:w="5" w:type="dxa"/>
              <w:bottom w:w="20" w:type="dxa"/>
              <w:right w:w="5" w:type="dxa"/>
            </w:tcMar>
            <w:vAlign w:val="bottom"/>
            <w:hideMark/>
          </w:tcPr>
          <w:p w14:paraId="0A71E965" w14:textId="77777777" w:rsidR="00954279" w:rsidRDefault="00A66714">
            <w:pPr>
              <w:rPr>
                <w:color w:val="000000"/>
                <w:sz w:val="20"/>
                <w:szCs w:val="20"/>
              </w:rPr>
            </w:pPr>
            <w:r>
              <w:rPr>
                <w:color w:val="000000"/>
                <w:sz w:val="20"/>
                <w:szCs w:val="20"/>
              </w:rPr>
              <w:t> </w:t>
            </w:r>
          </w:p>
        </w:tc>
        <w:tc>
          <w:tcPr>
            <w:tcW w:w="70" w:type="dxa"/>
            <w:tcMar>
              <w:top w:w="5" w:type="dxa"/>
              <w:left w:w="5" w:type="dxa"/>
              <w:bottom w:w="20" w:type="dxa"/>
              <w:right w:w="5" w:type="dxa"/>
            </w:tcMar>
            <w:vAlign w:val="bottom"/>
            <w:hideMark/>
          </w:tcPr>
          <w:p w14:paraId="4F1384C2" w14:textId="77777777" w:rsidR="00954279" w:rsidRDefault="00A66714">
            <w:pPr>
              <w:rPr>
                <w:color w:val="000000"/>
                <w:sz w:val="20"/>
                <w:szCs w:val="20"/>
              </w:rPr>
            </w:pPr>
            <w:r>
              <w:rPr>
                <w:color w:val="000000"/>
                <w:sz w:val="20"/>
                <w:szCs w:val="20"/>
              </w:rPr>
              <w:t> </w:t>
            </w:r>
          </w:p>
        </w:tc>
        <w:tc>
          <w:tcPr>
            <w:tcW w:w="116" w:type="dxa"/>
            <w:tcBorders>
              <w:bottom w:val="single" w:sz="6" w:space="0" w:color="000000"/>
            </w:tcBorders>
            <w:tcMar>
              <w:top w:w="5" w:type="dxa"/>
              <w:left w:w="5" w:type="dxa"/>
              <w:bottom w:w="8" w:type="dxa"/>
              <w:right w:w="5" w:type="dxa"/>
            </w:tcMar>
            <w:vAlign w:val="bottom"/>
            <w:hideMark/>
          </w:tcPr>
          <w:p w14:paraId="3AD8E1BD" w14:textId="77777777" w:rsidR="00954279" w:rsidRDefault="00A66714">
            <w:pPr>
              <w:rPr>
                <w:color w:val="000000"/>
                <w:sz w:val="20"/>
                <w:szCs w:val="20"/>
              </w:rPr>
            </w:pPr>
            <w:r>
              <w:rPr>
                <w:color w:val="000000"/>
                <w:sz w:val="20"/>
                <w:szCs w:val="20"/>
              </w:rPr>
              <w:t> </w:t>
            </w:r>
          </w:p>
        </w:tc>
        <w:tc>
          <w:tcPr>
            <w:tcW w:w="806" w:type="dxa"/>
            <w:tcBorders>
              <w:bottom w:val="single" w:sz="6" w:space="0" w:color="000000"/>
            </w:tcBorders>
            <w:tcMar>
              <w:top w:w="5" w:type="dxa"/>
              <w:left w:w="5" w:type="dxa"/>
              <w:bottom w:w="8" w:type="dxa"/>
              <w:right w:w="5" w:type="dxa"/>
            </w:tcMar>
            <w:vAlign w:val="bottom"/>
            <w:hideMark/>
          </w:tcPr>
          <w:p w14:paraId="2D58F2A4" w14:textId="77777777" w:rsidR="00954279" w:rsidRDefault="00A66714">
            <w:pPr>
              <w:jc w:val="right"/>
              <w:rPr>
                <w:color w:val="000000"/>
                <w:sz w:val="20"/>
                <w:szCs w:val="20"/>
              </w:rPr>
            </w:pPr>
            <w:r>
              <w:rPr>
                <w:b/>
                <w:bCs/>
                <w:color w:val="000000"/>
                <w:sz w:val="20"/>
                <w:szCs w:val="20"/>
              </w:rPr>
              <w:t>-</w:t>
            </w:r>
          </w:p>
        </w:tc>
        <w:tc>
          <w:tcPr>
            <w:tcW w:w="77" w:type="dxa"/>
            <w:noWrap/>
            <w:tcMar>
              <w:top w:w="5" w:type="dxa"/>
              <w:left w:w="5" w:type="dxa"/>
              <w:bottom w:w="20" w:type="dxa"/>
              <w:right w:w="5" w:type="dxa"/>
            </w:tcMar>
            <w:vAlign w:val="bottom"/>
            <w:hideMark/>
          </w:tcPr>
          <w:p w14:paraId="48615565" w14:textId="77777777" w:rsidR="00954279" w:rsidRDefault="00A66714">
            <w:pPr>
              <w:rPr>
                <w:color w:val="000000"/>
                <w:sz w:val="20"/>
                <w:szCs w:val="20"/>
              </w:rPr>
            </w:pPr>
            <w:r>
              <w:rPr>
                <w:color w:val="000000"/>
                <w:sz w:val="20"/>
                <w:szCs w:val="20"/>
              </w:rPr>
              <w:t> </w:t>
            </w:r>
          </w:p>
        </w:tc>
        <w:tc>
          <w:tcPr>
            <w:tcW w:w="64" w:type="dxa"/>
            <w:tcMar>
              <w:top w:w="5" w:type="dxa"/>
              <w:left w:w="5" w:type="dxa"/>
              <w:bottom w:w="20" w:type="dxa"/>
              <w:right w:w="5" w:type="dxa"/>
            </w:tcMar>
            <w:vAlign w:val="bottom"/>
            <w:hideMark/>
          </w:tcPr>
          <w:p w14:paraId="5915D909" w14:textId="77777777" w:rsidR="00954279" w:rsidRDefault="00A66714">
            <w:pPr>
              <w:rPr>
                <w:color w:val="000000"/>
                <w:sz w:val="20"/>
                <w:szCs w:val="20"/>
              </w:rPr>
            </w:pPr>
            <w:r>
              <w:rPr>
                <w:color w:val="000000"/>
                <w:sz w:val="20"/>
                <w:szCs w:val="20"/>
              </w:rPr>
              <w:t> </w:t>
            </w:r>
          </w:p>
        </w:tc>
        <w:tc>
          <w:tcPr>
            <w:tcW w:w="111" w:type="dxa"/>
            <w:tcBorders>
              <w:bottom w:val="single" w:sz="6" w:space="0" w:color="000000"/>
            </w:tcBorders>
            <w:tcMar>
              <w:top w:w="5" w:type="dxa"/>
              <w:left w:w="5" w:type="dxa"/>
              <w:bottom w:w="8" w:type="dxa"/>
              <w:right w:w="5" w:type="dxa"/>
            </w:tcMar>
            <w:vAlign w:val="bottom"/>
            <w:hideMark/>
          </w:tcPr>
          <w:p w14:paraId="363403D7" w14:textId="77777777" w:rsidR="00954279" w:rsidRDefault="00A66714">
            <w:pPr>
              <w:rPr>
                <w:color w:val="000000"/>
                <w:sz w:val="20"/>
                <w:szCs w:val="20"/>
              </w:rPr>
            </w:pPr>
            <w:r>
              <w:rPr>
                <w:color w:val="000000"/>
                <w:sz w:val="20"/>
                <w:szCs w:val="20"/>
              </w:rPr>
              <w:t> </w:t>
            </w:r>
          </w:p>
        </w:tc>
        <w:tc>
          <w:tcPr>
            <w:tcW w:w="719" w:type="dxa"/>
            <w:tcBorders>
              <w:bottom w:val="single" w:sz="6" w:space="0" w:color="000000"/>
            </w:tcBorders>
            <w:tcMar>
              <w:top w:w="5" w:type="dxa"/>
              <w:left w:w="5" w:type="dxa"/>
              <w:bottom w:w="8" w:type="dxa"/>
              <w:right w:w="5" w:type="dxa"/>
            </w:tcMar>
            <w:vAlign w:val="bottom"/>
            <w:hideMark/>
          </w:tcPr>
          <w:p w14:paraId="04841338" w14:textId="77777777" w:rsidR="00954279" w:rsidRDefault="00A66714">
            <w:pPr>
              <w:jc w:val="right"/>
              <w:rPr>
                <w:color w:val="000000"/>
                <w:sz w:val="20"/>
                <w:szCs w:val="20"/>
              </w:rPr>
            </w:pPr>
            <w:r>
              <w:rPr>
                <w:b/>
                <w:bCs/>
                <w:color w:val="000000"/>
                <w:sz w:val="20"/>
                <w:szCs w:val="20"/>
              </w:rPr>
              <w:t>(6</w:t>
            </w:r>
          </w:p>
        </w:tc>
        <w:tc>
          <w:tcPr>
            <w:tcW w:w="77" w:type="dxa"/>
            <w:noWrap/>
            <w:tcMar>
              <w:top w:w="5" w:type="dxa"/>
              <w:left w:w="5" w:type="dxa"/>
              <w:bottom w:w="20" w:type="dxa"/>
              <w:right w:w="5" w:type="dxa"/>
            </w:tcMar>
            <w:vAlign w:val="bottom"/>
            <w:hideMark/>
          </w:tcPr>
          <w:p w14:paraId="59E20317" w14:textId="77777777" w:rsidR="00954279" w:rsidRDefault="00A66714">
            <w:pPr>
              <w:rPr>
                <w:color w:val="000000"/>
                <w:sz w:val="20"/>
                <w:szCs w:val="20"/>
              </w:rPr>
            </w:pPr>
            <w:r>
              <w:rPr>
                <w:color w:val="000000"/>
                <w:sz w:val="20"/>
                <w:szCs w:val="20"/>
              </w:rPr>
              <w:t>)</w:t>
            </w:r>
          </w:p>
        </w:tc>
        <w:tc>
          <w:tcPr>
            <w:tcW w:w="65" w:type="dxa"/>
            <w:tcMar>
              <w:top w:w="5" w:type="dxa"/>
              <w:left w:w="5" w:type="dxa"/>
              <w:bottom w:w="20" w:type="dxa"/>
              <w:right w:w="5" w:type="dxa"/>
            </w:tcMar>
            <w:vAlign w:val="bottom"/>
            <w:hideMark/>
          </w:tcPr>
          <w:p w14:paraId="4E9D6897" w14:textId="77777777" w:rsidR="00954279" w:rsidRDefault="00A66714">
            <w:pPr>
              <w:rPr>
                <w:color w:val="000000"/>
                <w:sz w:val="20"/>
                <w:szCs w:val="20"/>
              </w:rPr>
            </w:pPr>
            <w:r>
              <w:rPr>
                <w:color w:val="000000"/>
                <w:sz w:val="20"/>
                <w:szCs w:val="20"/>
              </w:rPr>
              <w:t> </w:t>
            </w:r>
          </w:p>
        </w:tc>
        <w:tc>
          <w:tcPr>
            <w:tcW w:w="74" w:type="dxa"/>
            <w:tcBorders>
              <w:bottom w:val="single" w:sz="6" w:space="0" w:color="000000"/>
            </w:tcBorders>
            <w:tcMar>
              <w:top w:w="5" w:type="dxa"/>
              <w:left w:w="5" w:type="dxa"/>
              <w:bottom w:w="8" w:type="dxa"/>
              <w:right w:w="5" w:type="dxa"/>
            </w:tcMar>
            <w:vAlign w:val="bottom"/>
            <w:hideMark/>
          </w:tcPr>
          <w:p w14:paraId="07C23D87" w14:textId="77777777" w:rsidR="00954279" w:rsidRDefault="00A66714">
            <w:pPr>
              <w:rPr>
                <w:color w:val="000000"/>
                <w:sz w:val="20"/>
                <w:szCs w:val="20"/>
              </w:rPr>
            </w:pPr>
            <w:r>
              <w:rPr>
                <w:color w:val="000000"/>
                <w:sz w:val="20"/>
                <w:szCs w:val="20"/>
              </w:rPr>
              <w:t> </w:t>
            </w:r>
          </w:p>
        </w:tc>
        <w:tc>
          <w:tcPr>
            <w:tcW w:w="716" w:type="dxa"/>
            <w:tcBorders>
              <w:bottom w:val="single" w:sz="6" w:space="0" w:color="000000"/>
            </w:tcBorders>
            <w:tcMar>
              <w:top w:w="5" w:type="dxa"/>
              <w:left w:w="5" w:type="dxa"/>
              <w:bottom w:w="8" w:type="dxa"/>
              <w:right w:w="5" w:type="dxa"/>
            </w:tcMar>
            <w:vAlign w:val="bottom"/>
            <w:hideMark/>
          </w:tcPr>
          <w:p w14:paraId="41BF2142" w14:textId="77777777" w:rsidR="00954279" w:rsidRDefault="00A66714">
            <w:pPr>
              <w:jc w:val="right"/>
              <w:rPr>
                <w:color w:val="000000"/>
                <w:sz w:val="20"/>
                <w:szCs w:val="20"/>
              </w:rPr>
            </w:pPr>
            <w:r>
              <w:rPr>
                <w:b/>
                <w:bCs/>
                <w:color w:val="000000"/>
                <w:sz w:val="20"/>
                <w:szCs w:val="20"/>
              </w:rPr>
              <w:t>-</w:t>
            </w:r>
          </w:p>
        </w:tc>
        <w:tc>
          <w:tcPr>
            <w:tcW w:w="77" w:type="dxa"/>
            <w:noWrap/>
            <w:tcMar>
              <w:top w:w="5" w:type="dxa"/>
              <w:left w:w="5" w:type="dxa"/>
              <w:bottom w:w="20" w:type="dxa"/>
              <w:right w:w="5" w:type="dxa"/>
            </w:tcMar>
            <w:vAlign w:val="bottom"/>
            <w:hideMark/>
          </w:tcPr>
          <w:p w14:paraId="5C6BCA2D" w14:textId="77777777" w:rsidR="00954279" w:rsidRDefault="00A66714">
            <w:pPr>
              <w:rPr>
                <w:color w:val="000000"/>
                <w:sz w:val="20"/>
                <w:szCs w:val="20"/>
              </w:rPr>
            </w:pPr>
            <w:r>
              <w:rPr>
                <w:color w:val="000000"/>
                <w:sz w:val="20"/>
                <w:szCs w:val="20"/>
              </w:rPr>
              <w:t> </w:t>
            </w:r>
          </w:p>
        </w:tc>
        <w:tc>
          <w:tcPr>
            <w:tcW w:w="65" w:type="dxa"/>
            <w:tcMar>
              <w:top w:w="5" w:type="dxa"/>
              <w:left w:w="5" w:type="dxa"/>
              <w:bottom w:w="20" w:type="dxa"/>
              <w:right w:w="5" w:type="dxa"/>
            </w:tcMar>
            <w:vAlign w:val="bottom"/>
            <w:hideMark/>
          </w:tcPr>
          <w:p w14:paraId="2E37FB16" w14:textId="77777777" w:rsidR="00954279" w:rsidRDefault="00A66714">
            <w:pPr>
              <w:rPr>
                <w:color w:val="000000"/>
                <w:sz w:val="20"/>
                <w:szCs w:val="20"/>
              </w:rPr>
            </w:pPr>
            <w:r>
              <w:rPr>
                <w:color w:val="000000"/>
                <w:sz w:val="20"/>
                <w:szCs w:val="20"/>
              </w:rPr>
              <w:t> </w:t>
            </w:r>
          </w:p>
        </w:tc>
        <w:tc>
          <w:tcPr>
            <w:tcW w:w="111" w:type="dxa"/>
            <w:tcBorders>
              <w:bottom w:val="single" w:sz="6" w:space="0" w:color="000000"/>
            </w:tcBorders>
            <w:tcMar>
              <w:top w:w="5" w:type="dxa"/>
              <w:left w:w="5" w:type="dxa"/>
              <w:bottom w:w="8" w:type="dxa"/>
              <w:right w:w="5" w:type="dxa"/>
            </w:tcMar>
            <w:vAlign w:val="bottom"/>
            <w:hideMark/>
          </w:tcPr>
          <w:p w14:paraId="34A8538F" w14:textId="77777777" w:rsidR="00954279" w:rsidRDefault="00A66714">
            <w:pPr>
              <w:rPr>
                <w:color w:val="000000"/>
                <w:sz w:val="20"/>
                <w:szCs w:val="20"/>
              </w:rPr>
            </w:pPr>
            <w:r>
              <w:rPr>
                <w:color w:val="000000"/>
                <w:sz w:val="20"/>
                <w:szCs w:val="20"/>
              </w:rPr>
              <w:t> </w:t>
            </w:r>
          </w:p>
        </w:tc>
        <w:tc>
          <w:tcPr>
            <w:tcW w:w="719" w:type="dxa"/>
            <w:tcBorders>
              <w:bottom w:val="single" w:sz="6" w:space="0" w:color="000000"/>
            </w:tcBorders>
            <w:tcMar>
              <w:top w:w="5" w:type="dxa"/>
              <w:left w:w="5" w:type="dxa"/>
              <w:bottom w:w="8" w:type="dxa"/>
              <w:right w:w="5" w:type="dxa"/>
            </w:tcMar>
            <w:vAlign w:val="bottom"/>
            <w:hideMark/>
          </w:tcPr>
          <w:p w14:paraId="389A6340" w14:textId="77777777" w:rsidR="00954279" w:rsidRDefault="00A66714">
            <w:pPr>
              <w:jc w:val="right"/>
              <w:rPr>
                <w:color w:val="000000"/>
                <w:sz w:val="20"/>
                <w:szCs w:val="20"/>
              </w:rPr>
            </w:pPr>
            <w:r>
              <w:rPr>
                <w:b/>
                <w:bCs/>
                <w:color w:val="000000"/>
                <w:sz w:val="20"/>
                <w:szCs w:val="20"/>
              </w:rPr>
              <w:t>-</w:t>
            </w:r>
          </w:p>
        </w:tc>
        <w:tc>
          <w:tcPr>
            <w:tcW w:w="77" w:type="dxa"/>
            <w:noWrap/>
            <w:tcMar>
              <w:top w:w="5" w:type="dxa"/>
              <w:left w:w="5" w:type="dxa"/>
              <w:bottom w:w="20" w:type="dxa"/>
              <w:right w:w="5" w:type="dxa"/>
            </w:tcMar>
            <w:vAlign w:val="bottom"/>
            <w:hideMark/>
          </w:tcPr>
          <w:p w14:paraId="15DE60F9" w14:textId="77777777" w:rsidR="00954279" w:rsidRDefault="00A66714">
            <w:pPr>
              <w:rPr>
                <w:color w:val="000000"/>
                <w:sz w:val="20"/>
                <w:szCs w:val="20"/>
              </w:rPr>
            </w:pPr>
            <w:r>
              <w:rPr>
                <w:color w:val="000000"/>
                <w:sz w:val="20"/>
                <w:szCs w:val="20"/>
              </w:rPr>
              <w:t> </w:t>
            </w:r>
          </w:p>
        </w:tc>
        <w:tc>
          <w:tcPr>
            <w:tcW w:w="65" w:type="dxa"/>
            <w:tcMar>
              <w:top w:w="5" w:type="dxa"/>
              <w:left w:w="5" w:type="dxa"/>
              <w:bottom w:w="20" w:type="dxa"/>
              <w:right w:w="5" w:type="dxa"/>
            </w:tcMar>
            <w:vAlign w:val="bottom"/>
            <w:hideMark/>
          </w:tcPr>
          <w:p w14:paraId="0F3AF851" w14:textId="77777777" w:rsidR="00954279" w:rsidRDefault="00A66714">
            <w:pPr>
              <w:rPr>
                <w:color w:val="000000"/>
                <w:sz w:val="20"/>
                <w:szCs w:val="20"/>
              </w:rPr>
            </w:pPr>
            <w:r>
              <w:rPr>
                <w:color w:val="000000"/>
                <w:sz w:val="20"/>
                <w:szCs w:val="20"/>
              </w:rPr>
              <w:t> </w:t>
            </w:r>
          </w:p>
        </w:tc>
        <w:tc>
          <w:tcPr>
            <w:tcW w:w="168" w:type="dxa"/>
            <w:tcBorders>
              <w:bottom w:val="single" w:sz="6" w:space="0" w:color="000000"/>
            </w:tcBorders>
            <w:tcMar>
              <w:top w:w="5" w:type="dxa"/>
              <w:left w:w="5" w:type="dxa"/>
              <w:bottom w:w="8" w:type="dxa"/>
              <w:right w:w="5" w:type="dxa"/>
            </w:tcMar>
            <w:vAlign w:val="bottom"/>
            <w:hideMark/>
          </w:tcPr>
          <w:p w14:paraId="6454F651" w14:textId="77777777" w:rsidR="00954279" w:rsidRDefault="00A66714">
            <w:pPr>
              <w:rPr>
                <w:color w:val="000000"/>
                <w:sz w:val="20"/>
                <w:szCs w:val="20"/>
              </w:rPr>
            </w:pPr>
            <w:r>
              <w:rPr>
                <w:color w:val="000000"/>
                <w:sz w:val="20"/>
                <w:szCs w:val="20"/>
              </w:rPr>
              <w:t> </w:t>
            </w:r>
          </w:p>
        </w:tc>
        <w:tc>
          <w:tcPr>
            <w:tcW w:w="1176" w:type="dxa"/>
            <w:tcBorders>
              <w:bottom w:val="single" w:sz="6" w:space="0" w:color="000000"/>
            </w:tcBorders>
            <w:tcMar>
              <w:top w:w="5" w:type="dxa"/>
              <w:left w:w="5" w:type="dxa"/>
              <w:bottom w:w="8" w:type="dxa"/>
              <w:right w:w="5" w:type="dxa"/>
            </w:tcMar>
            <w:vAlign w:val="bottom"/>
            <w:hideMark/>
          </w:tcPr>
          <w:p w14:paraId="2A7A78CA" w14:textId="77777777" w:rsidR="00954279" w:rsidRDefault="00A66714">
            <w:pPr>
              <w:jc w:val="right"/>
              <w:rPr>
                <w:color w:val="000000"/>
                <w:sz w:val="20"/>
                <w:szCs w:val="20"/>
              </w:rPr>
            </w:pPr>
            <w:r>
              <w:rPr>
                <w:b/>
                <w:bCs/>
                <w:color w:val="000000"/>
                <w:sz w:val="20"/>
                <w:szCs w:val="20"/>
              </w:rPr>
              <w:t>-</w:t>
            </w:r>
          </w:p>
        </w:tc>
        <w:tc>
          <w:tcPr>
            <w:tcW w:w="77" w:type="dxa"/>
            <w:noWrap/>
            <w:tcMar>
              <w:top w:w="5" w:type="dxa"/>
              <w:left w:w="5" w:type="dxa"/>
              <w:bottom w:w="20" w:type="dxa"/>
              <w:right w:w="5" w:type="dxa"/>
            </w:tcMar>
            <w:vAlign w:val="bottom"/>
            <w:hideMark/>
          </w:tcPr>
          <w:p w14:paraId="37789E6C" w14:textId="77777777" w:rsidR="00954279" w:rsidRDefault="00A66714">
            <w:pPr>
              <w:rPr>
                <w:color w:val="000000"/>
                <w:sz w:val="20"/>
                <w:szCs w:val="20"/>
              </w:rPr>
            </w:pPr>
            <w:r>
              <w:rPr>
                <w:color w:val="000000"/>
                <w:sz w:val="20"/>
                <w:szCs w:val="20"/>
              </w:rPr>
              <w:t> </w:t>
            </w:r>
          </w:p>
        </w:tc>
        <w:tc>
          <w:tcPr>
            <w:tcW w:w="65" w:type="dxa"/>
            <w:tcMar>
              <w:top w:w="5" w:type="dxa"/>
              <w:left w:w="5" w:type="dxa"/>
              <w:bottom w:w="20" w:type="dxa"/>
              <w:right w:w="5" w:type="dxa"/>
            </w:tcMar>
            <w:vAlign w:val="bottom"/>
            <w:hideMark/>
          </w:tcPr>
          <w:p w14:paraId="29626230" w14:textId="77777777" w:rsidR="00954279" w:rsidRDefault="00A66714">
            <w:pPr>
              <w:rPr>
                <w:color w:val="000000"/>
                <w:sz w:val="20"/>
                <w:szCs w:val="20"/>
              </w:rPr>
            </w:pPr>
            <w:r>
              <w:rPr>
                <w:color w:val="000000"/>
                <w:sz w:val="20"/>
                <w:szCs w:val="20"/>
              </w:rPr>
              <w:t> </w:t>
            </w:r>
          </w:p>
        </w:tc>
        <w:tc>
          <w:tcPr>
            <w:tcW w:w="148" w:type="dxa"/>
            <w:tcBorders>
              <w:bottom w:val="single" w:sz="6" w:space="0" w:color="000000"/>
            </w:tcBorders>
            <w:tcMar>
              <w:top w:w="5" w:type="dxa"/>
              <w:left w:w="5" w:type="dxa"/>
              <w:bottom w:w="8" w:type="dxa"/>
              <w:right w:w="5" w:type="dxa"/>
            </w:tcMar>
            <w:vAlign w:val="bottom"/>
            <w:hideMark/>
          </w:tcPr>
          <w:p w14:paraId="3E5D93D2" w14:textId="77777777" w:rsidR="00954279" w:rsidRDefault="00A66714">
            <w:pPr>
              <w:rPr>
                <w:color w:val="000000"/>
                <w:sz w:val="20"/>
                <w:szCs w:val="20"/>
              </w:rPr>
            </w:pPr>
            <w:r>
              <w:rPr>
                <w:color w:val="000000"/>
                <w:sz w:val="20"/>
                <w:szCs w:val="20"/>
              </w:rPr>
              <w:t> </w:t>
            </w:r>
          </w:p>
        </w:tc>
        <w:tc>
          <w:tcPr>
            <w:tcW w:w="1029" w:type="dxa"/>
            <w:tcBorders>
              <w:bottom w:val="single" w:sz="6" w:space="0" w:color="000000"/>
            </w:tcBorders>
            <w:tcMar>
              <w:top w:w="5" w:type="dxa"/>
              <w:left w:w="5" w:type="dxa"/>
              <w:bottom w:w="8" w:type="dxa"/>
              <w:right w:w="5" w:type="dxa"/>
            </w:tcMar>
            <w:vAlign w:val="bottom"/>
            <w:hideMark/>
          </w:tcPr>
          <w:p w14:paraId="26FCA499" w14:textId="77777777" w:rsidR="00954279" w:rsidRDefault="00A66714">
            <w:pPr>
              <w:jc w:val="right"/>
              <w:rPr>
                <w:color w:val="000000"/>
                <w:sz w:val="20"/>
                <w:szCs w:val="20"/>
              </w:rPr>
            </w:pPr>
            <w:r>
              <w:rPr>
                <w:b/>
                <w:bCs/>
                <w:color w:val="000000"/>
                <w:sz w:val="20"/>
                <w:szCs w:val="20"/>
              </w:rPr>
              <w:t>(6</w:t>
            </w:r>
          </w:p>
        </w:tc>
        <w:tc>
          <w:tcPr>
            <w:tcW w:w="77" w:type="dxa"/>
            <w:noWrap/>
            <w:tcMar>
              <w:top w:w="5" w:type="dxa"/>
              <w:left w:w="5" w:type="dxa"/>
              <w:bottom w:w="20" w:type="dxa"/>
              <w:right w:w="5" w:type="dxa"/>
            </w:tcMar>
            <w:vAlign w:val="bottom"/>
            <w:hideMark/>
          </w:tcPr>
          <w:p w14:paraId="45435C18" w14:textId="77777777" w:rsidR="00954279" w:rsidRDefault="00A66714">
            <w:pPr>
              <w:rPr>
                <w:color w:val="000000"/>
                <w:sz w:val="20"/>
                <w:szCs w:val="20"/>
              </w:rPr>
            </w:pPr>
            <w:r>
              <w:rPr>
                <w:color w:val="000000"/>
                <w:sz w:val="20"/>
                <w:szCs w:val="20"/>
              </w:rPr>
              <w:t>)</w:t>
            </w:r>
          </w:p>
        </w:tc>
      </w:tr>
      <w:tr w:rsidR="00954279" w14:paraId="688566BC" w14:textId="77777777" w:rsidTr="00717712">
        <w:tc>
          <w:tcPr>
            <w:tcW w:w="2678" w:type="dxa"/>
            <w:tcMar>
              <w:top w:w="5" w:type="dxa"/>
              <w:left w:w="5" w:type="dxa"/>
              <w:bottom w:w="5" w:type="dxa"/>
              <w:right w:w="5" w:type="dxa"/>
            </w:tcMar>
            <w:vAlign w:val="bottom"/>
            <w:hideMark/>
          </w:tcPr>
          <w:p w14:paraId="2443C9B0" w14:textId="77777777" w:rsidR="00954279" w:rsidRDefault="00A66714">
            <w:pPr>
              <w:rPr>
                <w:color w:val="000000"/>
                <w:sz w:val="20"/>
                <w:szCs w:val="20"/>
              </w:rPr>
            </w:pPr>
            <w:r>
              <w:rPr>
                <w:color w:val="000000"/>
                <w:sz w:val="20"/>
                <w:szCs w:val="20"/>
              </w:rPr>
              <w:t>Balance at June 30, 2021</w:t>
            </w:r>
          </w:p>
        </w:tc>
        <w:tc>
          <w:tcPr>
            <w:tcW w:w="60" w:type="dxa"/>
            <w:tcMar>
              <w:top w:w="5" w:type="dxa"/>
              <w:left w:w="5" w:type="dxa"/>
              <w:bottom w:w="50" w:type="dxa"/>
              <w:right w:w="5" w:type="dxa"/>
            </w:tcMar>
            <w:vAlign w:val="bottom"/>
            <w:hideMark/>
          </w:tcPr>
          <w:p w14:paraId="579D3689" w14:textId="77777777" w:rsidR="00954279" w:rsidRDefault="00A66714">
            <w:pPr>
              <w:rPr>
                <w:color w:val="000000"/>
                <w:sz w:val="20"/>
                <w:szCs w:val="20"/>
              </w:rPr>
            </w:pPr>
            <w:r>
              <w:rPr>
                <w:color w:val="000000"/>
                <w:sz w:val="20"/>
                <w:szCs w:val="20"/>
              </w:rPr>
              <w:t> </w:t>
            </w:r>
          </w:p>
        </w:tc>
        <w:tc>
          <w:tcPr>
            <w:tcW w:w="74" w:type="dxa"/>
            <w:tcBorders>
              <w:bottom w:val="double" w:sz="6" w:space="0" w:color="000000"/>
            </w:tcBorders>
            <w:tcMar>
              <w:top w:w="5" w:type="dxa"/>
              <w:left w:w="5" w:type="dxa"/>
              <w:bottom w:w="22" w:type="dxa"/>
              <w:right w:w="5" w:type="dxa"/>
            </w:tcMar>
            <w:vAlign w:val="bottom"/>
            <w:hideMark/>
          </w:tcPr>
          <w:p w14:paraId="4541F831" w14:textId="77777777" w:rsidR="00954279" w:rsidRDefault="00A66714">
            <w:pPr>
              <w:rPr>
                <w:color w:val="000000"/>
                <w:sz w:val="20"/>
                <w:szCs w:val="20"/>
              </w:rPr>
            </w:pPr>
            <w:r>
              <w:rPr>
                <w:color w:val="000000"/>
                <w:sz w:val="20"/>
                <w:szCs w:val="20"/>
              </w:rPr>
              <w:t> </w:t>
            </w:r>
          </w:p>
        </w:tc>
        <w:tc>
          <w:tcPr>
            <w:tcW w:w="713" w:type="dxa"/>
            <w:tcBorders>
              <w:bottom w:val="double" w:sz="6" w:space="0" w:color="000000"/>
            </w:tcBorders>
            <w:tcMar>
              <w:top w:w="5" w:type="dxa"/>
              <w:left w:w="5" w:type="dxa"/>
              <w:bottom w:w="22" w:type="dxa"/>
              <w:right w:w="5" w:type="dxa"/>
            </w:tcMar>
            <w:vAlign w:val="bottom"/>
            <w:hideMark/>
          </w:tcPr>
          <w:p w14:paraId="0EDB4226" w14:textId="77777777" w:rsidR="00954279" w:rsidRDefault="00A66714">
            <w:pPr>
              <w:jc w:val="right"/>
              <w:rPr>
                <w:color w:val="000000"/>
                <w:sz w:val="20"/>
                <w:szCs w:val="20"/>
              </w:rPr>
            </w:pPr>
            <w:r>
              <w:rPr>
                <w:b/>
                <w:bCs/>
                <w:color w:val="000000"/>
                <w:sz w:val="20"/>
                <w:szCs w:val="20"/>
              </w:rPr>
              <w:t>107</w:t>
            </w:r>
          </w:p>
        </w:tc>
        <w:tc>
          <w:tcPr>
            <w:tcW w:w="69" w:type="dxa"/>
            <w:noWrap/>
            <w:tcMar>
              <w:top w:w="5" w:type="dxa"/>
              <w:left w:w="5" w:type="dxa"/>
              <w:bottom w:w="50" w:type="dxa"/>
              <w:right w:w="5" w:type="dxa"/>
            </w:tcMar>
            <w:vAlign w:val="bottom"/>
            <w:hideMark/>
          </w:tcPr>
          <w:p w14:paraId="0C857730" w14:textId="77777777" w:rsidR="00954279" w:rsidRDefault="00A66714">
            <w:pPr>
              <w:rPr>
                <w:color w:val="000000"/>
                <w:sz w:val="20"/>
                <w:szCs w:val="20"/>
              </w:rPr>
            </w:pPr>
            <w:r>
              <w:rPr>
                <w:color w:val="000000"/>
                <w:sz w:val="20"/>
                <w:szCs w:val="20"/>
              </w:rPr>
              <w:t> </w:t>
            </w:r>
          </w:p>
        </w:tc>
        <w:tc>
          <w:tcPr>
            <w:tcW w:w="69" w:type="dxa"/>
            <w:tcMar>
              <w:top w:w="5" w:type="dxa"/>
              <w:left w:w="5" w:type="dxa"/>
              <w:bottom w:w="50" w:type="dxa"/>
              <w:right w:w="5" w:type="dxa"/>
            </w:tcMar>
            <w:vAlign w:val="bottom"/>
            <w:hideMark/>
          </w:tcPr>
          <w:p w14:paraId="773A1592" w14:textId="77777777" w:rsidR="00954279" w:rsidRDefault="00A66714">
            <w:pPr>
              <w:rPr>
                <w:color w:val="000000"/>
                <w:sz w:val="20"/>
                <w:szCs w:val="20"/>
              </w:rPr>
            </w:pPr>
            <w:r>
              <w:rPr>
                <w:color w:val="000000"/>
                <w:sz w:val="20"/>
                <w:szCs w:val="20"/>
              </w:rPr>
              <w:t> </w:t>
            </w:r>
          </w:p>
        </w:tc>
        <w:tc>
          <w:tcPr>
            <w:tcW w:w="111" w:type="dxa"/>
            <w:tcBorders>
              <w:bottom w:val="double" w:sz="6" w:space="0" w:color="000000"/>
            </w:tcBorders>
            <w:tcMar>
              <w:top w:w="5" w:type="dxa"/>
              <w:left w:w="5" w:type="dxa"/>
              <w:bottom w:w="22" w:type="dxa"/>
              <w:right w:w="5" w:type="dxa"/>
            </w:tcMar>
            <w:vAlign w:val="bottom"/>
            <w:hideMark/>
          </w:tcPr>
          <w:p w14:paraId="0A5A7788" w14:textId="77777777" w:rsidR="00954279" w:rsidRDefault="00A66714">
            <w:pPr>
              <w:rPr>
                <w:color w:val="000000"/>
                <w:sz w:val="20"/>
                <w:szCs w:val="20"/>
              </w:rPr>
            </w:pPr>
            <w:r>
              <w:rPr>
                <w:color w:val="000000"/>
                <w:sz w:val="20"/>
                <w:szCs w:val="20"/>
              </w:rPr>
              <w:t>$</w:t>
            </w:r>
          </w:p>
        </w:tc>
        <w:tc>
          <w:tcPr>
            <w:tcW w:w="717" w:type="dxa"/>
            <w:tcBorders>
              <w:bottom w:val="double" w:sz="6" w:space="0" w:color="000000"/>
            </w:tcBorders>
            <w:tcMar>
              <w:top w:w="5" w:type="dxa"/>
              <w:left w:w="5" w:type="dxa"/>
              <w:bottom w:w="22" w:type="dxa"/>
              <w:right w:w="5" w:type="dxa"/>
            </w:tcMar>
            <w:vAlign w:val="bottom"/>
            <w:hideMark/>
          </w:tcPr>
          <w:p w14:paraId="4BA848B0" w14:textId="77777777" w:rsidR="00954279" w:rsidRDefault="00A66714">
            <w:pPr>
              <w:jc w:val="right"/>
              <w:rPr>
                <w:color w:val="000000"/>
                <w:sz w:val="20"/>
                <w:szCs w:val="20"/>
              </w:rPr>
            </w:pPr>
            <w:r>
              <w:rPr>
                <w:b/>
                <w:bCs/>
                <w:color w:val="000000"/>
                <w:sz w:val="20"/>
                <w:szCs w:val="20"/>
              </w:rPr>
              <w:t>1</w:t>
            </w:r>
          </w:p>
        </w:tc>
        <w:tc>
          <w:tcPr>
            <w:tcW w:w="69" w:type="dxa"/>
            <w:noWrap/>
            <w:tcMar>
              <w:top w:w="5" w:type="dxa"/>
              <w:left w:w="5" w:type="dxa"/>
              <w:bottom w:w="50" w:type="dxa"/>
              <w:right w:w="5" w:type="dxa"/>
            </w:tcMar>
            <w:vAlign w:val="bottom"/>
            <w:hideMark/>
          </w:tcPr>
          <w:p w14:paraId="11F96F31" w14:textId="77777777" w:rsidR="00954279" w:rsidRDefault="00A66714">
            <w:pPr>
              <w:rPr>
                <w:color w:val="000000"/>
                <w:sz w:val="20"/>
                <w:szCs w:val="20"/>
              </w:rPr>
            </w:pPr>
            <w:r>
              <w:rPr>
                <w:color w:val="000000"/>
                <w:sz w:val="20"/>
                <w:szCs w:val="20"/>
              </w:rPr>
              <w:t> </w:t>
            </w:r>
          </w:p>
        </w:tc>
        <w:tc>
          <w:tcPr>
            <w:tcW w:w="70" w:type="dxa"/>
            <w:tcMar>
              <w:top w:w="5" w:type="dxa"/>
              <w:left w:w="5" w:type="dxa"/>
              <w:bottom w:w="50" w:type="dxa"/>
              <w:right w:w="5" w:type="dxa"/>
            </w:tcMar>
            <w:vAlign w:val="bottom"/>
            <w:hideMark/>
          </w:tcPr>
          <w:p w14:paraId="292B69D1" w14:textId="77777777" w:rsidR="00954279" w:rsidRDefault="00A66714">
            <w:pPr>
              <w:rPr>
                <w:color w:val="000000"/>
                <w:sz w:val="20"/>
                <w:szCs w:val="20"/>
              </w:rPr>
            </w:pPr>
            <w:r>
              <w:rPr>
                <w:color w:val="000000"/>
                <w:sz w:val="20"/>
                <w:szCs w:val="20"/>
              </w:rPr>
              <w:t> </w:t>
            </w:r>
          </w:p>
        </w:tc>
        <w:tc>
          <w:tcPr>
            <w:tcW w:w="116" w:type="dxa"/>
            <w:tcBorders>
              <w:bottom w:val="double" w:sz="6" w:space="0" w:color="000000"/>
            </w:tcBorders>
            <w:tcMar>
              <w:top w:w="5" w:type="dxa"/>
              <w:left w:w="5" w:type="dxa"/>
              <w:bottom w:w="22" w:type="dxa"/>
              <w:right w:w="5" w:type="dxa"/>
            </w:tcMar>
            <w:vAlign w:val="bottom"/>
            <w:hideMark/>
          </w:tcPr>
          <w:p w14:paraId="0187478E" w14:textId="77777777" w:rsidR="00954279" w:rsidRDefault="00A66714">
            <w:pPr>
              <w:rPr>
                <w:color w:val="000000"/>
                <w:sz w:val="20"/>
                <w:szCs w:val="20"/>
              </w:rPr>
            </w:pPr>
            <w:r>
              <w:rPr>
                <w:color w:val="000000"/>
                <w:sz w:val="20"/>
                <w:szCs w:val="20"/>
              </w:rPr>
              <w:t>$</w:t>
            </w:r>
          </w:p>
        </w:tc>
        <w:tc>
          <w:tcPr>
            <w:tcW w:w="806" w:type="dxa"/>
            <w:tcBorders>
              <w:bottom w:val="double" w:sz="6" w:space="0" w:color="000000"/>
            </w:tcBorders>
            <w:tcMar>
              <w:top w:w="5" w:type="dxa"/>
              <w:left w:w="5" w:type="dxa"/>
              <w:bottom w:w="22" w:type="dxa"/>
              <w:right w:w="5" w:type="dxa"/>
            </w:tcMar>
            <w:vAlign w:val="bottom"/>
            <w:hideMark/>
          </w:tcPr>
          <w:p w14:paraId="3DD0B0C8" w14:textId="77777777" w:rsidR="00954279" w:rsidRDefault="00A66714">
            <w:pPr>
              <w:jc w:val="right"/>
              <w:rPr>
                <w:color w:val="000000"/>
                <w:sz w:val="20"/>
                <w:szCs w:val="20"/>
              </w:rPr>
            </w:pPr>
            <w:r>
              <w:rPr>
                <w:b/>
                <w:bCs/>
                <w:color w:val="000000"/>
                <w:sz w:val="20"/>
                <w:szCs w:val="20"/>
              </w:rPr>
              <w:t>1,744</w:t>
            </w:r>
          </w:p>
        </w:tc>
        <w:tc>
          <w:tcPr>
            <w:tcW w:w="77" w:type="dxa"/>
            <w:noWrap/>
            <w:tcMar>
              <w:top w:w="5" w:type="dxa"/>
              <w:left w:w="5" w:type="dxa"/>
              <w:bottom w:w="50" w:type="dxa"/>
              <w:right w:w="5" w:type="dxa"/>
            </w:tcMar>
            <w:vAlign w:val="bottom"/>
            <w:hideMark/>
          </w:tcPr>
          <w:p w14:paraId="0A1ACA38" w14:textId="77777777" w:rsidR="00954279" w:rsidRDefault="00A66714">
            <w:pPr>
              <w:rPr>
                <w:color w:val="000000"/>
                <w:sz w:val="20"/>
                <w:szCs w:val="20"/>
              </w:rPr>
            </w:pPr>
            <w:r>
              <w:rPr>
                <w:color w:val="000000"/>
                <w:sz w:val="20"/>
                <w:szCs w:val="20"/>
              </w:rPr>
              <w:t> </w:t>
            </w:r>
          </w:p>
        </w:tc>
        <w:tc>
          <w:tcPr>
            <w:tcW w:w="64" w:type="dxa"/>
            <w:tcMar>
              <w:top w:w="5" w:type="dxa"/>
              <w:left w:w="5" w:type="dxa"/>
              <w:bottom w:w="50" w:type="dxa"/>
              <w:right w:w="5" w:type="dxa"/>
            </w:tcMar>
            <w:vAlign w:val="bottom"/>
            <w:hideMark/>
          </w:tcPr>
          <w:p w14:paraId="40CC71F4" w14:textId="77777777" w:rsidR="00954279" w:rsidRDefault="00A66714">
            <w:pPr>
              <w:rPr>
                <w:color w:val="000000"/>
                <w:sz w:val="20"/>
                <w:szCs w:val="20"/>
              </w:rPr>
            </w:pPr>
            <w:r>
              <w:rPr>
                <w:color w:val="000000"/>
                <w:sz w:val="20"/>
                <w:szCs w:val="20"/>
              </w:rPr>
              <w:t> </w:t>
            </w:r>
          </w:p>
        </w:tc>
        <w:tc>
          <w:tcPr>
            <w:tcW w:w="111" w:type="dxa"/>
            <w:tcBorders>
              <w:bottom w:val="double" w:sz="6" w:space="0" w:color="000000"/>
            </w:tcBorders>
            <w:tcMar>
              <w:top w:w="5" w:type="dxa"/>
              <w:left w:w="5" w:type="dxa"/>
              <w:bottom w:w="22" w:type="dxa"/>
              <w:right w:w="5" w:type="dxa"/>
            </w:tcMar>
            <w:vAlign w:val="bottom"/>
            <w:hideMark/>
          </w:tcPr>
          <w:p w14:paraId="7E3C6C89" w14:textId="77777777" w:rsidR="00954279" w:rsidRDefault="00A66714">
            <w:pPr>
              <w:rPr>
                <w:color w:val="000000"/>
                <w:sz w:val="20"/>
                <w:szCs w:val="20"/>
              </w:rPr>
            </w:pPr>
            <w:r>
              <w:rPr>
                <w:color w:val="000000"/>
                <w:sz w:val="20"/>
                <w:szCs w:val="20"/>
              </w:rPr>
              <w:t>$</w:t>
            </w:r>
          </w:p>
        </w:tc>
        <w:tc>
          <w:tcPr>
            <w:tcW w:w="719" w:type="dxa"/>
            <w:tcBorders>
              <w:bottom w:val="double" w:sz="6" w:space="0" w:color="000000"/>
            </w:tcBorders>
            <w:tcMar>
              <w:top w:w="5" w:type="dxa"/>
              <w:left w:w="5" w:type="dxa"/>
              <w:bottom w:w="22" w:type="dxa"/>
              <w:right w:w="5" w:type="dxa"/>
            </w:tcMar>
            <w:vAlign w:val="bottom"/>
            <w:hideMark/>
          </w:tcPr>
          <w:p w14:paraId="6F1CCE3C" w14:textId="77777777" w:rsidR="00954279" w:rsidRDefault="00A66714">
            <w:pPr>
              <w:jc w:val="right"/>
              <w:rPr>
                <w:color w:val="000000"/>
                <w:sz w:val="20"/>
                <w:szCs w:val="20"/>
              </w:rPr>
            </w:pPr>
            <w:r>
              <w:rPr>
                <w:b/>
                <w:bCs/>
                <w:color w:val="000000"/>
                <w:sz w:val="20"/>
                <w:szCs w:val="20"/>
              </w:rPr>
              <w:t>(792</w:t>
            </w:r>
          </w:p>
        </w:tc>
        <w:tc>
          <w:tcPr>
            <w:tcW w:w="77" w:type="dxa"/>
            <w:noWrap/>
            <w:tcMar>
              <w:top w:w="5" w:type="dxa"/>
              <w:left w:w="5" w:type="dxa"/>
              <w:bottom w:w="50" w:type="dxa"/>
              <w:right w:w="5" w:type="dxa"/>
            </w:tcMar>
            <w:vAlign w:val="bottom"/>
            <w:hideMark/>
          </w:tcPr>
          <w:p w14:paraId="3F20C769" w14:textId="77777777" w:rsidR="00954279" w:rsidRDefault="00A66714">
            <w:pPr>
              <w:rPr>
                <w:color w:val="000000"/>
                <w:sz w:val="20"/>
                <w:szCs w:val="20"/>
              </w:rPr>
            </w:pPr>
            <w:r>
              <w:rPr>
                <w:b/>
                <w:bCs/>
                <w:color w:val="000000"/>
                <w:sz w:val="20"/>
                <w:szCs w:val="20"/>
              </w:rPr>
              <w:t>)</w:t>
            </w:r>
          </w:p>
        </w:tc>
        <w:tc>
          <w:tcPr>
            <w:tcW w:w="65" w:type="dxa"/>
            <w:tcMar>
              <w:top w:w="5" w:type="dxa"/>
              <w:left w:w="5" w:type="dxa"/>
              <w:bottom w:w="50" w:type="dxa"/>
              <w:right w:w="5" w:type="dxa"/>
            </w:tcMar>
            <w:vAlign w:val="bottom"/>
            <w:hideMark/>
          </w:tcPr>
          <w:p w14:paraId="678EEB79" w14:textId="77777777" w:rsidR="00954279" w:rsidRDefault="00A66714">
            <w:pPr>
              <w:rPr>
                <w:color w:val="000000"/>
                <w:sz w:val="20"/>
                <w:szCs w:val="20"/>
              </w:rPr>
            </w:pPr>
            <w:r>
              <w:rPr>
                <w:color w:val="000000"/>
                <w:sz w:val="20"/>
                <w:szCs w:val="20"/>
              </w:rPr>
              <w:t> </w:t>
            </w:r>
          </w:p>
        </w:tc>
        <w:tc>
          <w:tcPr>
            <w:tcW w:w="74" w:type="dxa"/>
            <w:tcBorders>
              <w:bottom w:val="double" w:sz="6" w:space="0" w:color="000000"/>
            </w:tcBorders>
            <w:tcMar>
              <w:top w:w="5" w:type="dxa"/>
              <w:left w:w="5" w:type="dxa"/>
              <w:bottom w:w="22" w:type="dxa"/>
              <w:right w:w="5" w:type="dxa"/>
            </w:tcMar>
            <w:vAlign w:val="bottom"/>
            <w:hideMark/>
          </w:tcPr>
          <w:p w14:paraId="70EC631C" w14:textId="77777777" w:rsidR="00954279" w:rsidRDefault="00A66714">
            <w:pPr>
              <w:rPr>
                <w:color w:val="000000"/>
                <w:sz w:val="20"/>
                <w:szCs w:val="20"/>
              </w:rPr>
            </w:pPr>
            <w:r>
              <w:rPr>
                <w:color w:val="000000"/>
                <w:sz w:val="20"/>
                <w:szCs w:val="20"/>
              </w:rPr>
              <w:t> </w:t>
            </w:r>
          </w:p>
        </w:tc>
        <w:tc>
          <w:tcPr>
            <w:tcW w:w="716" w:type="dxa"/>
            <w:tcBorders>
              <w:bottom w:val="double" w:sz="6" w:space="0" w:color="000000"/>
            </w:tcBorders>
            <w:tcMar>
              <w:top w:w="5" w:type="dxa"/>
              <w:left w:w="5" w:type="dxa"/>
              <w:bottom w:w="22" w:type="dxa"/>
              <w:right w:w="5" w:type="dxa"/>
            </w:tcMar>
            <w:vAlign w:val="bottom"/>
            <w:hideMark/>
          </w:tcPr>
          <w:p w14:paraId="37A3276D" w14:textId="77777777" w:rsidR="00954279" w:rsidRDefault="00A66714">
            <w:pPr>
              <w:jc w:val="right"/>
              <w:rPr>
                <w:color w:val="000000"/>
                <w:sz w:val="20"/>
                <w:szCs w:val="20"/>
              </w:rPr>
            </w:pPr>
            <w:r>
              <w:rPr>
                <w:b/>
                <w:bCs/>
                <w:color w:val="000000"/>
                <w:sz w:val="20"/>
                <w:szCs w:val="20"/>
              </w:rPr>
              <w:t>(24</w:t>
            </w:r>
          </w:p>
        </w:tc>
        <w:tc>
          <w:tcPr>
            <w:tcW w:w="77" w:type="dxa"/>
            <w:noWrap/>
            <w:tcMar>
              <w:top w:w="5" w:type="dxa"/>
              <w:left w:w="5" w:type="dxa"/>
              <w:bottom w:w="50" w:type="dxa"/>
              <w:right w:w="5" w:type="dxa"/>
            </w:tcMar>
            <w:vAlign w:val="bottom"/>
            <w:hideMark/>
          </w:tcPr>
          <w:p w14:paraId="092C5CFD" w14:textId="77777777" w:rsidR="00954279" w:rsidRDefault="00A66714">
            <w:pPr>
              <w:rPr>
                <w:color w:val="000000"/>
                <w:sz w:val="20"/>
                <w:szCs w:val="20"/>
              </w:rPr>
            </w:pPr>
            <w:r>
              <w:rPr>
                <w:b/>
                <w:bCs/>
                <w:color w:val="000000"/>
                <w:sz w:val="20"/>
                <w:szCs w:val="20"/>
              </w:rPr>
              <w:t>)</w:t>
            </w:r>
          </w:p>
        </w:tc>
        <w:tc>
          <w:tcPr>
            <w:tcW w:w="65" w:type="dxa"/>
            <w:tcMar>
              <w:top w:w="5" w:type="dxa"/>
              <w:left w:w="5" w:type="dxa"/>
              <w:bottom w:w="50" w:type="dxa"/>
              <w:right w:w="5" w:type="dxa"/>
            </w:tcMar>
            <w:vAlign w:val="bottom"/>
            <w:hideMark/>
          </w:tcPr>
          <w:p w14:paraId="05F807F7" w14:textId="77777777" w:rsidR="00954279" w:rsidRDefault="00A66714">
            <w:pPr>
              <w:rPr>
                <w:color w:val="000000"/>
                <w:sz w:val="20"/>
                <w:szCs w:val="20"/>
              </w:rPr>
            </w:pPr>
            <w:r>
              <w:rPr>
                <w:color w:val="000000"/>
                <w:sz w:val="20"/>
                <w:szCs w:val="20"/>
              </w:rPr>
              <w:t> </w:t>
            </w:r>
          </w:p>
        </w:tc>
        <w:tc>
          <w:tcPr>
            <w:tcW w:w="111" w:type="dxa"/>
            <w:tcBorders>
              <w:bottom w:val="double" w:sz="6" w:space="0" w:color="000000"/>
            </w:tcBorders>
            <w:tcMar>
              <w:top w:w="5" w:type="dxa"/>
              <w:left w:w="5" w:type="dxa"/>
              <w:bottom w:w="22" w:type="dxa"/>
              <w:right w:w="5" w:type="dxa"/>
            </w:tcMar>
            <w:vAlign w:val="bottom"/>
            <w:hideMark/>
          </w:tcPr>
          <w:p w14:paraId="17564F19" w14:textId="77777777" w:rsidR="00954279" w:rsidRDefault="00A66714">
            <w:pPr>
              <w:rPr>
                <w:color w:val="000000"/>
                <w:sz w:val="20"/>
                <w:szCs w:val="20"/>
              </w:rPr>
            </w:pPr>
            <w:r>
              <w:rPr>
                <w:color w:val="000000"/>
                <w:sz w:val="20"/>
                <w:szCs w:val="20"/>
              </w:rPr>
              <w:t>$</w:t>
            </w:r>
          </w:p>
        </w:tc>
        <w:tc>
          <w:tcPr>
            <w:tcW w:w="719" w:type="dxa"/>
            <w:tcBorders>
              <w:bottom w:val="double" w:sz="6" w:space="0" w:color="000000"/>
            </w:tcBorders>
            <w:tcMar>
              <w:top w:w="5" w:type="dxa"/>
              <w:left w:w="5" w:type="dxa"/>
              <w:bottom w:w="22" w:type="dxa"/>
              <w:right w:w="5" w:type="dxa"/>
            </w:tcMar>
            <w:vAlign w:val="bottom"/>
            <w:hideMark/>
          </w:tcPr>
          <w:p w14:paraId="652526AE" w14:textId="77777777" w:rsidR="00954279" w:rsidRDefault="00A66714">
            <w:pPr>
              <w:jc w:val="right"/>
              <w:rPr>
                <w:color w:val="000000"/>
                <w:sz w:val="20"/>
                <w:szCs w:val="20"/>
              </w:rPr>
            </w:pPr>
            <w:r>
              <w:rPr>
                <w:b/>
                <w:bCs/>
                <w:color w:val="000000"/>
                <w:sz w:val="20"/>
                <w:szCs w:val="20"/>
              </w:rPr>
              <w:t>(375</w:t>
            </w:r>
          </w:p>
        </w:tc>
        <w:tc>
          <w:tcPr>
            <w:tcW w:w="77" w:type="dxa"/>
            <w:noWrap/>
            <w:tcMar>
              <w:top w:w="5" w:type="dxa"/>
              <w:left w:w="5" w:type="dxa"/>
              <w:bottom w:w="50" w:type="dxa"/>
              <w:right w:w="5" w:type="dxa"/>
            </w:tcMar>
            <w:vAlign w:val="bottom"/>
            <w:hideMark/>
          </w:tcPr>
          <w:p w14:paraId="5D49CEAE" w14:textId="77777777" w:rsidR="00954279" w:rsidRDefault="00A66714">
            <w:pPr>
              <w:rPr>
                <w:color w:val="000000"/>
                <w:sz w:val="20"/>
                <w:szCs w:val="20"/>
              </w:rPr>
            </w:pPr>
            <w:r>
              <w:rPr>
                <w:b/>
                <w:bCs/>
                <w:color w:val="000000"/>
                <w:sz w:val="20"/>
                <w:szCs w:val="20"/>
              </w:rPr>
              <w:t>)</w:t>
            </w:r>
          </w:p>
        </w:tc>
        <w:tc>
          <w:tcPr>
            <w:tcW w:w="65" w:type="dxa"/>
            <w:tcMar>
              <w:top w:w="5" w:type="dxa"/>
              <w:left w:w="5" w:type="dxa"/>
              <w:bottom w:w="50" w:type="dxa"/>
              <w:right w:w="5" w:type="dxa"/>
            </w:tcMar>
            <w:vAlign w:val="bottom"/>
            <w:hideMark/>
          </w:tcPr>
          <w:p w14:paraId="738AD182" w14:textId="77777777" w:rsidR="00954279" w:rsidRDefault="00A66714">
            <w:pPr>
              <w:rPr>
                <w:color w:val="000000"/>
                <w:sz w:val="20"/>
                <w:szCs w:val="20"/>
              </w:rPr>
            </w:pPr>
            <w:r>
              <w:rPr>
                <w:color w:val="000000"/>
                <w:sz w:val="20"/>
                <w:szCs w:val="20"/>
              </w:rPr>
              <w:t> </w:t>
            </w:r>
          </w:p>
        </w:tc>
        <w:tc>
          <w:tcPr>
            <w:tcW w:w="168" w:type="dxa"/>
            <w:tcBorders>
              <w:bottom w:val="double" w:sz="6" w:space="0" w:color="000000"/>
            </w:tcBorders>
            <w:tcMar>
              <w:top w:w="5" w:type="dxa"/>
              <w:left w:w="5" w:type="dxa"/>
              <w:bottom w:w="22" w:type="dxa"/>
              <w:right w:w="5" w:type="dxa"/>
            </w:tcMar>
            <w:vAlign w:val="bottom"/>
            <w:hideMark/>
          </w:tcPr>
          <w:p w14:paraId="2F946270" w14:textId="77777777" w:rsidR="00954279" w:rsidRDefault="00A66714">
            <w:pPr>
              <w:rPr>
                <w:color w:val="000000"/>
                <w:sz w:val="20"/>
                <w:szCs w:val="20"/>
              </w:rPr>
            </w:pPr>
            <w:r>
              <w:rPr>
                <w:color w:val="000000"/>
                <w:sz w:val="20"/>
                <w:szCs w:val="20"/>
              </w:rPr>
              <w:t>$</w:t>
            </w:r>
          </w:p>
        </w:tc>
        <w:tc>
          <w:tcPr>
            <w:tcW w:w="1176" w:type="dxa"/>
            <w:tcBorders>
              <w:bottom w:val="double" w:sz="6" w:space="0" w:color="000000"/>
            </w:tcBorders>
            <w:tcMar>
              <w:top w:w="5" w:type="dxa"/>
              <w:left w:w="5" w:type="dxa"/>
              <w:bottom w:w="22" w:type="dxa"/>
              <w:right w:w="5" w:type="dxa"/>
            </w:tcMar>
            <w:vAlign w:val="bottom"/>
            <w:hideMark/>
          </w:tcPr>
          <w:p w14:paraId="6A91200D" w14:textId="77777777" w:rsidR="00954279" w:rsidRDefault="00A66714">
            <w:pPr>
              <w:jc w:val="right"/>
              <w:rPr>
                <w:color w:val="000000"/>
                <w:sz w:val="20"/>
                <w:szCs w:val="20"/>
              </w:rPr>
            </w:pPr>
            <w:r>
              <w:rPr>
                <w:b/>
                <w:bCs/>
                <w:color w:val="000000"/>
                <w:sz w:val="20"/>
                <w:szCs w:val="20"/>
              </w:rPr>
              <w:t>(231</w:t>
            </w:r>
          </w:p>
        </w:tc>
        <w:tc>
          <w:tcPr>
            <w:tcW w:w="77" w:type="dxa"/>
            <w:noWrap/>
            <w:tcMar>
              <w:top w:w="5" w:type="dxa"/>
              <w:left w:w="5" w:type="dxa"/>
              <w:bottom w:w="50" w:type="dxa"/>
              <w:right w:w="5" w:type="dxa"/>
            </w:tcMar>
            <w:vAlign w:val="bottom"/>
            <w:hideMark/>
          </w:tcPr>
          <w:p w14:paraId="5C8789DB" w14:textId="77777777" w:rsidR="00954279" w:rsidRDefault="00A66714">
            <w:pPr>
              <w:rPr>
                <w:color w:val="000000"/>
                <w:sz w:val="20"/>
                <w:szCs w:val="20"/>
              </w:rPr>
            </w:pPr>
            <w:r>
              <w:rPr>
                <w:b/>
                <w:bCs/>
                <w:color w:val="000000"/>
                <w:sz w:val="20"/>
                <w:szCs w:val="20"/>
              </w:rPr>
              <w:t>)</w:t>
            </w:r>
          </w:p>
        </w:tc>
        <w:tc>
          <w:tcPr>
            <w:tcW w:w="65" w:type="dxa"/>
            <w:tcMar>
              <w:top w:w="5" w:type="dxa"/>
              <w:left w:w="5" w:type="dxa"/>
              <w:bottom w:w="50" w:type="dxa"/>
              <w:right w:w="5" w:type="dxa"/>
            </w:tcMar>
            <w:vAlign w:val="bottom"/>
            <w:hideMark/>
          </w:tcPr>
          <w:p w14:paraId="56C08F6B" w14:textId="77777777" w:rsidR="00954279" w:rsidRDefault="00A66714">
            <w:pPr>
              <w:rPr>
                <w:color w:val="000000"/>
                <w:sz w:val="20"/>
                <w:szCs w:val="20"/>
              </w:rPr>
            </w:pPr>
            <w:r>
              <w:rPr>
                <w:color w:val="000000"/>
                <w:sz w:val="20"/>
                <w:szCs w:val="20"/>
              </w:rPr>
              <w:t> </w:t>
            </w:r>
          </w:p>
        </w:tc>
        <w:tc>
          <w:tcPr>
            <w:tcW w:w="148" w:type="dxa"/>
            <w:tcBorders>
              <w:bottom w:val="double" w:sz="6" w:space="0" w:color="000000"/>
            </w:tcBorders>
            <w:tcMar>
              <w:top w:w="5" w:type="dxa"/>
              <w:left w:w="5" w:type="dxa"/>
              <w:bottom w:w="22" w:type="dxa"/>
              <w:right w:w="5" w:type="dxa"/>
            </w:tcMar>
            <w:vAlign w:val="bottom"/>
            <w:hideMark/>
          </w:tcPr>
          <w:p w14:paraId="344AD530" w14:textId="77777777" w:rsidR="00954279" w:rsidRDefault="00A66714">
            <w:pPr>
              <w:rPr>
                <w:color w:val="000000"/>
                <w:sz w:val="20"/>
                <w:szCs w:val="20"/>
              </w:rPr>
            </w:pPr>
            <w:r>
              <w:rPr>
                <w:color w:val="000000"/>
                <w:sz w:val="20"/>
                <w:szCs w:val="20"/>
              </w:rPr>
              <w:t>$</w:t>
            </w:r>
          </w:p>
        </w:tc>
        <w:tc>
          <w:tcPr>
            <w:tcW w:w="1029" w:type="dxa"/>
            <w:tcBorders>
              <w:bottom w:val="double" w:sz="6" w:space="0" w:color="000000"/>
            </w:tcBorders>
            <w:tcMar>
              <w:top w:w="5" w:type="dxa"/>
              <w:left w:w="5" w:type="dxa"/>
              <w:bottom w:w="22" w:type="dxa"/>
              <w:right w:w="5" w:type="dxa"/>
            </w:tcMar>
            <w:vAlign w:val="bottom"/>
            <w:hideMark/>
          </w:tcPr>
          <w:p w14:paraId="35E159B2" w14:textId="77777777" w:rsidR="00954279" w:rsidRDefault="00A66714">
            <w:pPr>
              <w:jc w:val="right"/>
              <w:rPr>
                <w:color w:val="000000"/>
                <w:sz w:val="20"/>
                <w:szCs w:val="20"/>
              </w:rPr>
            </w:pPr>
            <w:r>
              <w:rPr>
                <w:b/>
                <w:bCs/>
                <w:color w:val="000000"/>
                <w:sz w:val="20"/>
                <w:szCs w:val="20"/>
              </w:rPr>
              <w:t>347</w:t>
            </w:r>
          </w:p>
        </w:tc>
        <w:tc>
          <w:tcPr>
            <w:tcW w:w="77" w:type="dxa"/>
            <w:noWrap/>
            <w:tcMar>
              <w:top w:w="5" w:type="dxa"/>
              <w:left w:w="5" w:type="dxa"/>
              <w:bottom w:w="50" w:type="dxa"/>
              <w:right w:w="5" w:type="dxa"/>
            </w:tcMar>
            <w:vAlign w:val="bottom"/>
            <w:hideMark/>
          </w:tcPr>
          <w:p w14:paraId="213AD18A" w14:textId="77777777" w:rsidR="00954279" w:rsidRDefault="00A66714">
            <w:pPr>
              <w:rPr>
                <w:color w:val="000000"/>
                <w:sz w:val="20"/>
                <w:szCs w:val="20"/>
              </w:rPr>
            </w:pPr>
            <w:r>
              <w:rPr>
                <w:color w:val="000000"/>
                <w:sz w:val="20"/>
                <w:szCs w:val="20"/>
              </w:rPr>
              <w:t> </w:t>
            </w:r>
          </w:p>
        </w:tc>
      </w:tr>
    </w:tbl>
    <w:p w14:paraId="60C31EB3" w14:textId="77777777" w:rsidR="00954279" w:rsidRDefault="00A66714">
      <w:pPr>
        <w:ind w:left="144" w:right="144"/>
        <w:rPr>
          <w:sz w:val="20"/>
          <w:szCs w:val="20"/>
        </w:rPr>
      </w:pPr>
      <w:r>
        <w:rPr>
          <w:sz w:val="20"/>
          <w:szCs w:val="20"/>
        </w:rPr>
        <w:t> </w:t>
      </w:r>
    </w:p>
    <w:tbl>
      <w:tblPr>
        <w:tblStyle w:val="finTable"/>
        <w:tblW w:w="5236" w:type="pct"/>
        <w:tblInd w:w="-360" w:type="dxa"/>
        <w:tblCellMar>
          <w:left w:w="0" w:type="dxa"/>
          <w:right w:w="0" w:type="dxa"/>
        </w:tblCellMar>
        <w:tblLook w:val="05E0" w:firstRow="1" w:lastRow="1" w:firstColumn="1" w:lastColumn="1" w:noHBand="0" w:noVBand="1"/>
      </w:tblPr>
      <w:tblGrid>
        <w:gridCol w:w="2632"/>
        <w:gridCol w:w="71"/>
        <w:gridCol w:w="73"/>
        <w:gridCol w:w="718"/>
        <w:gridCol w:w="70"/>
        <w:gridCol w:w="70"/>
        <w:gridCol w:w="111"/>
        <w:gridCol w:w="719"/>
        <w:gridCol w:w="72"/>
        <w:gridCol w:w="72"/>
        <w:gridCol w:w="118"/>
        <w:gridCol w:w="805"/>
        <w:gridCol w:w="77"/>
        <w:gridCol w:w="68"/>
        <w:gridCol w:w="111"/>
        <w:gridCol w:w="719"/>
        <w:gridCol w:w="77"/>
        <w:gridCol w:w="68"/>
        <w:gridCol w:w="75"/>
        <w:gridCol w:w="717"/>
        <w:gridCol w:w="77"/>
        <w:gridCol w:w="68"/>
        <w:gridCol w:w="111"/>
        <w:gridCol w:w="719"/>
        <w:gridCol w:w="77"/>
        <w:gridCol w:w="68"/>
        <w:gridCol w:w="170"/>
        <w:gridCol w:w="1176"/>
        <w:gridCol w:w="77"/>
        <w:gridCol w:w="70"/>
        <w:gridCol w:w="148"/>
        <w:gridCol w:w="1029"/>
        <w:gridCol w:w="77"/>
      </w:tblGrid>
      <w:tr w:rsidR="00954279" w14:paraId="27DC2738" w14:textId="77777777" w:rsidTr="00717712">
        <w:tc>
          <w:tcPr>
            <w:tcW w:w="1163" w:type="pct"/>
            <w:tcMar>
              <w:top w:w="5" w:type="dxa"/>
              <w:left w:w="5" w:type="dxa"/>
              <w:bottom w:w="5" w:type="dxa"/>
              <w:right w:w="5" w:type="dxa"/>
            </w:tcMar>
            <w:vAlign w:val="bottom"/>
            <w:hideMark/>
          </w:tcPr>
          <w:p w14:paraId="387DA22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6C285F0" w14:textId="77777777" w:rsidR="00954279" w:rsidRDefault="00A66714">
            <w:pPr>
              <w:rPr>
                <w:color w:val="000000"/>
                <w:sz w:val="20"/>
                <w:szCs w:val="20"/>
              </w:rPr>
            </w:pPr>
            <w:r>
              <w:rPr>
                <w:color w:val="000000"/>
                <w:sz w:val="20"/>
                <w:szCs w:val="20"/>
              </w:rPr>
              <w:t> </w:t>
            </w:r>
          </w:p>
        </w:tc>
        <w:tc>
          <w:tcPr>
            <w:tcW w:w="0" w:type="auto"/>
            <w:gridSpan w:val="30"/>
            <w:tcBorders>
              <w:bottom w:val="single" w:sz="6" w:space="0" w:color="000000"/>
            </w:tcBorders>
            <w:tcMar>
              <w:top w:w="5" w:type="dxa"/>
              <w:left w:w="5" w:type="dxa"/>
              <w:bottom w:w="8" w:type="dxa"/>
              <w:right w:w="5" w:type="dxa"/>
            </w:tcMar>
            <w:vAlign w:val="bottom"/>
            <w:hideMark/>
          </w:tcPr>
          <w:p w14:paraId="2F9924E0" w14:textId="77777777" w:rsidR="00954279" w:rsidRDefault="00A66714">
            <w:pPr>
              <w:jc w:val="center"/>
              <w:rPr>
                <w:color w:val="000000"/>
                <w:sz w:val="20"/>
                <w:szCs w:val="20"/>
              </w:rPr>
            </w:pPr>
            <w:r>
              <w:rPr>
                <w:b/>
                <w:bCs/>
                <w:color w:val="000000"/>
                <w:sz w:val="20"/>
                <w:szCs w:val="20"/>
              </w:rPr>
              <w:t>Six Months Ended June 30, 2020</w:t>
            </w:r>
          </w:p>
        </w:tc>
        <w:tc>
          <w:tcPr>
            <w:tcW w:w="0" w:type="auto"/>
            <w:tcMar>
              <w:top w:w="5" w:type="dxa"/>
              <w:left w:w="5" w:type="dxa"/>
              <w:bottom w:w="20" w:type="dxa"/>
              <w:right w:w="5" w:type="dxa"/>
            </w:tcMar>
            <w:vAlign w:val="bottom"/>
            <w:hideMark/>
          </w:tcPr>
          <w:p w14:paraId="2128734D" w14:textId="77777777" w:rsidR="00954279" w:rsidRDefault="00A66714">
            <w:pPr>
              <w:rPr>
                <w:color w:val="000000"/>
                <w:sz w:val="20"/>
                <w:szCs w:val="20"/>
              </w:rPr>
            </w:pPr>
            <w:r>
              <w:rPr>
                <w:color w:val="000000"/>
                <w:sz w:val="20"/>
                <w:szCs w:val="20"/>
              </w:rPr>
              <w:t> </w:t>
            </w:r>
          </w:p>
        </w:tc>
      </w:tr>
      <w:tr w:rsidR="00954279" w14:paraId="49A3C2BA" w14:textId="77777777" w:rsidTr="00717712">
        <w:tc>
          <w:tcPr>
            <w:tcW w:w="1163" w:type="pct"/>
            <w:tcMar>
              <w:top w:w="5" w:type="dxa"/>
              <w:left w:w="5" w:type="dxa"/>
              <w:bottom w:w="5" w:type="dxa"/>
              <w:right w:w="5" w:type="dxa"/>
            </w:tcMar>
            <w:vAlign w:val="bottom"/>
            <w:hideMark/>
          </w:tcPr>
          <w:p w14:paraId="43D9457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149DF7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A0D87E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42490CD" w14:textId="77777777" w:rsidR="00954279" w:rsidRDefault="00A66714">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9D3D78F" w14:textId="77777777" w:rsidR="00954279" w:rsidRDefault="00A66714">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5F016B4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47C827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7A4FD1F" w14:textId="77777777" w:rsidR="00954279" w:rsidRDefault="00A66714">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F8F6076" w14:textId="77777777" w:rsidR="00954279" w:rsidRDefault="00A66714">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5A744C4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AA04A7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2549F6D" w14:textId="77777777" w:rsidR="00954279" w:rsidRDefault="00A66714">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374F249" w14:textId="77777777" w:rsidR="00954279" w:rsidRDefault="00A66714">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87FC49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8A6C30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094D763" w14:textId="77777777" w:rsidR="00954279" w:rsidRDefault="00A66714">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9179D65" w14:textId="77777777" w:rsidR="00954279" w:rsidRDefault="00A66714">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49FE20E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540405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CF112F5" w14:textId="77777777" w:rsidR="00954279" w:rsidRDefault="00A66714">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7713A8A" w14:textId="77777777" w:rsidR="00954279" w:rsidRDefault="00A66714">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5DDF8B9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3FACFF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808DB5F" w14:textId="77777777" w:rsidR="00954279" w:rsidRDefault="00A66714">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6D49E87" w14:textId="77777777" w:rsidR="00954279" w:rsidRDefault="00A66714">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55D2AB23"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0DFC2E91" w14:textId="77777777" w:rsidR="00954279" w:rsidRDefault="00A66714">
            <w:pPr>
              <w:jc w:val="center"/>
              <w:rPr>
                <w:color w:val="000000"/>
                <w:sz w:val="20"/>
                <w:szCs w:val="20"/>
              </w:rPr>
            </w:pPr>
            <w:r>
              <w:rPr>
                <w:b/>
                <w:bCs/>
                <w:color w:val="000000"/>
                <w:sz w:val="20"/>
                <w:szCs w:val="20"/>
              </w:rPr>
              <w:t>Accumulated</w:t>
            </w:r>
          </w:p>
        </w:tc>
        <w:tc>
          <w:tcPr>
            <w:tcW w:w="0" w:type="auto"/>
            <w:tcMar>
              <w:top w:w="5" w:type="dxa"/>
              <w:left w:w="5" w:type="dxa"/>
              <w:bottom w:w="5" w:type="dxa"/>
              <w:right w:w="5" w:type="dxa"/>
            </w:tcMar>
            <w:vAlign w:val="bottom"/>
            <w:hideMark/>
          </w:tcPr>
          <w:p w14:paraId="1E9323C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DD05E7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DC5A90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2F2D758" w14:textId="77777777" w:rsidR="00954279" w:rsidRDefault="00A66714">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93C4EB1" w14:textId="77777777" w:rsidR="00954279" w:rsidRDefault="00A66714">
            <w:pPr>
              <w:rPr>
                <w:color w:val="000000"/>
                <w:sz w:val="20"/>
                <w:szCs w:val="20"/>
              </w:rPr>
            </w:pPr>
            <w:r>
              <w:rPr>
                <w:b/>
                <w:bCs/>
                <w:color w:val="000000"/>
                <w:sz w:val="20"/>
                <w:szCs w:val="20"/>
              </w:rPr>
              <w:t> </w:t>
            </w:r>
          </w:p>
        </w:tc>
      </w:tr>
      <w:tr w:rsidR="00954279" w14:paraId="39DAE1B0" w14:textId="77777777" w:rsidTr="00717712">
        <w:tc>
          <w:tcPr>
            <w:tcW w:w="1163" w:type="pct"/>
            <w:tcMar>
              <w:top w:w="5" w:type="dxa"/>
              <w:left w:w="5" w:type="dxa"/>
              <w:bottom w:w="5" w:type="dxa"/>
              <w:right w:w="5" w:type="dxa"/>
            </w:tcMar>
            <w:vAlign w:val="bottom"/>
            <w:hideMark/>
          </w:tcPr>
          <w:p w14:paraId="2A723F0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BE8A0C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66C8C5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D51D415" w14:textId="77777777" w:rsidR="00954279" w:rsidRDefault="00A66714">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741EC9E" w14:textId="77777777" w:rsidR="00954279" w:rsidRDefault="00A66714">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771F2BB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1DCB572"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B297F1B" w14:textId="77777777" w:rsidR="00954279" w:rsidRDefault="00A66714">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1FDD420" w14:textId="77777777" w:rsidR="00954279" w:rsidRDefault="00A66714">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11BFABA1"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01280C25" w14:textId="77777777" w:rsidR="00954279" w:rsidRDefault="00A66714">
            <w:pPr>
              <w:jc w:val="center"/>
              <w:rPr>
                <w:color w:val="000000"/>
                <w:sz w:val="20"/>
                <w:szCs w:val="20"/>
              </w:rPr>
            </w:pPr>
            <w:r>
              <w:rPr>
                <w:b/>
                <w:bCs/>
                <w:color w:val="000000"/>
                <w:sz w:val="20"/>
                <w:szCs w:val="20"/>
              </w:rPr>
              <w:t>Additional</w:t>
            </w:r>
          </w:p>
        </w:tc>
        <w:tc>
          <w:tcPr>
            <w:tcW w:w="0" w:type="auto"/>
            <w:tcMar>
              <w:top w:w="5" w:type="dxa"/>
              <w:left w:w="5" w:type="dxa"/>
              <w:bottom w:w="5" w:type="dxa"/>
              <w:right w:w="5" w:type="dxa"/>
            </w:tcMar>
            <w:vAlign w:val="bottom"/>
            <w:hideMark/>
          </w:tcPr>
          <w:p w14:paraId="786693F2"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246A71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B84422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BEB4349" w14:textId="77777777" w:rsidR="00954279" w:rsidRDefault="00A66714">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B81354A" w14:textId="77777777" w:rsidR="00954279" w:rsidRDefault="00A66714">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56E635B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8A6B10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DE21856" w14:textId="77777777" w:rsidR="00954279" w:rsidRDefault="00A66714">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5CC56F6" w14:textId="77777777" w:rsidR="00954279" w:rsidRDefault="00A66714">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7B30EC4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EE5B35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D1CFB92" w14:textId="77777777" w:rsidR="00954279" w:rsidRDefault="00A66714">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BEC0561" w14:textId="77777777" w:rsidR="00954279" w:rsidRDefault="00A66714">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78971F18"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5890D926" w14:textId="77777777" w:rsidR="00954279" w:rsidRDefault="00A66714">
            <w:pPr>
              <w:jc w:val="center"/>
              <w:rPr>
                <w:color w:val="000000"/>
                <w:sz w:val="20"/>
                <w:szCs w:val="20"/>
              </w:rPr>
            </w:pPr>
            <w:r>
              <w:rPr>
                <w:b/>
                <w:bCs/>
                <w:color w:val="000000"/>
                <w:sz w:val="20"/>
                <w:szCs w:val="20"/>
              </w:rPr>
              <w:t>Other</w:t>
            </w:r>
          </w:p>
        </w:tc>
        <w:tc>
          <w:tcPr>
            <w:tcW w:w="0" w:type="auto"/>
            <w:tcMar>
              <w:top w:w="5" w:type="dxa"/>
              <w:left w:w="5" w:type="dxa"/>
              <w:bottom w:w="5" w:type="dxa"/>
              <w:right w:w="5" w:type="dxa"/>
            </w:tcMar>
            <w:vAlign w:val="bottom"/>
            <w:hideMark/>
          </w:tcPr>
          <w:p w14:paraId="47E7635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2DAE6F6"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72DB237C" w14:textId="77777777" w:rsidR="00954279" w:rsidRDefault="00A66714">
            <w:pPr>
              <w:jc w:val="center"/>
              <w:rPr>
                <w:color w:val="000000"/>
                <w:sz w:val="20"/>
                <w:szCs w:val="20"/>
              </w:rPr>
            </w:pPr>
            <w:r>
              <w:rPr>
                <w:b/>
                <w:bCs/>
                <w:color w:val="000000"/>
                <w:sz w:val="20"/>
                <w:szCs w:val="20"/>
              </w:rPr>
              <w:t>Total</w:t>
            </w:r>
          </w:p>
        </w:tc>
        <w:tc>
          <w:tcPr>
            <w:tcW w:w="0" w:type="auto"/>
            <w:tcMar>
              <w:top w:w="5" w:type="dxa"/>
              <w:left w:w="5" w:type="dxa"/>
              <w:bottom w:w="5" w:type="dxa"/>
              <w:right w:w="5" w:type="dxa"/>
            </w:tcMar>
            <w:vAlign w:val="bottom"/>
            <w:hideMark/>
          </w:tcPr>
          <w:p w14:paraId="5BED4E1F" w14:textId="77777777" w:rsidR="00954279" w:rsidRDefault="00A66714">
            <w:pPr>
              <w:rPr>
                <w:color w:val="000000"/>
                <w:sz w:val="20"/>
                <w:szCs w:val="20"/>
              </w:rPr>
            </w:pPr>
            <w:r>
              <w:rPr>
                <w:color w:val="000000"/>
                <w:sz w:val="20"/>
                <w:szCs w:val="20"/>
              </w:rPr>
              <w:t> </w:t>
            </w:r>
          </w:p>
        </w:tc>
      </w:tr>
      <w:tr w:rsidR="00954279" w14:paraId="417CA19F" w14:textId="77777777" w:rsidTr="00717712">
        <w:tc>
          <w:tcPr>
            <w:tcW w:w="1163" w:type="pct"/>
            <w:tcMar>
              <w:top w:w="5" w:type="dxa"/>
              <w:left w:w="5" w:type="dxa"/>
              <w:bottom w:w="5" w:type="dxa"/>
              <w:right w:w="5" w:type="dxa"/>
            </w:tcMar>
            <w:vAlign w:val="bottom"/>
            <w:hideMark/>
          </w:tcPr>
          <w:p w14:paraId="1D11026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0958DEC" w14:textId="77777777" w:rsidR="00954279" w:rsidRDefault="00A66714">
            <w:pPr>
              <w:rPr>
                <w:color w:val="000000"/>
                <w:sz w:val="20"/>
                <w:szCs w:val="20"/>
              </w:rPr>
            </w:pPr>
            <w:r>
              <w:rPr>
                <w:color w:val="000000"/>
                <w:sz w:val="20"/>
                <w:szCs w:val="20"/>
              </w:rPr>
              <w:t> </w:t>
            </w:r>
          </w:p>
        </w:tc>
        <w:tc>
          <w:tcPr>
            <w:tcW w:w="0" w:type="auto"/>
            <w:gridSpan w:val="6"/>
            <w:tcBorders>
              <w:bottom w:val="single" w:sz="12" w:space="0" w:color="000000"/>
            </w:tcBorders>
            <w:tcMar>
              <w:top w:w="5" w:type="dxa"/>
              <w:left w:w="5" w:type="dxa"/>
              <w:bottom w:w="15" w:type="dxa"/>
              <w:right w:w="5" w:type="dxa"/>
            </w:tcMar>
            <w:vAlign w:val="bottom"/>
            <w:hideMark/>
          </w:tcPr>
          <w:p w14:paraId="7472572B" w14:textId="77777777" w:rsidR="00954279" w:rsidRDefault="00A66714">
            <w:pPr>
              <w:jc w:val="center"/>
              <w:rPr>
                <w:color w:val="000000"/>
                <w:sz w:val="20"/>
                <w:szCs w:val="20"/>
              </w:rPr>
            </w:pPr>
            <w:r>
              <w:rPr>
                <w:b/>
                <w:bCs/>
                <w:color w:val="000000"/>
                <w:sz w:val="20"/>
                <w:szCs w:val="20"/>
              </w:rPr>
              <w:t>Common Stock</w:t>
            </w:r>
          </w:p>
        </w:tc>
        <w:tc>
          <w:tcPr>
            <w:tcW w:w="0" w:type="auto"/>
            <w:tcMar>
              <w:top w:w="5" w:type="dxa"/>
              <w:left w:w="5" w:type="dxa"/>
              <w:bottom w:w="5" w:type="dxa"/>
              <w:right w:w="5" w:type="dxa"/>
            </w:tcMar>
            <w:vAlign w:val="bottom"/>
            <w:hideMark/>
          </w:tcPr>
          <w:p w14:paraId="618714E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63A3E6F"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5379F19A" w14:textId="77777777" w:rsidR="00954279" w:rsidRDefault="00A66714">
            <w:pPr>
              <w:jc w:val="center"/>
              <w:rPr>
                <w:color w:val="000000"/>
                <w:sz w:val="20"/>
                <w:szCs w:val="20"/>
              </w:rPr>
            </w:pPr>
            <w:r>
              <w:rPr>
                <w:b/>
                <w:bCs/>
                <w:color w:val="000000"/>
                <w:sz w:val="20"/>
                <w:szCs w:val="20"/>
              </w:rPr>
              <w:t>Paid-in</w:t>
            </w:r>
          </w:p>
        </w:tc>
        <w:tc>
          <w:tcPr>
            <w:tcW w:w="0" w:type="auto"/>
            <w:tcMar>
              <w:top w:w="5" w:type="dxa"/>
              <w:left w:w="5" w:type="dxa"/>
              <w:bottom w:w="5" w:type="dxa"/>
              <w:right w:w="5" w:type="dxa"/>
            </w:tcMar>
            <w:vAlign w:val="bottom"/>
            <w:hideMark/>
          </w:tcPr>
          <w:p w14:paraId="0836938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0C5D804"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30FCD99C" w14:textId="77777777" w:rsidR="00954279" w:rsidRDefault="00A66714">
            <w:pPr>
              <w:jc w:val="center"/>
              <w:rPr>
                <w:color w:val="000000"/>
                <w:sz w:val="20"/>
                <w:szCs w:val="20"/>
              </w:rPr>
            </w:pPr>
            <w:r>
              <w:rPr>
                <w:b/>
                <w:bCs/>
                <w:color w:val="000000"/>
                <w:sz w:val="20"/>
                <w:szCs w:val="20"/>
              </w:rPr>
              <w:t>Retained</w:t>
            </w:r>
          </w:p>
        </w:tc>
        <w:tc>
          <w:tcPr>
            <w:tcW w:w="0" w:type="auto"/>
            <w:tcMar>
              <w:top w:w="5" w:type="dxa"/>
              <w:left w:w="5" w:type="dxa"/>
              <w:bottom w:w="5" w:type="dxa"/>
              <w:right w:w="5" w:type="dxa"/>
            </w:tcMar>
            <w:vAlign w:val="bottom"/>
            <w:hideMark/>
          </w:tcPr>
          <w:p w14:paraId="6F350C7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12B0B90" w14:textId="77777777" w:rsidR="00954279" w:rsidRDefault="00A66714">
            <w:pPr>
              <w:rPr>
                <w:color w:val="000000"/>
                <w:sz w:val="20"/>
                <w:szCs w:val="20"/>
              </w:rPr>
            </w:pPr>
            <w:r>
              <w:rPr>
                <w:color w:val="000000"/>
                <w:sz w:val="20"/>
                <w:szCs w:val="20"/>
              </w:rPr>
              <w:t> </w:t>
            </w:r>
          </w:p>
        </w:tc>
        <w:tc>
          <w:tcPr>
            <w:tcW w:w="0" w:type="auto"/>
            <w:gridSpan w:val="6"/>
            <w:tcBorders>
              <w:bottom w:val="single" w:sz="12" w:space="0" w:color="000000"/>
            </w:tcBorders>
            <w:tcMar>
              <w:top w:w="5" w:type="dxa"/>
              <w:left w:w="5" w:type="dxa"/>
              <w:bottom w:w="15" w:type="dxa"/>
              <w:right w:w="5" w:type="dxa"/>
            </w:tcMar>
            <w:vAlign w:val="bottom"/>
            <w:hideMark/>
          </w:tcPr>
          <w:p w14:paraId="4B677C49" w14:textId="77777777" w:rsidR="00954279" w:rsidRDefault="00A66714">
            <w:pPr>
              <w:jc w:val="center"/>
              <w:rPr>
                <w:color w:val="000000"/>
                <w:sz w:val="20"/>
                <w:szCs w:val="20"/>
              </w:rPr>
            </w:pPr>
            <w:r>
              <w:rPr>
                <w:b/>
                <w:bCs/>
                <w:color w:val="000000"/>
                <w:sz w:val="20"/>
                <w:szCs w:val="20"/>
              </w:rPr>
              <w:t>Treasury Stock</w:t>
            </w:r>
          </w:p>
        </w:tc>
        <w:tc>
          <w:tcPr>
            <w:tcW w:w="0" w:type="auto"/>
            <w:tcMar>
              <w:top w:w="5" w:type="dxa"/>
              <w:left w:w="5" w:type="dxa"/>
              <w:bottom w:w="5" w:type="dxa"/>
              <w:right w:w="5" w:type="dxa"/>
            </w:tcMar>
            <w:vAlign w:val="bottom"/>
            <w:hideMark/>
          </w:tcPr>
          <w:p w14:paraId="5C17E8B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C479969"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01D51E53" w14:textId="77777777" w:rsidR="00954279" w:rsidRDefault="00A66714">
            <w:pPr>
              <w:jc w:val="center"/>
              <w:rPr>
                <w:color w:val="000000"/>
                <w:sz w:val="20"/>
                <w:szCs w:val="20"/>
              </w:rPr>
            </w:pPr>
            <w:r>
              <w:rPr>
                <w:b/>
                <w:bCs/>
                <w:color w:val="000000"/>
                <w:sz w:val="20"/>
                <w:szCs w:val="20"/>
              </w:rPr>
              <w:t>Comprehensive</w:t>
            </w:r>
          </w:p>
        </w:tc>
        <w:tc>
          <w:tcPr>
            <w:tcW w:w="0" w:type="auto"/>
            <w:tcMar>
              <w:top w:w="5" w:type="dxa"/>
              <w:left w:w="5" w:type="dxa"/>
              <w:bottom w:w="5" w:type="dxa"/>
              <w:right w:w="5" w:type="dxa"/>
            </w:tcMar>
            <w:vAlign w:val="bottom"/>
            <w:hideMark/>
          </w:tcPr>
          <w:p w14:paraId="67F90D1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8777136"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793F1741" w14:textId="77777777" w:rsidR="00954279" w:rsidRDefault="00A66714">
            <w:pPr>
              <w:jc w:val="center"/>
              <w:rPr>
                <w:color w:val="000000"/>
                <w:sz w:val="20"/>
                <w:szCs w:val="20"/>
              </w:rPr>
            </w:pPr>
            <w:r>
              <w:rPr>
                <w:b/>
                <w:bCs/>
                <w:color w:val="000000"/>
                <w:sz w:val="20"/>
                <w:szCs w:val="20"/>
              </w:rPr>
              <w:t>Stockholders'</w:t>
            </w:r>
          </w:p>
        </w:tc>
        <w:tc>
          <w:tcPr>
            <w:tcW w:w="0" w:type="auto"/>
            <w:tcMar>
              <w:top w:w="5" w:type="dxa"/>
              <w:left w:w="5" w:type="dxa"/>
              <w:bottom w:w="5" w:type="dxa"/>
              <w:right w:w="5" w:type="dxa"/>
            </w:tcMar>
            <w:vAlign w:val="bottom"/>
            <w:hideMark/>
          </w:tcPr>
          <w:p w14:paraId="046C155F" w14:textId="77777777" w:rsidR="00954279" w:rsidRDefault="00A66714">
            <w:pPr>
              <w:rPr>
                <w:color w:val="000000"/>
                <w:sz w:val="20"/>
                <w:szCs w:val="20"/>
              </w:rPr>
            </w:pPr>
            <w:r>
              <w:rPr>
                <w:color w:val="000000"/>
                <w:sz w:val="20"/>
                <w:szCs w:val="20"/>
              </w:rPr>
              <w:t> </w:t>
            </w:r>
          </w:p>
        </w:tc>
      </w:tr>
      <w:tr w:rsidR="00954279" w14:paraId="09CE4FB9" w14:textId="77777777" w:rsidTr="00717712">
        <w:tc>
          <w:tcPr>
            <w:tcW w:w="1163" w:type="pct"/>
            <w:tcMar>
              <w:top w:w="5" w:type="dxa"/>
              <w:left w:w="5" w:type="dxa"/>
              <w:bottom w:w="5" w:type="dxa"/>
              <w:right w:w="5" w:type="dxa"/>
            </w:tcMar>
            <w:vAlign w:val="bottom"/>
            <w:hideMark/>
          </w:tcPr>
          <w:p w14:paraId="65512ED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680003E"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2796458F" w14:textId="77777777" w:rsidR="00954279" w:rsidRDefault="00A66714">
            <w:pPr>
              <w:jc w:val="center"/>
              <w:rPr>
                <w:color w:val="000000"/>
                <w:sz w:val="20"/>
                <w:szCs w:val="20"/>
              </w:rPr>
            </w:pPr>
            <w:r>
              <w:rPr>
                <w:b/>
                <w:bCs/>
                <w:color w:val="000000"/>
                <w:sz w:val="20"/>
                <w:szCs w:val="20"/>
              </w:rPr>
              <w:t>Shares</w:t>
            </w:r>
          </w:p>
        </w:tc>
        <w:tc>
          <w:tcPr>
            <w:tcW w:w="0" w:type="auto"/>
            <w:tcMar>
              <w:top w:w="5" w:type="dxa"/>
              <w:left w:w="5" w:type="dxa"/>
              <w:bottom w:w="20" w:type="dxa"/>
              <w:right w:w="5" w:type="dxa"/>
            </w:tcMar>
            <w:vAlign w:val="bottom"/>
            <w:hideMark/>
          </w:tcPr>
          <w:p w14:paraId="4AF73C5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9D1C034"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EC73706" w14:textId="77777777" w:rsidR="00954279" w:rsidRDefault="00A66714">
            <w:pPr>
              <w:jc w:val="center"/>
              <w:rPr>
                <w:color w:val="000000"/>
                <w:sz w:val="20"/>
                <w:szCs w:val="20"/>
              </w:rPr>
            </w:pPr>
            <w:r>
              <w:rPr>
                <w:b/>
                <w:bCs/>
                <w:color w:val="000000"/>
                <w:sz w:val="20"/>
                <w:szCs w:val="20"/>
              </w:rPr>
              <w:t>Amount</w:t>
            </w:r>
          </w:p>
        </w:tc>
        <w:tc>
          <w:tcPr>
            <w:tcW w:w="0" w:type="auto"/>
            <w:tcMar>
              <w:top w:w="5" w:type="dxa"/>
              <w:left w:w="5" w:type="dxa"/>
              <w:bottom w:w="20" w:type="dxa"/>
              <w:right w:w="5" w:type="dxa"/>
            </w:tcMar>
            <w:vAlign w:val="bottom"/>
            <w:hideMark/>
          </w:tcPr>
          <w:p w14:paraId="4B96BA7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07D6164"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150E2F91" w14:textId="77777777" w:rsidR="00954279" w:rsidRDefault="00A66714">
            <w:pPr>
              <w:jc w:val="center"/>
              <w:rPr>
                <w:color w:val="000000"/>
                <w:sz w:val="20"/>
                <w:szCs w:val="20"/>
              </w:rPr>
            </w:pPr>
            <w:r>
              <w:rPr>
                <w:b/>
                <w:bCs/>
                <w:color w:val="000000"/>
                <w:sz w:val="20"/>
                <w:szCs w:val="20"/>
              </w:rPr>
              <w:t>Capital</w:t>
            </w:r>
          </w:p>
        </w:tc>
        <w:tc>
          <w:tcPr>
            <w:tcW w:w="0" w:type="auto"/>
            <w:tcMar>
              <w:top w:w="5" w:type="dxa"/>
              <w:left w:w="5" w:type="dxa"/>
              <w:bottom w:w="20" w:type="dxa"/>
              <w:right w:w="5" w:type="dxa"/>
            </w:tcMar>
            <w:vAlign w:val="bottom"/>
            <w:hideMark/>
          </w:tcPr>
          <w:p w14:paraId="5C43996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861DCF1"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D65C412" w14:textId="77777777" w:rsidR="00954279" w:rsidRDefault="00A66714">
            <w:pPr>
              <w:jc w:val="center"/>
              <w:rPr>
                <w:color w:val="000000"/>
                <w:sz w:val="20"/>
                <w:szCs w:val="20"/>
              </w:rPr>
            </w:pPr>
            <w:r>
              <w:rPr>
                <w:b/>
                <w:bCs/>
                <w:color w:val="000000"/>
                <w:sz w:val="20"/>
                <w:szCs w:val="20"/>
              </w:rPr>
              <w:t>(Deficit)</w:t>
            </w:r>
          </w:p>
        </w:tc>
        <w:tc>
          <w:tcPr>
            <w:tcW w:w="0" w:type="auto"/>
            <w:tcMar>
              <w:top w:w="5" w:type="dxa"/>
              <w:left w:w="5" w:type="dxa"/>
              <w:bottom w:w="20" w:type="dxa"/>
              <w:right w:w="5" w:type="dxa"/>
            </w:tcMar>
            <w:vAlign w:val="bottom"/>
            <w:hideMark/>
          </w:tcPr>
          <w:p w14:paraId="541FBB0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0580417"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2BA1D7CC" w14:textId="77777777" w:rsidR="00954279" w:rsidRDefault="00A66714">
            <w:pPr>
              <w:jc w:val="center"/>
              <w:rPr>
                <w:color w:val="000000"/>
                <w:sz w:val="20"/>
                <w:szCs w:val="20"/>
              </w:rPr>
            </w:pPr>
            <w:r>
              <w:rPr>
                <w:b/>
                <w:bCs/>
                <w:color w:val="000000"/>
                <w:sz w:val="20"/>
                <w:szCs w:val="20"/>
              </w:rPr>
              <w:t>Shares</w:t>
            </w:r>
          </w:p>
        </w:tc>
        <w:tc>
          <w:tcPr>
            <w:tcW w:w="0" w:type="auto"/>
            <w:tcMar>
              <w:top w:w="5" w:type="dxa"/>
              <w:left w:w="5" w:type="dxa"/>
              <w:bottom w:w="20" w:type="dxa"/>
              <w:right w:w="5" w:type="dxa"/>
            </w:tcMar>
            <w:vAlign w:val="bottom"/>
            <w:hideMark/>
          </w:tcPr>
          <w:p w14:paraId="7AE0871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2ABA9B2"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E99BC72" w14:textId="77777777" w:rsidR="00954279" w:rsidRDefault="00A66714">
            <w:pPr>
              <w:jc w:val="center"/>
              <w:rPr>
                <w:color w:val="000000"/>
                <w:sz w:val="20"/>
                <w:szCs w:val="20"/>
              </w:rPr>
            </w:pPr>
            <w:r>
              <w:rPr>
                <w:b/>
                <w:bCs/>
                <w:color w:val="000000"/>
                <w:sz w:val="20"/>
                <w:szCs w:val="20"/>
              </w:rPr>
              <w:t>Amount</w:t>
            </w:r>
          </w:p>
        </w:tc>
        <w:tc>
          <w:tcPr>
            <w:tcW w:w="0" w:type="auto"/>
            <w:tcMar>
              <w:top w:w="5" w:type="dxa"/>
              <w:left w:w="5" w:type="dxa"/>
              <w:bottom w:w="20" w:type="dxa"/>
              <w:right w:w="5" w:type="dxa"/>
            </w:tcMar>
            <w:vAlign w:val="bottom"/>
            <w:hideMark/>
          </w:tcPr>
          <w:p w14:paraId="4ADF56C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50FEED2"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7F49DDC7" w14:textId="77777777" w:rsidR="00954279" w:rsidRDefault="00A66714">
            <w:pPr>
              <w:jc w:val="center"/>
              <w:rPr>
                <w:color w:val="000000"/>
                <w:sz w:val="20"/>
                <w:szCs w:val="20"/>
              </w:rPr>
            </w:pPr>
            <w:r>
              <w:rPr>
                <w:b/>
                <w:bCs/>
                <w:color w:val="000000"/>
                <w:sz w:val="20"/>
                <w:szCs w:val="20"/>
              </w:rPr>
              <w:t>(Loss)</w:t>
            </w:r>
          </w:p>
        </w:tc>
        <w:tc>
          <w:tcPr>
            <w:tcW w:w="0" w:type="auto"/>
            <w:tcMar>
              <w:top w:w="5" w:type="dxa"/>
              <w:left w:w="5" w:type="dxa"/>
              <w:bottom w:w="20" w:type="dxa"/>
              <w:right w:w="5" w:type="dxa"/>
            </w:tcMar>
            <w:vAlign w:val="bottom"/>
            <w:hideMark/>
          </w:tcPr>
          <w:p w14:paraId="4FCE264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29F9643"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2F5456B7" w14:textId="77777777" w:rsidR="00954279" w:rsidRDefault="00A66714">
            <w:pPr>
              <w:jc w:val="center"/>
              <w:rPr>
                <w:color w:val="000000"/>
                <w:sz w:val="20"/>
                <w:szCs w:val="20"/>
              </w:rPr>
            </w:pPr>
            <w:r>
              <w:rPr>
                <w:b/>
                <w:bCs/>
                <w:color w:val="000000"/>
                <w:sz w:val="20"/>
                <w:szCs w:val="20"/>
              </w:rPr>
              <w:t>Equity</w:t>
            </w:r>
          </w:p>
        </w:tc>
        <w:tc>
          <w:tcPr>
            <w:tcW w:w="0" w:type="auto"/>
            <w:tcMar>
              <w:top w:w="5" w:type="dxa"/>
              <w:left w:w="5" w:type="dxa"/>
              <w:bottom w:w="20" w:type="dxa"/>
              <w:right w:w="5" w:type="dxa"/>
            </w:tcMar>
            <w:vAlign w:val="bottom"/>
            <w:hideMark/>
          </w:tcPr>
          <w:p w14:paraId="518F842B" w14:textId="77777777" w:rsidR="00954279" w:rsidRDefault="00A66714">
            <w:pPr>
              <w:rPr>
                <w:color w:val="000000"/>
                <w:sz w:val="20"/>
                <w:szCs w:val="20"/>
              </w:rPr>
            </w:pPr>
            <w:r>
              <w:rPr>
                <w:color w:val="000000"/>
                <w:sz w:val="20"/>
                <w:szCs w:val="20"/>
              </w:rPr>
              <w:t> </w:t>
            </w:r>
          </w:p>
        </w:tc>
      </w:tr>
      <w:tr w:rsidR="00717712" w14:paraId="6D00CFC8" w14:textId="77777777" w:rsidTr="00717712">
        <w:tc>
          <w:tcPr>
            <w:tcW w:w="1163" w:type="pct"/>
            <w:tcMar>
              <w:top w:w="5" w:type="dxa"/>
              <w:left w:w="5" w:type="dxa"/>
              <w:bottom w:w="5" w:type="dxa"/>
              <w:right w:w="5" w:type="dxa"/>
            </w:tcMar>
            <w:vAlign w:val="bottom"/>
            <w:hideMark/>
          </w:tcPr>
          <w:p w14:paraId="4AD5277A" w14:textId="77777777" w:rsidR="00954279" w:rsidRDefault="00A66714">
            <w:pPr>
              <w:rPr>
                <w:color w:val="000000"/>
                <w:sz w:val="20"/>
                <w:szCs w:val="20"/>
              </w:rPr>
            </w:pPr>
            <w:r>
              <w:rPr>
                <w:color w:val="000000"/>
                <w:sz w:val="20"/>
                <w:szCs w:val="20"/>
              </w:rPr>
              <w:t>Balance at December 31, 2019</w:t>
            </w:r>
          </w:p>
        </w:tc>
        <w:tc>
          <w:tcPr>
            <w:tcW w:w="31" w:type="pct"/>
            <w:tcMar>
              <w:top w:w="5" w:type="dxa"/>
              <w:left w:w="5" w:type="dxa"/>
              <w:bottom w:w="5" w:type="dxa"/>
              <w:right w:w="5" w:type="dxa"/>
            </w:tcMar>
            <w:vAlign w:val="bottom"/>
            <w:hideMark/>
          </w:tcPr>
          <w:p w14:paraId="6E5840CB" w14:textId="77777777" w:rsidR="00954279" w:rsidRDefault="00A66714">
            <w:pPr>
              <w:rPr>
                <w:color w:val="000000"/>
                <w:sz w:val="20"/>
                <w:szCs w:val="20"/>
              </w:rPr>
            </w:pPr>
            <w:r>
              <w:rPr>
                <w:color w:val="000000"/>
                <w:sz w:val="20"/>
                <w:szCs w:val="20"/>
              </w:rPr>
              <w:t> </w:t>
            </w:r>
          </w:p>
        </w:tc>
        <w:tc>
          <w:tcPr>
            <w:tcW w:w="32" w:type="pct"/>
            <w:tcMar>
              <w:top w:w="5" w:type="dxa"/>
              <w:left w:w="5" w:type="dxa"/>
              <w:bottom w:w="5" w:type="dxa"/>
              <w:right w:w="5" w:type="dxa"/>
            </w:tcMar>
            <w:vAlign w:val="bottom"/>
            <w:hideMark/>
          </w:tcPr>
          <w:p w14:paraId="4ABAA4E8" w14:textId="77777777" w:rsidR="00954279" w:rsidRDefault="00A66714">
            <w:pPr>
              <w:rPr>
                <w:color w:val="000000"/>
                <w:sz w:val="20"/>
                <w:szCs w:val="20"/>
              </w:rPr>
            </w:pPr>
            <w:r>
              <w:rPr>
                <w:color w:val="000000"/>
                <w:sz w:val="20"/>
                <w:szCs w:val="20"/>
              </w:rPr>
              <w:t> </w:t>
            </w:r>
          </w:p>
        </w:tc>
        <w:tc>
          <w:tcPr>
            <w:tcW w:w="317" w:type="pct"/>
            <w:tcMar>
              <w:top w:w="5" w:type="dxa"/>
              <w:left w:w="5" w:type="dxa"/>
              <w:bottom w:w="5" w:type="dxa"/>
              <w:right w:w="5" w:type="dxa"/>
            </w:tcMar>
            <w:vAlign w:val="bottom"/>
            <w:hideMark/>
          </w:tcPr>
          <w:p w14:paraId="7555272E" w14:textId="77777777" w:rsidR="00954279" w:rsidRDefault="00A66714">
            <w:pPr>
              <w:jc w:val="right"/>
              <w:rPr>
                <w:color w:val="000000"/>
                <w:sz w:val="20"/>
                <w:szCs w:val="20"/>
              </w:rPr>
            </w:pPr>
            <w:r>
              <w:rPr>
                <w:color w:val="000000"/>
                <w:sz w:val="20"/>
                <w:szCs w:val="20"/>
              </w:rPr>
              <w:t>106</w:t>
            </w:r>
          </w:p>
        </w:tc>
        <w:tc>
          <w:tcPr>
            <w:tcW w:w="31" w:type="pct"/>
            <w:noWrap/>
            <w:tcMar>
              <w:top w:w="5" w:type="dxa"/>
              <w:left w:w="5" w:type="dxa"/>
              <w:bottom w:w="5" w:type="dxa"/>
              <w:right w:w="5" w:type="dxa"/>
            </w:tcMar>
            <w:vAlign w:val="bottom"/>
            <w:hideMark/>
          </w:tcPr>
          <w:p w14:paraId="5ECCF3D0" w14:textId="77777777" w:rsidR="00954279" w:rsidRDefault="00A66714">
            <w:pPr>
              <w:rPr>
                <w:color w:val="000000"/>
                <w:sz w:val="20"/>
                <w:szCs w:val="20"/>
              </w:rPr>
            </w:pPr>
            <w:r>
              <w:rPr>
                <w:color w:val="000000"/>
                <w:sz w:val="20"/>
                <w:szCs w:val="20"/>
              </w:rPr>
              <w:t> </w:t>
            </w:r>
          </w:p>
        </w:tc>
        <w:tc>
          <w:tcPr>
            <w:tcW w:w="31" w:type="pct"/>
            <w:tcMar>
              <w:top w:w="5" w:type="dxa"/>
              <w:left w:w="5" w:type="dxa"/>
              <w:bottom w:w="5" w:type="dxa"/>
              <w:right w:w="5" w:type="dxa"/>
            </w:tcMar>
            <w:vAlign w:val="bottom"/>
            <w:hideMark/>
          </w:tcPr>
          <w:p w14:paraId="77B2662C" w14:textId="77777777" w:rsidR="00954279" w:rsidRDefault="00A66714">
            <w:pPr>
              <w:rPr>
                <w:color w:val="000000"/>
                <w:sz w:val="20"/>
                <w:szCs w:val="20"/>
              </w:rPr>
            </w:pPr>
            <w:r>
              <w:rPr>
                <w:color w:val="000000"/>
                <w:sz w:val="20"/>
                <w:szCs w:val="20"/>
              </w:rPr>
              <w:t> </w:t>
            </w:r>
          </w:p>
        </w:tc>
        <w:tc>
          <w:tcPr>
            <w:tcW w:w="49" w:type="pct"/>
            <w:tcMar>
              <w:top w:w="5" w:type="dxa"/>
              <w:left w:w="5" w:type="dxa"/>
              <w:bottom w:w="5" w:type="dxa"/>
              <w:right w:w="5" w:type="dxa"/>
            </w:tcMar>
            <w:vAlign w:val="bottom"/>
            <w:hideMark/>
          </w:tcPr>
          <w:p w14:paraId="1206B09B" w14:textId="77777777" w:rsidR="00954279" w:rsidRDefault="00A66714">
            <w:pPr>
              <w:rPr>
                <w:color w:val="000000"/>
                <w:sz w:val="20"/>
                <w:szCs w:val="20"/>
              </w:rPr>
            </w:pPr>
            <w:r>
              <w:rPr>
                <w:color w:val="000000"/>
                <w:sz w:val="20"/>
                <w:szCs w:val="20"/>
              </w:rPr>
              <w:t>$</w:t>
            </w:r>
          </w:p>
        </w:tc>
        <w:tc>
          <w:tcPr>
            <w:tcW w:w="318" w:type="pct"/>
            <w:tcMar>
              <w:top w:w="5" w:type="dxa"/>
              <w:left w:w="5" w:type="dxa"/>
              <w:bottom w:w="5" w:type="dxa"/>
              <w:right w:w="5" w:type="dxa"/>
            </w:tcMar>
            <w:vAlign w:val="bottom"/>
            <w:hideMark/>
          </w:tcPr>
          <w:p w14:paraId="25B1DF49" w14:textId="77777777" w:rsidR="00954279" w:rsidRDefault="00A66714">
            <w:pPr>
              <w:jc w:val="right"/>
              <w:rPr>
                <w:color w:val="000000"/>
                <w:sz w:val="20"/>
                <w:szCs w:val="20"/>
              </w:rPr>
            </w:pPr>
            <w:r>
              <w:rPr>
                <w:color w:val="000000"/>
                <w:sz w:val="20"/>
                <w:szCs w:val="20"/>
              </w:rPr>
              <w:t>1</w:t>
            </w:r>
          </w:p>
        </w:tc>
        <w:tc>
          <w:tcPr>
            <w:tcW w:w="32" w:type="pct"/>
            <w:noWrap/>
            <w:tcMar>
              <w:top w:w="5" w:type="dxa"/>
              <w:left w:w="5" w:type="dxa"/>
              <w:bottom w:w="5" w:type="dxa"/>
              <w:right w:w="5" w:type="dxa"/>
            </w:tcMar>
            <w:vAlign w:val="bottom"/>
            <w:hideMark/>
          </w:tcPr>
          <w:p w14:paraId="33CFB71B" w14:textId="77777777" w:rsidR="00954279" w:rsidRDefault="00A66714">
            <w:pPr>
              <w:rPr>
                <w:color w:val="000000"/>
                <w:sz w:val="20"/>
                <w:szCs w:val="20"/>
              </w:rPr>
            </w:pPr>
            <w:r>
              <w:rPr>
                <w:color w:val="000000"/>
                <w:sz w:val="20"/>
                <w:szCs w:val="20"/>
              </w:rPr>
              <w:t> </w:t>
            </w:r>
          </w:p>
        </w:tc>
        <w:tc>
          <w:tcPr>
            <w:tcW w:w="32" w:type="pct"/>
            <w:tcMar>
              <w:top w:w="5" w:type="dxa"/>
              <w:left w:w="5" w:type="dxa"/>
              <w:bottom w:w="5" w:type="dxa"/>
              <w:right w:w="5" w:type="dxa"/>
            </w:tcMar>
            <w:vAlign w:val="bottom"/>
            <w:hideMark/>
          </w:tcPr>
          <w:p w14:paraId="42B05A81" w14:textId="77777777" w:rsidR="00954279" w:rsidRDefault="00A66714">
            <w:pPr>
              <w:rPr>
                <w:color w:val="000000"/>
                <w:sz w:val="20"/>
                <w:szCs w:val="20"/>
              </w:rPr>
            </w:pPr>
            <w:r>
              <w:rPr>
                <w:color w:val="000000"/>
                <w:sz w:val="20"/>
                <w:szCs w:val="20"/>
              </w:rPr>
              <w:t> </w:t>
            </w:r>
          </w:p>
        </w:tc>
        <w:tc>
          <w:tcPr>
            <w:tcW w:w="52" w:type="pct"/>
            <w:tcMar>
              <w:top w:w="5" w:type="dxa"/>
              <w:left w:w="5" w:type="dxa"/>
              <w:bottom w:w="5" w:type="dxa"/>
              <w:right w:w="5" w:type="dxa"/>
            </w:tcMar>
            <w:vAlign w:val="bottom"/>
            <w:hideMark/>
          </w:tcPr>
          <w:p w14:paraId="028CDC96" w14:textId="77777777" w:rsidR="00954279" w:rsidRDefault="00A66714">
            <w:pPr>
              <w:rPr>
                <w:color w:val="000000"/>
                <w:sz w:val="20"/>
                <w:szCs w:val="20"/>
              </w:rPr>
            </w:pPr>
            <w:r>
              <w:rPr>
                <w:color w:val="000000"/>
                <w:sz w:val="20"/>
                <w:szCs w:val="20"/>
              </w:rPr>
              <w:t>$</w:t>
            </w:r>
          </w:p>
        </w:tc>
        <w:tc>
          <w:tcPr>
            <w:tcW w:w="356" w:type="pct"/>
            <w:tcMar>
              <w:top w:w="5" w:type="dxa"/>
              <w:left w:w="5" w:type="dxa"/>
              <w:bottom w:w="5" w:type="dxa"/>
              <w:right w:w="5" w:type="dxa"/>
            </w:tcMar>
            <w:vAlign w:val="bottom"/>
            <w:hideMark/>
          </w:tcPr>
          <w:p w14:paraId="70F7122C" w14:textId="77777777" w:rsidR="00954279" w:rsidRDefault="00A66714">
            <w:pPr>
              <w:jc w:val="right"/>
              <w:rPr>
                <w:color w:val="000000"/>
                <w:sz w:val="20"/>
                <w:szCs w:val="20"/>
              </w:rPr>
            </w:pPr>
            <w:r>
              <w:rPr>
                <w:color w:val="000000"/>
                <w:sz w:val="20"/>
                <w:szCs w:val="20"/>
              </w:rPr>
              <w:t>1,731</w:t>
            </w:r>
          </w:p>
        </w:tc>
        <w:tc>
          <w:tcPr>
            <w:tcW w:w="34" w:type="pct"/>
            <w:noWrap/>
            <w:tcMar>
              <w:top w:w="5" w:type="dxa"/>
              <w:left w:w="5" w:type="dxa"/>
              <w:bottom w:w="5" w:type="dxa"/>
              <w:right w:w="5" w:type="dxa"/>
            </w:tcMar>
            <w:vAlign w:val="bottom"/>
            <w:hideMark/>
          </w:tcPr>
          <w:p w14:paraId="51811E38" w14:textId="77777777" w:rsidR="00954279" w:rsidRDefault="00A66714">
            <w:pPr>
              <w:rPr>
                <w:color w:val="000000"/>
                <w:sz w:val="20"/>
                <w:szCs w:val="20"/>
              </w:rPr>
            </w:pPr>
            <w:r>
              <w:rPr>
                <w:color w:val="000000"/>
                <w:sz w:val="20"/>
                <w:szCs w:val="20"/>
              </w:rPr>
              <w:t> </w:t>
            </w:r>
          </w:p>
        </w:tc>
        <w:tc>
          <w:tcPr>
            <w:tcW w:w="30" w:type="pct"/>
            <w:tcMar>
              <w:top w:w="5" w:type="dxa"/>
              <w:left w:w="5" w:type="dxa"/>
              <w:bottom w:w="5" w:type="dxa"/>
              <w:right w:w="5" w:type="dxa"/>
            </w:tcMar>
            <w:vAlign w:val="bottom"/>
            <w:hideMark/>
          </w:tcPr>
          <w:p w14:paraId="61711B0A" w14:textId="77777777" w:rsidR="00954279" w:rsidRDefault="00A66714">
            <w:pPr>
              <w:rPr>
                <w:color w:val="000000"/>
                <w:sz w:val="20"/>
                <w:szCs w:val="20"/>
              </w:rPr>
            </w:pPr>
            <w:r>
              <w:rPr>
                <w:color w:val="000000"/>
                <w:sz w:val="20"/>
                <w:szCs w:val="20"/>
              </w:rPr>
              <w:t> </w:t>
            </w:r>
          </w:p>
        </w:tc>
        <w:tc>
          <w:tcPr>
            <w:tcW w:w="49" w:type="pct"/>
            <w:tcMar>
              <w:top w:w="5" w:type="dxa"/>
              <w:left w:w="5" w:type="dxa"/>
              <w:bottom w:w="5" w:type="dxa"/>
              <w:right w:w="5" w:type="dxa"/>
            </w:tcMar>
            <w:vAlign w:val="bottom"/>
            <w:hideMark/>
          </w:tcPr>
          <w:p w14:paraId="4B274086" w14:textId="77777777" w:rsidR="00954279" w:rsidRDefault="00A66714">
            <w:pPr>
              <w:rPr>
                <w:color w:val="000000"/>
                <w:sz w:val="20"/>
                <w:szCs w:val="20"/>
              </w:rPr>
            </w:pPr>
            <w:r>
              <w:rPr>
                <w:color w:val="000000"/>
                <w:sz w:val="20"/>
                <w:szCs w:val="20"/>
              </w:rPr>
              <w:t>$</w:t>
            </w:r>
          </w:p>
        </w:tc>
        <w:tc>
          <w:tcPr>
            <w:tcW w:w="318" w:type="pct"/>
            <w:tcMar>
              <w:top w:w="5" w:type="dxa"/>
              <w:left w:w="5" w:type="dxa"/>
              <w:bottom w:w="5" w:type="dxa"/>
              <w:right w:w="5" w:type="dxa"/>
            </w:tcMar>
            <w:vAlign w:val="bottom"/>
            <w:hideMark/>
          </w:tcPr>
          <w:p w14:paraId="3BE3321E" w14:textId="77777777" w:rsidR="00954279" w:rsidRDefault="00A66714">
            <w:pPr>
              <w:jc w:val="right"/>
              <w:rPr>
                <w:color w:val="000000"/>
                <w:sz w:val="20"/>
                <w:szCs w:val="20"/>
              </w:rPr>
            </w:pPr>
            <w:r>
              <w:rPr>
                <w:color w:val="000000"/>
                <w:sz w:val="20"/>
                <w:szCs w:val="20"/>
              </w:rPr>
              <w:t>(483</w:t>
            </w:r>
          </w:p>
        </w:tc>
        <w:tc>
          <w:tcPr>
            <w:tcW w:w="34" w:type="pct"/>
            <w:noWrap/>
            <w:tcMar>
              <w:top w:w="5" w:type="dxa"/>
              <w:left w:w="5" w:type="dxa"/>
              <w:bottom w:w="5" w:type="dxa"/>
              <w:right w:w="5" w:type="dxa"/>
            </w:tcMar>
            <w:vAlign w:val="bottom"/>
            <w:hideMark/>
          </w:tcPr>
          <w:p w14:paraId="16066FC9" w14:textId="77777777" w:rsidR="00954279" w:rsidRDefault="00A66714">
            <w:pPr>
              <w:rPr>
                <w:color w:val="000000"/>
                <w:sz w:val="20"/>
                <w:szCs w:val="20"/>
              </w:rPr>
            </w:pPr>
            <w:r>
              <w:rPr>
                <w:color w:val="000000"/>
                <w:sz w:val="20"/>
                <w:szCs w:val="20"/>
              </w:rPr>
              <w:t>)</w:t>
            </w:r>
          </w:p>
        </w:tc>
        <w:tc>
          <w:tcPr>
            <w:tcW w:w="30" w:type="pct"/>
            <w:tcMar>
              <w:top w:w="5" w:type="dxa"/>
              <w:left w:w="5" w:type="dxa"/>
              <w:bottom w:w="5" w:type="dxa"/>
              <w:right w:w="5" w:type="dxa"/>
            </w:tcMar>
            <w:vAlign w:val="bottom"/>
            <w:hideMark/>
          </w:tcPr>
          <w:p w14:paraId="0FFB1F0E" w14:textId="77777777" w:rsidR="00954279" w:rsidRDefault="00A66714">
            <w:pPr>
              <w:rPr>
                <w:color w:val="000000"/>
                <w:sz w:val="20"/>
                <w:szCs w:val="20"/>
              </w:rPr>
            </w:pPr>
            <w:r>
              <w:rPr>
                <w:color w:val="000000"/>
                <w:sz w:val="20"/>
                <w:szCs w:val="20"/>
              </w:rPr>
              <w:t> </w:t>
            </w:r>
          </w:p>
        </w:tc>
        <w:tc>
          <w:tcPr>
            <w:tcW w:w="33" w:type="pct"/>
            <w:tcMar>
              <w:top w:w="5" w:type="dxa"/>
              <w:left w:w="5" w:type="dxa"/>
              <w:bottom w:w="5" w:type="dxa"/>
              <w:right w:w="5" w:type="dxa"/>
            </w:tcMar>
            <w:vAlign w:val="bottom"/>
            <w:hideMark/>
          </w:tcPr>
          <w:p w14:paraId="2FE315EF" w14:textId="77777777" w:rsidR="00954279" w:rsidRDefault="00A66714">
            <w:pPr>
              <w:rPr>
                <w:color w:val="000000"/>
                <w:sz w:val="20"/>
                <w:szCs w:val="20"/>
              </w:rPr>
            </w:pPr>
            <w:r>
              <w:rPr>
                <w:color w:val="000000"/>
                <w:sz w:val="20"/>
                <w:szCs w:val="20"/>
              </w:rPr>
              <w:t> </w:t>
            </w:r>
          </w:p>
        </w:tc>
        <w:tc>
          <w:tcPr>
            <w:tcW w:w="317" w:type="pct"/>
            <w:tcMar>
              <w:top w:w="5" w:type="dxa"/>
              <w:left w:w="5" w:type="dxa"/>
              <w:bottom w:w="5" w:type="dxa"/>
              <w:right w:w="5" w:type="dxa"/>
            </w:tcMar>
            <w:vAlign w:val="bottom"/>
            <w:hideMark/>
          </w:tcPr>
          <w:p w14:paraId="35CD2DFE" w14:textId="77777777" w:rsidR="00954279" w:rsidRDefault="00A66714">
            <w:pPr>
              <w:jc w:val="right"/>
              <w:rPr>
                <w:color w:val="000000"/>
                <w:sz w:val="20"/>
                <w:szCs w:val="20"/>
              </w:rPr>
            </w:pPr>
            <w:r>
              <w:rPr>
                <w:color w:val="000000"/>
                <w:sz w:val="20"/>
                <w:szCs w:val="20"/>
              </w:rPr>
              <w:t>(24</w:t>
            </w:r>
          </w:p>
        </w:tc>
        <w:tc>
          <w:tcPr>
            <w:tcW w:w="34" w:type="pct"/>
            <w:noWrap/>
            <w:tcMar>
              <w:top w:w="5" w:type="dxa"/>
              <w:left w:w="5" w:type="dxa"/>
              <w:bottom w:w="5" w:type="dxa"/>
              <w:right w:w="5" w:type="dxa"/>
            </w:tcMar>
            <w:vAlign w:val="bottom"/>
            <w:hideMark/>
          </w:tcPr>
          <w:p w14:paraId="1B6A3DA5" w14:textId="77777777" w:rsidR="00954279" w:rsidRDefault="00A66714">
            <w:pPr>
              <w:rPr>
                <w:color w:val="000000"/>
                <w:sz w:val="20"/>
                <w:szCs w:val="20"/>
              </w:rPr>
            </w:pPr>
            <w:r>
              <w:rPr>
                <w:color w:val="000000"/>
                <w:sz w:val="20"/>
                <w:szCs w:val="20"/>
              </w:rPr>
              <w:t>)</w:t>
            </w:r>
          </w:p>
        </w:tc>
        <w:tc>
          <w:tcPr>
            <w:tcW w:w="30" w:type="pct"/>
            <w:tcMar>
              <w:top w:w="5" w:type="dxa"/>
              <w:left w:w="5" w:type="dxa"/>
              <w:bottom w:w="5" w:type="dxa"/>
              <w:right w:w="5" w:type="dxa"/>
            </w:tcMar>
            <w:vAlign w:val="bottom"/>
            <w:hideMark/>
          </w:tcPr>
          <w:p w14:paraId="55CBAAA6" w14:textId="77777777" w:rsidR="00954279" w:rsidRDefault="00A66714">
            <w:pPr>
              <w:rPr>
                <w:color w:val="000000"/>
                <w:sz w:val="20"/>
                <w:szCs w:val="20"/>
              </w:rPr>
            </w:pPr>
            <w:r>
              <w:rPr>
                <w:color w:val="000000"/>
                <w:sz w:val="20"/>
                <w:szCs w:val="20"/>
              </w:rPr>
              <w:t> </w:t>
            </w:r>
          </w:p>
        </w:tc>
        <w:tc>
          <w:tcPr>
            <w:tcW w:w="49" w:type="pct"/>
            <w:tcMar>
              <w:top w:w="5" w:type="dxa"/>
              <w:left w:w="5" w:type="dxa"/>
              <w:bottom w:w="5" w:type="dxa"/>
              <w:right w:w="5" w:type="dxa"/>
            </w:tcMar>
            <w:vAlign w:val="bottom"/>
            <w:hideMark/>
          </w:tcPr>
          <w:p w14:paraId="015E75A1" w14:textId="77777777" w:rsidR="00954279" w:rsidRDefault="00A66714">
            <w:pPr>
              <w:rPr>
                <w:color w:val="000000"/>
                <w:sz w:val="20"/>
                <w:szCs w:val="20"/>
              </w:rPr>
            </w:pPr>
            <w:r>
              <w:rPr>
                <w:color w:val="000000"/>
                <w:sz w:val="20"/>
                <w:szCs w:val="20"/>
              </w:rPr>
              <w:t>$</w:t>
            </w:r>
          </w:p>
        </w:tc>
        <w:tc>
          <w:tcPr>
            <w:tcW w:w="318" w:type="pct"/>
            <w:tcMar>
              <w:top w:w="5" w:type="dxa"/>
              <w:left w:w="5" w:type="dxa"/>
              <w:bottom w:w="5" w:type="dxa"/>
              <w:right w:w="5" w:type="dxa"/>
            </w:tcMar>
            <w:vAlign w:val="bottom"/>
            <w:hideMark/>
          </w:tcPr>
          <w:p w14:paraId="1FD3545E" w14:textId="77777777" w:rsidR="00954279" w:rsidRDefault="00A66714">
            <w:pPr>
              <w:jc w:val="right"/>
              <w:rPr>
                <w:color w:val="000000"/>
                <w:sz w:val="20"/>
                <w:szCs w:val="20"/>
              </w:rPr>
            </w:pPr>
            <w:r>
              <w:rPr>
                <w:color w:val="000000"/>
                <w:sz w:val="20"/>
                <w:szCs w:val="20"/>
              </w:rPr>
              <w:t>(375</w:t>
            </w:r>
          </w:p>
        </w:tc>
        <w:tc>
          <w:tcPr>
            <w:tcW w:w="34" w:type="pct"/>
            <w:noWrap/>
            <w:tcMar>
              <w:top w:w="5" w:type="dxa"/>
              <w:left w:w="5" w:type="dxa"/>
              <w:bottom w:w="5" w:type="dxa"/>
              <w:right w:w="5" w:type="dxa"/>
            </w:tcMar>
            <w:vAlign w:val="bottom"/>
            <w:hideMark/>
          </w:tcPr>
          <w:p w14:paraId="09585A71" w14:textId="77777777" w:rsidR="00954279" w:rsidRDefault="00A66714">
            <w:pPr>
              <w:rPr>
                <w:color w:val="000000"/>
                <w:sz w:val="20"/>
                <w:szCs w:val="20"/>
              </w:rPr>
            </w:pPr>
            <w:r>
              <w:rPr>
                <w:color w:val="000000"/>
                <w:sz w:val="20"/>
                <w:szCs w:val="20"/>
              </w:rPr>
              <w:t>)</w:t>
            </w:r>
          </w:p>
        </w:tc>
        <w:tc>
          <w:tcPr>
            <w:tcW w:w="30" w:type="pct"/>
            <w:tcMar>
              <w:top w:w="5" w:type="dxa"/>
              <w:left w:w="5" w:type="dxa"/>
              <w:bottom w:w="5" w:type="dxa"/>
              <w:right w:w="5" w:type="dxa"/>
            </w:tcMar>
            <w:vAlign w:val="bottom"/>
            <w:hideMark/>
          </w:tcPr>
          <w:p w14:paraId="1D925A30" w14:textId="77777777" w:rsidR="00954279" w:rsidRDefault="00A66714">
            <w:pPr>
              <w:rPr>
                <w:color w:val="000000"/>
                <w:sz w:val="20"/>
                <w:szCs w:val="20"/>
              </w:rPr>
            </w:pPr>
            <w:r>
              <w:rPr>
                <w:color w:val="000000"/>
                <w:sz w:val="20"/>
                <w:szCs w:val="20"/>
              </w:rPr>
              <w:t> </w:t>
            </w:r>
          </w:p>
        </w:tc>
        <w:tc>
          <w:tcPr>
            <w:tcW w:w="75" w:type="pct"/>
            <w:tcMar>
              <w:top w:w="5" w:type="dxa"/>
              <w:left w:w="5" w:type="dxa"/>
              <w:bottom w:w="5" w:type="dxa"/>
              <w:right w:w="5" w:type="dxa"/>
            </w:tcMar>
            <w:vAlign w:val="bottom"/>
            <w:hideMark/>
          </w:tcPr>
          <w:p w14:paraId="129A96F4" w14:textId="77777777" w:rsidR="00954279" w:rsidRDefault="00A66714">
            <w:pPr>
              <w:rPr>
                <w:color w:val="000000"/>
                <w:sz w:val="20"/>
                <w:szCs w:val="20"/>
              </w:rPr>
            </w:pPr>
            <w:r>
              <w:rPr>
                <w:color w:val="000000"/>
                <w:sz w:val="20"/>
                <w:szCs w:val="20"/>
              </w:rPr>
              <w:t>$</w:t>
            </w:r>
          </w:p>
        </w:tc>
        <w:tc>
          <w:tcPr>
            <w:tcW w:w="520" w:type="pct"/>
            <w:tcMar>
              <w:top w:w="5" w:type="dxa"/>
              <w:left w:w="5" w:type="dxa"/>
              <w:bottom w:w="5" w:type="dxa"/>
              <w:right w:w="5" w:type="dxa"/>
            </w:tcMar>
            <w:vAlign w:val="bottom"/>
            <w:hideMark/>
          </w:tcPr>
          <w:p w14:paraId="4F9DD09D" w14:textId="77777777" w:rsidR="00954279" w:rsidRDefault="00A66714">
            <w:pPr>
              <w:jc w:val="right"/>
              <w:rPr>
                <w:color w:val="000000"/>
                <w:sz w:val="20"/>
                <w:szCs w:val="20"/>
              </w:rPr>
            </w:pPr>
            <w:r>
              <w:rPr>
                <w:color w:val="000000"/>
                <w:sz w:val="20"/>
                <w:szCs w:val="20"/>
              </w:rPr>
              <w:t>(232</w:t>
            </w:r>
          </w:p>
        </w:tc>
        <w:tc>
          <w:tcPr>
            <w:tcW w:w="34" w:type="pct"/>
            <w:noWrap/>
            <w:tcMar>
              <w:top w:w="5" w:type="dxa"/>
              <w:left w:w="5" w:type="dxa"/>
              <w:bottom w:w="5" w:type="dxa"/>
              <w:right w:w="5" w:type="dxa"/>
            </w:tcMar>
            <w:vAlign w:val="bottom"/>
            <w:hideMark/>
          </w:tcPr>
          <w:p w14:paraId="7459018B" w14:textId="77777777" w:rsidR="00954279" w:rsidRDefault="00A66714">
            <w:pPr>
              <w:rPr>
                <w:color w:val="000000"/>
                <w:sz w:val="20"/>
                <w:szCs w:val="20"/>
              </w:rPr>
            </w:pPr>
            <w:r>
              <w:rPr>
                <w:color w:val="000000"/>
                <w:sz w:val="20"/>
                <w:szCs w:val="20"/>
              </w:rPr>
              <w:t>)</w:t>
            </w:r>
          </w:p>
        </w:tc>
        <w:tc>
          <w:tcPr>
            <w:tcW w:w="31" w:type="pct"/>
            <w:tcMar>
              <w:top w:w="5" w:type="dxa"/>
              <w:left w:w="5" w:type="dxa"/>
              <w:bottom w:w="5" w:type="dxa"/>
              <w:right w:w="5" w:type="dxa"/>
            </w:tcMar>
            <w:vAlign w:val="bottom"/>
            <w:hideMark/>
          </w:tcPr>
          <w:p w14:paraId="159D263D" w14:textId="77777777" w:rsidR="00954279" w:rsidRDefault="00A66714">
            <w:pPr>
              <w:rPr>
                <w:color w:val="000000"/>
                <w:sz w:val="20"/>
                <w:szCs w:val="20"/>
              </w:rPr>
            </w:pPr>
            <w:r>
              <w:rPr>
                <w:color w:val="000000"/>
                <w:sz w:val="20"/>
                <w:szCs w:val="20"/>
              </w:rPr>
              <w:t> </w:t>
            </w:r>
          </w:p>
        </w:tc>
        <w:tc>
          <w:tcPr>
            <w:tcW w:w="65" w:type="pct"/>
            <w:tcMar>
              <w:top w:w="5" w:type="dxa"/>
              <w:left w:w="5" w:type="dxa"/>
              <w:bottom w:w="5" w:type="dxa"/>
              <w:right w:w="5" w:type="dxa"/>
            </w:tcMar>
            <w:vAlign w:val="bottom"/>
            <w:hideMark/>
          </w:tcPr>
          <w:p w14:paraId="48D0A5A3" w14:textId="77777777" w:rsidR="00954279" w:rsidRDefault="00A66714">
            <w:pPr>
              <w:rPr>
                <w:color w:val="000000"/>
                <w:sz w:val="20"/>
                <w:szCs w:val="20"/>
              </w:rPr>
            </w:pPr>
            <w:r>
              <w:rPr>
                <w:color w:val="000000"/>
                <w:sz w:val="20"/>
                <w:szCs w:val="20"/>
              </w:rPr>
              <w:t>$</w:t>
            </w:r>
          </w:p>
        </w:tc>
        <w:tc>
          <w:tcPr>
            <w:tcW w:w="455" w:type="pct"/>
            <w:tcMar>
              <w:top w:w="5" w:type="dxa"/>
              <w:left w:w="5" w:type="dxa"/>
              <w:bottom w:w="5" w:type="dxa"/>
              <w:right w:w="5" w:type="dxa"/>
            </w:tcMar>
            <w:vAlign w:val="bottom"/>
            <w:hideMark/>
          </w:tcPr>
          <w:p w14:paraId="076F2FE4" w14:textId="77777777" w:rsidR="00954279" w:rsidRDefault="00A66714">
            <w:pPr>
              <w:jc w:val="right"/>
              <w:rPr>
                <w:color w:val="000000"/>
                <w:sz w:val="20"/>
                <w:szCs w:val="20"/>
              </w:rPr>
            </w:pPr>
            <w:r>
              <w:rPr>
                <w:color w:val="000000"/>
                <w:sz w:val="20"/>
                <w:szCs w:val="20"/>
              </w:rPr>
              <w:t>642</w:t>
            </w:r>
          </w:p>
        </w:tc>
        <w:tc>
          <w:tcPr>
            <w:tcW w:w="34" w:type="pct"/>
            <w:noWrap/>
            <w:tcMar>
              <w:top w:w="5" w:type="dxa"/>
              <w:left w:w="5" w:type="dxa"/>
              <w:bottom w:w="5" w:type="dxa"/>
              <w:right w:w="5" w:type="dxa"/>
            </w:tcMar>
            <w:vAlign w:val="bottom"/>
            <w:hideMark/>
          </w:tcPr>
          <w:p w14:paraId="4F8CF0DB" w14:textId="77777777" w:rsidR="00954279" w:rsidRDefault="00A66714">
            <w:pPr>
              <w:rPr>
                <w:color w:val="000000"/>
                <w:sz w:val="20"/>
                <w:szCs w:val="20"/>
              </w:rPr>
            </w:pPr>
            <w:r>
              <w:rPr>
                <w:color w:val="000000"/>
                <w:sz w:val="20"/>
                <w:szCs w:val="20"/>
              </w:rPr>
              <w:t> </w:t>
            </w:r>
          </w:p>
        </w:tc>
      </w:tr>
      <w:tr w:rsidR="00717712" w14:paraId="737EBAE7" w14:textId="77777777" w:rsidTr="00717712">
        <w:tc>
          <w:tcPr>
            <w:tcW w:w="1163" w:type="pct"/>
            <w:tcMar>
              <w:top w:w="5" w:type="dxa"/>
              <w:left w:w="5" w:type="dxa"/>
              <w:bottom w:w="5" w:type="dxa"/>
              <w:right w:w="5" w:type="dxa"/>
            </w:tcMar>
            <w:vAlign w:val="bottom"/>
            <w:hideMark/>
          </w:tcPr>
          <w:p w14:paraId="53301DC5" w14:textId="77777777" w:rsidR="00954279" w:rsidRDefault="00A66714">
            <w:pPr>
              <w:ind w:left="180"/>
              <w:rPr>
                <w:color w:val="000000"/>
                <w:sz w:val="20"/>
                <w:szCs w:val="20"/>
              </w:rPr>
            </w:pPr>
            <w:r>
              <w:rPr>
                <w:color w:val="000000"/>
                <w:sz w:val="20"/>
                <w:szCs w:val="20"/>
              </w:rPr>
              <w:t>Net income</w:t>
            </w:r>
          </w:p>
        </w:tc>
        <w:tc>
          <w:tcPr>
            <w:tcW w:w="31" w:type="pct"/>
            <w:tcMar>
              <w:top w:w="5" w:type="dxa"/>
              <w:left w:w="5" w:type="dxa"/>
              <w:bottom w:w="5" w:type="dxa"/>
              <w:right w:w="5" w:type="dxa"/>
            </w:tcMar>
            <w:vAlign w:val="bottom"/>
            <w:hideMark/>
          </w:tcPr>
          <w:p w14:paraId="77F300FB" w14:textId="77777777" w:rsidR="00954279" w:rsidRDefault="00A66714">
            <w:pPr>
              <w:rPr>
                <w:color w:val="000000"/>
                <w:sz w:val="20"/>
                <w:szCs w:val="20"/>
              </w:rPr>
            </w:pPr>
            <w:r>
              <w:rPr>
                <w:color w:val="000000"/>
                <w:sz w:val="20"/>
                <w:szCs w:val="20"/>
              </w:rPr>
              <w:t> </w:t>
            </w:r>
          </w:p>
        </w:tc>
        <w:tc>
          <w:tcPr>
            <w:tcW w:w="32" w:type="pct"/>
            <w:tcMar>
              <w:top w:w="5" w:type="dxa"/>
              <w:left w:w="5" w:type="dxa"/>
              <w:bottom w:w="5" w:type="dxa"/>
              <w:right w:w="5" w:type="dxa"/>
            </w:tcMar>
            <w:vAlign w:val="bottom"/>
            <w:hideMark/>
          </w:tcPr>
          <w:p w14:paraId="40798509" w14:textId="77777777" w:rsidR="00954279" w:rsidRDefault="00A66714">
            <w:pPr>
              <w:rPr>
                <w:color w:val="000000"/>
                <w:sz w:val="20"/>
                <w:szCs w:val="20"/>
              </w:rPr>
            </w:pPr>
            <w:r>
              <w:rPr>
                <w:color w:val="000000"/>
                <w:sz w:val="20"/>
                <w:szCs w:val="20"/>
              </w:rPr>
              <w:t> </w:t>
            </w:r>
          </w:p>
        </w:tc>
        <w:tc>
          <w:tcPr>
            <w:tcW w:w="317" w:type="pct"/>
            <w:tcMar>
              <w:top w:w="5" w:type="dxa"/>
              <w:left w:w="5" w:type="dxa"/>
              <w:bottom w:w="5" w:type="dxa"/>
              <w:right w:w="5" w:type="dxa"/>
            </w:tcMar>
            <w:vAlign w:val="bottom"/>
            <w:hideMark/>
          </w:tcPr>
          <w:p w14:paraId="10F17AD2" w14:textId="77777777" w:rsidR="00954279" w:rsidRDefault="00A66714">
            <w:pPr>
              <w:jc w:val="right"/>
              <w:rPr>
                <w:color w:val="000000"/>
                <w:sz w:val="20"/>
                <w:szCs w:val="20"/>
              </w:rPr>
            </w:pPr>
            <w:r>
              <w:rPr>
                <w:color w:val="000000"/>
                <w:sz w:val="20"/>
                <w:szCs w:val="20"/>
              </w:rPr>
              <w:t>-</w:t>
            </w:r>
          </w:p>
        </w:tc>
        <w:tc>
          <w:tcPr>
            <w:tcW w:w="31" w:type="pct"/>
            <w:noWrap/>
            <w:tcMar>
              <w:top w:w="5" w:type="dxa"/>
              <w:left w:w="5" w:type="dxa"/>
              <w:bottom w:w="5" w:type="dxa"/>
              <w:right w:w="5" w:type="dxa"/>
            </w:tcMar>
            <w:vAlign w:val="bottom"/>
            <w:hideMark/>
          </w:tcPr>
          <w:p w14:paraId="1B0187E2" w14:textId="77777777" w:rsidR="00954279" w:rsidRDefault="00A66714">
            <w:pPr>
              <w:rPr>
                <w:color w:val="000000"/>
                <w:sz w:val="20"/>
                <w:szCs w:val="20"/>
              </w:rPr>
            </w:pPr>
            <w:r>
              <w:rPr>
                <w:color w:val="000000"/>
                <w:sz w:val="20"/>
                <w:szCs w:val="20"/>
              </w:rPr>
              <w:t> </w:t>
            </w:r>
          </w:p>
        </w:tc>
        <w:tc>
          <w:tcPr>
            <w:tcW w:w="31" w:type="pct"/>
            <w:tcMar>
              <w:top w:w="5" w:type="dxa"/>
              <w:left w:w="5" w:type="dxa"/>
              <w:bottom w:w="5" w:type="dxa"/>
              <w:right w:w="5" w:type="dxa"/>
            </w:tcMar>
            <w:vAlign w:val="bottom"/>
            <w:hideMark/>
          </w:tcPr>
          <w:p w14:paraId="24C6A86B" w14:textId="77777777" w:rsidR="00954279" w:rsidRDefault="00A66714">
            <w:pPr>
              <w:rPr>
                <w:color w:val="000000"/>
                <w:sz w:val="20"/>
                <w:szCs w:val="20"/>
              </w:rPr>
            </w:pPr>
            <w:r>
              <w:rPr>
                <w:color w:val="000000"/>
                <w:sz w:val="20"/>
                <w:szCs w:val="20"/>
              </w:rPr>
              <w:t> </w:t>
            </w:r>
          </w:p>
        </w:tc>
        <w:tc>
          <w:tcPr>
            <w:tcW w:w="49" w:type="pct"/>
            <w:tcMar>
              <w:top w:w="5" w:type="dxa"/>
              <w:left w:w="5" w:type="dxa"/>
              <w:bottom w:w="5" w:type="dxa"/>
              <w:right w:w="5" w:type="dxa"/>
            </w:tcMar>
            <w:vAlign w:val="bottom"/>
            <w:hideMark/>
          </w:tcPr>
          <w:p w14:paraId="7437D700" w14:textId="77777777" w:rsidR="00954279" w:rsidRDefault="00A66714">
            <w:pPr>
              <w:rPr>
                <w:color w:val="000000"/>
                <w:sz w:val="20"/>
                <w:szCs w:val="20"/>
              </w:rPr>
            </w:pPr>
            <w:r>
              <w:rPr>
                <w:color w:val="000000"/>
                <w:sz w:val="20"/>
                <w:szCs w:val="20"/>
              </w:rPr>
              <w:t> </w:t>
            </w:r>
          </w:p>
        </w:tc>
        <w:tc>
          <w:tcPr>
            <w:tcW w:w="318" w:type="pct"/>
            <w:tcMar>
              <w:top w:w="5" w:type="dxa"/>
              <w:left w:w="5" w:type="dxa"/>
              <w:bottom w:w="5" w:type="dxa"/>
              <w:right w:w="5" w:type="dxa"/>
            </w:tcMar>
            <w:vAlign w:val="bottom"/>
            <w:hideMark/>
          </w:tcPr>
          <w:p w14:paraId="1D401BCE" w14:textId="77777777" w:rsidR="00954279" w:rsidRDefault="00A66714">
            <w:pPr>
              <w:jc w:val="right"/>
              <w:rPr>
                <w:color w:val="000000"/>
                <w:sz w:val="20"/>
                <w:szCs w:val="20"/>
              </w:rPr>
            </w:pPr>
            <w:r>
              <w:rPr>
                <w:color w:val="000000"/>
                <w:sz w:val="20"/>
                <w:szCs w:val="20"/>
              </w:rPr>
              <w:t>-</w:t>
            </w:r>
          </w:p>
        </w:tc>
        <w:tc>
          <w:tcPr>
            <w:tcW w:w="32" w:type="pct"/>
            <w:noWrap/>
            <w:tcMar>
              <w:top w:w="5" w:type="dxa"/>
              <w:left w:w="5" w:type="dxa"/>
              <w:bottom w:w="5" w:type="dxa"/>
              <w:right w:w="5" w:type="dxa"/>
            </w:tcMar>
            <w:vAlign w:val="bottom"/>
            <w:hideMark/>
          </w:tcPr>
          <w:p w14:paraId="3F776A9A" w14:textId="77777777" w:rsidR="00954279" w:rsidRDefault="00A66714">
            <w:pPr>
              <w:rPr>
                <w:color w:val="000000"/>
                <w:sz w:val="20"/>
                <w:szCs w:val="20"/>
              </w:rPr>
            </w:pPr>
            <w:r>
              <w:rPr>
                <w:color w:val="000000"/>
                <w:sz w:val="20"/>
                <w:szCs w:val="20"/>
              </w:rPr>
              <w:t> </w:t>
            </w:r>
          </w:p>
        </w:tc>
        <w:tc>
          <w:tcPr>
            <w:tcW w:w="32" w:type="pct"/>
            <w:tcMar>
              <w:top w:w="5" w:type="dxa"/>
              <w:left w:w="5" w:type="dxa"/>
              <w:bottom w:w="5" w:type="dxa"/>
              <w:right w:w="5" w:type="dxa"/>
            </w:tcMar>
            <w:vAlign w:val="bottom"/>
            <w:hideMark/>
          </w:tcPr>
          <w:p w14:paraId="63417BB2" w14:textId="77777777" w:rsidR="00954279" w:rsidRDefault="00A66714">
            <w:pPr>
              <w:rPr>
                <w:color w:val="000000"/>
                <w:sz w:val="20"/>
                <w:szCs w:val="20"/>
              </w:rPr>
            </w:pPr>
            <w:r>
              <w:rPr>
                <w:color w:val="000000"/>
                <w:sz w:val="20"/>
                <w:szCs w:val="20"/>
              </w:rPr>
              <w:t> </w:t>
            </w:r>
          </w:p>
        </w:tc>
        <w:tc>
          <w:tcPr>
            <w:tcW w:w="52" w:type="pct"/>
            <w:tcMar>
              <w:top w:w="5" w:type="dxa"/>
              <w:left w:w="5" w:type="dxa"/>
              <w:bottom w:w="5" w:type="dxa"/>
              <w:right w:w="5" w:type="dxa"/>
            </w:tcMar>
            <w:vAlign w:val="bottom"/>
            <w:hideMark/>
          </w:tcPr>
          <w:p w14:paraId="62334F20" w14:textId="77777777" w:rsidR="00954279" w:rsidRDefault="00A66714">
            <w:pPr>
              <w:rPr>
                <w:color w:val="000000"/>
                <w:sz w:val="20"/>
                <w:szCs w:val="20"/>
              </w:rPr>
            </w:pPr>
            <w:r>
              <w:rPr>
                <w:color w:val="000000"/>
                <w:sz w:val="20"/>
                <w:szCs w:val="20"/>
              </w:rPr>
              <w:t> </w:t>
            </w:r>
          </w:p>
        </w:tc>
        <w:tc>
          <w:tcPr>
            <w:tcW w:w="356" w:type="pct"/>
            <w:tcMar>
              <w:top w:w="5" w:type="dxa"/>
              <w:left w:w="5" w:type="dxa"/>
              <w:bottom w:w="5" w:type="dxa"/>
              <w:right w:w="5" w:type="dxa"/>
            </w:tcMar>
            <w:vAlign w:val="bottom"/>
            <w:hideMark/>
          </w:tcPr>
          <w:p w14:paraId="656F7B4E" w14:textId="77777777" w:rsidR="00954279" w:rsidRDefault="00A66714">
            <w:pPr>
              <w:jc w:val="right"/>
              <w:rPr>
                <w:color w:val="000000"/>
                <w:sz w:val="20"/>
                <w:szCs w:val="20"/>
              </w:rPr>
            </w:pPr>
            <w:r>
              <w:rPr>
                <w:color w:val="000000"/>
                <w:sz w:val="20"/>
                <w:szCs w:val="20"/>
              </w:rPr>
              <w:t>-</w:t>
            </w:r>
          </w:p>
        </w:tc>
        <w:tc>
          <w:tcPr>
            <w:tcW w:w="34" w:type="pct"/>
            <w:noWrap/>
            <w:tcMar>
              <w:top w:w="5" w:type="dxa"/>
              <w:left w:w="5" w:type="dxa"/>
              <w:bottom w:w="5" w:type="dxa"/>
              <w:right w:w="5" w:type="dxa"/>
            </w:tcMar>
            <w:vAlign w:val="bottom"/>
            <w:hideMark/>
          </w:tcPr>
          <w:p w14:paraId="00DA42C5" w14:textId="77777777" w:rsidR="00954279" w:rsidRDefault="00A66714">
            <w:pPr>
              <w:rPr>
                <w:color w:val="000000"/>
                <w:sz w:val="20"/>
                <w:szCs w:val="20"/>
              </w:rPr>
            </w:pPr>
            <w:r>
              <w:rPr>
                <w:color w:val="000000"/>
                <w:sz w:val="20"/>
                <w:szCs w:val="20"/>
              </w:rPr>
              <w:t> </w:t>
            </w:r>
          </w:p>
        </w:tc>
        <w:tc>
          <w:tcPr>
            <w:tcW w:w="30" w:type="pct"/>
            <w:tcMar>
              <w:top w:w="5" w:type="dxa"/>
              <w:left w:w="5" w:type="dxa"/>
              <w:bottom w:w="5" w:type="dxa"/>
              <w:right w:w="5" w:type="dxa"/>
            </w:tcMar>
            <w:vAlign w:val="bottom"/>
            <w:hideMark/>
          </w:tcPr>
          <w:p w14:paraId="50403477" w14:textId="77777777" w:rsidR="00954279" w:rsidRDefault="00A66714">
            <w:pPr>
              <w:rPr>
                <w:color w:val="000000"/>
                <w:sz w:val="20"/>
                <w:szCs w:val="20"/>
              </w:rPr>
            </w:pPr>
            <w:r>
              <w:rPr>
                <w:color w:val="000000"/>
                <w:sz w:val="20"/>
                <w:szCs w:val="20"/>
              </w:rPr>
              <w:t> </w:t>
            </w:r>
          </w:p>
        </w:tc>
        <w:tc>
          <w:tcPr>
            <w:tcW w:w="49" w:type="pct"/>
            <w:tcMar>
              <w:top w:w="5" w:type="dxa"/>
              <w:left w:w="5" w:type="dxa"/>
              <w:bottom w:w="5" w:type="dxa"/>
              <w:right w:w="5" w:type="dxa"/>
            </w:tcMar>
            <w:vAlign w:val="bottom"/>
            <w:hideMark/>
          </w:tcPr>
          <w:p w14:paraId="4A299C36" w14:textId="77777777" w:rsidR="00954279" w:rsidRDefault="00A66714">
            <w:pPr>
              <w:rPr>
                <w:color w:val="000000"/>
                <w:sz w:val="20"/>
                <w:szCs w:val="20"/>
              </w:rPr>
            </w:pPr>
            <w:r>
              <w:rPr>
                <w:color w:val="000000"/>
                <w:sz w:val="20"/>
                <w:szCs w:val="20"/>
              </w:rPr>
              <w:t> </w:t>
            </w:r>
          </w:p>
        </w:tc>
        <w:tc>
          <w:tcPr>
            <w:tcW w:w="318" w:type="pct"/>
            <w:tcMar>
              <w:top w:w="5" w:type="dxa"/>
              <w:left w:w="5" w:type="dxa"/>
              <w:bottom w:w="5" w:type="dxa"/>
              <w:right w:w="5" w:type="dxa"/>
            </w:tcMar>
            <w:vAlign w:val="bottom"/>
            <w:hideMark/>
          </w:tcPr>
          <w:p w14:paraId="395AA6E6" w14:textId="77777777" w:rsidR="00954279" w:rsidRDefault="00A66714">
            <w:pPr>
              <w:jc w:val="right"/>
              <w:rPr>
                <w:color w:val="000000"/>
                <w:sz w:val="20"/>
                <w:szCs w:val="20"/>
              </w:rPr>
            </w:pPr>
            <w:r>
              <w:rPr>
                <w:color w:val="000000"/>
                <w:sz w:val="20"/>
                <w:szCs w:val="20"/>
              </w:rPr>
              <w:t>9</w:t>
            </w:r>
          </w:p>
        </w:tc>
        <w:tc>
          <w:tcPr>
            <w:tcW w:w="34" w:type="pct"/>
            <w:noWrap/>
            <w:tcMar>
              <w:top w:w="5" w:type="dxa"/>
              <w:left w:w="5" w:type="dxa"/>
              <w:bottom w:w="5" w:type="dxa"/>
              <w:right w:w="5" w:type="dxa"/>
            </w:tcMar>
            <w:vAlign w:val="bottom"/>
            <w:hideMark/>
          </w:tcPr>
          <w:p w14:paraId="65C192E1" w14:textId="77777777" w:rsidR="00954279" w:rsidRDefault="00A66714">
            <w:pPr>
              <w:rPr>
                <w:color w:val="000000"/>
                <w:sz w:val="20"/>
                <w:szCs w:val="20"/>
              </w:rPr>
            </w:pPr>
            <w:r>
              <w:rPr>
                <w:color w:val="000000"/>
                <w:sz w:val="20"/>
                <w:szCs w:val="20"/>
              </w:rPr>
              <w:t> </w:t>
            </w:r>
          </w:p>
        </w:tc>
        <w:tc>
          <w:tcPr>
            <w:tcW w:w="30" w:type="pct"/>
            <w:tcMar>
              <w:top w:w="5" w:type="dxa"/>
              <w:left w:w="5" w:type="dxa"/>
              <w:bottom w:w="5" w:type="dxa"/>
              <w:right w:w="5" w:type="dxa"/>
            </w:tcMar>
            <w:vAlign w:val="bottom"/>
            <w:hideMark/>
          </w:tcPr>
          <w:p w14:paraId="4E2CACF6" w14:textId="77777777" w:rsidR="00954279" w:rsidRDefault="00A66714">
            <w:pPr>
              <w:rPr>
                <w:color w:val="000000"/>
                <w:sz w:val="20"/>
                <w:szCs w:val="20"/>
              </w:rPr>
            </w:pPr>
            <w:r>
              <w:rPr>
                <w:color w:val="000000"/>
                <w:sz w:val="20"/>
                <w:szCs w:val="20"/>
              </w:rPr>
              <w:t> </w:t>
            </w:r>
          </w:p>
        </w:tc>
        <w:tc>
          <w:tcPr>
            <w:tcW w:w="33" w:type="pct"/>
            <w:tcMar>
              <w:top w:w="5" w:type="dxa"/>
              <w:left w:w="5" w:type="dxa"/>
              <w:bottom w:w="5" w:type="dxa"/>
              <w:right w:w="5" w:type="dxa"/>
            </w:tcMar>
            <w:vAlign w:val="bottom"/>
            <w:hideMark/>
          </w:tcPr>
          <w:p w14:paraId="22F43070" w14:textId="77777777" w:rsidR="00954279" w:rsidRDefault="00A66714">
            <w:pPr>
              <w:rPr>
                <w:color w:val="000000"/>
                <w:sz w:val="20"/>
                <w:szCs w:val="20"/>
              </w:rPr>
            </w:pPr>
            <w:r>
              <w:rPr>
                <w:color w:val="000000"/>
                <w:sz w:val="20"/>
                <w:szCs w:val="20"/>
              </w:rPr>
              <w:t> </w:t>
            </w:r>
          </w:p>
        </w:tc>
        <w:tc>
          <w:tcPr>
            <w:tcW w:w="317" w:type="pct"/>
            <w:tcMar>
              <w:top w:w="5" w:type="dxa"/>
              <w:left w:w="5" w:type="dxa"/>
              <w:bottom w:w="5" w:type="dxa"/>
              <w:right w:w="5" w:type="dxa"/>
            </w:tcMar>
            <w:vAlign w:val="bottom"/>
            <w:hideMark/>
          </w:tcPr>
          <w:p w14:paraId="0CF2EEB7" w14:textId="77777777" w:rsidR="00954279" w:rsidRDefault="00A66714">
            <w:pPr>
              <w:jc w:val="right"/>
              <w:rPr>
                <w:color w:val="000000"/>
                <w:sz w:val="20"/>
                <w:szCs w:val="20"/>
              </w:rPr>
            </w:pPr>
            <w:r>
              <w:rPr>
                <w:color w:val="000000"/>
                <w:sz w:val="20"/>
                <w:szCs w:val="20"/>
              </w:rPr>
              <w:t>-</w:t>
            </w:r>
          </w:p>
        </w:tc>
        <w:tc>
          <w:tcPr>
            <w:tcW w:w="34" w:type="pct"/>
            <w:noWrap/>
            <w:tcMar>
              <w:top w:w="5" w:type="dxa"/>
              <w:left w:w="5" w:type="dxa"/>
              <w:bottom w:w="5" w:type="dxa"/>
              <w:right w:w="5" w:type="dxa"/>
            </w:tcMar>
            <w:vAlign w:val="bottom"/>
            <w:hideMark/>
          </w:tcPr>
          <w:p w14:paraId="5EBC9488" w14:textId="77777777" w:rsidR="00954279" w:rsidRDefault="00A66714">
            <w:pPr>
              <w:rPr>
                <w:color w:val="000000"/>
                <w:sz w:val="20"/>
                <w:szCs w:val="20"/>
              </w:rPr>
            </w:pPr>
            <w:r>
              <w:rPr>
                <w:color w:val="000000"/>
                <w:sz w:val="20"/>
                <w:szCs w:val="20"/>
              </w:rPr>
              <w:t> </w:t>
            </w:r>
          </w:p>
        </w:tc>
        <w:tc>
          <w:tcPr>
            <w:tcW w:w="30" w:type="pct"/>
            <w:tcMar>
              <w:top w:w="5" w:type="dxa"/>
              <w:left w:w="5" w:type="dxa"/>
              <w:bottom w:w="5" w:type="dxa"/>
              <w:right w:w="5" w:type="dxa"/>
            </w:tcMar>
            <w:vAlign w:val="bottom"/>
            <w:hideMark/>
          </w:tcPr>
          <w:p w14:paraId="039B0C23" w14:textId="77777777" w:rsidR="00954279" w:rsidRDefault="00A66714">
            <w:pPr>
              <w:rPr>
                <w:color w:val="000000"/>
                <w:sz w:val="20"/>
                <w:szCs w:val="20"/>
              </w:rPr>
            </w:pPr>
            <w:r>
              <w:rPr>
                <w:color w:val="000000"/>
                <w:sz w:val="20"/>
                <w:szCs w:val="20"/>
              </w:rPr>
              <w:t> </w:t>
            </w:r>
          </w:p>
        </w:tc>
        <w:tc>
          <w:tcPr>
            <w:tcW w:w="49" w:type="pct"/>
            <w:tcMar>
              <w:top w:w="5" w:type="dxa"/>
              <w:left w:w="5" w:type="dxa"/>
              <w:bottom w:w="5" w:type="dxa"/>
              <w:right w:w="5" w:type="dxa"/>
            </w:tcMar>
            <w:vAlign w:val="bottom"/>
            <w:hideMark/>
          </w:tcPr>
          <w:p w14:paraId="6E2D4F50" w14:textId="77777777" w:rsidR="00954279" w:rsidRDefault="00A66714">
            <w:pPr>
              <w:rPr>
                <w:color w:val="000000"/>
                <w:sz w:val="20"/>
                <w:szCs w:val="20"/>
              </w:rPr>
            </w:pPr>
            <w:r>
              <w:rPr>
                <w:color w:val="000000"/>
                <w:sz w:val="20"/>
                <w:szCs w:val="20"/>
              </w:rPr>
              <w:t> </w:t>
            </w:r>
          </w:p>
        </w:tc>
        <w:tc>
          <w:tcPr>
            <w:tcW w:w="318" w:type="pct"/>
            <w:tcMar>
              <w:top w:w="5" w:type="dxa"/>
              <w:left w:w="5" w:type="dxa"/>
              <w:bottom w:w="5" w:type="dxa"/>
              <w:right w:w="5" w:type="dxa"/>
            </w:tcMar>
            <w:vAlign w:val="bottom"/>
            <w:hideMark/>
          </w:tcPr>
          <w:p w14:paraId="5B489D88" w14:textId="77777777" w:rsidR="00954279" w:rsidRDefault="00A66714">
            <w:pPr>
              <w:jc w:val="right"/>
              <w:rPr>
                <w:color w:val="000000"/>
                <w:sz w:val="20"/>
                <w:szCs w:val="20"/>
              </w:rPr>
            </w:pPr>
            <w:r>
              <w:rPr>
                <w:color w:val="000000"/>
                <w:sz w:val="20"/>
                <w:szCs w:val="20"/>
              </w:rPr>
              <w:t>-</w:t>
            </w:r>
          </w:p>
        </w:tc>
        <w:tc>
          <w:tcPr>
            <w:tcW w:w="34" w:type="pct"/>
            <w:noWrap/>
            <w:tcMar>
              <w:top w:w="5" w:type="dxa"/>
              <w:left w:w="5" w:type="dxa"/>
              <w:bottom w:w="5" w:type="dxa"/>
              <w:right w:w="5" w:type="dxa"/>
            </w:tcMar>
            <w:vAlign w:val="bottom"/>
            <w:hideMark/>
          </w:tcPr>
          <w:p w14:paraId="0BD052C9" w14:textId="77777777" w:rsidR="00954279" w:rsidRDefault="00A66714">
            <w:pPr>
              <w:rPr>
                <w:color w:val="000000"/>
                <w:sz w:val="20"/>
                <w:szCs w:val="20"/>
              </w:rPr>
            </w:pPr>
            <w:r>
              <w:rPr>
                <w:color w:val="000000"/>
                <w:sz w:val="20"/>
                <w:szCs w:val="20"/>
              </w:rPr>
              <w:t> </w:t>
            </w:r>
          </w:p>
        </w:tc>
        <w:tc>
          <w:tcPr>
            <w:tcW w:w="30" w:type="pct"/>
            <w:tcMar>
              <w:top w:w="5" w:type="dxa"/>
              <w:left w:w="5" w:type="dxa"/>
              <w:bottom w:w="5" w:type="dxa"/>
              <w:right w:w="5" w:type="dxa"/>
            </w:tcMar>
            <w:vAlign w:val="bottom"/>
            <w:hideMark/>
          </w:tcPr>
          <w:p w14:paraId="52049D78" w14:textId="77777777" w:rsidR="00954279" w:rsidRDefault="00A66714">
            <w:pPr>
              <w:rPr>
                <w:color w:val="000000"/>
                <w:sz w:val="20"/>
                <w:szCs w:val="20"/>
              </w:rPr>
            </w:pPr>
            <w:r>
              <w:rPr>
                <w:color w:val="000000"/>
                <w:sz w:val="20"/>
                <w:szCs w:val="20"/>
              </w:rPr>
              <w:t> </w:t>
            </w:r>
          </w:p>
        </w:tc>
        <w:tc>
          <w:tcPr>
            <w:tcW w:w="75" w:type="pct"/>
            <w:tcMar>
              <w:top w:w="5" w:type="dxa"/>
              <w:left w:w="5" w:type="dxa"/>
              <w:bottom w:w="5" w:type="dxa"/>
              <w:right w:w="5" w:type="dxa"/>
            </w:tcMar>
            <w:vAlign w:val="bottom"/>
            <w:hideMark/>
          </w:tcPr>
          <w:p w14:paraId="1619E421" w14:textId="77777777" w:rsidR="00954279" w:rsidRDefault="00A66714">
            <w:pPr>
              <w:rPr>
                <w:color w:val="000000"/>
                <w:sz w:val="20"/>
                <w:szCs w:val="20"/>
              </w:rPr>
            </w:pPr>
            <w:r>
              <w:rPr>
                <w:color w:val="000000"/>
                <w:sz w:val="20"/>
                <w:szCs w:val="20"/>
              </w:rPr>
              <w:t> </w:t>
            </w:r>
          </w:p>
        </w:tc>
        <w:tc>
          <w:tcPr>
            <w:tcW w:w="520" w:type="pct"/>
            <w:tcMar>
              <w:top w:w="5" w:type="dxa"/>
              <w:left w:w="5" w:type="dxa"/>
              <w:bottom w:w="5" w:type="dxa"/>
              <w:right w:w="5" w:type="dxa"/>
            </w:tcMar>
            <w:vAlign w:val="bottom"/>
            <w:hideMark/>
          </w:tcPr>
          <w:p w14:paraId="7A51902A" w14:textId="77777777" w:rsidR="00954279" w:rsidRDefault="00A66714">
            <w:pPr>
              <w:jc w:val="right"/>
              <w:rPr>
                <w:color w:val="000000"/>
                <w:sz w:val="20"/>
                <w:szCs w:val="20"/>
              </w:rPr>
            </w:pPr>
            <w:r>
              <w:rPr>
                <w:color w:val="000000"/>
                <w:sz w:val="20"/>
                <w:szCs w:val="20"/>
              </w:rPr>
              <w:t>-</w:t>
            </w:r>
          </w:p>
        </w:tc>
        <w:tc>
          <w:tcPr>
            <w:tcW w:w="34" w:type="pct"/>
            <w:noWrap/>
            <w:tcMar>
              <w:top w:w="5" w:type="dxa"/>
              <w:left w:w="5" w:type="dxa"/>
              <w:bottom w:w="5" w:type="dxa"/>
              <w:right w:w="5" w:type="dxa"/>
            </w:tcMar>
            <w:vAlign w:val="bottom"/>
            <w:hideMark/>
          </w:tcPr>
          <w:p w14:paraId="261494B8" w14:textId="77777777" w:rsidR="00954279" w:rsidRDefault="00A66714">
            <w:pPr>
              <w:rPr>
                <w:color w:val="000000"/>
                <w:sz w:val="20"/>
                <w:szCs w:val="20"/>
              </w:rPr>
            </w:pPr>
            <w:r>
              <w:rPr>
                <w:color w:val="000000"/>
                <w:sz w:val="20"/>
                <w:szCs w:val="20"/>
              </w:rPr>
              <w:t> </w:t>
            </w:r>
          </w:p>
        </w:tc>
        <w:tc>
          <w:tcPr>
            <w:tcW w:w="31" w:type="pct"/>
            <w:tcMar>
              <w:top w:w="5" w:type="dxa"/>
              <w:left w:w="5" w:type="dxa"/>
              <w:bottom w:w="5" w:type="dxa"/>
              <w:right w:w="5" w:type="dxa"/>
            </w:tcMar>
            <w:vAlign w:val="bottom"/>
            <w:hideMark/>
          </w:tcPr>
          <w:p w14:paraId="7E9A1B40" w14:textId="77777777" w:rsidR="00954279" w:rsidRDefault="00A66714">
            <w:pPr>
              <w:rPr>
                <w:color w:val="000000"/>
                <w:sz w:val="20"/>
                <w:szCs w:val="20"/>
              </w:rPr>
            </w:pPr>
            <w:r>
              <w:rPr>
                <w:color w:val="000000"/>
                <w:sz w:val="20"/>
                <w:szCs w:val="20"/>
              </w:rPr>
              <w:t> </w:t>
            </w:r>
          </w:p>
        </w:tc>
        <w:tc>
          <w:tcPr>
            <w:tcW w:w="65" w:type="pct"/>
            <w:tcMar>
              <w:top w:w="5" w:type="dxa"/>
              <w:left w:w="5" w:type="dxa"/>
              <w:bottom w:w="5" w:type="dxa"/>
              <w:right w:w="5" w:type="dxa"/>
            </w:tcMar>
            <w:vAlign w:val="bottom"/>
            <w:hideMark/>
          </w:tcPr>
          <w:p w14:paraId="7914603B" w14:textId="77777777" w:rsidR="00954279" w:rsidRDefault="00A66714">
            <w:pPr>
              <w:rPr>
                <w:color w:val="000000"/>
                <w:sz w:val="20"/>
                <w:szCs w:val="20"/>
              </w:rPr>
            </w:pPr>
            <w:r>
              <w:rPr>
                <w:color w:val="000000"/>
                <w:sz w:val="20"/>
                <w:szCs w:val="20"/>
              </w:rPr>
              <w:t> </w:t>
            </w:r>
          </w:p>
        </w:tc>
        <w:tc>
          <w:tcPr>
            <w:tcW w:w="455" w:type="pct"/>
            <w:tcMar>
              <w:top w:w="5" w:type="dxa"/>
              <w:left w:w="5" w:type="dxa"/>
              <w:bottom w:w="5" w:type="dxa"/>
              <w:right w:w="5" w:type="dxa"/>
            </w:tcMar>
            <w:vAlign w:val="bottom"/>
            <w:hideMark/>
          </w:tcPr>
          <w:p w14:paraId="1DBCAC8D" w14:textId="77777777" w:rsidR="00954279" w:rsidRDefault="00A66714">
            <w:pPr>
              <w:jc w:val="right"/>
              <w:rPr>
                <w:color w:val="000000"/>
                <w:sz w:val="20"/>
                <w:szCs w:val="20"/>
              </w:rPr>
            </w:pPr>
            <w:r>
              <w:rPr>
                <w:color w:val="000000"/>
                <w:sz w:val="20"/>
                <w:szCs w:val="20"/>
              </w:rPr>
              <w:t>9</w:t>
            </w:r>
          </w:p>
        </w:tc>
        <w:tc>
          <w:tcPr>
            <w:tcW w:w="34" w:type="pct"/>
            <w:noWrap/>
            <w:tcMar>
              <w:top w:w="5" w:type="dxa"/>
              <w:left w:w="5" w:type="dxa"/>
              <w:bottom w:w="5" w:type="dxa"/>
              <w:right w:w="5" w:type="dxa"/>
            </w:tcMar>
            <w:vAlign w:val="bottom"/>
            <w:hideMark/>
          </w:tcPr>
          <w:p w14:paraId="6A344D19" w14:textId="77777777" w:rsidR="00954279" w:rsidRDefault="00A66714">
            <w:pPr>
              <w:rPr>
                <w:color w:val="000000"/>
                <w:sz w:val="20"/>
                <w:szCs w:val="20"/>
              </w:rPr>
            </w:pPr>
            <w:r>
              <w:rPr>
                <w:color w:val="000000"/>
                <w:sz w:val="20"/>
                <w:szCs w:val="20"/>
              </w:rPr>
              <w:t> </w:t>
            </w:r>
          </w:p>
        </w:tc>
      </w:tr>
      <w:tr w:rsidR="00717712" w14:paraId="3490F0BA" w14:textId="77777777" w:rsidTr="00717712">
        <w:tc>
          <w:tcPr>
            <w:tcW w:w="1163" w:type="pct"/>
            <w:tcMar>
              <w:top w:w="5" w:type="dxa"/>
              <w:left w:w="5" w:type="dxa"/>
              <w:bottom w:w="5" w:type="dxa"/>
              <w:right w:w="5" w:type="dxa"/>
            </w:tcMar>
            <w:vAlign w:val="bottom"/>
            <w:hideMark/>
          </w:tcPr>
          <w:p w14:paraId="5FD535AA" w14:textId="77777777" w:rsidR="00954279" w:rsidRDefault="00A66714">
            <w:pPr>
              <w:ind w:left="180"/>
              <w:rPr>
                <w:color w:val="000000"/>
                <w:sz w:val="20"/>
                <w:szCs w:val="20"/>
              </w:rPr>
            </w:pPr>
            <w:r>
              <w:rPr>
                <w:color w:val="000000"/>
                <w:sz w:val="20"/>
                <w:szCs w:val="20"/>
              </w:rPr>
              <w:t>Foreign currency translation</w:t>
            </w:r>
          </w:p>
        </w:tc>
        <w:tc>
          <w:tcPr>
            <w:tcW w:w="31" w:type="pct"/>
            <w:tcMar>
              <w:top w:w="5" w:type="dxa"/>
              <w:left w:w="5" w:type="dxa"/>
              <w:bottom w:w="5" w:type="dxa"/>
              <w:right w:w="5" w:type="dxa"/>
            </w:tcMar>
            <w:vAlign w:val="bottom"/>
            <w:hideMark/>
          </w:tcPr>
          <w:p w14:paraId="11789D71" w14:textId="77777777" w:rsidR="00954279" w:rsidRDefault="00A66714">
            <w:pPr>
              <w:rPr>
                <w:color w:val="000000"/>
                <w:sz w:val="20"/>
                <w:szCs w:val="20"/>
              </w:rPr>
            </w:pPr>
            <w:r>
              <w:rPr>
                <w:color w:val="000000"/>
                <w:sz w:val="20"/>
                <w:szCs w:val="20"/>
              </w:rPr>
              <w:t> </w:t>
            </w:r>
          </w:p>
        </w:tc>
        <w:tc>
          <w:tcPr>
            <w:tcW w:w="32" w:type="pct"/>
            <w:tcMar>
              <w:top w:w="5" w:type="dxa"/>
              <w:left w:w="5" w:type="dxa"/>
              <w:bottom w:w="5" w:type="dxa"/>
              <w:right w:w="5" w:type="dxa"/>
            </w:tcMar>
            <w:vAlign w:val="bottom"/>
            <w:hideMark/>
          </w:tcPr>
          <w:p w14:paraId="5B3CB3FE" w14:textId="77777777" w:rsidR="00954279" w:rsidRDefault="00A66714">
            <w:pPr>
              <w:rPr>
                <w:color w:val="000000"/>
                <w:sz w:val="20"/>
                <w:szCs w:val="20"/>
              </w:rPr>
            </w:pPr>
            <w:r>
              <w:rPr>
                <w:color w:val="000000"/>
                <w:sz w:val="20"/>
                <w:szCs w:val="20"/>
              </w:rPr>
              <w:t> </w:t>
            </w:r>
          </w:p>
        </w:tc>
        <w:tc>
          <w:tcPr>
            <w:tcW w:w="317" w:type="pct"/>
            <w:tcMar>
              <w:top w:w="5" w:type="dxa"/>
              <w:left w:w="5" w:type="dxa"/>
              <w:bottom w:w="5" w:type="dxa"/>
              <w:right w:w="5" w:type="dxa"/>
            </w:tcMar>
            <w:vAlign w:val="bottom"/>
            <w:hideMark/>
          </w:tcPr>
          <w:p w14:paraId="42D1FD1A" w14:textId="77777777" w:rsidR="00954279" w:rsidRDefault="00A66714">
            <w:pPr>
              <w:jc w:val="right"/>
              <w:rPr>
                <w:color w:val="000000"/>
                <w:sz w:val="20"/>
                <w:szCs w:val="20"/>
              </w:rPr>
            </w:pPr>
            <w:r>
              <w:rPr>
                <w:color w:val="000000"/>
                <w:sz w:val="20"/>
                <w:szCs w:val="20"/>
              </w:rPr>
              <w:t>-</w:t>
            </w:r>
          </w:p>
        </w:tc>
        <w:tc>
          <w:tcPr>
            <w:tcW w:w="31" w:type="pct"/>
            <w:noWrap/>
            <w:tcMar>
              <w:top w:w="5" w:type="dxa"/>
              <w:left w:w="5" w:type="dxa"/>
              <w:bottom w:w="5" w:type="dxa"/>
              <w:right w:w="5" w:type="dxa"/>
            </w:tcMar>
            <w:vAlign w:val="bottom"/>
            <w:hideMark/>
          </w:tcPr>
          <w:p w14:paraId="0CE7A285" w14:textId="77777777" w:rsidR="00954279" w:rsidRDefault="00A66714">
            <w:pPr>
              <w:rPr>
                <w:color w:val="000000"/>
                <w:sz w:val="20"/>
                <w:szCs w:val="20"/>
              </w:rPr>
            </w:pPr>
            <w:r>
              <w:rPr>
                <w:color w:val="000000"/>
                <w:sz w:val="20"/>
                <w:szCs w:val="20"/>
              </w:rPr>
              <w:t> </w:t>
            </w:r>
          </w:p>
        </w:tc>
        <w:tc>
          <w:tcPr>
            <w:tcW w:w="31" w:type="pct"/>
            <w:tcMar>
              <w:top w:w="5" w:type="dxa"/>
              <w:left w:w="5" w:type="dxa"/>
              <w:bottom w:w="5" w:type="dxa"/>
              <w:right w:w="5" w:type="dxa"/>
            </w:tcMar>
            <w:vAlign w:val="bottom"/>
            <w:hideMark/>
          </w:tcPr>
          <w:p w14:paraId="2D527427" w14:textId="77777777" w:rsidR="00954279" w:rsidRDefault="00A66714">
            <w:pPr>
              <w:rPr>
                <w:color w:val="000000"/>
                <w:sz w:val="20"/>
                <w:szCs w:val="20"/>
              </w:rPr>
            </w:pPr>
            <w:r>
              <w:rPr>
                <w:color w:val="000000"/>
                <w:sz w:val="20"/>
                <w:szCs w:val="20"/>
              </w:rPr>
              <w:t> </w:t>
            </w:r>
          </w:p>
        </w:tc>
        <w:tc>
          <w:tcPr>
            <w:tcW w:w="49" w:type="pct"/>
            <w:tcMar>
              <w:top w:w="5" w:type="dxa"/>
              <w:left w:w="5" w:type="dxa"/>
              <w:bottom w:w="5" w:type="dxa"/>
              <w:right w:w="5" w:type="dxa"/>
            </w:tcMar>
            <w:vAlign w:val="bottom"/>
            <w:hideMark/>
          </w:tcPr>
          <w:p w14:paraId="4F3EB99C" w14:textId="77777777" w:rsidR="00954279" w:rsidRDefault="00A66714">
            <w:pPr>
              <w:rPr>
                <w:color w:val="000000"/>
                <w:sz w:val="20"/>
                <w:szCs w:val="20"/>
              </w:rPr>
            </w:pPr>
            <w:r>
              <w:rPr>
                <w:color w:val="000000"/>
                <w:sz w:val="20"/>
                <w:szCs w:val="20"/>
              </w:rPr>
              <w:t> </w:t>
            </w:r>
          </w:p>
        </w:tc>
        <w:tc>
          <w:tcPr>
            <w:tcW w:w="318" w:type="pct"/>
            <w:tcMar>
              <w:top w:w="5" w:type="dxa"/>
              <w:left w:w="5" w:type="dxa"/>
              <w:bottom w:w="5" w:type="dxa"/>
              <w:right w:w="5" w:type="dxa"/>
            </w:tcMar>
            <w:vAlign w:val="bottom"/>
            <w:hideMark/>
          </w:tcPr>
          <w:p w14:paraId="34636D6A" w14:textId="77777777" w:rsidR="00954279" w:rsidRDefault="00A66714">
            <w:pPr>
              <w:jc w:val="right"/>
              <w:rPr>
                <w:color w:val="000000"/>
                <w:sz w:val="20"/>
                <w:szCs w:val="20"/>
              </w:rPr>
            </w:pPr>
            <w:r>
              <w:rPr>
                <w:color w:val="000000"/>
                <w:sz w:val="20"/>
                <w:szCs w:val="20"/>
              </w:rPr>
              <w:t>-</w:t>
            </w:r>
          </w:p>
        </w:tc>
        <w:tc>
          <w:tcPr>
            <w:tcW w:w="32" w:type="pct"/>
            <w:noWrap/>
            <w:tcMar>
              <w:top w:w="5" w:type="dxa"/>
              <w:left w:w="5" w:type="dxa"/>
              <w:bottom w:w="5" w:type="dxa"/>
              <w:right w:w="5" w:type="dxa"/>
            </w:tcMar>
            <w:vAlign w:val="bottom"/>
            <w:hideMark/>
          </w:tcPr>
          <w:p w14:paraId="656949E1" w14:textId="77777777" w:rsidR="00954279" w:rsidRDefault="00A66714">
            <w:pPr>
              <w:rPr>
                <w:color w:val="000000"/>
                <w:sz w:val="20"/>
                <w:szCs w:val="20"/>
              </w:rPr>
            </w:pPr>
            <w:r>
              <w:rPr>
                <w:color w:val="000000"/>
                <w:sz w:val="20"/>
                <w:szCs w:val="20"/>
              </w:rPr>
              <w:t> </w:t>
            </w:r>
          </w:p>
        </w:tc>
        <w:tc>
          <w:tcPr>
            <w:tcW w:w="32" w:type="pct"/>
            <w:tcMar>
              <w:top w:w="5" w:type="dxa"/>
              <w:left w:w="5" w:type="dxa"/>
              <w:bottom w:w="5" w:type="dxa"/>
              <w:right w:w="5" w:type="dxa"/>
            </w:tcMar>
            <w:vAlign w:val="bottom"/>
            <w:hideMark/>
          </w:tcPr>
          <w:p w14:paraId="13443CCB" w14:textId="77777777" w:rsidR="00954279" w:rsidRDefault="00A66714">
            <w:pPr>
              <w:rPr>
                <w:color w:val="000000"/>
                <w:sz w:val="20"/>
                <w:szCs w:val="20"/>
              </w:rPr>
            </w:pPr>
            <w:r>
              <w:rPr>
                <w:color w:val="000000"/>
                <w:sz w:val="20"/>
                <w:szCs w:val="20"/>
              </w:rPr>
              <w:t> </w:t>
            </w:r>
          </w:p>
        </w:tc>
        <w:tc>
          <w:tcPr>
            <w:tcW w:w="52" w:type="pct"/>
            <w:tcMar>
              <w:top w:w="5" w:type="dxa"/>
              <w:left w:w="5" w:type="dxa"/>
              <w:bottom w:w="5" w:type="dxa"/>
              <w:right w:w="5" w:type="dxa"/>
            </w:tcMar>
            <w:vAlign w:val="bottom"/>
            <w:hideMark/>
          </w:tcPr>
          <w:p w14:paraId="3BDCFB7B" w14:textId="77777777" w:rsidR="00954279" w:rsidRDefault="00A66714">
            <w:pPr>
              <w:rPr>
                <w:color w:val="000000"/>
                <w:sz w:val="20"/>
                <w:szCs w:val="20"/>
              </w:rPr>
            </w:pPr>
            <w:r>
              <w:rPr>
                <w:color w:val="000000"/>
                <w:sz w:val="20"/>
                <w:szCs w:val="20"/>
              </w:rPr>
              <w:t> </w:t>
            </w:r>
          </w:p>
        </w:tc>
        <w:tc>
          <w:tcPr>
            <w:tcW w:w="356" w:type="pct"/>
            <w:tcMar>
              <w:top w:w="5" w:type="dxa"/>
              <w:left w:w="5" w:type="dxa"/>
              <w:bottom w:w="5" w:type="dxa"/>
              <w:right w:w="5" w:type="dxa"/>
            </w:tcMar>
            <w:vAlign w:val="bottom"/>
            <w:hideMark/>
          </w:tcPr>
          <w:p w14:paraId="27A87F51" w14:textId="77777777" w:rsidR="00954279" w:rsidRDefault="00A66714">
            <w:pPr>
              <w:jc w:val="right"/>
              <w:rPr>
                <w:color w:val="000000"/>
                <w:sz w:val="20"/>
                <w:szCs w:val="20"/>
              </w:rPr>
            </w:pPr>
            <w:r>
              <w:rPr>
                <w:color w:val="000000"/>
                <w:sz w:val="20"/>
                <w:szCs w:val="20"/>
              </w:rPr>
              <w:t>-</w:t>
            </w:r>
          </w:p>
        </w:tc>
        <w:tc>
          <w:tcPr>
            <w:tcW w:w="34" w:type="pct"/>
            <w:noWrap/>
            <w:tcMar>
              <w:top w:w="5" w:type="dxa"/>
              <w:left w:w="5" w:type="dxa"/>
              <w:bottom w:w="5" w:type="dxa"/>
              <w:right w:w="5" w:type="dxa"/>
            </w:tcMar>
            <w:vAlign w:val="bottom"/>
            <w:hideMark/>
          </w:tcPr>
          <w:p w14:paraId="062913E8" w14:textId="77777777" w:rsidR="00954279" w:rsidRDefault="00A66714">
            <w:pPr>
              <w:rPr>
                <w:color w:val="000000"/>
                <w:sz w:val="20"/>
                <w:szCs w:val="20"/>
              </w:rPr>
            </w:pPr>
            <w:r>
              <w:rPr>
                <w:color w:val="000000"/>
                <w:sz w:val="20"/>
                <w:szCs w:val="20"/>
              </w:rPr>
              <w:t> </w:t>
            </w:r>
          </w:p>
        </w:tc>
        <w:tc>
          <w:tcPr>
            <w:tcW w:w="30" w:type="pct"/>
            <w:tcMar>
              <w:top w:w="5" w:type="dxa"/>
              <w:left w:w="5" w:type="dxa"/>
              <w:bottom w:w="5" w:type="dxa"/>
              <w:right w:w="5" w:type="dxa"/>
            </w:tcMar>
            <w:vAlign w:val="bottom"/>
            <w:hideMark/>
          </w:tcPr>
          <w:p w14:paraId="70ED57B6" w14:textId="77777777" w:rsidR="00954279" w:rsidRDefault="00A66714">
            <w:pPr>
              <w:rPr>
                <w:color w:val="000000"/>
                <w:sz w:val="20"/>
                <w:szCs w:val="20"/>
              </w:rPr>
            </w:pPr>
            <w:r>
              <w:rPr>
                <w:color w:val="000000"/>
                <w:sz w:val="20"/>
                <w:szCs w:val="20"/>
              </w:rPr>
              <w:t> </w:t>
            </w:r>
          </w:p>
        </w:tc>
        <w:tc>
          <w:tcPr>
            <w:tcW w:w="49" w:type="pct"/>
            <w:tcMar>
              <w:top w:w="5" w:type="dxa"/>
              <w:left w:w="5" w:type="dxa"/>
              <w:bottom w:w="5" w:type="dxa"/>
              <w:right w:w="5" w:type="dxa"/>
            </w:tcMar>
            <w:vAlign w:val="bottom"/>
            <w:hideMark/>
          </w:tcPr>
          <w:p w14:paraId="5C4AD64E" w14:textId="77777777" w:rsidR="00954279" w:rsidRDefault="00A66714">
            <w:pPr>
              <w:rPr>
                <w:color w:val="000000"/>
                <w:sz w:val="20"/>
                <w:szCs w:val="20"/>
              </w:rPr>
            </w:pPr>
            <w:r>
              <w:rPr>
                <w:color w:val="000000"/>
                <w:sz w:val="20"/>
                <w:szCs w:val="20"/>
              </w:rPr>
              <w:t> </w:t>
            </w:r>
          </w:p>
        </w:tc>
        <w:tc>
          <w:tcPr>
            <w:tcW w:w="318" w:type="pct"/>
            <w:tcMar>
              <w:top w:w="5" w:type="dxa"/>
              <w:left w:w="5" w:type="dxa"/>
              <w:bottom w:w="5" w:type="dxa"/>
              <w:right w:w="5" w:type="dxa"/>
            </w:tcMar>
            <w:vAlign w:val="bottom"/>
            <w:hideMark/>
          </w:tcPr>
          <w:p w14:paraId="3E0C4B79" w14:textId="77777777" w:rsidR="00954279" w:rsidRDefault="00A66714">
            <w:pPr>
              <w:jc w:val="right"/>
              <w:rPr>
                <w:color w:val="000000"/>
                <w:sz w:val="20"/>
                <w:szCs w:val="20"/>
              </w:rPr>
            </w:pPr>
            <w:r>
              <w:rPr>
                <w:color w:val="000000"/>
                <w:sz w:val="20"/>
                <w:szCs w:val="20"/>
              </w:rPr>
              <w:t>-</w:t>
            </w:r>
          </w:p>
        </w:tc>
        <w:tc>
          <w:tcPr>
            <w:tcW w:w="34" w:type="pct"/>
            <w:noWrap/>
            <w:tcMar>
              <w:top w:w="5" w:type="dxa"/>
              <w:left w:w="5" w:type="dxa"/>
              <w:bottom w:w="5" w:type="dxa"/>
              <w:right w:w="5" w:type="dxa"/>
            </w:tcMar>
            <w:vAlign w:val="bottom"/>
            <w:hideMark/>
          </w:tcPr>
          <w:p w14:paraId="78B83253" w14:textId="77777777" w:rsidR="00954279" w:rsidRDefault="00A66714">
            <w:pPr>
              <w:rPr>
                <w:color w:val="000000"/>
                <w:sz w:val="20"/>
                <w:szCs w:val="20"/>
              </w:rPr>
            </w:pPr>
            <w:r>
              <w:rPr>
                <w:color w:val="000000"/>
                <w:sz w:val="20"/>
                <w:szCs w:val="20"/>
              </w:rPr>
              <w:t> </w:t>
            </w:r>
          </w:p>
        </w:tc>
        <w:tc>
          <w:tcPr>
            <w:tcW w:w="30" w:type="pct"/>
            <w:tcMar>
              <w:top w:w="5" w:type="dxa"/>
              <w:left w:w="5" w:type="dxa"/>
              <w:bottom w:w="5" w:type="dxa"/>
              <w:right w:w="5" w:type="dxa"/>
            </w:tcMar>
            <w:vAlign w:val="bottom"/>
            <w:hideMark/>
          </w:tcPr>
          <w:p w14:paraId="4D6FA465" w14:textId="77777777" w:rsidR="00954279" w:rsidRDefault="00A66714">
            <w:pPr>
              <w:rPr>
                <w:color w:val="000000"/>
                <w:sz w:val="20"/>
                <w:szCs w:val="20"/>
              </w:rPr>
            </w:pPr>
            <w:r>
              <w:rPr>
                <w:color w:val="000000"/>
                <w:sz w:val="20"/>
                <w:szCs w:val="20"/>
              </w:rPr>
              <w:t> </w:t>
            </w:r>
          </w:p>
        </w:tc>
        <w:tc>
          <w:tcPr>
            <w:tcW w:w="33" w:type="pct"/>
            <w:tcMar>
              <w:top w:w="5" w:type="dxa"/>
              <w:left w:w="5" w:type="dxa"/>
              <w:bottom w:w="5" w:type="dxa"/>
              <w:right w:w="5" w:type="dxa"/>
            </w:tcMar>
            <w:vAlign w:val="bottom"/>
            <w:hideMark/>
          </w:tcPr>
          <w:p w14:paraId="4F02957A" w14:textId="77777777" w:rsidR="00954279" w:rsidRDefault="00A66714">
            <w:pPr>
              <w:rPr>
                <w:color w:val="000000"/>
                <w:sz w:val="20"/>
                <w:szCs w:val="20"/>
              </w:rPr>
            </w:pPr>
            <w:r>
              <w:rPr>
                <w:color w:val="000000"/>
                <w:sz w:val="20"/>
                <w:szCs w:val="20"/>
              </w:rPr>
              <w:t> </w:t>
            </w:r>
          </w:p>
        </w:tc>
        <w:tc>
          <w:tcPr>
            <w:tcW w:w="317" w:type="pct"/>
            <w:tcMar>
              <w:top w:w="5" w:type="dxa"/>
              <w:left w:w="5" w:type="dxa"/>
              <w:bottom w:w="5" w:type="dxa"/>
              <w:right w:w="5" w:type="dxa"/>
            </w:tcMar>
            <w:vAlign w:val="bottom"/>
            <w:hideMark/>
          </w:tcPr>
          <w:p w14:paraId="312D3A8B" w14:textId="77777777" w:rsidR="00954279" w:rsidRDefault="00A66714">
            <w:pPr>
              <w:jc w:val="right"/>
              <w:rPr>
                <w:color w:val="000000"/>
                <w:sz w:val="20"/>
                <w:szCs w:val="20"/>
              </w:rPr>
            </w:pPr>
            <w:r>
              <w:rPr>
                <w:color w:val="000000"/>
                <w:sz w:val="20"/>
                <w:szCs w:val="20"/>
              </w:rPr>
              <w:t>-</w:t>
            </w:r>
          </w:p>
        </w:tc>
        <w:tc>
          <w:tcPr>
            <w:tcW w:w="34" w:type="pct"/>
            <w:noWrap/>
            <w:tcMar>
              <w:top w:w="5" w:type="dxa"/>
              <w:left w:w="5" w:type="dxa"/>
              <w:bottom w:w="5" w:type="dxa"/>
              <w:right w:w="5" w:type="dxa"/>
            </w:tcMar>
            <w:vAlign w:val="bottom"/>
            <w:hideMark/>
          </w:tcPr>
          <w:p w14:paraId="2F2BBC71" w14:textId="77777777" w:rsidR="00954279" w:rsidRDefault="00A66714">
            <w:pPr>
              <w:rPr>
                <w:color w:val="000000"/>
                <w:sz w:val="20"/>
                <w:szCs w:val="20"/>
              </w:rPr>
            </w:pPr>
            <w:r>
              <w:rPr>
                <w:color w:val="000000"/>
                <w:sz w:val="20"/>
                <w:szCs w:val="20"/>
              </w:rPr>
              <w:t> </w:t>
            </w:r>
          </w:p>
        </w:tc>
        <w:tc>
          <w:tcPr>
            <w:tcW w:w="30" w:type="pct"/>
            <w:tcMar>
              <w:top w:w="5" w:type="dxa"/>
              <w:left w:w="5" w:type="dxa"/>
              <w:bottom w:w="5" w:type="dxa"/>
              <w:right w:w="5" w:type="dxa"/>
            </w:tcMar>
            <w:vAlign w:val="bottom"/>
            <w:hideMark/>
          </w:tcPr>
          <w:p w14:paraId="3BE8FBA4" w14:textId="77777777" w:rsidR="00954279" w:rsidRDefault="00A66714">
            <w:pPr>
              <w:rPr>
                <w:color w:val="000000"/>
                <w:sz w:val="20"/>
                <w:szCs w:val="20"/>
              </w:rPr>
            </w:pPr>
            <w:r>
              <w:rPr>
                <w:color w:val="000000"/>
                <w:sz w:val="20"/>
                <w:szCs w:val="20"/>
              </w:rPr>
              <w:t> </w:t>
            </w:r>
          </w:p>
        </w:tc>
        <w:tc>
          <w:tcPr>
            <w:tcW w:w="49" w:type="pct"/>
            <w:tcMar>
              <w:top w:w="5" w:type="dxa"/>
              <w:left w:w="5" w:type="dxa"/>
              <w:bottom w:w="5" w:type="dxa"/>
              <w:right w:w="5" w:type="dxa"/>
            </w:tcMar>
            <w:vAlign w:val="bottom"/>
            <w:hideMark/>
          </w:tcPr>
          <w:p w14:paraId="740A8C14" w14:textId="77777777" w:rsidR="00954279" w:rsidRDefault="00A66714">
            <w:pPr>
              <w:rPr>
                <w:color w:val="000000"/>
                <w:sz w:val="20"/>
                <w:szCs w:val="20"/>
              </w:rPr>
            </w:pPr>
            <w:r>
              <w:rPr>
                <w:color w:val="000000"/>
                <w:sz w:val="20"/>
                <w:szCs w:val="20"/>
              </w:rPr>
              <w:t> </w:t>
            </w:r>
          </w:p>
        </w:tc>
        <w:tc>
          <w:tcPr>
            <w:tcW w:w="318" w:type="pct"/>
            <w:tcMar>
              <w:top w:w="5" w:type="dxa"/>
              <w:left w:w="5" w:type="dxa"/>
              <w:bottom w:w="5" w:type="dxa"/>
              <w:right w:w="5" w:type="dxa"/>
            </w:tcMar>
            <w:vAlign w:val="bottom"/>
            <w:hideMark/>
          </w:tcPr>
          <w:p w14:paraId="53ACE2BC" w14:textId="77777777" w:rsidR="00954279" w:rsidRDefault="00A66714">
            <w:pPr>
              <w:jc w:val="right"/>
              <w:rPr>
                <w:color w:val="000000"/>
                <w:sz w:val="20"/>
                <w:szCs w:val="20"/>
              </w:rPr>
            </w:pPr>
            <w:r>
              <w:rPr>
                <w:color w:val="000000"/>
                <w:sz w:val="20"/>
                <w:szCs w:val="20"/>
              </w:rPr>
              <w:t>-</w:t>
            </w:r>
          </w:p>
        </w:tc>
        <w:tc>
          <w:tcPr>
            <w:tcW w:w="34" w:type="pct"/>
            <w:noWrap/>
            <w:tcMar>
              <w:top w:w="5" w:type="dxa"/>
              <w:left w:w="5" w:type="dxa"/>
              <w:bottom w:w="5" w:type="dxa"/>
              <w:right w:w="5" w:type="dxa"/>
            </w:tcMar>
            <w:vAlign w:val="bottom"/>
            <w:hideMark/>
          </w:tcPr>
          <w:p w14:paraId="2A832FB9" w14:textId="77777777" w:rsidR="00954279" w:rsidRDefault="00A66714">
            <w:pPr>
              <w:rPr>
                <w:color w:val="000000"/>
                <w:sz w:val="20"/>
                <w:szCs w:val="20"/>
              </w:rPr>
            </w:pPr>
            <w:r>
              <w:rPr>
                <w:color w:val="000000"/>
                <w:sz w:val="20"/>
                <w:szCs w:val="20"/>
              </w:rPr>
              <w:t> </w:t>
            </w:r>
          </w:p>
        </w:tc>
        <w:tc>
          <w:tcPr>
            <w:tcW w:w="30" w:type="pct"/>
            <w:tcMar>
              <w:top w:w="5" w:type="dxa"/>
              <w:left w:w="5" w:type="dxa"/>
              <w:bottom w:w="5" w:type="dxa"/>
              <w:right w:w="5" w:type="dxa"/>
            </w:tcMar>
            <w:vAlign w:val="bottom"/>
            <w:hideMark/>
          </w:tcPr>
          <w:p w14:paraId="05CA957E" w14:textId="77777777" w:rsidR="00954279" w:rsidRDefault="00A66714">
            <w:pPr>
              <w:rPr>
                <w:color w:val="000000"/>
                <w:sz w:val="20"/>
                <w:szCs w:val="20"/>
              </w:rPr>
            </w:pPr>
            <w:r>
              <w:rPr>
                <w:color w:val="000000"/>
                <w:sz w:val="20"/>
                <w:szCs w:val="20"/>
              </w:rPr>
              <w:t> </w:t>
            </w:r>
          </w:p>
        </w:tc>
        <w:tc>
          <w:tcPr>
            <w:tcW w:w="75" w:type="pct"/>
            <w:tcMar>
              <w:top w:w="5" w:type="dxa"/>
              <w:left w:w="5" w:type="dxa"/>
              <w:bottom w:w="5" w:type="dxa"/>
              <w:right w:w="5" w:type="dxa"/>
            </w:tcMar>
            <w:vAlign w:val="bottom"/>
            <w:hideMark/>
          </w:tcPr>
          <w:p w14:paraId="47D5A89D" w14:textId="77777777" w:rsidR="00954279" w:rsidRDefault="00A66714">
            <w:pPr>
              <w:rPr>
                <w:color w:val="000000"/>
                <w:sz w:val="20"/>
                <w:szCs w:val="20"/>
              </w:rPr>
            </w:pPr>
            <w:r>
              <w:rPr>
                <w:color w:val="000000"/>
                <w:sz w:val="20"/>
                <w:szCs w:val="20"/>
              </w:rPr>
              <w:t> </w:t>
            </w:r>
          </w:p>
        </w:tc>
        <w:tc>
          <w:tcPr>
            <w:tcW w:w="520" w:type="pct"/>
            <w:tcMar>
              <w:top w:w="5" w:type="dxa"/>
              <w:left w:w="5" w:type="dxa"/>
              <w:bottom w:w="5" w:type="dxa"/>
              <w:right w:w="5" w:type="dxa"/>
            </w:tcMar>
            <w:vAlign w:val="bottom"/>
            <w:hideMark/>
          </w:tcPr>
          <w:p w14:paraId="6AB25E75" w14:textId="77777777" w:rsidR="00954279" w:rsidRDefault="00A66714">
            <w:pPr>
              <w:jc w:val="right"/>
              <w:rPr>
                <w:color w:val="000000"/>
                <w:sz w:val="20"/>
                <w:szCs w:val="20"/>
              </w:rPr>
            </w:pPr>
            <w:r>
              <w:rPr>
                <w:color w:val="000000"/>
                <w:sz w:val="20"/>
                <w:szCs w:val="20"/>
              </w:rPr>
              <w:t>(21</w:t>
            </w:r>
          </w:p>
        </w:tc>
        <w:tc>
          <w:tcPr>
            <w:tcW w:w="34" w:type="pct"/>
            <w:noWrap/>
            <w:tcMar>
              <w:top w:w="5" w:type="dxa"/>
              <w:left w:w="5" w:type="dxa"/>
              <w:bottom w:w="5" w:type="dxa"/>
              <w:right w:w="5" w:type="dxa"/>
            </w:tcMar>
            <w:vAlign w:val="bottom"/>
            <w:hideMark/>
          </w:tcPr>
          <w:p w14:paraId="57DE9D06" w14:textId="77777777" w:rsidR="00954279" w:rsidRDefault="00A66714">
            <w:pPr>
              <w:rPr>
                <w:color w:val="000000"/>
                <w:sz w:val="20"/>
                <w:szCs w:val="20"/>
              </w:rPr>
            </w:pPr>
            <w:r>
              <w:rPr>
                <w:color w:val="000000"/>
                <w:sz w:val="20"/>
                <w:szCs w:val="20"/>
              </w:rPr>
              <w:t>)</w:t>
            </w:r>
          </w:p>
        </w:tc>
        <w:tc>
          <w:tcPr>
            <w:tcW w:w="31" w:type="pct"/>
            <w:tcMar>
              <w:top w:w="5" w:type="dxa"/>
              <w:left w:w="5" w:type="dxa"/>
              <w:bottom w:w="5" w:type="dxa"/>
              <w:right w:w="5" w:type="dxa"/>
            </w:tcMar>
            <w:vAlign w:val="bottom"/>
            <w:hideMark/>
          </w:tcPr>
          <w:p w14:paraId="123AC5F3" w14:textId="77777777" w:rsidR="00954279" w:rsidRDefault="00A66714">
            <w:pPr>
              <w:rPr>
                <w:color w:val="000000"/>
                <w:sz w:val="20"/>
                <w:szCs w:val="20"/>
              </w:rPr>
            </w:pPr>
            <w:r>
              <w:rPr>
                <w:color w:val="000000"/>
                <w:sz w:val="20"/>
                <w:szCs w:val="20"/>
              </w:rPr>
              <w:t> </w:t>
            </w:r>
          </w:p>
        </w:tc>
        <w:tc>
          <w:tcPr>
            <w:tcW w:w="65" w:type="pct"/>
            <w:tcMar>
              <w:top w:w="5" w:type="dxa"/>
              <w:left w:w="5" w:type="dxa"/>
              <w:bottom w:w="5" w:type="dxa"/>
              <w:right w:w="5" w:type="dxa"/>
            </w:tcMar>
            <w:vAlign w:val="bottom"/>
            <w:hideMark/>
          </w:tcPr>
          <w:p w14:paraId="73C8BBCA" w14:textId="77777777" w:rsidR="00954279" w:rsidRDefault="00A66714">
            <w:pPr>
              <w:rPr>
                <w:color w:val="000000"/>
                <w:sz w:val="20"/>
                <w:szCs w:val="20"/>
              </w:rPr>
            </w:pPr>
            <w:r>
              <w:rPr>
                <w:color w:val="000000"/>
                <w:sz w:val="20"/>
                <w:szCs w:val="20"/>
              </w:rPr>
              <w:t> </w:t>
            </w:r>
          </w:p>
        </w:tc>
        <w:tc>
          <w:tcPr>
            <w:tcW w:w="455" w:type="pct"/>
            <w:tcMar>
              <w:top w:w="5" w:type="dxa"/>
              <w:left w:w="5" w:type="dxa"/>
              <w:bottom w:w="5" w:type="dxa"/>
              <w:right w:w="5" w:type="dxa"/>
            </w:tcMar>
            <w:vAlign w:val="bottom"/>
            <w:hideMark/>
          </w:tcPr>
          <w:p w14:paraId="76D91D48" w14:textId="77777777" w:rsidR="00954279" w:rsidRDefault="00A66714">
            <w:pPr>
              <w:jc w:val="right"/>
              <w:rPr>
                <w:color w:val="000000"/>
                <w:sz w:val="20"/>
                <w:szCs w:val="20"/>
              </w:rPr>
            </w:pPr>
            <w:r>
              <w:rPr>
                <w:color w:val="000000"/>
                <w:sz w:val="20"/>
                <w:szCs w:val="20"/>
              </w:rPr>
              <w:t>(21</w:t>
            </w:r>
          </w:p>
        </w:tc>
        <w:tc>
          <w:tcPr>
            <w:tcW w:w="34" w:type="pct"/>
            <w:noWrap/>
            <w:tcMar>
              <w:top w:w="5" w:type="dxa"/>
              <w:left w:w="5" w:type="dxa"/>
              <w:bottom w:w="5" w:type="dxa"/>
              <w:right w:w="5" w:type="dxa"/>
            </w:tcMar>
            <w:vAlign w:val="bottom"/>
            <w:hideMark/>
          </w:tcPr>
          <w:p w14:paraId="02453863" w14:textId="77777777" w:rsidR="00954279" w:rsidRDefault="00A66714">
            <w:pPr>
              <w:rPr>
                <w:color w:val="000000"/>
                <w:sz w:val="20"/>
                <w:szCs w:val="20"/>
              </w:rPr>
            </w:pPr>
            <w:r>
              <w:rPr>
                <w:color w:val="000000"/>
                <w:sz w:val="20"/>
                <w:szCs w:val="20"/>
              </w:rPr>
              <w:t>)</w:t>
            </w:r>
          </w:p>
        </w:tc>
      </w:tr>
      <w:tr w:rsidR="00717712" w14:paraId="60594C24" w14:textId="77777777" w:rsidTr="00717712">
        <w:tc>
          <w:tcPr>
            <w:tcW w:w="1163" w:type="pct"/>
            <w:tcMar>
              <w:top w:w="5" w:type="dxa"/>
              <w:left w:w="5" w:type="dxa"/>
              <w:bottom w:w="5" w:type="dxa"/>
              <w:right w:w="5" w:type="dxa"/>
            </w:tcMar>
            <w:vAlign w:val="bottom"/>
            <w:hideMark/>
          </w:tcPr>
          <w:p w14:paraId="376FE358" w14:textId="77777777" w:rsidR="00954279" w:rsidRDefault="00A66714">
            <w:pPr>
              <w:ind w:left="180"/>
              <w:rPr>
                <w:color w:val="000000"/>
                <w:sz w:val="20"/>
                <w:szCs w:val="20"/>
              </w:rPr>
            </w:pPr>
            <w:r>
              <w:rPr>
                <w:color w:val="000000"/>
                <w:sz w:val="20"/>
                <w:szCs w:val="20"/>
              </w:rPr>
              <w:t>Hedge accounting adjustments</w:t>
            </w:r>
          </w:p>
        </w:tc>
        <w:tc>
          <w:tcPr>
            <w:tcW w:w="31" w:type="pct"/>
            <w:tcMar>
              <w:top w:w="5" w:type="dxa"/>
              <w:left w:w="5" w:type="dxa"/>
              <w:bottom w:w="5" w:type="dxa"/>
              <w:right w:w="5" w:type="dxa"/>
            </w:tcMar>
            <w:vAlign w:val="bottom"/>
            <w:hideMark/>
          </w:tcPr>
          <w:p w14:paraId="5A71744B" w14:textId="77777777" w:rsidR="00954279" w:rsidRDefault="00A66714">
            <w:pPr>
              <w:rPr>
                <w:color w:val="000000"/>
                <w:sz w:val="20"/>
                <w:szCs w:val="20"/>
              </w:rPr>
            </w:pPr>
            <w:r>
              <w:rPr>
                <w:color w:val="000000"/>
                <w:sz w:val="20"/>
                <w:szCs w:val="20"/>
              </w:rPr>
              <w:t> </w:t>
            </w:r>
          </w:p>
        </w:tc>
        <w:tc>
          <w:tcPr>
            <w:tcW w:w="32" w:type="pct"/>
            <w:tcMar>
              <w:top w:w="5" w:type="dxa"/>
              <w:left w:w="5" w:type="dxa"/>
              <w:bottom w:w="5" w:type="dxa"/>
              <w:right w:w="5" w:type="dxa"/>
            </w:tcMar>
            <w:vAlign w:val="bottom"/>
            <w:hideMark/>
          </w:tcPr>
          <w:p w14:paraId="4D874C78" w14:textId="77777777" w:rsidR="00954279" w:rsidRDefault="00A66714">
            <w:pPr>
              <w:rPr>
                <w:color w:val="000000"/>
                <w:sz w:val="20"/>
                <w:szCs w:val="20"/>
              </w:rPr>
            </w:pPr>
            <w:r>
              <w:rPr>
                <w:color w:val="000000"/>
                <w:sz w:val="20"/>
                <w:szCs w:val="20"/>
              </w:rPr>
              <w:t> </w:t>
            </w:r>
          </w:p>
        </w:tc>
        <w:tc>
          <w:tcPr>
            <w:tcW w:w="317" w:type="pct"/>
            <w:tcMar>
              <w:top w:w="5" w:type="dxa"/>
              <w:left w:w="5" w:type="dxa"/>
              <w:bottom w:w="5" w:type="dxa"/>
              <w:right w:w="5" w:type="dxa"/>
            </w:tcMar>
            <w:vAlign w:val="bottom"/>
            <w:hideMark/>
          </w:tcPr>
          <w:p w14:paraId="5A8D6EA9" w14:textId="77777777" w:rsidR="00954279" w:rsidRDefault="00A66714">
            <w:pPr>
              <w:jc w:val="right"/>
              <w:rPr>
                <w:color w:val="000000"/>
                <w:sz w:val="20"/>
                <w:szCs w:val="20"/>
              </w:rPr>
            </w:pPr>
            <w:r>
              <w:rPr>
                <w:b/>
                <w:bCs/>
                <w:color w:val="000000"/>
                <w:sz w:val="20"/>
                <w:szCs w:val="20"/>
              </w:rPr>
              <w:t>-</w:t>
            </w:r>
          </w:p>
        </w:tc>
        <w:tc>
          <w:tcPr>
            <w:tcW w:w="31" w:type="pct"/>
            <w:noWrap/>
            <w:tcMar>
              <w:top w:w="5" w:type="dxa"/>
              <w:left w:w="5" w:type="dxa"/>
              <w:bottom w:w="5" w:type="dxa"/>
              <w:right w:w="5" w:type="dxa"/>
            </w:tcMar>
            <w:vAlign w:val="bottom"/>
            <w:hideMark/>
          </w:tcPr>
          <w:p w14:paraId="7EDB25C7" w14:textId="77777777" w:rsidR="00954279" w:rsidRDefault="00A66714">
            <w:pPr>
              <w:rPr>
                <w:color w:val="000000"/>
                <w:sz w:val="20"/>
                <w:szCs w:val="20"/>
              </w:rPr>
            </w:pPr>
            <w:r>
              <w:rPr>
                <w:color w:val="000000"/>
                <w:sz w:val="20"/>
                <w:szCs w:val="20"/>
              </w:rPr>
              <w:t> </w:t>
            </w:r>
          </w:p>
        </w:tc>
        <w:tc>
          <w:tcPr>
            <w:tcW w:w="31" w:type="pct"/>
            <w:tcMar>
              <w:top w:w="5" w:type="dxa"/>
              <w:left w:w="5" w:type="dxa"/>
              <w:bottom w:w="5" w:type="dxa"/>
              <w:right w:w="5" w:type="dxa"/>
            </w:tcMar>
            <w:vAlign w:val="bottom"/>
            <w:hideMark/>
          </w:tcPr>
          <w:p w14:paraId="38454213" w14:textId="77777777" w:rsidR="00954279" w:rsidRDefault="00A66714">
            <w:pPr>
              <w:rPr>
                <w:color w:val="000000"/>
                <w:sz w:val="20"/>
                <w:szCs w:val="20"/>
              </w:rPr>
            </w:pPr>
            <w:r>
              <w:rPr>
                <w:color w:val="000000"/>
                <w:sz w:val="20"/>
                <w:szCs w:val="20"/>
              </w:rPr>
              <w:t> </w:t>
            </w:r>
          </w:p>
        </w:tc>
        <w:tc>
          <w:tcPr>
            <w:tcW w:w="49" w:type="pct"/>
            <w:tcMar>
              <w:top w:w="5" w:type="dxa"/>
              <w:left w:w="5" w:type="dxa"/>
              <w:bottom w:w="5" w:type="dxa"/>
              <w:right w:w="5" w:type="dxa"/>
            </w:tcMar>
            <w:vAlign w:val="bottom"/>
            <w:hideMark/>
          </w:tcPr>
          <w:p w14:paraId="54049344" w14:textId="77777777" w:rsidR="00954279" w:rsidRDefault="00A66714">
            <w:pPr>
              <w:rPr>
                <w:color w:val="000000"/>
                <w:sz w:val="20"/>
                <w:szCs w:val="20"/>
              </w:rPr>
            </w:pPr>
            <w:r>
              <w:rPr>
                <w:color w:val="000000"/>
                <w:sz w:val="20"/>
                <w:szCs w:val="20"/>
              </w:rPr>
              <w:t> </w:t>
            </w:r>
          </w:p>
        </w:tc>
        <w:tc>
          <w:tcPr>
            <w:tcW w:w="318" w:type="pct"/>
            <w:tcMar>
              <w:top w:w="5" w:type="dxa"/>
              <w:left w:w="5" w:type="dxa"/>
              <w:bottom w:w="5" w:type="dxa"/>
              <w:right w:w="5" w:type="dxa"/>
            </w:tcMar>
            <w:vAlign w:val="bottom"/>
            <w:hideMark/>
          </w:tcPr>
          <w:p w14:paraId="4E9272AA" w14:textId="77777777" w:rsidR="00954279" w:rsidRDefault="00A66714">
            <w:pPr>
              <w:jc w:val="right"/>
              <w:rPr>
                <w:color w:val="000000"/>
                <w:sz w:val="20"/>
                <w:szCs w:val="20"/>
              </w:rPr>
            </w:pPr>
            <w:r>
              <w:rPr>
                <w:b/>
                <w:bCs/>
                <w:color w:val="000000"/>
                <w:sz w:val="20"/>
                <w:szCs w:val="20"/>
              </w:rPr>
              <w:t>-</w:t>
            </w:r>
          </w:p>
        </w:tc>
        <w:tc>
          <w:tcPr>
            <w:tcW w:w="32" w:type="pct"/>
            <w:noWrap/>
            <w:tcMar>
              <w:top w:w="5" w:type="dxa"/>
              <w:left w:w="5" w:type="dxa"/>
              <w:bottom w:w="5" w:type="dxa"/>
              <w:right w:w="5" w:type="dxa"/>
            </w:tcMar>
            <w:vAlign w:val="bottom"/>
            <w:hideMark/>
          </w:tcPr>
          <w:p w14:paraId="6345D13A" w14:textId="77777777" w:rsidR="00954279" w:rsidRDefault="00A66714">
            <w:pPr>
              <w:rPr>
                <w:color w:val="000000"/>
                <w:sz w:val="20"/>
                <w:szCs w:val="20"/>
              </w:rPr>
            </w:pPr>
            <w:r>
              <w:rPr>
                <w:color w:val="000000"/>
                <w:sz w:val="20"/>
                <w:szCs w:val="20"/>
              </w:rPr>
              <w:t> </w:t>
            </w:r>
          </w:p>
        </w:tc>
        <w:tc>
          <w:tcPr>
            <w:tcW w:w="32" w:type="pct"/>
            <w:tcMar>
              <w:top w:w="5" w:type="dxa"/>
              <w:left w:w="5" w:type="dxa"/>
              <w:bottom w:w="5" w:type="dxa"/>
              <w:right w:w="5" w:type="dxa"/>
            </w:tcMar>
            <w:vAlign w:val="bottom"/>
            <w:hideMark/>
          </w:tcPr>
          <w:p w14:paraId="08788660" w14:textId="77777777" w:rsidR="00954279" w:rsidRDefault="00A66714">
            <w:pPr>
              <w:rPr>
                <w:color w:val="000000"/>
                <w:sz w:val="20"/>
                <w:szCs w:val="20"/>
              </w:rPr>
            </w:pPr>
            <w:r>
              <w:rPr>
                <w:color w:val="000000"/>
                <w:sz w:val="20"/>
                <w:szCs w:val="20"/>
              </w:rPr>
              <w:t> </w:t>
            </w:r>
          </w:p>
        </w:tc>
        <w:tc>
          <w:tcPr>
            <w:tcW w:w="52" w:type="pct"/>
            <w:tcMar>
              <w:top w:w="5" w:type="dxa"/>
              <w:left w:w="5" w:type="dxa"/>
              <w:bottom w:w="5" w:type="dxa"/>
              <w:right w:w="5" w:type="dxa"/>
            </w:tcMar>
            <w:vAlign w:val="bottom"/>
            <w:hideMark/>
          </w:tcPr>
          <w:p w14:paraId="12C7BE5C" w14:textId="77777777" w:rsidR="00954279" w:rsidRDefault="00A66714">
            <w:pPr>
              <w:rPr>
                <w:color w:val="000000"/>
                <w:sz w:val="20"/>
                <w:szCs w:val="20"/>
              </w:rPr>
            </w:pPr>
            <w:r>
              <w:rPr>
                <w:color w:val="000000"/>
                <w:sz w:val="20"/>
                <w:szCs w:val="20"/>
              </w:rPr>
              <w:t> </w:t>
            </w:r>
          </w:p>
        </w:tc>
        <w:tc>
          <w:tcPr>
            <w:tcW w:w="356" w:type="pct"/>
            <w:tcMar>
              <w:top w:w="5" w:type="dxa"/>
              <w:left w:w="5" w:type="dxa"/>
              <w:bottom w:w="5" w:type="dxa"/>
              <w:right w:w="5" w:type="dxa"/>
            </w:tcMar>
            <w:vAlign w:val="bottom"/>
            <w:hideMark/>
          </w:tcPr>
          <w:p w14:paraId="13DE8CB7" w14:textId="77777777" w:rsidR="00954279" w:rsidRDefault="00A66714">
            <w:pPr>
              <w:jc w:val="right"/>
              <w:rPr>
                <w:color w:val="000000"/>
                <w:sz w:val="20"/>
                <w:szCs w:val="20"/>
              </w:rPr>
            </w:pPr>
            <w:r>
              <w:rPr>
                <w:b/>
                <w:bCs/>
                <w:color w:val="000000"/>
                <w:sz w:val="20"/>
                <w:szCs w:val="20"/>
              </w:rPr>
              <w:t>-</w:t>
            </w:r>
          </w:p>
        </w:tc>
        <w:tc>
          <w:tcPr>
            <w:tcW w:w="34" w:type="pct"/>
            <w:noWrap/>
            <w:tcMar>
              <w:top w:w="5" w:type="dxa"/>
              <w:left w:w="5" w:type="dxa"/>
              <w:bottom w:w="5" w:type="dxa"/>
              <w:right w:w="5" w:type="dxa"/>
            </w:tcMar>
            <w:vAlign w:val="bottom"/>
            <w:hideMark/>
          </w:tcPr>
          <w:p w14:paraId="5BC91249" w14:textId="77777777" w:rsidR="00954279" w:rsidRDefault="00A66714">
            <w:pPr>
              <w:rPr>
                <w:color w:val="000000"/>
                <w:sz w:val="20"/>
                <w:szCs w:val="20"/>
              </w:rPr>
            </w:pPr>
            <w:r>
              <w:rPr>
                <w:color w:val="000000"/>
                <w:sz w:val="20"/>
                <w:szCs w:val="20"/>
              </w:rPr>
              <w:t> </w:t>
            </w:r>
          </w:p>
        </w:tc>
        <w:tc>
          <w:tcPr>
            <w:tcW w:w="30" w:type="pct"/>
            <w:tcMar>
              <w:top w:w="5" w:type="dxa"/>
              <w:left w:w="5" w:type="dxa"/>
              <w:bottom w:w="5" w:type="dxa"/>
              <w:right w:w="5" w:type="dxa"/>
            </w:tcMar>
            <w:vAlign w:val="bottom"/>
            <w:hideMark/>
          </w:tcPr>
          <w:p w14:paraId="4BCF5123" w14:textId="77777777" w:rsidR="00954279" w:rsidRDefault="00A66714">
            <w:pPr>
              <w:rPr>
                <w:color w:val="000000"/>
                <w:sz w:val="20"/>
                <w:szCs w:val="20"/>
              </w:rPr>
            </w:pPr>
            <w:r>
              <w:rPr>
                <w:color w:val="000000"/>
                <w:sz w:val="20"/>
                <w:szCs w:val="20"/>
              </w:rPr>
              <w:t> </w:t>
            </w:r>
          </w:p>
        </w:tc>
        <w:tc>
          <w:tcPr>
            <w:tcW w:w="49" w:type="pct"/>
            <w:tcMar>
              <w:top w:w="5" w:type="dxa"/>
              <w:left w:w="5" w:type="dxa"/>
              <w:bottom w:w="5" w:type="dxa"/>
              <w:right w:w="5" w:type="dxa"/>
            </w:tcMar>
            <w:vAlign w:val="bottom"/>
            <w:hideMark/>
          </w:tcPr>
          <w:p w14:paraId="6B6884A7" w14:textId="77777777" w:rsidR="00954279" w:rsidRDefault="00A66714">
            <w:pPr>
              <w:rPr>
                <w:color w:val="000000"/>
                <w:sz w:val="20"/>
                <w:szCs w:val="20"/>
              </w:rPr>
            </w:pPr>
            <w:r>
              <w:rPr>
                <w:color w:val="000000"/>
                <w:sz w:val="20"/>
                <w:szCs w:val="20"/>
              </w:rPr>
              <w:t> </w:t>
            </w:r>
          </w:p>
        </w:tc>
        <w:tc>
          <w:tcPr>
            <w:tcW w:w="318" w:type="pct"/>
            <w:tcMar>
              <w:top w:w="5" w:type="dxa"/>
              <w:left w:w="5" w:type="dxa"/>
              <w:bottom w:w="5" w:type="dxa"/>
              <w:right w:w="5" w:type="dxa"/>
            </w:tcMar>
            <w:vAlign w:val="bottom"/>
            <w:hideMark/>
          </w:tcPr>
          <w:p w14:paraId="23B5EBD0" w14:textId="77777777" w:rsidR="00954279" w:rsidRDefault="00A66714">
            <w:pPr>
              <w:jc w:val="right"/>
              <w:rPr>
                <w:color w:val="000000"/>
                <w:sz w:val="20"/>
                <w:szCs w:val="20"/>
              </w:rPr>
            </w:pPr>
            <w:r>
              <w:rPr>
                <w:b/>
                <w:bCs/>
                <w:color w:val="000000"/>
                <w:sz w:val="20"/>
                <w:szCs w:val="20"/>
              </w:rPr>
              <w:t>-</w:t>
            </w:r>
          </w:p>
        </w:tc>
        <w:tc>
          <w:tcPr>
            <w:tcW w:w="34" w:type="pct"/>
            <w:noWrap/>
            <w:tcMar>
              <w:top w:w="5" w:type="dxa"/>
              <w:left w:w="5" w:type="dxa"/>
              <w:bottom w:w="5" w:type="dxa"/>
              <w:right w:w="5" w:type="dxa"/>
            </w:tcMar>
            <w:vAlign w:val="bottom"/>
            <w:hideMark/>
          </w:tcPr>
          <w:p w14:paraId="152448D5" w14:textId="77777777" w:rsidR="00954279" w:rsidRDefault="00A66714">
            <w:pPr>
              <w:rPr>
                <w:color w:val="000000"/>
                <w:sz w:val="20"/>
                <w:szCs w:val="20"/>
              </w:rPr>
            </w:pPr>
            <w:r>
              <w:rPr>
                <w:color w:val="000000"/>
                <w:sz w:val="20"/>
                <w:szCs w:val="20"/>
              </w:rPr>
              <w:t> </w:t>
            </w:r>
          </w:p>
        </w:tc>
        <w:tc>
          <w:tcPr>
            <w:tcW w:w="30" w:type="pct"/>
            <w:tcMar>
              <w:top w:w="5" w:type="dxa"/>
              <w:left w:w="5" w:type="dxa"/>
              <w:bottom w:w="5" w:type="dxa"/>
              <w:right w:w="5" w:type="dxa"/>
            </w:tcMar>
            <w:vAlign w:val="bottom"/>
            <w:hideMark/>
          </w:tcPr>
          <w:p w14:paraId="2C0AC4AF" w14:textId="77777777" w:rsidR="00954279" w:rsidRDefault="00A66714">
            <w:pPr>
              <w:rPr>
                <w:color w:val="000000"/>
                <w:sz w:val="20"/>
                <w:szCs w:val="20"/>
              </w:rPr>
            </w:pPr>
            <w:r>
              <w:rPr>
                <w:color w:val="000000"/>
                <w:sz w:val="20"/>
                <w:szCs w:val="20"/>
              </w:rPr>
              <w:t> </w:t>
            </w:r>
          </w:p>
        </w:tc>
        <w:tc>
          <w:tcPr>
            <w:tcW w:w="33" w:type="pct"/>
            <w:tcMar>
              <w:top w:w="5" w:type="dxa"/>
              <w:left w:w="5" w:type="dxa"/>
              <w:bottom w:w="5" w:type="dxa"/>
              <w:right w:w="5" w:type="dxa"/>
            </w:tcMar>
            <w:vAlign w:val="bottom"/>
            <w:hideMark/>
          </w:tcPr>
          <w:p w14:paraId="342834FB" w14:textId="77777777" w:rsidR="00954279" w:rsidRDefault="00A66714">
            <w:pPr>
              <w:rPr>
                <w:color w:val="000000"/>
                <w:sz w:val="20"/>
                <w:szCs w:val="20"/>
              </w:rPr>
            </w:pPr>
            <w:r>
              <w:rPr>
                <w:color w:val="000000"/>
                <w:sz w:val="20"/>
                <w:szCs w:val="20"/>
              </w:rPr>
              <w:t> </w:t>
            </w:r>
          </w:p>
        </w:tc>
        <w:tc>
          <w:tcPr>
            <w:tcW w:w="317" w:type="pct"/>
            <w:tcMar>
              <w:top w:w="5" w:type="dxa"/>
              <w:left w:w="5" w:type="dxa"/>
              <w:bottom w:w="5" w:type="dxa"/>
              <w:right w:w="5" w:type="dxa"/>
            </w:tcMar>
            <w:vAlign w:val="bottom"/>
            <w:hideMark/>
          </w:tcPr>
          <w:p w14:paraId="05855EFF" w14:textId="77777777" w:rsidR="00954279" w:rsidRDefault="00A66714">
            <w:pPr>
              <w:jc w:val="right"/>
              <w:rPr>
                <w:color w:val="000000"/>
                <w:sz w:val="20"/>
                <w:szCs w:val="20"/>
              </w:rPr>
            </w:pPr>
            <w:r>
              <w:rPr>
                <w:b/>
                <w:bCs/>
                <w:color w:val="000000"/>
                <w:sz w:val="20"/>
                <w:szCs w:val="20"/>
              </w:rPr>
              <w:t>-</w:t>
            </w:r>
          </w:p>
        </w:tc>
        <w:tc>
          <w:tcPr>
            <w:tcW w:w="34" w:type="pct"/>
            <w:noWrap/>
            <w:tcMar>
              <w:top w:w="5" w:type="dxa"/>
              <w:left w:w="5" w:type="dxa"/>
              <w:bottom w:w="5" w:type="dxa"/>
              <w:right w:w="5" w:type="dxa"/>
            </w:tcMar>
            <w:vAlign w:val="bottom"/>
            <w:hideMark/>
          </w:tcPr>
          <w:p w14:paraId="689A1FFF" w14:textId="77777777" w:rsidR="00954279" w:rsidRDefault="00A66714">
            <w:pPr>
              <w:rPr>
                <w:color w:val="000000"/>
                <w:sz w:val="20"/>
                <w:szCs w:val="20"/>
              </w:rPr>
            </w:pPr>
            <w:r>
              <w:rPr>
                <w:color w:val="000000"/>
                <w:sz w:val="20"/>
                <w:szCs w:val="20"/>
              </w:rPr>
              <w:t> </w:t>
            </w:r>
          </w:p>
        </w:tc>
        <w:tc>
          <w:tcPr>
            <w:tcW w:w="30" w:type="pct"/>
            <w:tcMar>
              <w:top w:w="5" w:type="dxa"/>
              <w:left w:w="5" w:type="dxa"/>
              <w:bottom w:w="5" w:type="dxa"/>
              <w:right w:w="5" w:type="dxa"/>
            </w:tcMar>
            <w:vAlign w:val="bottom"/>
            <w:hideMark/>
          </w:tcPr>
          <w:p w14:paraId="7BCA5EC9" w14:textId="77777777" w:rsidR="00954279" w:rsidRDefault="00A66714">
            <w:pPr>
              <w:rPr>
                <w:color w:val="000000"/>
                <w:sz w:val="20"/>
                <w:szCs w:val="20"/>
              </w:rPr>
            </w:pPr>
            <w:r>
              <w:rPr>
                <w:color w:val="000000"/>
                <w:sz w:val="20"/>
                <w:szCs w:val="20"/>
              </w:rPr>
              <w:t> </w:t>
            </w:r>
          </w:p>
        </w:tc>
        <w:tc>
          <w:tcPr>
            <w:tcW w:w="49" w:type="pct"/>
            <w:tcMar>
              <w:top w:w="5" w:type="dxa"/>
              <w:left w:w="5" w:type="dxa"/>
              <w:bottom w:w="5" w:type="dxa"/>
              <w:right w:w="5" w:type="dxa"/>
            </w:tcMar>
            <w:vAlign w:val="bottom"/>
            <w:hideMark/>
          </w:tcPr>
          <w:p w14:paraId="1DA34D77" w14:textId="77777777" w:rsidR="00954279" w:rsidRDefault="00A66714">
            <w:pPr>
              <w:rPr>
                <w:color w:val="000000"/>
                <w:sz w:val="20"/>
                <w:szCs w:val="20"/>
              </w:rPr>
            </w:pPr>
            <w:r>
              <w:rPr>
                <w:color w:val="000000"/>
                <w:sz w:val="20"/>
                <w:szCs w:val="20"/>
              </w:rPr>
              <w:t> </w:t>
            </w:r>
          </w:p>
        </w:tc>
        <w:tc>
          <w:tcPr>
            <w:tcW w:w="318" w:type="pct"/>
            <w:tcMar>
              <w:top w:w="5" w:type="dxa"/>
              <w:left w:w="5" w:type="dxa"/>
              <w:bottom w:w="5" w:type="dxa"/>
              <w:right w:w="5" w:type="dxa"/>
            </w:tcMar>
            <w:vAlign w:val="bottom"/>
            <w:hideMark/>
          </w:tcPr>
          <w:p w14:paraId="1CDF9F3B" w14:textId="77777777" w:rsidR="00954279" w:rsidRDefault="00A66714">
            <w:pPr>
              <w:jc w:val="right"/>
              <w:rPr>
                <w:color w:val="000000"/>
                <w:sz w:val="20"/>
                <w:szCs w:val="20"/>
              </w:rPr>
            </w:pPr>
            <w:r>
              <w:rPr>
                <w:b/>
                <w:bCs/>
                <w:color w:val="000000"/>
                <w:sz w:val="20"/>
                <w:szCs w:val="20"/>
              </w:rPr>
              <w:t>-</w:t>
            </w:r>
          </w:p>
        </w:tc>
        <w:tc>
          <w:tcPr>
            <w:tcW w:w="34" w:type="pct"/>
            <w:noWrap/>
            <w:tcMar>
              <w:top w:w="5" w:type="dxa"/>
              <w:left w:w="5" w:type="dxa"/>
              <w:bottom w:w="5" w:type="dxa"/>
              <w:right w:w="5" w:type="dxa"/>
            </w:tcMar>
            <w:vAlign w:val="bottom"/>
            <w:hideMark/>
          </w:tcPr>
          <w:p w14:paraId="49EC5B79" w14:textId="77777777" w:rsidR="00954279" w:rsidRDefault="00A66714">
            <w:pPr>
              <w:rPr>
                <w:color w:val="000000"/>
                <w:sz w:val="20"/>
                <w:szCs w:val="20"/>
              </w:rPr>
            </w:pPr>
            <w:r>
              <w:rPr>
                <w:color w:val="000000"/>
                <w:sz w:val="20"/>
                <w:szCs w:val="20"/>
              </w:rPr>
              <w:t> </w:t>
            </w:r>
          </w:p>
        </w:tc>
        <w:tc>
          <w:tcPr>
            <w:tcW w:w="30" w:type="pct"/>
            <w:tcMar>
              <w:top w:w="5" w:type="dxa"/>
              <w:left w:w="5" w:type="dxa"/>
              <w:bottom w:w="5" w:type="dxa"/>
              <w:right w:w="5" w:type="dxa"/>
            </w:tcMar>
            <w:vAlign w:val="bottom"/>
            <w:hideMark/>
          </w:tcPr>
          <w:p w14:paraId="0B7DFDE9" w14:textId="77777777" w:rsidR="00954279" w:rsidRDefault="00A66714">
            <w:pPr>
              <w:rPr>
                <w:color w:val="000000"/>
                <w:sz w:val="20"/>
                <w:szCs w:val="20"/>
              </w:rPr>
            </w:pPr>
            <w:r>
              <w:rPr>
                <w:color w:val="000000"/>
                <w:sz w:val="20"/>
                <w:szCs w:val="20"/>
              </w:rPr>
              <w:t> </w:t>
            </w:r>
          </w:p>
        </w:tc>
        <w:tc>
          <w:tcPr>
            <w:tcW w:w="75" w:type="pct"/>
            <w:tcMar>
              <w:top w:w="5" w:type="dxa"/>
              <w:left w:w="5" w:type="dxa"/>
              <w:bottom w:w="5" w:type="dxa"/>
              <w:right w:w="5" w:type="dxa"/>
            </w:tcMar>
            <w:vAlign w:val="bottom"/>
            <w:hideMark/>
          </w:tcPr>
          <w:p w14:paraId="7B829C06" w14:textId="77777777" w:rsidR="00954279" w:rsidRDefault="00A66714">
            <w:pPr>
              <w:rPr>
                <w:color w:val="000000"/>
                <w:sz w:val="20"/>
                <w:szCs w:val="20"/>
              </w:rPr>
            </w:pPr>
            <w:r>
              <w:rPr>
                <w:color w:val="000000"/>
                <w:sz w:val="20"/>
                <w:szCs w:val="20"/>
              </w:rPr>
              <w:t> </w:t>
            </w:r>
          </w:p>
        </w:tc>
        <w:tc>
          <w:tcPr>
            <w:tcW w:w="520" w:type="pct"/>
            <w:tcMar>
              <w:top w:w="5" w:type="dxa"/>
              <w:left w:w="5" w:type="dxa"/>
              <w:bottom w:w="5" w:type="dxa"/>
              <w:right w:w="5" w:type="dxa"/>
            </w:tcMar>
            <w:vAlign w:val="bottom"/>
            <w:hideMark/>
          </w:tcPr>
          <w:p w14:paraId="5CA87DDA" w14:textId="77777777" w:rsidR="00954279" w:rsidRDefault="00A66714">
            <w:pPr>
              <w:jc w:val="right"/>
              <w:rPr>
                <w:color w:val="000000"/>
                <w:sz w:val="20"/>
                <w:szCs w:val="20"/>
              </w:rPr>
            </w:pPr>
            <w:r>
              <w:rPr>
                <w:color w:val="000000"/>
                <w:sz w:val="20"/>
                <w:szCs w:val="20"/>
              </w:rPr>
              <w:t>(6</w:t>
            </w:r>
          </w:p>
        </w:tc>
        <w:tc>
          <w:tcPr>
            <w:tcW w:w="34" w:type="pct"/>
            <w:noWrap/>
            <w:tcMar>
              <w:top w:w="5" w:type="dxa"/>
              <w:left w:w="5" w:type="dxa"/>
              <w:bottom w:w="5" w:type="dxa"/>
              <w:right w:w="5" w:type="dxa"/>
            </w:tcMar>
            <w:vAlign w:val="bottom"/>
            <w:hideMark/>
          </w:tcPr>
          <w:p w14:paraId="46F0EEC9" w14:textId="77777777" w:rsidR="00954279" w:rsidRDefault="00A66714">
            <w:pPr>
              <w:rPr>
                <w:color w:val="000000"/>
                <w:sz w:val="20"/>
                <w:szCs w:val="20"/>
              </w:rPr>
            </w:pPr>
            <w:r>
              <w:rPr>
                <w:color w:val="000000"/>
                <w:sz w:val="20"/>
                <w:szCs w:val="20"/>
              </w:rPr>
              <w:t>)</w:t>
            </w:r>
          </w:p>
        </w:tc>
        <w:tc>
          <w:tcPr>
            <w:tcW w:w="31" w:type="pct"/>
            <w:tcMar>
              <w:top w:w="5" w:type="dxa"/>
              <w:left w:w="5" w:type="dxa"/>
              <w:bottom w:w="5" w:type="dxa"/>
              <w:right w:w="5" w:type="dxa"/>
            </w:tcMar>
            <w:vAlign w:val="bottom"/>
            <w:hideMark/>
          </w:tcPr>
          <w:p w14:paraId="24055FA6" w14:textId="77777777" w:rsidR="00954279" w:rsidRDefault="00A66714">
            <w:pPr>
              <w:rPr>
                <w:color w:val="000000"/>
                <w:sz w:val="20"/>
                <w:szCs w:val="20"/>
              </w:rPr>
            </w:pPr>
            <w:r>
              <w:rPr>
                <w:color w:val="000000"/>
                <w:sz w:val="20"/>
                <w:szCs w:val="20"/>
              </w:rPr>
              <w:t> </w:t>
            </w:r>
          </w:p>
        </w:tc>
        <w:tc>
          <w:tcPr>
            <w:tcW w:w="65" w:type="pct"/>
            <w:tcMar>
              <w:top w:w="5" w:type="dxa"/>
              <w:left w:w="5" w:type="dxa"/>
              <w:bottom w:w="5" w:type="dxa"/>
              <w:right w:w="5" w:type="dxa"/>
            </w:tcMar>
            <w:vAlign w:val="bottom"/>
            <w:hideMark/>
          </w:tcPr>
          <w:p w14:paraId="7D3339D8" w14:textId="77777777" w:rsidR="00954279" w:rsidRDefault="00A66714">
            <w:pPr>
              <w:rPr>
                <w:color w:val="000000"/>
                <w:sz w:val="20"/>
                <w:szCs w:val="20"/>
              </w:rPr>
            </w:pPr>
            <w:r>
              <w:rPr>
                <w:color w:val="000000"/>
                <w:sz w:val="20"/>
                <w:szCs w:val="20"/>
              </w:rPr>
              <w:t> </w:t>
            </w:r>
          </w:p>
        </w:tc>
        <w:tc>
          <w:tcPr>
            <w:tcW w:w="455" w:type="pct"/>
            <w:tcMar>
              <w:top w:w="5" w:type="dxa"/>
              <w:left w:w="5" w:type="dxa"/>
              <w:bottom w:w="5" w:type="dxa"/>
              <w:right w:w="5" w:type="dxa"/>
            </w:tcMar>
            <w:vAlign w:val="bottom"/>
            <w:hideMark/>
          </w:tcPr>
          <w:p w14:paraId="313F0BCE" w14:textId="77777777" w:rsidR="00954279" w:rsidRDefault="00A66714">
            <w:pPr>
              <w:jc w:val="right"/>
              <w:rPr>
                <w:color w:val="000000"/>
                <w:sz w:val="20"/>
                <w:szCs w:val="20"/>
              </w:rPr>
            </w:pPr>
            <w:r>
              <w:rPr>
                <w:color w:val="000000"/>
                <w:sz w:val="20"/>
                <w:szCs w:val="20"/>
              </w:rPr>
              <w:t>(6</w:t>
            </w:r>
          </w:p>
        </w:tc>
        <w:tc>
          <w:tcPr>
            <w:tcW w:w="34" w:type="pct"/>
            <w:noWrap/>
            <w:tcMar>
              <w:top w:w="5" w:type="dxa"/>
              <w:left w:w="5" w:type="dxa"/>
              <w:bottom w:w="5" w:type="dxa"/>
              <w:right w:w="5" w:type="dxa"/>
            </w:tcMar>
            <w:vAlign w:val="bottom"/>
            <w:hideMark/>
          </w:tcPr>
          <w:p w14:paraId="5AB4ACE2" w14:textId="77777777" w:rsidR="00954279" w:rsidRDefault="00A66714">
            <w:pPr>
              <w:rPr>
                <w:color w:val="000000"/>
                <w:sz w:val="20"/>
                <w:szCs w:val="20"/>
              </w:rPr>
            </w:pPr>
            <w:r>
              <w:rPr>
                <w:color w:val="000000"/>
                <w:sz w:val="20"/>
                <w:szCs w:val="20"/>
              </w:rPr>
              <w:t>)</w:t>
            </w:r>
          </w:p>
        </w:tc>
      </w:tr>
      <w:tr w:rsidR="00717712" w14:paraId="029A4713" w14:textId="77777777" w:rsidTr="00717712">
        <w:tc>
          <w:tcPr>
            <w:tcW w:w="1163" w:type="pct"/>
            <w:tcMar>
              <w:top w:w="5" w:type="dxa"/>
              <w:left w:w="5" w:type="dxa"/>
              <w:bottom w:w="5" w:type="dxa"/>
              <w:right w:w="5" w:type="dxa"/>
            </w:tcMar>
            <w:vAlign w:val="bottom"/>
            <w:hideMark/>
          </w:tcPr>
          <w:p w14:paraId="5CCAEC73" w14:textId="77777777" w:rsidR="00954279" w:rsidRDefault="00A66714">
            <w:pPr>
              <w:ind w:left="180"/>
              <w:rPr>
                <w:color w:val="000000"/>
                <w:sz w:val="20"/>
                <w:szCs w:val="20"/>
              </w:rPr>
            </w:pPr>
            <w:r>
              <w:rPr>
                <w:color w:val="000000"/>
                <w:sz w:val="20"/>
                <w:szCs w:val="20"/>
              </w:rPr>
              <w:t>Shares withheld for taxes</w:t>
            </w:r>
          </w:p>
        </w:tc>
        <w:tc>
          <w:tcPr>
            <w:tcW w:w="31" w:type="pct"/>
            <w:tcMar>
              <w:top w:w="5" w:type="dxa"/>
              <w:left w:w="5" w:type="dxa"/>
              <w:bottom w:w="5" w:type="dxa"/>
              <w:right w:w="5" w:type="dxa"/>
            </w:tcMar>
            <w:vAlign w:val="bottom"/>
            <w:hideMark/>
          </w:tcPr>
          <w:p w14:paraId="6FDDDCC7" w14:textId="77777777" w:rsidR="00954279" w:rsidRDefault="00A66714">
            <w:pPr>
              <w:rPr>
                <w:color w:val="000000"/>
                <w:sz w:val="20"/>
                <w:szCs w:val="20"/>
              </w:rPr>
            </w:pPr>
            <w:r>
              <w:rPr>
                <w:color w:val="000000"/>
                <w:sz w:val="20"/>
                <w:szCs w:val="20"/>
              </w:rPr>
              <w:t> </w:t>
            </w:r>
          </w:p>
        </w:tc>
        <w:tc>
          <w:tcPr>
            <w:tcW w:w="32" w:type="pct"/>
            <w:tcMar>
              <w:top w:w="5" w:type="dxa"/>
              <w:left w:w="5" w:type="dxa"/>
              <w:bottom w:w="5" w:type="dxa"/>
              <w:right w:w="5" w:type="dxa"/>
            </w:tcMar>
            <w:vAlign w:val="bottom"/>
            <w:hideMark/>
          </w:tcPr>
          <w:p w14:paraId="2D6BB8CD" w14:textId="77777777" w:rsidR="00954279" w:rsidRDefault="00A66714">
            <w:pPr>
              <w:rPr>
                <w:color w:val="000000"/>
                <w:sz w:val="20"/>
                <w:szCs w:val="20"/>
              </w:rPr>
            </w:pPr>
            <w:r>
              <w:rPr>
                <w:color w:val="000000"/>
                <w:sz w:val="20"/>
                <w:szCs w:val="20"/>
              </w:rPr>
              <w:t> </w:t>
            </w:r>
          </w:p>
        </w:tc>
        <w:tc>
          <w:tcPr>
            <w:tcW w:w="317" w:type="pct"/>
            <w:tcMar>
              <w:top w:w="5" w:type="dxa"/>
              <w:left w:w="5" w:type="dxa"/>
              <w:bottom w:w="5" w:type="dxa"/>
              <w:right w:w="5" w:type="dxa"/>
            </w:tcMar>
            <w:vAlign w:val="bottom"/>
            <w:hideMark/>
          </w:tcPr>
          <w:p w14:paraId="189D69B7" w14:textId="77777777" w:rsidR="00954279" w:rsidRDefault="00A66714">
            <w:pPr>
              <w:jc w:val="right"/>
              <w:rPr>
                <w:color w:val="000000"/>
                <w:sz w:val="20"/>
                <w:szCs w:val="20"/>
              </w:rPr>
            </w:pPr>
            <w:r>
              <w:rPr>
                <w:color w:val="000000"/>
                <w:sz w:val="20"/>
                <w:szCs w:val="20"/>
              </w:rPr>
              <w:t>-</w:t>
            </w:r>
          </w:p>
        </w:tc>
        <w:tc>
          <w:tcPr>
            <w:tcW w:w="31" w:type="pct"/>
            <w:noWrap/>
            <w:tcMar>
              <w:top w:w="5" w:type="dxa"/>
              <w:left w:w="5" w:type="dxa"/>
              <w:bottom w:w="5" w:type="dxa"/>
              <w:right w:w="5" w:type="dxa"/>
            </w:tcMar>
            <w:vAlign w:val="bottom"/>
            <w:hideMark/>
          </w:tcPr>
          <w:p w14:paraId="69ED51C4" w14:textId="77777777" w:rsidR="00954279" w:rsidRDefault="00A66714">
            <w:pPr>
              <w:rPr>
                <w:color w:val="000000"/>
                <w:sz w:val="20"/>
                <w:szCs w:val="20"/>
              </w:rPr>
            </w:pPr>
            <w:r>
              <w:rPr>
                <w:color w:val="000000"/>
                <w:sz w:val="20"/>
                <w:szCs w:val="20"/>
              </w:rPr>
              <w:t> </w:t>
            </w:r>
          </w:p>
        </w:tc>
        <w:tc>
          <w:tcPr>
            <w:tcW w:w="31" w:type="pct"/>
            <w:tcMar>
              <w:top w:w="5" w:type="dxa"/>
              <w:left w:w="5" w:type="dxa"/>
              <w:bottom w:w="5" w:type="dxa"/>
              <w:right w:w="5" w:type="dxa"/>
            </w:tcMar>
            <w:vAlign w:val="bottom"/>
            <w:hideMark/>
          </w:tcPr>
          <w:p w14:paraId="5066C68F" w14:textId="77777777" w:rsidR="00954279" w:rsidRDefault="00A66714">
            <w:pPr>
              <w:rPr>
                <w:color w:val="000000"/>
                <w:sz w:val="20"/>
                <w:szCs w:val="20"/>
              </w:rPr>
            </w:pPr>
            <w:r>
              <w:rPr>
                <w:color w:val="000000"/>
                <w:sz w:val="20"/>
                <w:szCs w:val="20"/>
              </w:rPr>
              <w:t> </w:t>
            </w:r>
          </w:p>
        </w:tc>
        <w:tc>
          <w:tcPr>
            <w:tcW w:w="49" w:type="pct"/>
            <w:tcMar>
              <w:top w:w="5" w:type="dxa"/>
              <w:left w:w="5" w:type="dxa"/>
              <w:bottom w:w="5" w:type="dxa"/>
              <w:right w:w="5" w:type="dxa"/>
            </w:tcMar>
            <w:vAlign w:val="bottom"/>
            <w:hideMark/>
          </w:tcPr>
          <w:p w14:paraId="11DC4D8B" w14:textId="77777777" w:rsidR="00954279" w:rsidRDefault="00A66714">
            <w:pPr>
              <w:rPr>
                <w:color w:val="000000"/>
                <w:sz w:val="20"/>
                <w:szCs w:val="20"/>
              </w:rPr>
            </w:pPr>
            <w:r>
              <w:rPr>
                <w:color w:val="000000"/>
                <w:sz w:val="20"/>
                <w:szCs w:val="20"/>
              </w:rPr>
              <w:t> </w:t>
            </w:r>
          </w:p>
        </w:tc>
        <w:tc>
          <w:tcPr>
            <w:tcW w:w="318" w:type="pct"/>
            <w:tcMar>
              <w:top w:w="5" w:type="dxa"/>
              <w:left w:w="5" w:type="dxa"/>
              <w:bottom w:w="5" w:type="dxa"/>
              <w:right w:w="5" w:type="dxa"/>
            </w:tcMar>
            <w:vAlign w:val="bottom"/>
            <w:hideMark/>
          </w:tcPr>
          <w:p w14:paraId="4B978F0F" w14:textId="77777777" w:rsidR="00954279" w:rsidRDefault="00A66714">
            <w:pPr>
              <w:jc w:val="right"/>
              <w:rPr>
                <w:color w:val="000000"/>
                <w:sz w:val="20"/>
                <w:szCs w:val="20"/>
              </w:rPr>
            </w:pPr>
            <w:r>
              <w:rPr>
                <w:color w:val="000000"/>
                <w:sz w:val="20"/>
                <w:szCs w:val="20"/>
              </w:rPr>
              <w:t>-</w:t>
            </w:r>
          </w:p>
        </w:tc>
        <w:tc>
          <w:tcPr>
            <w:tcW w:w="32" w:type="pct"/>
            <w:noWrap/>
            <w:tcMar>
              <w:top w:w="5" w:type="dxa"/>
              <w:left w:w="5" w:type="dxa"/>
              <w:bottom w:w="5" w:type="dxa"/>
              <w:right w:w="5" w:type="dxa"/>
            </w:tcMar>
            <w:vAlign w:val="bottom"/>
            <w:hideMark/>
          </w:tcPr>
          <w:p w14:paraId="105809D2" w14:textId="77777777" w:rsidR="00954279" w:rsidRDefault="00A66714">
            <w:pPr>
              <w:rPr>
                <w:color w:val="000000"/>
                <w:sz w:val="20"/>
                <w:szCs w:val="20"/>
              </w:rPr>
            </w:pPr>
            <w:r>
              <w:rPr>
                <w:color w:val="000000"/>
                <w:sz w:val="20"/>
                <w:szCs w:val="20"/>
              </w:rPr>
              <w:t> </w:t>
            </w:r>
          </w:p>
        </w:tc>
        <w:tc>
          <w:tcPr>
            <w:tcW w:w="32" w:type="pct"/>
            <w:tcMar>
              <w:top w:w="5" w:type="dxa"/>
              <w:left w:w="5" w:type="dxa"/>
              <w:bottom w:w="5" w:type="dxa"/>
              <w:right w:w="5" w:type="dxa"/>
            </w:tcMar>
            <w:vAlign w:val="bottom"/>
            <w:hideMark/>
          </w:tcPr>
          <w:p w14:paraId="1C7D68D3" w14:textId="77777777" w:rsidR="00954279" w:rsidRDefault="00A66714">
            <w:pPr>
              <w:rPr>
                <w:color w:val="000000"/>
                <w:sz w:val="20"/>
                <w:szCs w:val="20"/>
              </w:rPr>
            </w:pPr>
            <w:r>
              <w:rPr>
                <w:color w:val="000000"/>
                <w:sz w:val="20"/>
                <w:szCs w:val="20"/>
              </w:rPr>
              <w:t> </w:t>
            </w:r>
          </w:p>
        </w:tc>
        <w:tc>
          <w:tcPr>
            <w:tcW w:w="52" w:type="pct"/>
            <w:tcMar>
              <w:top w:w="5" w:type="dxa"/>
              <w:left w:w="5" w:type="dxa"/>
              <w:bottom w:w="5" w:type="dxa"/>
              <w:right w:w="5" w:type="dxa"/>
            </w:tcMar>
            <w:vAlign w:val="bottom"/>
            <w:hideMark/>
          </w:tcPr>
          <w:p w14:paraId="122B2E96" w14:textId="77777777" w:rsidR="00954279" w:rsidRDefault="00A66714">
            <w:pPr>
              <w:rPr>
                <w:color w:val="000000"/>
                <w:sz w:val="20"/>
                <w:szCs w:val="20"/>
              </w:rPr>
            </w:pPr>
            <w:r>
              <w:rPr>
                <w:color w:val="000000"/>
                <w:sz w:val="20"/>
                <w:szCs w:val="20"/>
              </w:rPr>
              <w:t> </w:t>
            </w:r>
          </w:p>
        </w:tc>
        <w:tc>
          <w:tcPr>
            <w:tcW w:w="356" w:type="pct"/>
            <w:tcMar>
              <w:top w:w="5" w:type="dxa"/>
              <w:left w:w="5" w:type="dxa"/>
              <w:bottom w:w="5" w:type="dxa"/>
              <w:right w:w="5" w:type="dxa"/>
            </w:tcMar>
            <w:vAlign w:val="bottom"/>
            <w:hideMark/>
          </w:tcPr>
          <w:p w14:paraId="1DA6F25B" w14:textId="77777777" w:rsidR="00954279" w:rsidRDefault="00A66714">
            <w:pPr>
              <w:jc w:val="right"/>
              <w:rPr>
                <w:color w:val="000000"/>
                <w:sz w:val="20"/>
                <w:szCs w:val="20"/>
              </w:rPr>
            </w:pPr>
            <w:r>
              <w:rPr>
                <w:color w:val="000000"/>
                <w:sz w:val="20"/>
                <w:szCs w:val="20"/>
              </w:rPr>
              <w:t>(3</w:t>
            </w:r>
          </w:p>
        </w:tc>
        <w:tc>
          <w:tcPr>
            <w:tcW w:w="34" w:type="pct"/>
            <w:noWrap/>
            <w:tcMar>
              <w:top w:w="5" w:type="dxa"/>
              <w:left w:w="5" w:type="dxa"/>
              <w:bottom w:w="5" w:type="dxa"/>
              <w:right w:w="5" w:type="dxa"/>
            </w:tcMar>
            <w:vAlign w:val="bottom"/>
            <w:hideMark/>
          </w:tcPr>
          <w:p w14:paraId="28AC59F0" w14:textId="77777777" w:rsidR="00954279" w:rsidRDefault="00A66714">
            <w:pPr>
              <w:rPr>
                <w:color w:val="000000"/>
                <w:sz w:val="20"/>
                <w:szCs w:val="20"/>
              </w:rPr>
            </w:pPr>
            <w:r>
              <w:rPr>
                <w:color w:val="000000"/>
                <w:sz w:val="20"/>
                <w:szCs w:val="20"/>
              </w:rPr>
              <w:t>)</w:t>
            </w:r>
          </w:p>
        </w:tc>
        <w:tc>
          <w:tcPr>
            <w:tcW w:w="30" w:type="pct"/>
            <w:tcMar>
              <w:top w:w="5" w:type="dxa"/>
              <w:left w:w="5" w:type="dxa"/>
              <w:bottom w:w="5" w:type="dxa"/>
              <w:right w:w="5" w:type="dxa"/>
            </w:tcMar>
            <w:vAlign w:val="bottom"/>
            <w:hideMark/>
          </w:tcPr>
          <w:p w14:paraId="77030D99" w14:textId="77777777" w:rsidR="00954279" w:rsidRDefault="00A66714">
            <w:pPr>
              <w:rPr>
                <w:color w:val="000000"/>
                <w:sz w:val="20"/>
                <w:szCs w:val="20"/>
              </w:rPr>
            </w:pPr>
            <w:r>
              <w:rPr>
                <w:color w:val="000000"/>
                <w:sz w:val="20"/>
                <w:szCs w:val="20"/>
              </w:rPr>
              <w:t> </w:t>
            </w:r>
          </w:p>
        </w:tc>
        <w:tc>
          <w:tcPr>
            <w:tcW w:w="49" w:type="pct"/>
            <w:tcMar>
              <w:top w:w="5" w:type="dxa"/>
              <w:left w:w="5" w:type="dxa"/>
              <w:bottom w:w="5" w:type="dxa"/>
              <w:right w:w="5" w:type="dxa"/>
            </w:tcMar>
            <w:vAlign w:val="bottom"/>
            <w:hideMark/>
          </w:tcPr>
          <w:p w14:paraId="4B2D9660" w14:textId="77777777" w:rsidR="00954279" w:rsidRDefault="00A66714">
            <w:pPr>
              <w:rPr>
                <w:color w:val="000000"/>
                <w:sz w:val="20"/>
                <w:szCs w:val="20"/>
              </w:rPr>
            </w:pPr>
            <w:r>
              <w:rPr>
                <w:color w:val="000000"/>
                <w:sz w:val="20"/>
                <w:szCs w:val="20"/>
              </w:rPr>
              <w:t> </w:t>
            </w:r>
          </w:p>
        </w:tc>
        <w:tc>
          <w:tcPr>
            <w:tcW w:w="318" w:type="pct"/>
            <w:tcMar>
              <w:top w:w="5" w:type="dxa"/>
              <w:left w:w="5" w:type="dxa"/>
              <w:bottom w:w="5" w:type="dxa"/>
              <w:right w:w="5" w:type="dxa"/>
            </w:tcMar>
            <w:vAlign w:val="bottom"/>
            <w:hideMark/>
          </w:tcPr>
          <w:p w14:paraId="2EEEBB04" w14:textId="77777777" w:rsidR="00954279" w:rsidRDefault="00A66714">
            <w:pPr>
              <w:jc w:val="right"/>
              <w:rPr>
                <w:color w:val="000000"/>
                <w:sz w:val="20"/>
                <w:szCs w:val="20"/>
              </w:rPr>
            </w:pPr>
            <w:r>
              <w:rPr>
                <w:color w:val="000000"/>
                <w:sz w:val="20"/>
                <w:szCs w:val="20"/>
              </w:rPr>
              <w:t>-</w:t>
            </w:r>
          </w:p>
        </w:tc>
        <w:tc>
          <w:tcPr>
            <w:tcW w:w="34" w:type="pct"/>
            <w:noWrap/>
            <w:tcMar>
              <w:top w:w="5" w:type="dxa"/>
              <w:left w:w="5" w:type="dxa"/>
              <w:bottom w:w="5" w:type="dxa"/>
              <w:right w:w="5" w:type="dxa"/>
            </w:tcMar>
            <w:vAlign w:val="bottom"/>
            <w:hideMark/>
          </w:tcPr>
          <w:p w14:paraId="17894FA3" w14:textId="77777777" w:rsidR="00954279" w:rsidRDefault="00A66714">
            <w:pPr>
              <w:rPr>
                <w:color w:val="000000"/>
                <w:sz w:val="20"/>
                <w:szCs w:val="20"/>
              </w:rPr>
            </w:pPr>
            <w:r>
              <w:rPr>
                <w:color w:val="000000"/>
                <w:sz w:val="20"/>
                <w:szCs w:val="20"/>
              </w:rPr>
              <w:t> </w:t>
            </w:r>
          </w:p>
        </w:tc>
        <w:tc>
          <w:tcPr>
            <w:tcW w:w="30" w:type="pct"/>
            <w:tcMar>
              <w:top w:w="5" w:type="dxa"/>
              <w:left w:w="5" w:type="dxa"/>
              <w:bottom w:w="5" w:type="dxa"/>
              <w:right w:w="5" w:type="dxa"/>
            </w:tcMar>
            <w:vAlign w:val="bottom"/>
            <w:hideMark/>
          </w:tcPr>
          <w:p w14:paraId="09C0E920" w14:textId="77777777" w:rsidR="00954279" w:rsidRDefault="00A66714">
            <w:pPr>
              <w:rPr>
                <w:color w:val="000000"/>
                <w:sz w:val="20"/>
                <w:szCs w:val="20"/>
              </w:rPr>
            </w:pPr>
            <w:r>
              <w:rPr>
                <w:color w:val="000000"/>
                <w:sz w:val="20"/>
                <w:szCs w:val="20"/>
              </w:rPr>
              <w:t> </w:t>
            </w:r>
          </w:p>
        </w:tc>
        <w:tc>
          <w:tcPr>
            <w:tcW w:w="33" w:type="pct"/>
            <w:tcMar>
              <w:top w:w="5" w:type="dxa"/>
              <w:left w:w="5" w:type="dxa"/>
              <w:bottom w:w="5" w:type="dxa"/>
              <w:right w:w="5" w:type="dxa"/>
            </w:tcMar>
            <w:vAlign w:val="bottom"/>
            <w:hideMark/>
          </w:tcPr>
          <w:p w14:paraId="48BC19FC" w14:textId="77777777" w:rsidR="00954279" w:rsidRDefault="00A66714">
            <w:pPr>
              <w:rPr>
                <w:color w:val="000000"/>
                <w:sz w:val="20"/>
                <w:szCs w:val="20"/>
              </w:rPr>
            </w:pPr>
            <w:r>
              <w:rPr>
                <w:color w:val="000000"/>
                <w:sz w:val="20"/>
                <w:szCs w:val="20"/>
              </w:rPr>
              <w:t> </w:t>
            </w:r>
          </w:p>
        </w:tc>
        <w:tc>
          <w:tcPr>
            <w:tcW w:w="317" w:type="pct"/>
            <w:tcMar>
              <w:top w:w="5" w:type="dxa"/>
              <w:left w:w="5" w:type="dxa"/>
              <w:bottom w:w="5" w:type="dxa"/>
              <w:right w:w="5" w:type="dxa"/>
            </w:tcMar>
            <w:vAlign w:val="bottom"/>
            <w:hideMark/>
          </w:tcPr>
          <w:p w14:paraId="733DBC93" w14:textId="77777777" w:rsidR="00954279" w:rsidRDefault="00A66714">
            <w:pPr>
              <w:jc w:val="right"/>
              <w:rPr>
                <w:color w:val="000000"/>
                <w:sz w:val="20"/>
                <w:szCs w:val="20"/>
              </w:rPr>
            </w:pPr>
            <w:r>
              <w:rPr>
                <w:color w:val="000000"/>
                <w:sz w:val="20"/>
                <w:szCs w:val="20"/>
              </w:rPr>
              <w:t>-</w:t>
            </w:r>
          </w:p>
        </w:tc>
        <w:tc>
          <w:tcPr>
            <w:tcW w:w="34" w:type="pct"/>
            <w:noWrap/>
            <w:tcMar>
              <w:top w:w="5" w:type="dxa"/>
              <w:left w:w="5" w:type="dxa"/>
              <w:bottom w:w="5" w:type="dxa"/>
              <w:right w:w="5" w:type="dxa"/>
            </w:tcMar>
            <w:vAlign w:val="bottom"/>
            <w:hideMark/>
          </w:tcPr>
          <w:p w14:paraId="2278400D" w14:textId="77777777" w:rsidR="00954279" w:rsidRDefault="00A66714">
            <w:pPr>
              <w:rPr>
                <w:color w:val="000000"/>
                <w:sz w:val="20"/>
                <w:szCs w:val="20"/>
              </w:rPr>
            </w:pPr>
            <w:r>
              <w:rPr>
                <w:color w:val="000000"/>
                <w:sz w:val="20"/>
                <w:szCs w:val="20"/>
              </w:rPr>
              <w:t> </w:t>
            </w:r>
          </w:p>
        </w:tc>
        <w:tc>
          <w:tcPr>
            <w:tcW w:w="30" w:type="pct"/>
            <w:tcMar>
              <w:top w:w="5" w:type="dxa"/>
              <w:left w:w="5" w:type="dxa"/>
              <w:bottom w:w="5" w:type="dxa"/>
              <w:right w:w="5" w:type="dxa"/>
            </w:tcMar>
            <w:vAlign w:val="bottom"/>
            <w:hideMark/>
          </w:tcPr>
          <w:p w14:paraId="7A3DF4E2" w14:textId="77777777" w:rsidR="00954279" w:rsidRDefault="00A66714">
            <w:pPr>
              <w:rPr>
                <w:color w:val="000000"/>
                <w:sz w:val="20"/>
                <w:szCs w:val="20"/>
              </w:rPr>
            </w:pPr>
            <w:r>
              <w:rPr>
                <w:color w:val="000000"/>
                <w:sz w:val="20"/>
                <w:szCs w:val="20"/>
              </w:rPr>
              <w:t> </w:t>
            </w:r>
          </w:p>
        </w:tc>
        <w:tc>
          <w:tcPr>
            <w:tcW w:w="49" w:type="pct"/>
            <w:tcMar>
              <w:top w:w="5" w:type="dxa"/>
              <w:left w:w="5" w:type="dxa"/>
              <w:bottom w:w="5" w:type="dxa"/>
              <w:right w:w="5" w:type="dxa"/>
            </w:tcMar>
            <w:vAlign w:val="bottom"/>
            <w:hideMark/>
          </w:tcPr>
          <w:p w14:paraId="35E86ADA" w14:textId="77777777" w:rsidR="00954279" w:rsidRDefault="00A66714">
            <w:pPr>
              <w:rPr>
                <w:color w:val="000000"/>
                <w:sz w:val="20"/>
                <w:szCs w:val="20"/>
              </w:rPr>
            </w:pPr>
            <w:r>
              <w:rPr>
                <w:color w:val="000000"/>
                <w:sz w:val="20"/>
                <w:szCs w:val="20"/>
              </w:rPr>
              <w:t> </w:t>
            </w:r>
          </w:p>
        </w:tc>
        <w:tc>
          <w:tcPr>
            <w:tcW w:w="318" w:type="pct"/>
            <w:tcMar>
              <w:top w:w="5" w:type="dxa"/>
              <w:left w:w="5" w:type="dxa"/>
              <w:bottom w:w="5" w:type="dxa"/>
              <w:right w:w="5" w:type="dxa"/>
            </w:tcMar>
            <w:vAlign w:val="bottom"/>
            <w:hideMark/>
          </w:tcPr>
          <w:p w14:paraId="305804A3" w14:textId="77777777" w:rsidR="00954279" w:rsidRDefault="00A66714">
            <w:pPr>
              <w:jc w:val="right"/>
              <w:rPr>
                <w:color w:val="000000"/>
                <w:sz w:val="20"/>
                <w:szCs w:val="20"/>
              </w:rPr>
            </w:pPr>
            <w:r>
              <w:rPr>
                <w:color w:val="000000"/>
                <w:sz w:val="20"/>
                <w:szCs w:val="20"/>
              </w:rPr>
              <w:t>-</w:t>
            </w:r>
          </w:p>
        </w:tc>
        <w:tc>
          <w:tcPr>
            <w:tcW w:w="34" w:type="pct"/>
            <w:noWrap/>
            <w:tcMar>
              <w:top w:w="5" w:type="dxa"/>
              <w:left w:w="5" w:type="dxa"/>
              <w:bottom w:w="5" w:type="dxa"/>
              <w:right w:w="5" w:type="dxa"/>
            </w:tcMar>
            <w:vAlign w:val="bottom"/>
            <w:hideMark/>
          </w:tcPr>
          <w:p w14:paraId="3BB6BA15" w14:textId="77777777" w:rsidR="00954279" w:rsidRDefault="00A66714">
            <w:pPr>
              <w:rPr>
                <w:color w:val="000000"/>
                <w:sz w:val="20"/>
                <w:szCs w:val="20"/>
              </w:rPr>
            </w:pPr>
            <w:r>
              <w:rPr>
                <w:color w:val="000000"/>
                <w:sz w:val="20"/>
                <w:szCs w:val="20"/>
              </w:rPr>
              <w:t> </w:t>
            </w:r>
          </w:p>
        </w:tc>
        <w:tc>
          <w:tcPr>
            <w:tcW w:w="30" w:type="pct"/>
            <w:tcMar>
              <w:top w:w="5" w:type="dxa"/>
              <w:left w:w="5" w:type="dxa"/>
              <w:bottom w:w="5" w:type="dxa"/>
              <w:right w:w="5" w:type="dxa"/>
            </w:tcMar>
            <w:vAlign w:val="bottom"/>
            <w:hideMark/>
          </w:tcPr>
          <w:p w14:paraId="6C0D7B70" w14:textId="77777777" w:rsidR="00954279" w:rsidRDefault="00A66714">
            <w:pPr>
              <w:rPr>
                <w:color w:val="000000"/>
                <w:sz w:val="20"/>
                <w:szCs w:val="20"/>
              </w:rPr>
            </w:pPr>
            <w:r>
              <w:rPr>
                <w:color w:val="000000"/>
                <w:sz w:val="20"/>
                <w:szCs w:val="20"/>
              </w:rPr>
              <w:t> </w:t>
            </w:r>
          </w:p>
        </w:tc>
        <w:tc>
          <w:tcPr>
            <w:tcW w:w="75" w:type="pct"/>
            <w:tcMar>
              <w:top w:w="5" w:type="dxa"/>
              <w:left w:w="5" w:type="dxa"/>
              <w:bottom w:w="5" w:type="dxa"/>
              <w:right w:w="5" w:type="dxa"/>
            </w:tcMar>
            <w:vAlign w:val="bottom"/>
            <w:hideMark/>
          </w:tcPr>
          <w:p w14:paraId="5C456049" w14:textId="77777777" w:rsidR="00954279" w:rsidRDefault="00A66714">
            <w:pPr>
              <w:rPr>
                <w:color w:val="000000"/>
                <w:sz w:val="20"/>
                <w:szCs w:val="20"/>
              </w:rPr>
            </w:pPr>
            <w:r>
              <w:rPr>
                <w:color w:val="000000"/>
                <w:sz w:val="20"/>
                <w:szCs w:val="20"/>
              </w:rPr>
              <w:t> </w:t>
            </w:r>
          </w:p>
        </w:tc>
        <w:tc>
          <w:tcPr>
            <w:tcW w:w="520" w:type="pct"/>
            <w:tcMar>
              <w:top w:w="5" w:type="dxa"/>
              <w:left w:w="5" w:type="dxa"/>
              <w:bottom w:w="5" w:type="dxa"/>
              <w:right w:w="5" w:type="dxa"/>
            </w:tcMar>
            <w:vAlign w:val="bottom"/>
            <w:hideMark/>
          </w:tcPr>
          <w:p w14:paraId="6C8BC03C" w14:textId="77777777" w:rsidR="00954279" w:rsidRDefault="00A66714">
            <w:pPr>
              <w:jc w:val="right"/>
              <w:rPr>
                <w:color w:val="000000"/>
                <w:sz w:val="20"/>
                <w:szCs w:val="20"/>
              </w:rPr>
            </w:pPr>
            <w:r>
              <w:rPr>
                <w:color w:val="000000"/>
                <w:sz w:val="20"/>
                <w:szCs w:val="20"/>
              </w:rPr>
              <w:t>-</w:t>
            </w:r>
          </w:p>
        </w:tc>
        <w:tc>
          <w:tcPr>
            <w:tcW w:w="34" w:type="pct"/>
            <w:noWrap/>
            <w:tcMar>
              <w:top w:w="5" w:type="dxa"/>
              <w:left w:w="5" w:type="dxa"/>
              <w:bottom w:w="5" w:type="dxa"/>
              <w:right w:w="5" w:type="dxa"/>
            </w:tcMar>
            <w:vAlign w:val="bottom"/>
            <w:hideMark/>
          </w:tcPr>
          <w:p w14:paraId="485AB755" w14:textId="77777777" w:rsidR="00954279" w:rsidRDefault="00A66714">
            <w:pPr>
              <w:rPr>
                <w:color w:val="000000"/>
                <w:sz w:val="20"/>
                <w:szCs w:val="20"/>
              </w:rPr>
            </w:pPr>
            <w:r>
              <w:rPr>
                <w:color w:val="000000"/>
                <w:sz w:val="20"/>
                <w:szCs w:val="20"/>
              </w:rPr>
              <w:t> </w:t>
            </w:r>
          </w:p>
        </w:tc>
        <w:tc>
          <w:tcPr>
            <w:tcW w:w="31" w:type="pct"/>
            <w:tcMar>
              <w:top w:w="5" w:type="dxa"/>
              <w:left w:w="5" w:type="dxa"/>
              <w:bottom w:w="5" w:type="dxa"/>
              <w:right w:w="5" w:type="dxa"/>
            </w:tcMar>
            <w:vAlign w:val="bottom"/>
            <w:hideMark/>
          </w:tcPr>
          <w:p w14:paraId="5B380355" w14:textId="77777777" w:rsidR="00954279" w:rsidRDefault="00A66714">
            <w:pPr>
              <w:rPr>
                <w:color w:val="000000"/>
                <w:sz w:val="20"/>
                <w:szCs w:val="20"/>
              </w:rPr>
            </w:pPr>
            <w:r>
              <w:rPr>
                <w:color w:val="000000"/>
                <w:sz w:val="20"/>
                <w:szCs w:val="20"/>
              </w:rPr>
              <w:t> </w:t>
            </w:r>
          </w:p>
        </w:tc>
        <w:tc>
          <w:tcPr>
            <w:tcW w:w="65" w:type="pct"/>
            <w:tcMar>
              <w:top w:w="5" w:type="dxa"/>
              <w:left w:w="5" w:type="dxa"/>
              <w:bottom w:w="5" w:type="dxa"/>
              <w:right w:w="5" w:type="dxa"/>
            </w:tcMar>
            <w:vAlign w:val="bottom"/>
            <w:hideMark/>
          </w:tcPr>
          <w:p w14:paraId="0EE4AA59" w14:textId="77777777" w:rsidR="00954279" w:rsidRDefault="00A66714">
            <w:pPr>
              <w:rPr>
                <w:color w:val="000000"/>
                <w:sz w:val="20"/>
                <w:szCs w:val="20"/>
              </w:rPr>
            </w:pPr>
            <w:r>
              <w:rPr>
                <w:color w:val="000000"/>
                <w:sz w:val="20"/>
                <w:szCs w:val="20"/>
              </w:rPr>
              <w:t> </w:t>
            </w:r>
          </w:p>
        </w:tc>
        <w:tc>
          <w:tcPr>
            <w:tcW w:w="455" w:type="pct"/>
            <w:tcMar>
              <w:top w:w="5" w:type="dxa"/>
              <w:left w:w="5" w:type="dxa"/>
              <w:bottom w:w="5" w:type="dxa"/>
              <w:right w:w="5" w:type="dxa"/>
            </w:tcMar>
            <w:vAlign w:val="bottom"/>
            <w:hideMark/>
          </w:tcPr>
          <w:p w14:paraId="7567E355" w14:textId="77777777" w:rsidR="00954279" w:rsidRDefault="00A66714">
            <w:pPr>
              <w:jc w:val="right"/>
              <w:rPr>
                <w:color w:val="000000"/>
                <w:sz w:val="20"/>
                <w:szCs w:val="20"/>
              </w:rPr>
            </w:pPr>
            <w:r>
              <w:rPr>
                <w:color w:val="000000"/>
                <w:sz w:val="20"/>
                <w:szCs w:val="20"/>
              </w:rPr>
              <w:t>(3</w:t>
            </w:r>
          </w:p>
        </w:tc>
        <w:tc>
          <w:tcPr>
            <w:tcW w:w="34" w:type="pct"/>
            <w:noWrap/>
            <w:tcMar>
              <w:top w:w="5" w:type="dxa"/>
              <w:left w:w="5" w:type="dxa"/>
              <w:bottom w:w="5" w:type="dxa"/>
              <w:right w:w="5" w:type="dxa"/>
            </w:tcMar>
            <w:vAlign w:val="bottom"/>
            <w:hideMark/>
          </w:tcPr>
          <w:p w14:paraId="2D892D44" w14:textId="77777777" w:rsidR="00954279" w:rsidRDefault="00A66714">
            <w:pPr>
              <w:rPr>
                <w:color w:val="000000"/>
                <w:sz w:val="20"/>
                <w:szCs w:val="20"/>
              </w:rPr>
            </w:pPr>
            <w:r>
              <w:rPr>
                <w:color w:val="000000"/>
                <w:sz w:val="20"/>
                <w:szCs w:val="20"/>
              </w:rPr>
              <w:t>)</w:t>
            </w:r>
          </w:p>
        </w:tc>
      </w:tr>
      <w:tr w:rsidR="00717712" w14:paraId="3CB6E013" w14:textId="77777777" w:rsidTr="00717712">
        <w:tc>
          <w:tcPr>
            <w:tcW w:w="1163" w:type="pct"/>
            <w:tcMar>
              <w:top w:w="5" w:type="dxa"/>
              <w:left w:w="5" w:type="dxa"/>
              <w:bottom w:w="5" w:type="dxa"/>
              <w:right w:w="5" w:type="dxa"/>
            </w:tcMar>
            <w:vAlign w:val="bottom"/>
            <w:hideMark/>
          </w:tcPr>
          <w:p w14:paraId="73A54E4F" w14:textId="77777777" w:rsidR="00954279" w:rsidRDefault="00A66714">
            <w:pPr>
              <w:ind w:left="180"/>
              <w:rPr>
                <w:color w:val="000000"/>
                <w:sz w:val="20"/>
                <w:szCs w:val="20"/>
              </w:rPr>
            </w:pPr>
            <w:r>
              <w:rPr>
                <w:color w:val="000000"/>
                <w:sz w:val="20"/>
                <w:szCs w:val="20"/>
              </w:rPr>
              <w:t>Equity-based compensation expense</w:t>
            </w:r>
          </w:p>
        </w:tc>
        <w:tc>
          <w:tcPr>
            <w:tcW w:w="31" w:type="pct"/>
            <w:tcMar>
              <w:top w:w="5" w:type="dxa"/>
              <w:left w:w="5" w:type="dxa"/>
              <w:bottom w:w="5" w:type="dxa"/>
              <w:right w:w="5" w:type="dxa"/>
            </w:tcMar>
            <w:vAlign w:val="bottom"/>
            <w:hideMark/>
          </w:tcPr>
          <w:p w14:paraId="27BA2590" w14:textId="77777777" w:rsidR="00954279" w:rsidRDefault="00A66714">
            <w:pPr>
              <w:rPr>
                <w:color w:val="000000"/>
                <w:sz w:val="20"/>
                <w:szCs w:val="20"/>
              </w:rPr>
            </w:pPr>
            <w:r>
              <w:rPr>
                <w:color w:val="000000"/>
                <w:sz w:val="20"/>
                <w:szCs w:val="20"/>
              </w:rPr>
              <w:t> </w:t>
            </w:r>
          </w:p>
        </w:tc>
        <w:tc>
          <w:tcPr>
            <w:tcW w:w="32" w:type="pct"/>
            <w:tcMar>
              <w:top w:w="5" w:type="dxa"/>
              <w:left w:w="5" w:type="dxa"/>
              <w:bottom w:w="5" w:type="dxa"/>
              <w:right w:w="5" w:type="dxa"/>
            </w:tcMar>
            <w:vAlign w:val="bottom"/>
            <w:hideMark/>
          </w:tcPr>
          <w:p w14:paraId="2B3FCF45" w14:textId="77777777" w:rsidR="00954279" w:rsidRDefault="00A66714">
            <w:pPr>
              <w:rPr>
                <w:color w:val="000000"/>
                <w:sz w:val="20"/>
                <w:szCs w:val="20"/>
              </w:rPr>
            </w:pPr>
            <w:r>
              <w:rPr>
                <w:color w:val="000000"/>
                <w:sz w:val="20"/>
                <w:szCs w:val="20"/>
              </w:rPr>
              <w:t> </w:t>
            </w:r>
          </w:p>
        </w:tc>
        <w:tc>
          <w:tcPr>
            <w:tcW w:w="317" w:type="pct"/>
            <w:tcMar>
              <w:top w:w="5" w:type="dxa"/>
              <w:left w:w="5" w:type="dxa"/>
              <w:bottom w:w="5" w:type="dxa"/>
              <w:right w:w="5" w:type="dxa"/>
            </w:tcMar>
            <w:vAlign w:val="bottom"/>
            <w:hideMark/>
          </w:tcPr>
          <w:p w14:paraId="49FF4842" w14:textId="77777777" w:rsidR="00954279" w:rsidRDefault="00A66714">
            <w:pPr>
              <w:jc w:val="right"/>
              <w:rPr>
                <w:color w:val="000000"/>
                <w:sz w:val="20"/>
                <w:szCs w:val="20"/>
              </w:rPr>
            </w:pPr>
            <w:r>
              <w:rPr>
                <w:color w:val="000000"/>
                <w:sz w:val="20"/>
                <w:szCs w:val="20"/>
              </w:rPr>
              <w:t>-</w:t>
            </w:r>
          </w:p>
        </w:tc>
        <w:tc>
          <w:tcPr>
            <w:tcW w:w="31" w:type="pct"/>
            <w:noWrap/>
            <w:tcMar>
              <w:top w:w="5" w:type="dxa"/>
              <w:left w:w="5" w:type="dxa"/>
              <w:bottom w:w="5" w:type="dxa"/>
              <w:right w:w="5" w:type="dxa"/>
            </w:tcMar>
            <w:vAlign w:val="bottom"/>
            <w:hideMark/>
          </w:tcPr>
          <w:p w14:paraId="6183DCAC" w14:textId="77777777" w:rsidR="00954279" w:rsidRDefault="00A66714">
            <w:pPr>
              <w:rPr>
                <w:color w:val="000000"/>
                <w:sz w:val="20"/>
                <w:szCs w:val="20"/>
              </w:rPr>
            </w:pPr>
            <w:r>
              <w:rPr>
                <w:color w:val="000000"/>
                <w:sz w:val="20"/>
                <w:szCs w:val="20"/>
              </w:rPr>
              <w:t> </w:t>
            </w:r>
          </w:p>
        </w:tc>
        <w:tc>
          <w:tcPr>
            <w:tcW w:w="31" w:type="pct"/>
            <w:tcMar>
              <w:top w:w="5" w:type="dxa"/>
              <w:left w:w="5" w:type="dxa"/>
              <w:bottom w:w="5" w:type="dxa"/>
              <w:right w:w="5" w:type="dxa"/>
            </w:tcMar>
            <w:vAlign w:val="bottom"/>
            <w:hideMark/>
          </w:tcPr>
          <w:p w14:paraId="1AB5A461" w14:textId="77777777" w:rsidR="00954279" w:rsidRDefault="00A66714">
            <w:pPr>
              <w:rPr>
                <w:color w:val="000000"/>
                <w:sz w:val="20"/>
                <w:szCs w:val="20"/>
              </w:rPr>
            </w:pPr>
            <w:r>
              <w:rPr>
                <w:color w:val="000000"/>
                <w:sz w:val="20"/>
                <w:szCs w:val="20"/>
              </w:rPr>
              <w:t> </w:t>
            </w:r>
          </w:p>
        </w:tc>
        <w:tc>
          <w:tcPr>
            <w:tcW w:w="49" w:type="pct"/>
            <w:tcMar>
              <w:top w:w="5" w:type="dxa"/>
              <w:left w:w="5" w:type="dxa"/>
              <w:bottom w:w="5" w:type="dxa"/>
              <w:right w:w="5" w:type="dxa"/>
            </w:tcMar>
            <w:vAlign w:val="bottom"/>
            <w:hideMark/>
          </w:tcPr>
          <w:p w14:paraId="456FD450" w14:textId="77777777" w:rsidR="00954279" w:rsidRDefault="00A66714">
            <w:pPr>
              <w:rPr>
                <w:color w:val="000000"/>
                <w:sz w:val="20"/>
                <w:szCs w:val="20"/>
              </w:rPr>
            </w:pPr>
            <w:r>
              <w:rPr>
                <w:color w:val="000000"/>
                <w:sz w:val="20"/>
                <w:szCs w:val="20"/>
              </w:rPr>
              <w:t> </w:t>
            </w:r>
          </w:p>
        </w:tc>
        <w:tc>
          <w:tcPr>
            <w:tcW w:w="318" w:type="pct"/>
            <w:tcMar>
              <w:top w:w="5" w:type="dxa"/>
              <w:left w:w="5" w:type="dxa"/>
              <w:bottom w:w="5" w:type="dxa"/>
              <w:right w:w="5" w:type="dxa"/>
            </w:tcMar>
            <w:vAlign w:val="bottom"/>
            <w:hideMark/>
          </w:tcPr>
          <w:p w14:paraId="6E30C7F1" w14:textId="77777777" w:rsidR="00954279" w:rsidRDefault="00A66714">
            <w:pPr>
              <w:jc w:val="right"/>
              <w:rPr>
                <w:color w:val="000000"/>
                <w:sz w:val="20"/>
                <w:szCs w:val="20"/>
              </w:rPr>
            </w:pPr>
            <w:r>
              <w:rPr>
                <w:color w:val="000000"/>
                <w:sz w:val="20"/>
                <w:szCs w:val="20"/>
              </w:rPr>
              <w:t>-</w:t>
            </w:r>
          </w:p>
        </w:tc>
        <w:tc>
          <w:tcPr>
            <w:tcW w:w="32" w:type="pct"/>
            <w:noWrap/>
            <w:tcMar>
              <w:top w:w="5" w:type="dxa"/>
              <w:left w:w="5" w:type="dxa"/>
              <w:bottom w:w="5" w:type="dxa"/>
              <w:right w:w="5" w:type="dxa"/>
            </w:tcMar>
            <w:vAlign w:val="bottom"/>
            <w:hideMark/>
          </w:tcPr>
          <w:p w14:paraId="6073624F" w14:textId="77777777" w:rsidR="00954279" w:rsidRDefault="00A66714">
            <w:pPr>
              <w:rPr>
                <w:color w:val="000000"/>
                <w:sz w:val="20"/>
                <w:szCs w:val="20"/>
              </w:rPr>
            </w:pPr>
            <w:r>
              <w:rPr>
                <w:color w:val="000000"/>
                <w:sz w:val="20"/>
                <w:szCs w:val="20"/>
              </w:rPr>
              <w:t> </w:t>
            </w:r>
          </w:p>
        </w:tc>
        <w:tc>
          <w:tcPr>
            <w:tcW w:w="32" w:type="pct"/>
            <w:tcMar>
              <w:top w:w="5" w:type="dxa"/>
              <w:left w:w="5" w:type="dxa"/>
              <w:bottom w:w="5" w:type="dxa"/>
              <w:right w:w="5" w:type="dxa"/>
            </w:tcMar>
            <w:vAlign w:val="bottom"/>
            <w:hideMark/>
          </w:tcPr>
          <w:p w14:paraId="458F50FB" w14:textId="77777777" w:rsidR="00954279" w:rsidRDefault="00A66714">
            <w:pPr>
              <w:rPr>
                <w:color w:val="000000"/>
                <w:sz w:val="20"/>
                <w:szCs w:val="20"/>
              </w:rPr>
            </w:pPr>
            <w:r>
              <w:rPr>
                <w:color w:val="000000"/>
                <w:sz w:val="20"/>
                <w:szCs w:val="20"/>
              </w:rPr>
              <w:t> </w:t>
            </w:r>
          </w:p>
        </w:tc>
        <w:tc>
          <w:tcPr>
            <w:tcW w:w="52" w:type="pct"/>
            <w:tcMar>
              <w:top w:w="5" w:type="dxa"/>
              <w:left w:w="5" w:type="dxa"/>
              <w:bottom w:w="5" w:type="dxa"/>
              <w:right w:w="5" w:type="dxa"/>
            </w:tcMar>
            <w:vAlign w:val="bottom"/>
            <w:hideMark/>
          </w:tcPr>
          <w:p w14:paraId="262296AF" w14:textId="77777777" w:rsidR="00954279" w:rsidRDefault="00A66714">
            <w:pPr>
              <w:rPr>
                <w:color w:val="000000"/>
                <w:sz w:val="20"/>
                <w:szCs w:val="20"/>
              </w:rPr>
            </w:pPr>
            <w:r>
              <w:rPr>
                <w:color w:val="000000"/>
                <w:sz w:val="20"/>
                <w:szCs w:val="20"/>
              </w:rPr>
              <w:t> </w:t>
            </w:r>
          </w:p>
        </w:tc>
        <w:tc>
          <w:tcPr>
            <w:tcW w:w="356" w:type="pct"/>
            <w:tcMar>
              <w:top w:w="5" w:type="dxa"/>
              <w:left w:w="5" w:type="dxa"/>
              <w:bottom w:w="5" w:type="dxa"/>
              <w:right w:w="5" w:type="dxa"/>
            </w:tcMar>
            <w:vAlign w:val="bottom"/>
            <w:hideMark/>
          </w:tcPr>
          <w:p w14:paraId="17FB87D3" w14:textId="77777777" w:rsidR="00954279" w:rsidRDefault="00A66714">
            <w:pPr>
              <w:jc w:val="right"/>
              <w:rPr>
                <w:color w:val="000000"/>
                <w:sz w:val="20"/>
                <w:szCs w:val="20"/>
              </w:rPr>
            </w:pPr>
            <w:r>
              <w:rPr>
                <w:color w:val="000000"/>
                <w:sz w:val="20"/>
                <w:szCs w:val="20"/>
              </w:rPr>
              <w:t>2</w:t>
            </w:r>
          </w:p>
        </w:tc>
        <w:tc>
          <w:tcPr>
            <w:tcW w:w="34" w:type="pct"/>
            <w:noWrap/>
            <w:tcMar>
              <w:top w:w="5" w:type="dxa"/>
              <w:left w:w="5" w:type="dxa"/>
              <w:bottom w:w="5" w:type="dxa"/>
              <w:right w:w="5" w:type="dxa"/>
            </w:tcMar>
            <w:vAlign w:val="bottom"/>
            <w:hideMark/>
          </w:tcPr>
          <w:p w14:paraId="279671BC" w14:textId="77777777" w:rsidR="00954279" w:rsidRDefault="00A66714">
            <w:pPr>
              <w:rPr>
                <w:color w:val="000000"/>
                <w:sz w:val="20"/>
                <w:szCs w:val="20"/>
              </w:rPr>
            </w:pPr>
            <w:r>
              <w:rPr>
                <w:color w:val="000000"/>
                <w:sz w:val="20"/>
                <w:szCs w:val="20"/>
              </w:rPr>
              <w:t> </w:t>
            </w:r>
          </w:p>
        </w:tc>
        <w:tc>
          <w:tcPr>
            <w:tcW w:w="30" w:type="pct"/>
            <w:tcMar>
              <w:top w:w="5" w:type="dxa"/>
              <w:left w:w="5" w:type="dxa"/>
              <w:bottom w:w="5" w:type="dxa"/>
              <w:right w:w="5" w:type="dxa"/>
            </w:tcMar>
            <w:vAlign w:val="bottom"/>
            <w:hideMark/>
          </w:tcPr>
          <w:p w14:paraId="51960918" w14:textId="77777777" w:rsidR="00954279" w:rsidRDefault="00A66714">
            <w:pPr>
              <w:rPr>
                <w:color w:val="000000"/>
                <w:sz w:val="20"/>
                <w:szCs w:val="20"/>
              </w:rPr>
            </w:pPr>
            <w:r>
              <w:rPr>
                <w:color w:val="000000"/>
                <w:sz w:val="20"/>
                <w:szCs w:val="20"/>
              </w:rPr>
              <w:t> </w:t>
            </w:r>
          </w:p>
        </w:tc>
        <w:tc>
          <w:tcPr>
            <w:tcW w:w="49" w:type="pct"/>
            <w:tcMar>
              <w:top w:w="5" w:type="dxa"/>
              <w:left w:w="5" w:type="dxa"/>
              <w:bottom w:w="5" w:type="dxa"/>
              <w:right w:w="5" w:type="dxa"/>
            </w:tcMar>
            <w:vAlign w:val="bottom"/>
            <w:hideMark/>
          </w:tcPr>
          <w:p w14:paraId="03E7C8B8" w14:textId="77777777" w:rsidR="00954279" w:rsidRDefault="00A66714">
            <w:pPr>
              <w:rPr>
                <w:color w:val="000000"/>
                <w:sz w:val="20"/>
                <w:szCs w:val="20"/>
              </w:rPr>
            </w:pPr>
            <w:r>
              <w:rPr>
                <w:color w:val="000000"/>
                <w:sz w:val="20"/>
                <w:szCs w:val="20"/>
              </w:rPr>
              <w:t> </w:t>
            </w:r>
          </w:p>
        </w:tc>
        <w:tc>
          <w:tcPr>
            <w:tcW w:w="318" w:type="pct"/>
            <w:tcMar>
              <w:top w:w="5" w:type="dxa"/>
              <w:left w:w="5" w:type="dxa"/>
              <w:bottom w:w="5" w:type="dxa"/>
              <w:right w:w="5" w:type="dxa"/>
            </w:tcMar>
            <w:vAlign w:val="bottom"/>
            <w:hideMark/>
          </w:tcPr>
          <w:p w14:paraId="6E0BFD01" w14:textId="77777777" w:rsidR="00954279" w:rsidRDefault="00A66714">
            <w:pPr>
              <w:jc w:val="right"/>
              <w:rPr>
                <w:color w:val="000000"/>
                <w:sz w:val="20"/>
                <w:szCs w:val="20"/>
              </w:rPr>
            </w:pPr>
            <w:r>
              <w:rPr>
                <w:color w:val="000000"/>
                <w:sz w:val="20"/>
                <w:szCs w:val="20"/>
              </w:rPr>
              <w:t>-</w:t>
            </w:r>
          </w:p>
        </w:tc>
        <w:tc>
          <w:tcPr>
            <w:tcW w:w="34" w:type="pct"/>
            <w:noWrap/>
            <w:tcMar>
              <w:top w:w="5" w:type="dxa"/>
              <w:left w:w="5" w:type="dxa"/>
              <w:bottom w:w="5" w:type="dxa"/>
              <w:right w:w="5" w:type="dxa"/>
            </w:tcMar>
            <w:vAlign w:val="bottom"/>
            <w:hideMark/>
          </w:tcPr>
          <w:p w14:paraId="5CF5F81D" w14:textId="77777777" w:rsidR="00954279" w:rsidRDefault="00A66714">
            <w:pPr>
              <w:rPr>
                <w:color w:val="000000"/>
                <w:sz w:val="20"/>
                <w:szCs w:val="20"/>
              </w:rPr>
            </w:pPr>
            <w:r>
              <w:rPr>
                <w:color w:val="000000"/>
                <w:sz w:val="20"/>
                <w:szCs w:val="20"/>
              </w:rPr>
              <w:t> </w:t>
            </w:r>
          </w:p>
        </w:tc>
        <w:tc>
          <w:tcPr>
            <w:tcW w:w="30" w:type="pct"/>
            <w:tcMar>
              <w:top w:w="5" w:type="dxa"/>
              <w:left w:w="5" w:type="dxa"/>
              <w:bottom w:w="5" w:type="dxa"/>
              <w:right w:w="5" w:type="dxa"/>
            </w:tcMar>
            <w:vAlign w:val="bottom"/>
            <w:hideMark/>
          </w:tcPr>
          <w:p w14:paraId="633C47FA" w14:textId="77777777" w:rsidR="00954279" w:rsidRDefault="00A66714">
            <w:pPr>
              <w:rPr>
                <w:color w:val="000000"/>
                <w:sz w:val="20"/>
                <w:szCs w:val="20"/>
              </w:rPr>
            </w:pPr>
            <w:r>
              <w:rPr>
                <w:color w:val="000000"/>
                <w:sz w:val="20"/>
                <w:szCs w:val="20"/>
              </w:rPr>
              <w:t> </w:t>
            </w:r>
          </w:p>
        </w:tc>
        <w:tc>
          <w:tcPr>
            <w:tcW w:w="33" w:type="pct"/>
            <w:tcMar>
              <w:top w:w="5" w:type="dxa"/>
              <w:left w:w="5" w:type="dxa"/>
              <w:bottom w:w="5" w:type="dxa"/>
              <w:right w:w="5" w:type="dxa"/>
            </w:tcMar>
            <w:vAlign w:val="bottom"/>
            <w:hideMark/>
          </w:tcPr>
          <w:p w14:paraId="1AA21AB0" w14:textId="77777777" w:rsidR="00954279" w:rsidRDefault="00A66714">
            <w:pPr>
              <w:rPr>
                <w:color w:val="000000"/>
                <w:sz w:val="20"/>
                <w:szCs w:val="20"/>
              </w:rPr>
            </w:pPr>
            <w:r>
              <w:rPr>
                <w:color w:val="000000"/>
                <w:sz w:val="20"/>
                <w:szCs w:val="20"/>
              </w:rPr>
              <w:t> </w:t>
            </w:r>
          </w:p>
        </w:tc>
        <w:tc>
          <w:tcPr>
            <w:tcW w:w="317" w:type="pct"/>
            <w:tcMar>
              <w:top w:w="5" w:type="dxa"/>
              <w:left w:w="5" w:type="dxa"/>
              <w:bottom w:w="5" w:type="dxa"/>
              <w:right w:w="5" w:type="dxa"/>
            </w:tcMar>
            <w:vAlign w:val="bottom"/>
            <w:hideMark/>
          </w:tcPr>
          <w:p w14:paraId="57E695BF" w14:textId="77777777" w:rsidR="00954279" w:rsidRDefault="00A66714">
            <w:pPr>
              <w:jc w:val="right"/>
              <w:rPr>
                <w:color w:val="000000"/>
                <w:sz w:val="20"/>
                <w:szCs w:val="20"/>
              </w:rPr>
            </w:pPr>
            <w:r>
              <w:rPr>
                <w:color w:val="000000"/>
                <w:sz w:val="20"/>
                <w:szCs w:val="20"/>
              </w:rPr>
              <w:t>-</w:t>
            </w:r>
          </w:p>
        </w:tc>
        <w:tc>
          <w:tcPr>
            <w:tcW w:w="34" w:type="pct"/>
            <w:noWrap/>
            <w:tcMar>
              <w:top w:w="5" w:type="dxa"/>
              <w:left w:w="5" w:type="dxa"/>
              <w:bottom w:w="5" w:type="dxa"/>
              <w:right w:w="5" w:type="dxa"/>
            </w:tcMar>
            <w:vAlign w:val="bottom"/>
            <w:hideMark/>
          </w:tcPr>
          <w:p w14:paraId="440BA8FD" w14:textId="77777777" w:rsidR="00954279" w:rsidRDefault="00A66714">
            <w:pPr>
              <w:rPr>
                <w:color w:val="000000"/>
                <w:sz w:val="20"/>
                <w:szCs w:val="20"/>
              </w:rPr>
            </w:pPr>
            <w:r>
              <w:rPr>
                <w:color w:val="000000"/>
                <w:sz w:val="20"/>
                <w:szCs w:val="20"/>
              </w:rPr>
              <w:t> </w:t>
            </w:r>
          </w:p>
        </w:tc>
        <w:tc>
          <w:tcPr>
            <w:tcW w:w="30" w:type="pct"/>
            <w:tcMar>
              <w:top w:w="5" w:type="dxa"/>
              <w:left w:w="5" w:type="dxa"/>
              <w:bottom w:w="5" w:type="dxa"/>
              <w:right w:w="5" w:type="dxa"/>
            </w:tcMar>
            <w:vAlign w:val="bottom"/>
            <w:hideMark/>
          </w:tcPr>
          <w:p w14:paraId="0E5EBB45" w14:textId="77777777" w:rsidR="00954279" w:rsidRDefault="00A66714">
            <w:pPr>
              <w:rPr>
                <w:color w:val="000000"/>
                <w:sz w:val="20"/>
                <w:szCs w:val="20"/>
              </w:rPr>
            </w:pPr>
            <w:r>
              <w:rPr>
                <w:color w:val="000000"/>
                <w:sz w:val="20"/>
                <w:szCs w:val="20"/>
              </w:rPr>
              <w:t> </w:t>
            </w:r>
          </w:p>
        </w:tc>
        <w:tc>
          <w:tcPr>
            <w:tcW w:w="49" w:type="pct"/>
            <w:tcMar>
              <w:top w:w="5" w:type="dxa"/>
              <w:left w:w="5" w:type="dxa"/>
              <w:bottom w:w="5" w:type="dxa"/>
              <w:right w:w="5" w:type="dxa"/>
            </w:tcMar>
            <w:vAlign w:val="bottom"/>
            <w:hideMark/>
          </w:tcPr>
          <w:p w14:paraId="6342F2DF" w14:textId="77777777" w:rsidR="00954279" w:rsidRDefault="00A66714">
            <w:pPr>
              <w:rPr>
                <w:color w:val="000000"/>
                <w:sz w:val="20"/>
                <w:szCs w:val="20"/>
              </w:rPr>
            </w:pPr>
            <w:r>
              <w:rPr>
                <w:color w:val="000000"/>
                <w:sz w:val="20"/>
                <w:szCs w:val="20"/>
              </w:rPr>
              <w:t> </w:t>
            </w:r>
          </w:p>
        </w:tc>
        <w:tc>
          <w:tcPr>
            <w:tcW w:w="318" w:type="pct"/>
            <w:tcMar>
              <w:top w:w="5" w:type="dxa"/>
              <w:left w:w="5" w:type="dxa"/>
              <w:bottom w:w="5" w:type="dxa"/>
              <w:right w:w="5" w:type="dxa"/>
            </w:tcMar>
            <w:vAlign w:val="bottom"/>
            <w:hideMark/>
          </w:tcPr>
          <w:p w14:paraId="1A6C46AE" w14:textId="77777777" w:rsidR="00954279" w:rsidRDefault="00A66714">
            <w:pPr>
              <w:jc w:val="right"/>
              <w:rPr>
                <w:color w:val="000000"/>
                <w:sz w:val="20"/>
                <w:szCs w:val="20"/>
              </w:rPr>
            </w:pPr>
            <w:r>
              <w:rPr>
                <w:color w:val="000000"/>
                <w:sz w:val="20"/>
                <w:szCs w:val="20"/>
              </w:rPr>
              <w:t>-</w:t>
            </w:r>
          </w:p>
        </w:tc>
        <w:tc>
          <w:tcPr>
            <w:tcW w:w="34" w:type="pct"/>
            <w:noWrap/>
            <w:tcMar>
              <w:top w:w="5" w:type="dxa"/>
              <w:left w:w="5" w:type="dxa"/>
              <w:bottom w:w="5" w:type="dxa"/>
              <w:right w:w="5" w:type="dxa"/>
            </w:tcMar>
            <w:vAlign w:val="bottom"/>
            <w:hideMark/>
          </w:tcPr>
          <w:p w14:paraId="46E049BE" w14:textId="77777777" w:rsidR="00954279" w:rsidRDefault="00A66714">
            <w:pPr>
              <w:rPr>
                <w:color w:val="000000"/>
                <w:sz w:val="20"/>
                <w:szCs w:val="20"/>
              </w:rPr>
            </w:pPr>
            <w:r>
              <w:rPr>
                <w:color w:val="000000"/>
                <w:sz w:val="20"/>
                <w:szCs w:val="20"/>
              </w:rPr>
              <w:t> </w:t>
            </w:r>
          </w:p>
        </w:tc>
        <w:tc>
          <w:tcPr>
            <w:tcW w:w="30" w:type="pct"/>
            <w:tcMar>
              <w:top w:w="5" w:type="dxa"/>
              <w:left w:w="5" w:type="dxa"/>
              <w:bottom w:w="5" w:type="dxa"/>
              <w:right w:w="5" w:type="dxa"/>
            </w:tcMar>
            <w:vAlign w:val="bottom"/>
            <w:hideMark/>
          </w:tcPr>
          <w:p w14:paraId="2579D145" w14:textId="77777777" w:rsidR="00954279" w:rsidRDefault="00A66714">
            <w:pPr>
              <w:rPr>
                <w:color w:val="000000"/>
                <w:sz w:val="20"/>
                <w:szCs w:val="20"/>
              </w:rPr>
            </w:pPr>
            <w:r>
              <w:rPr>
                <w:color w:val="000000"/>
                <w:sz w:val="20"/>
                <w:szCs w:val="20"/>
              </w:rPr>
              <w:t> </w:t>
            </w:r>
          </w:p>
        </w:tc>
        <w:tc>
          <w:tcPr>
            <w:tcW w:w="75" w:type="pct"/>
            <w:tcMar>
              <w:top w:w="5" w:type="dxa"/>
              <w:left w:w="5" w:type="dxa"/>
              <w:bottom w:w="5" w:type="dxa"/>
              <w:right w:w="5" w:type="dxa"/>
            </w:tcMar>
            <w:vAlign w:val="bottom"/>
            <w:hideMark/>
          </w:tcPr>
          <w:p w14:paraId="4D5E1656" w14:textId="77777777" w:rsidR="00954279" w:rsidRDefault="00A66714">
            <w:pPr>
              <w:rPr>
                <w:color w:val="000000"/>
                <w:sz w:val="20"/>
                <w:szCs w:val="20"/>
              </w:rPr>
            </w:pPr>
            <w:r>
              <w:rPr>
                <w:color w:val="000000"/>
                <w:sz w:val="20"/>
                <w:szCs w:val="20"/>
              </w:rPr>
              <w:t> </w:t>
            </w:r>
          </w:p>
        </w:tc>
        <w:tc>
          <w:tcPr>
            <w:tcW w:w="520" w:type="pct"/>
            <w:tcMar>
              <w:top w:w="5" w:type="dxa"/>
              <w:left w:w="5" w:type="dxa"/>
              <w:bottom w:w="5" w:type="dxa"/>
              <w:right w:w="5" w:type="dxa"/>
            </w:tcMar>
            <w:vAlign w:val="bottom"/>
            <w:hideMark/>
          </w:tcPr>
          <w:p w14:paraId="2D8BCC04" w14:textId="77777777" w:rsidR="00954279" w:rsidRDefault="00A66714">
            <w:pPr>
              <w:jc w:val="right"/>
              <w:rPr>
                <w:color w:val="000000"/>
                <w:sz w:val="20"/>
                <w:szCs w:val="20"/>
              </w:rPr>
            </w:pPr>
            <w:r>
              <w:rPr>
                <w:color w:val="000000"/>
                <w:sz w:val="20"/>
                <w:szCs w:val="20"/>
              </w:rPr>
              <w:t>-</w:t>
            </w:r>
          </w:p>
        </w:tc>
        <w:tc>
          <w:tcPr>
            <w:tcW w:w="34" w:type="pct"/>
            <w:noWrap/>
            <w:tcMar>
              <w:top w:w="5" w:type="dxa"/>
              <w:left w:w="5" w:type="dxa"/>
              <w:bottom w:w="5" w:type="dxa"/>
              <w:right w:w="5" w:type="dxa"/>
            </w:tcMar>
            <w:vAlign w:val="bottom"/>
            <w:hideMark/>
          </w:tcPr>
          <w:p w14:paraId="671E8912" w14:textId="77777777" w:rsidR="00954279" w:rsidRDefault="00A66714">
            <w:pPr>
              <w:rPr>
                <w:color w:val="000000"/>
                <w:sz w:val="20"/>
                <w:szCs w:val="20"/>
              </w:rPr>
            </w:pPr>
            <w:r>
              <w:rPr>
                <w:color w:val="000000"/>
                <w:sz w:val="20"/>
                <w:szCs w:val="20"/>
              </w:rPr>
              <w:t> </w:t>
            </w:r>
          </w:p>
        </w:tc>
        <w:tc>
          <w:tcPr>
            <w:tcW w:w="31" w:type="pct"/>
            <w:tcMar>
              <w:top w:w="5" w:type="dxa"/>
              <w:left w:w="5" w:type="dxa"/>
              <w:bottom w:w="5" w:type="dxa"/>
              <w:right w:w="5" w:type="dxa"/>
            </w:tcMar>
            <w:vAlign w:val="bottom"/>
            <w:hideMark/>
          </w:tcPr>
          <w:p w14:paraId="197D6CA8" w14:textId="77777777" w:rsidR="00954279" w:rsidRDefault="00A66714">
            <w:pPr>
              <w:rPr>
                <w:color w:val="000000"/>
                <w:sz w:val="20"/>
                <w:szCs w:val="20"/>
              </w:rPr>
            </w:pPr>
            <w:r>
              <w:rPr>
                <w:color w:val="000000"/>
                <w:sz w:val="20"/>
                <w:szCs w:val="20"/>
              </w:rPr>
              <w:t> </w:t>
            </w:r>
          </w:p>
        </w:tc>
        <w:tc>
          <w:tcPr>
            <w:tcW w:w="65" w:type="pct"/>
            <w:tcMar>
              <w:top w:w="5" w:type="dxa"/>
              <w:left w:w="5" w:type="dxa"/>
              <w:bottom w:w="5" w:type="dxa"/>
              <w:right w:w="5" w:type="dxa"/>
            </w:tcMar>
            <w:vAlign w:val="bottom"/>
            <w:hideMark/>
          </w:tcPr>
          <w:p w14:paraId="7BBE18D5" w14:textId="77777777" w:rsidR="00954279" w:rsidRDefault="00A66714">
            <w:pPr>
              <w:rPr>
                <w:color w:val="000000"/>
                <w:sz w:val="20"/>
                <w:szCs w:val="20"/>
              </w:rPr>
            </w:pPr>
            <w:r>
              <w:rPr>
                <w:color w:val="000000"/>
                <w:sz w:val="20"/>
                <w:szCs w:val="20"/>
              </w:rPr>
              <w:t> </w:t>
            </w:r>
          </w:p>
        </w:tc>
        <w:tc>
          <w:tcPr>
            <w:tcW w:w="455" w:type="pct"/>
            <w:tcMar>
              <w:top w:w="5" w:type="dxa"/>
              <w:left w:w="5" w:type="dxa"/>
              <w:bottom w:w="5" w:type="dxa"/>
              <w:right w:w="5" w:type="dxa"/>
            </w:tcMar>
            <w:vAlign w:val="bottom"/>
            <w:hideMark/>
          </w:tcPr>
          <w:p w14:paraId="46CB9F3C" w14:textId="77777777" w:rsidR="00954279" w:rsidRDefault="00A66714">
            <w:pPr>
              <w:jc w:val="right"/>
              <w:rPr>
                <w:color w:val="000000"/>
                <w:sz w:val="20"/>
                <w:szCs w:val="20"/>
              </w:rPr>
            </w:pPr>
            <w:r>
              <w:rPr>
                <w:color w:val="000000"/>
                <w:sz w:val="20"/>
                <w:szCs w:val="20"/>
              </w:rPr>
              <w:t>2</w:t>
            </w:r>
          </w:p>
        </w:tc>
        <w:tc>
          <w:tcPr>
            <w:tcW w:w="34" w:type="pct"/>
            <w:noWrap/>
            <w:tcMar>
              <w:top w:w="5" w:type="dxa"/>
              <w:left w:w="5" w:type="dxa"/>
              <w:bottom w:w="5" w:type="dxa"/>
              <w:right w:w="5" w:type="dxa"/>
            </w:tcMar>
            <w:vAlign w:val="bottom"/>
            <w:hideMark/>
          </w:tcPr>
          <w:p w14:paraId="0CA8A461" w14:textId="77777777" w:rsidR="00954279" w:rsidRDefault="00A66714">
            <w:pPr>
              <w:rPr>
                <w:color w:val="000000"/>
                <w:sz w:val="20"/>
                <w:szCs w:val="20"/>
              </w:rPr>
            </w:pPr>
            <w:r>
              <w:rPr>
                <w:color w:val="000000"/>
                <w:sz w:val="20"/>
                <w:szCs w:val="20"/>
              </w:rPr>
              <w:t> </w:t>
            </w:r>
          </w:p>
        </w:tc>
      </w:tr>
      <w:tr w:rsidR="00717712" w14:paraId="4C95C969" w14:textId="77777777" w:rsidTr="00717712">
        <w:tc>
          <w:tcPr>
            <w:tcW w:w="1163" w:type="pct"/>
            <w:tcMar>
              <w:top w:w="5" w:type="dxa"/>
              <w:left w:w="5" w:type="dxa"/>
              <w:bottom w:w="5" w:type="dxa"/>
              <w:right w:w="5" w:type="dxa"/>
            </w:tcMar>
            <w:vAlign w:val="bottom"/>
            <w:hideMark/>
          </w:tcPr>
          <w:p w14:paraId="4EBF13A4" w14:textId="77777777" w:rsidR="00954279" w:rsidRDefault="00A66714">
            <w:pPr>
              <w:ind w:left="180"/>
              <w:rPr>
                <w:color w:val="000000"/>
                <w:sz w:val="20"/>
                <w:szCs w:val="20"/>
              </w:rPr>
            </w:pPr>
            <w:r>
              <w:rPr>
                <w:color w:val="000000"/>
                <w:sz w:val="20"/>
                <w:szCs w:val="20"/>
              </w:rPr>
              <w:t>Dividends declared on preferred stock</w:t>
            </w:r>
          </w:p>
        </w:tc>
        <w:tc>
          <w:tcPr>
            <w:tcW w:w="31" w:type="pct"/>
            <w:tcMar>
              <w:top w:w="5" w:type="dxa"/>
              <w:left w:w="5" w:type="dxa"/>
              <w:bottom w:w="20" w:type="dxa"/>
              <w:right w:w="5" w:type="dxa"/>
            </w:tcMar>
            <w:vAlign w:val="bottom"/>
            <w:hideMark/>
          </w:tcPr>
          <w:p w14:paraId="13615325" w14:textId="77777777" w:rsidR="00954279" w:rsidRDefault="00A66714">
            <w:pPr>
              <w:rPr>
                <w:color w:val="000000"/>
                <w:sz w:val="20"/>
                <w:szCs w:val="20"/>
              </w:rPr>
            </w:pPr>
            <w:r>
              <w:rPr>
                <w:color w:val="000000"/>
                <w:sz w:val="20"/>
                <w:szCs w:val="20"/>
              </w:rPr>
              <w:t> </w:t>
            </w:r>
          </w:p>
        </w:tc>
        <w:tc>
          <w:tcPr>
            <w:tcW w:w="32" w:type="pct"/>
            <w:tcBorders>
              <w:bottom w:val="single" w:sz="6" w:space="0" w:color="000000"/>
            </w:tcBorders>
            <w:tcMar>
              <w:top w:w="5" w:type="dxa"/>
              <w:left w:w="5" w:type="dxa"/>
              <w:bottom w:w="8" w:type="dxa"/>
              <w:right w:w="5" w:type="dxa"/>
            </w:tcMar>
            <w:vAlign w:val="bottom"/>
            <w:hideMark/>
          </w:tcPr>
          <w:p w14:paraId="17BF80BF" w14:textId="77777777" w:rsidR="00954279" w:rsidRDefault="00A66714">
            <w:pPr>
              <w:rPr>
                <w:color w:val="000000"/>
                <w:sz w:val="20"/>
                <w:szCs w:val="20"/>
              </w:rPr>
            </w:pPr>
            <w:r>
              <w:rPr>
                <w:color w:val="000000"/>
                <w:sz w:val="20"/>
                <w:szCs w:val="20"/>
              </w:rPr>
              <w:t> </w:t>
            </w:r>
          </w:p>
        </w:tc>
        <w:tc>
          <w:tcPr>
            <w:tcW w:w="317" w:type="pct"/>
            <w:tcBorders>
              <w:bottom w:val="single" w:sz="6" w:space="0" w:color="000000"/>
            </w:tcBorders>
            <w:tcMar>
              <w:top w:w="5" w:type="dxa"/>
              <w:left w:w="5" w:type="dxa"/>
              <w:bottom w:w="8" w:type="dxa"/>
              <w:right w:w="5" w:type="dxa"/>
            </w:tcMar>
            <w:vAlign w:val="bottom"/>
            <w:hideMark/>
          </w:tcPr>
          <w:p w14:paraId="28BACBBF" w14:textId="77777777" w:rsidR="00954279" w:rsidRDefault="00A66714">
            <w:pPr>
              <w:jc w:val="right"/>
              <w:rPr>
                <w:color w:val="000000"/>
                <w:sz w:val="20"/>
                <w:szCs w:val="20"/>
              </w:rPr>
            </w:pPr>
            <w:r>
              <w:rPr>
                <w:color w:val="000000"/>
                <w:sz w:val="20"/>
                <w:szCs w:val="20"/>
              </w:rPr>
              <w:t>-</w:t>
            </w:r>
          </w:p>
        </w:tc>
        <w:tc>
          <w:tcPr>
            <w:tcW w:w="31" w:type="pct"/>
            <w:noWrap/>
            <w:tcMar>
              <w:top w:w="5" w:type="dxa"/>
              <w:left w:w="5" w:type="dxa"/>
              <w:bottom w:w="20" w:type="dxa"/>
              <w:right w:w="5" w:type="dxa"/>
            </w:tcMar>
            <w:vAlign w:val="bottom"/>
            <w:hideMark/>
          </w:tcPr>
          <w:p w14:paraId="2127263F" w14:textId="77777777" w:rsidR="00954279" w:rsidRDefault="00A66714">
            <w:pPr>
              <w:rPr>
                <w:color w:val="000000"/>
                <w:sz w:val="20"/>
                <w:szCs w:val="20"/>
              </w:rPr>
            </w:pPr>
            <w:r>
              <w:rPr>
                <w:color w:val="000000"/>
                <w:sz w:val="20"/>
                <w:szCs w:val="20"/>
              </w:rPr>
              <w:t> </w:t>
            </w:r>
          </w:p>
        </w:tc>
        <w:tc>
          <w:tcPr>
            <w:tcW w:w="31" w:type="pct"/>
            <w:tcMar>
              <w:top w:w="5" w:type="dxa"/>
              <w:left w:w="5" w:type="dxa"/>
              <w:bottom w:w="20" w:type="dxa"/>
              <w:right w:w="5" w:type="dxa"/>
            </w:tcMar>
            <w:vAlign w:val="bottom"/>
            <w:hideMark/>
          </w:tcPr>
          <w:p w14:paraId="75F2F9C7" w14:textId="77777777" w:rsidR="00954279" w:rsidRDefault="00A66714">
            <w:pPr>
              <w:rPr>
                <w:color w:val="000000"/>
                <w:sz w:val="20"/>
                <w:szCs w:val="20"/>
              </w:rPr>
            </w:pPr>
            <w:r>
              <w:rPr>
                <w:color w:val="000000"/>
                <w:sz w:val="20"/>
                <w:szCs w:val="20"/>
              </w:rPr>
              <w:t> </w:t>
            </w:r>
          </w:p>
        </w:tc>
        <w:tc>
          <w:tcPr>
            <w:tcW w:w="49" w:type="pct"/>
            <w:tcBorders>
              <w:bottom w:val="single" w:sz="6" w:space="0" w:color="000000"/>
            </w:tcBorders>
            <w:tcMar>
              <w:top w:w="5" w:type="dxa"/>
              <w:left w:w="5" w:type="dxa"/>
              <w:bottom w:w="8" w:type="dxa"/>
              <w:right w:w="5" w:type="dxa"/>
            </w:tcMar>
            <w:vAlign w:val="bottom"/>
            <w:hideMark/>
          </w:tcPr>
          <w:p w14:paraId="05653EA8" w14:textId="77777777" w:rsidR="00954279" w:rsidRDefault="00A66714">
            <w:pPr>
              <w:rPr>
                <w:color w:val="000000"/>
                <w:sz w:val="20"/>
                <w:szCs w:val="20"/>
              </w:rPr>
            </w:pPr>
            <w:r>
              <w:rPr>
                <w:color w:val="000000"/>
                <w:sz w:val="20"/>
                <w:szCs w:val="20"/>
              </w:rPr>
              <w:t> </w:t>
            </w:r>
          </w:p>
        </w:tc>
        <w:tc>
          <w:tcPr>
            <w:tcW w:w="318" w:type="pct"/>
            <w:tcBorders>
              <w:bottom w:val="single" w:sz="6" w:space="0" w:color="000000"/>
            </w:tcBorders>
            <w:tcMar>
              <w:top w:w="5" w:type="dxa"/>
              <w:left w:w="5" w:type="dxa"/>
              <w:bottom w:w="8" w:type="dxa"/>
              <w:right w:w="5" w:type="dxa"/>
            </w:tcMar>
            <w:vAlign w:val="bottom"/>
            <w:hideMark/>
          </w:tcPr>
          <w:p w14:paraId="18217426" w14:textId="77777777" w:rsidR="00954279" w:rsidRDefault="00A66714">
            <w:pPr>
              <w:jc w:val="right"/>
              <w:rPr>
                <w:color w:val="000000"/>
                <w:sz w:val="20"/>
                <w:szCs w:val="20"/>
              </w:rPr>
            </w:pPr>
            <w:r>
              <w:rPr>
                <w:color w:val="000000"/>
                <w:sz w:val="20"/>
                <w:szCs w:val="20"/>
              </w:rPr>
              <w:t>-</w:t>
            </w:r>
          </w:p>
        </w:tc>
        <w:tc>
          <w:tcPr>
            <w:tcW w:w="32" w:type="pct"/>
            <w:noWrap/>
            <w:tcMar>
              <w:top w:w="5" w:type="dxa"/>
              <w:left w:w="5" w:type="dxa"/>
              <w:bottom w:w="20" w:type="dxa"/>
              <w:right w:w="5" w:type="dxa"/>
            </w:tcMar>
            <w:vAlign w:val="bottom"/>
            <w:hideMark/>
          </w:tcPr>
          <w:p w14:paraId="5671835C" w14:textId="77777777" w:rsidR="00954279" w:rsidRDefault="00A66714">
            <w:pPr>
              <w:rPr>
                <w:color w:val="000000"/>
                <w:sz w:val="20"/>
                <w:szCs w:val="20"/>
              </w:rPr>
            </w:pPr>
            <w:r>
              <w:rPr>
                <w:color w:val="000000"/>
                <w:sz w:val="20"/>
                <w:szCs w:val="20"/>
              </w:rPr>
              <w:t> </w:t>
            </w:r>
          </w:p>
        </w:tc>
        <w:tc>
          <w:tcPr>
            <w:tcW w:w="32" w:type="pct"/>
            <w:tcMar>
              <w:top w:w="5" w:type="dxa"/>
              <w:left w:w="5" w:type="dxa"/>
              <w:bottom w:w="20" w:type="dxa"/>
              <w:right w:w="5" w:type="dxa"/>
            </w:tcMar>
            <w:vAlign w:val="bottom"/>
            <w:hideMark/>
          </w:tcPr>
          <w:p w14:paraId="5BC94B0B" w14:textId="77777777" w:rsidR="00954279" w:rsidRDefault="00A66714">
            <w:pPr>
              <w:rPr>
                <w:color w:val="000000"/>
                <w:sz w:val="20"/>
                <w:szCs w:val="20"/>
              </w:rPr>
            </w:pPr>
            <w:r>
              <w:rPr>
                <w:color w:val="000000"/>
                <w:sz w:val="20"/>
                <w:szCs w:val="20"/>
              </w:rPr>
              <w:t> </w:t>
            </w:r>
          </w:p>
        </w:tc>
        <w:tc>
          <w:tcPr>
            <w:tcW w:w="52" w:type="pct"/>
            <w:tcBorders>
              <w:bottom w:val="single" w:sz="6" w:space="0" w:color="000000"/>
            </w:tcBorders>
            <w:tcMar>
              <w:top w:w="5" w:type="dxa"/>
              <w:left w:w="5" w:type="dxa"/>
              <w:bottom w:w="8" w:type="dxa"/>
              <w:right w:w="5" w:type="dxa"/>
            </w:tcMar>
            <w:vAlign w:val="bottom"/>
            <w:hideMark/>
          </w:tcPr>
          <w:p w14:paraId="5450D10B" w14:textId="77777777" w:rsidR="00954279" w:rsidRDefault="00A66714">
            <w:pPr>
              <w:rPr>
                <w:color w:val="000000"/>
                <w:sz w:val="20"/>
                <w:szCs w:val="20"/>
              </w:rPr>
            </w:pPr>
            <w:r>
              <w:rPr>
                <w:color w:val="000000"/>
                <w:sz w:val="20"/>
                <w:szCs w:val="20"/>
              </w:rPr>
              <w:t> </w:t>
            </w:r>
          </w:p>
        </w:tc>
        <w:tc>
          <w:tcPr>
            <w:tcW w:w="356" w:type="pct"/>
            <w:tcBorders>
              <w:bottom w:val="single" w:sz="6" w:space="0" w:color="000000"/>
            </w:tcBorders>
            <w:tcMar>
              <w:top w:w="5" w:type="dxa"/>
              <w:left w:w="5" w:type="dxa"/>
              <w:bottom w:w="8" w:type="dxa"/>
              <w:right w:w="5" w:type="dxa"/>
            </w:tcMar>
            <w:vAlign w:val="bottom"/>
            <w:hideMark/>
          </w:tcPr>
          <w:p w14:paraId="3B7069FD" w14:textId="77777777" w:rsidR="00954279" w:rsidRDefault="00A66714">
            <w:pPr>
              <w:jc w:val="right"/>
              <w:rPr>
                <w:color w:val="000000"/>
                <w:sz w:val="20"/>
                <w:szCs w:val="20"/>
              </w:rPr>
            </w:pPr>
            <w:r>
              <w:rPr>
                <w:color w:val="000000"/>
                <w:sz w:val="20"/>
                <w:szCs w:val="20"/>
              </w:rPr>
              <w:t>-</w:t>
            </w:r>
          </w:p>
        </w:tc>
        <w:tc>
          <w:tcPr>
            <w:tcW w:w="34" w:type="pct"/>
            <w:noWrap/>
            <w:tcMar>
              <w:top w:w="5" w:type="dxa"/>
              <w:left w:w="5" w:type="dxa"/>
              <w:bottom w:w="20" w:type="dxa"/>
              <w:right w:w="5" w:type="dxa"/>
            </w:tcMar>
            <w:vAlign w:val="bottom"/>
            <w:hideMark/>
          </w:tcPr>
          <w:p w14:paraId="629EE454" w14:textId="77777777" w:rsidR="00954279" w:rsidRDefault="00A66714">
            <w:pPr>
              <w:rPr>
                <w:color w:val="000000"/>
                <w:sz w:val="20"/>
                <w:szCs w:val="20"/>
              </w:rPr>
            </w:pPr>
            <w:r>
              <w:rPr>
                <w:color w:val="000000"/>
                <w:sz w:val="20"/>
                <w:szCs w:val="20"/>
              </w:rPr>
              <w:t> </w:t>
            </w:r>
          </w:p>
        </w:tc>
        <w:tc>
          <w:tcPr>
            <w:tcW w:w="30" w:type="pct"/>
            <w:tcMar>
              <w:top w:w="5" w:type="dxa"/>
              <w:left w:w="5" w:type="dxa"/>
              <w:bottom w:w="20" w:type="dxa"/>
              <w:right w:w="5" w:type="dxa"/>
            </w:tcMar>
            <w:vAlign w:val="bottom"/>
            <w:hideMark/>
          </w:tcPr>
          <w:p w14:paraId="04AA470E" w14:textId="77777777" w:rsidR="00954279" w:rsidRDefault="00A66714">
            <w:pPr>
              <w:rPr>
                <w:color w:val="000000"/>
                <w:sz w:val="20"/>
                <w:szCs w:val="20"/>
              </w:rPr>
            </w:pPr>
            <w:r>
              <w:rPr>
                <w:color w:val="000000"/>
                <w:sz w:val="20"/>
                <w:szCs w:val="20"/>
              </w:rPr>
              <w:t> </w:t>
            </w:r>
          </w:p>
        </w:tc>
        <w:tc>
          <w:tcPr>
            <w:tcW w:w="49" w:type="pct"/>
            <w:tcBorders>
              <w:bottom w:val="single" w:sz="6" w:space="0" w:color="000000"/>
            </w:tcBorders>
            <w:tcMar>
              <w:top w:w="5" w:type="dxa"/>
              <w:left w:w="5" w:type="dxa"/>
              <w:bottom w:w="8" w:type="dxa"/>
              <w:right w:w="5" w:type="dxa"/>
            </w:tcMar>
            <w:vAlign w:val="bottom"/>
            <w:hideMark/>
          </w:tcPr>
          <w:p w14:paraId="1374A414" w14:textId="77777777" w:rsidR="00954279" w:rsidRDefault="00A66714">
            <w:pPr>
              <w:rPr>
                <w:color w:val="000000"/>
                <w:sz w:val="20"/>
                <w:szCs w:val="20"/>
              </w:rPr>
            </w:pPr>
            <w:r>
              <w:rPr>
                <w:color w:val="000000"/>
                <w:sz w:val="20"/>
                <w:szCs w:val="20"/>
              </w:rPr>
              <w:t> </w:t>
            </w:r>
          </w:p>
        </w:tc>
        <w:tc>
          <w:tcPr>
            <w:tcW w:w="318" w:type="pct"/>
            <w:tcBorders>
              <w:bottom w:val="single" w:sz="6" w:space="0" w:color="000000"/>
            </w:tcBorders>
            <w:tcMar>
              <w:top w:w="5" w:type="dxa"/>
              <w:left w:w="5" w:type="dxa"/>
              <w:bottom w:w="8" w:type="dxa"/>
              <w:right w:w="5" w:type="dxa"/>
            </w:tcMar>
            <w:vAlign w:val="bottom"/>
            <w:hideMark/>
          </w:tcPr>
          <w:p w14:paraId="7CC74B62" w14:textId="77777777" w:rsidR="00954279" w:rsidRDefault="00A66714">
            <w:pPr>
              <w:jc w:val="right"/>
              <w:rPr>
                <w:color w:val="000000"/>
                <w:sz w:val="20"/>
                <w:szCs w:val="20"/>
              </w:rPr>
            </w:pPr>
            <w:r>
              <w:rPr>
                <w:color w:val="000000"/>
                <w:sz w:val="20"/>
                <w:szCs w:val="20"/>
              </w:rPr>
              <w:t>(6</w:t>
            </w:r>
          </w:p>
        </w:tc>
        <w:tc>
          <w:tcPr>
            <w:tcW w:w="34" w:type="pct"/>
            <w:noWrap/>
            <w:tcMar>
              <w:top w:w="5" w:type="dxa"/>
              <w:left w:w="5" w:type="dxa"/>
              <w:bottom w:w="20" w:type="dxa"/>
              <w:right w:w="5" w:type="dxa"/>
            </w:tcMar>
            <w:vAlign w:val="bottom"/>
            <w:hideMark/>
          </w:tcPr>
          <w:p w14:paraId="04A3F0AE" w14:textId="77777777" w:rsidR="00954279" w:rsidRDefault="00A66714">
            <w:pPr>
              <w:rPr>
                <w:color w:val="000000"/>
                <w:sz w:val="20"/>
                <w:szCs w:val="20"/>
              </w:rPr>
            </w:pPr>
            <w:r>
              <w:rPr>
                <w:color w:val="000000"/>
                <w:sz w:val="20"/>
                <w:szCs w:val="20"/>
              </w:rPr>
              <w:t>)</w:t>
            </w:r>
          </w:p>
        </w:tc>
        <w:tc>
          <w:tcPr>
            <w:tcW w:w="30" w:type="pct"/>
            <w:tcMar>
              <w:top w:w="5" w:type="dxa"/>
              <w:left w:w="5" w:type="dxa"/>
              <w:bottom w:w="20" w:type="dxa"/>
              <w:right w:w="5" w:type="dxa"/>
            </w:tcMar>
            <w:vAlign w:val="bottom"/>
            <w:hideMark/>
          </w:tcPr>
          <w:p w14:paraId="20550347" w14:textId="77777777" w:rsidR="00954279" w:rsidRDefault="00A66714">
            <w:pPr>
              <w:rPr>
                <w:color w:val="000000"/>
                <w:sz w:val="20"/>
                <w:szCs w:val="20"/>
              </w:rPr>
            </w:pPr>
            <w:r>
              <w:rPr>
                <w:color w:val="000000"/>
                <w:sz w:val="20"/>
                <w:szCs w:val="20"/>
              </w:rPr>
              <w:t> </w:t>
            </w:r>
          </w:p>
        </w:tc>
        <w:tc>
          <w:tcPr>
            <w:tcW w:w="33" w:type="pct"/>
            <w:tcBorders>
              <w:bottom w:val="single" w:sz="6" w:space="0" w:color="000000"/>
            </w:tcBorders>
            <w:tcMar>
              <w:top w:w="5" w:type="dxa"/>
              <w:left w:w="5" w:type="dxa"/>
              <w:bottom w:w="8" w:type="dxa"/>
              <w:right w:w="5" w:type="dxa"/>
            </w:tcMar>
            <w:vAlign w:val="bottom"/>
            <w:hideMark/>
          </w:tcPr>
          <w:p w14:paraId="786B79E1" w14:textId="77777777" w:rsidR="00954279" w:rsidRDefault="00A66714">
            <w:pPr>
              <w:rPr>
                <w:color w:val="000000"/>
                <w:sz w:val="20"/>
                <w:szCs w:val="20"/>
              </w:rPr>
            </w:pPr>
            <w:r>
              <w:rPr>
                <w:color w:val="000000"/>
                <w:sz w:val="20"/>
                <w:szCs w:val="20"/>
              </w:rPr>
              <w:t> </w:t>
            </w:r>
          </w:p>
        </w:tc>
        <w:tc>
          <w:tcPr>
            <w:tcW w:w="317" w:type="pct"/>
            <w:tcBorders>
              <w:bottom w:val="single" w:sz="6" w:space="0" w:color="000000"/>
            </w:tcBorders>
            <w:tcMar>
              <w:top w:w="5" w:type="dxa"/>
              <w:left w:w="5" w:type="dxa"/>
              <w:bottom w:w="8" w:type="dxa"/>
              <w:right w:w="5" w:type="dxa"/>
            </w:tcMar>
            <w:vAlign w:val="bottom"/>
            <w:hideMark/>
          </w:tcPr>
          <w:p w14:paraId="4E2FAAB1" w14:textId="77777777" w:rsidR="00954279" w:rsidRDefault="00A66714">
            <w:pPr>
              <w:jc w:val="right"/>
              <w:rPr>
                <w:color w:val="000000"/>
                <w:sz w:val="20"/>
                <w:szCs w:val="20"/>
              </w:rPr>
            </w:pPr>
            <w:r>
              <w:rPr>
                <w:color w:val="000000"/>
                <w:sz w:val="20"/>
                <w:szCs w:val="20"/>
              </w:rPr>
              <w:t>-</w:t>
            </w:r>
          </w:p>
        </w:tc>
        <w:tc>
          <w:tcPr>
            <w:tcW w:w="34" w:type="pct"/>
            <w:noWrap/>
            <w:tcMar>
              <w:top w:w="5" w:type="dxa"/>
              <w:left w:w="5" w:type="dxa"/>
              <w:bottom w:w="20" w:type="dxa"/>
              <w:right w:w="5" w:type="dxa"/>
            </w:tcMar>
            <w:vAlign w:val="bottom"/>
            <w:hideMark/>
          </w:tcPr>
          <w:p w14:paraId="15B42F2E" w14:textId="77777777" w:rsidR="00954279" w:rsidRDefault="00A66714">
            <w:pPr>
              <w:rPr>
                <w:color w:val="000000"/>
                <w:sz w:val="20"/>
                <w:szCs w:val="20"/>
              </w:rPr>
            </w:pPr>
            <w:r>
              <w:rPr>
                <w:color w:val="000000"/>
                <w:sz w:val="20"/>
                <w:szCs w:val="20"/>
              </w:rPr>
              <w:t> </w:t>
            </w:r>
          </w:p>
        </w:tc>
        <w:tc>
          <w:tcPr>
            <w:tcW w:w="30" w:type="pct"/>
            <w:tcMar>
              <w:top w:w="5" w:type="dxa"/>
              <w:left w:w="5" w:type="dxa"/>
              <w:bottom w:w="20" w:type="dxa"/>
              <w:right w:w="5" w:type="dxa"/>
            </w:tcMar>
            <w:vAlign w:val="bottom"/>
            <w:hideMark/>
          </w:tcPr>
          <w:p w14:paraId="3C82BA3F" w14:textId="77777777" w:rsidR="00954279" w:rsidRDefault="00A66714">
            <w:pPr>
              <w:rPr>
                <w:color w:val="000000"/>
                <w:sz w:val="20"/>
                <w:szCs w:val="20"/>
              </w:rPr>
            </w:pPr>
            <w:r>
              <w:rPr>
                <w:color w:val="000000"/>
                <w:sz w:val="20"/>
                <w:szCs w:val="20"/>
              </w:rPr>
              <w:t> </w:t>
            </w:r>
          </w:p>
        </w:tc>
        <w:tc>
          <w:tcPr>
            <w:tcW w:w="49" w:type="pct"/>
            <w:tcBorders>
              <w:bottom w:val="single" w:sz="6" w:space="0" w:color="000000"/>
            </w:tcBorders>
            <w:tcMar>
              <w:top w:w="5" w:type="dxa"/>
              <w:left w:w="5" w:type="dxa"/>
              <w:bottom w:w="8" w:type="dxa"/>
              <w:right w:w="5" w:type="dxa"/>
            </w:tcMar>
            <w:vAlign w:val="bottom"/>
            <w:hideMark/>
          </w:tcPr>
          <w:p w14:paraId="7E2FE81D" w14:textId="77777777" w:rsidR="00954279" w:rsidRDefault="00A66714">
            <w:pPr>
              <w:rPr>
                <w:color w:val="000000"/>
                <w:sz w:val="20"/>
                <w:szCs w:val="20"/>
              </w:rPr>
            </w:pPr>
            <w:r>
              <w:rPr>
                <w:color w:val="000000"/>
                <w:sz w:val="20"/>
                <w:szCs w:val="20"/>
              </w:rPr>
              <w:t> </w:t>
            </w:r>
          </w:p>
        </w:tc>
        <w:tc>
          <w:tcPr>
            <w:tcW w:w="318" w:type="pct"/>
            <w:tcBorders>
              <w:bottom w:val="single" w:sz="6" w:space="0" w:color="000000"/>
            </w:tcBorders>
            <w:tcMar>
              <w:top w:w="5" w:type="dxa"/>
              <w:left w:w="5" w:type="dxa"/>
              <w:bottom w:w="8" w:type="dxa"/>
              <w:right w:w="5" w:type="dxa"/>
            </w:tcMar>
            <w:vAlign w:val="bottom"/>
            <w:hideMark/>
          </w:tcPr>
          <w:p w14:paraId="0EE88997" w14:textId="77777777" w:rsidR="00954279" w:rsidRDefault="00A66714">
            <w:pPr>
              <w:jc w:val="right"/>
              <w:rPr>
                <w:color w:val="000000"/>
                <w:sz w:val="20"/>
                <w:szCs w:val="20"/>
              </w:rPr>
            </w:pPr>
            <w:r>
              <w:rPr>
                <w:color w:val="000000"/>
                <w:sz w:val="20"/>
                <w:szCs w:val="20"/>
              </w:rPr>
              <w:t>-</w:t>
            </w:r>
          </w:p>
        </w:tc>
        <w:tc>
          <w:tcPr>
            <w:tcW w:w="34" w:type="pct"/>
            <w:noWrap/>
            <w:tcMar>
              <w:top w:w="5" w:type="dxa"/>
              <w:left w:w="5" w:type="dxa"/>
              <w:bottom w:w="20" w:type="dxa"/>
              <w:right w:w="5" w:type="dxa"/>
            </w:tcMar>
            <w:vAlign w:val="bottom"/>
            <w:hideMark/>
          </w:tcPr>
          <w:p w14:paraId="09F30C72" w14:textId="77777777" w:rsidR="00954279" w:rsidRDefault="00A66714">
            <w:pPr>
              <w:rPr>
                <w:color w:val="000000"/>
                <w:sz w:val="20"/>
                <w:szCs w:val="20"/>
              </w:rPr>
            </w:pPr>
            <w:r>
              <w:rPr>
                <w:color w:val="000000"/>
                <w:sz w:val="20"/>
                <w:szCs w:val="20"/>
              </w:rPr>
              <w:t> </w:t>
            </w:r>
          </w:p>
        </w:tc>
        <w:tc>
          <w:tcPr>
            <w:tcW w:w="30" w:type="pct"/>
            <w:tcMar>
              <w:top w:w="5" w:type="dxa"/>
              <w:left w:w="5" w:type="dxa"/>
              <w:bottom w:w="20" w:type="dxa"/>
              <w:right w:w="5" w:type="dxa"/>
            </w:tcMar>
            <w:vAlign w:val="bottom"/>
            <w:hideMark/>
          </w:tcPr>
          <w:p w14:paraId="4C3139CB" w14:textId="77777777" w:rsidR="00954279" w:rsidRDefault="00A66714">
            <w:pPr>
              <w:rPr>
                <w:color w:val="000000"/>
                <w:sz w:val="20"/>
                <w:szCs w:val="20"/>
              </w:rPr>
            </w:pPr>
            <w:r>
              <w:rPr>
                <w:color w:val="000000"/>
                <w:sz w:val="20"/>
                <w:szCs w:val="20"/>
              </w:rPr>
              <w:t> </w:t>
            </w:r>
          </w:p>
        </w:tc>
        <w:tc>
          <w:tcPr>
            <w:tcW w:w="75" w:type="pct"/>
            <w:tcBorders>
              <w:bottom w:val="single" w:sz="6" w:space="0" w:color="000000"/>
            </w:tcBorders>
            <w:tcMar>
              <w:top w:w="5" w:type="dxa"/>
              <w:left w:w="5" w:type="dxa"/>
              <w:bottom w:w="8" w:type="dxa"/>
              <w:right w:w="5" w:type="dxa"/>
            </w:tcMar>
            <w:vAlign w:val="bottom"/>
            <w:hideMark/>
          </w:tcPr>
          <w:p w14:paraId="17830C6C" w14:textId="77777777" w:rsidR="00954279" w:rsidRDefault="00A66714">
            <w:pPr>
              <w:rPr>
                <w:color w:val="000000"/>
                <w:sz w:val="20"/>
                <w:szCs w:val="20"/>
              </w:rPr>
            </w:pPr>
            <w:r>
              <w:rPr>
                <w:color w:val="000000"/>
                <w:sz w:val="20"/>
                <w:szCs w:val="20"/>
              </w:rPr>
              <w:t> </w:t>
            </w:r>
          </w:p>
        </w:tc>
        <w:tc>
          <w:tcPr>
            <w:tcW w:w="520" w:type="pct"/>
            <w:tcBorders>
              <w:bottom w:val="single" w:sz="6" w:space="0" w:color="000000"/>
            </w:tcBorders>
            <w:tcMar>
              <w:top w:w="5" w:type="dxa"/>
              <w:left w:w="5" w:type="dxa"/>
              <w:bottom w:w="8" w:type="dxa"/>
              <w:right w:w="5" w:type="dxa"/>
            </w:tcMar>
            <w:vAlign w:val="bottom"/>
            <w:hideMark/>
          </w:tcPr>
          <w:p w14:paraId="19803F63" w14:textId="77777777" w:rsidR="00954279" w:rsidRDefault="00A66714">
            <w:pPr>
              <w:jc w:val="right"/>
              <w:rPr>
                <w:color w:val="000000"/>
                <w:sz w:val="20"/>
                <w:szCs w:val="20"/>
              </w:rPr>
            </w:pPr>
            <w:r>
              <w:rPr>
                <w:color w:val="000000"/>
                <w:sz w:val="20"/>
                <w:szCs w:val="20"/>
              </w:rPr>
              <w:t>-</w:t>
            </w:r>
          </w:p>
        </w:tc>
        <w:tc>
          <w:tcPr>
            <w:tcW w:w="34" w:type="pct"/>
            <w:noWrap/>
            <w:tcMar>
              <w:top w:w="5" w:type="dxa"/>
              <w:left w:w="5" w:type="dxa"/>
              <w:bottom w:w="20" w:type="dxa"/>
              <w:right w:w="5" w:type="dxa"/>
            </w:tcMar>
            <w:vAlign w:val="bottom"/>
            <w:hideMark/>
          </w:tcPr>
          <w:p w14:paraId="680C7C9F" w14:textId="77777777" w:rsidR="00954279" w:rsidRDefault="00A66714">
            <w:pPr>
              <w:rPr>
                <w:color w:val="000000"/>
                <w:sz w:val="20"/>
                <w:szCs w:val="20"/>
              </w:rPr>
            </w:pPr>
            <w:r>
              <w:rPr>
                <w:color w:val="000000"/>
                <w:sz w:val="20"/>
                <w:szCs w:val="20"/>
              </w:rPr>
              <w:t> </w:t>
            </w:r>
          </w:p>
        </w:tc>
        <w:tc>
          <w:tcPr>
            <w:tcW w:w="31" w:type="pct"/>
            <w:tcMar>
              <w:top w:w="5" w:type="dxa"/>
              <w:left w:w="5" w:type="dxa"/>
              <w:bottom w:w="20" w:type="dxa"/>
              <w:right w:w="5" w:type="dxa"/>
            </w:tcMar>
            <w:vAlign w:val="bottom"/>
            <w:hideMark/>
          </w:tcPr>
          <w:p w14:paraId="4215E0CA" w14:textId="77777777" w:rsidR="00954279" w:rsidRDefault="00A66714">
            <w:pPr>
              <w:rPr>
                <w:color w:val="000000"/>
                <w:sz w:val="20"/>
                <w:szCs w:val="20"/>
              </w:rPr>
            </w:pPr>
            <w:r>
              <w:rPr>
                <w:color w:val="000000"/>
                <w:sz w:val="20"/>
                <w:szCs w:val="20"/>
              </w:rPr>
              <w:t> </w:t>
            </w:r>
          </w:p>
        </w:tc>
        <w:tc>
          <w:tcPr>
            <w:tcW w:w="65" w:type="pct"/>
            <w:tcBorders>
              <w:bottom w:val="single" w:sz="6" w:space="0" w:color="000000"/>
            </w:tcBorders>
            <w:tcMar>
              <w:top w:w="5" w:type="dxa"/>
              <w:left w:w="5" w:type="dxa"/>
              <w:bottom w:w="8" w:type="dxa"/>
              <w:right w:w="5" w:type="dxa"/>
            </w:tcMar>
            <w:vAlign w:val="bottom"/>
            <w:hideMark/>
          </w:tcPr>
          <w:p w14:paraId="5C5D76FA" w14:textId="77777777" w:rsidR="00954279" w:rsidRDefault="00A66714">
            <w:pPr>
              <w:rPr>
                <w:color w:val="000000"/>
                <w:sz w:val="20"/>
                <w:szCs w:val="20"/>
              </w:rPr>
            </w:pPr>
            <w:r>
              <w:rPr>
                <w:color w:val="000000"/>
                <w:sz w:val="20"/>
                <w:szCs w:val="20"/>
              </w:rPr>
              <w:t> </w:t>
            </w:r>
          </w:p>
        </w:tc>
        <w:tc>
          <w:tcPr>
            <w:tcW w:w="455" w:type="pct"/>
            <w:tcBorders>
              <w:bottom w:val="single" w:sz="6" w:space="0" w:color="000000"/>
            </w:tcBorders>
            <w:tcMar>
              <w:top w:w="5" w:type="dxa"/>
              <w:left w:w="5" w:type="dxa"/>
              <w:bottom w:w="8" w:type="dxa"/>
              <w:right w:w="5" w:type="dxa"/>
            </w:tcMar>
            <w:vAlign w:val="bottom"/>
            <w:hideMark/>
          </w:tcPr>
          <w:p w14:paraId="08AA4D9C" w14:textId="77777777" w:rsidR="00954279" w:rsidRDefault="00A66714">
            <w:pPr>
              <w:jc w:val="right"/>
              <w:rPr>
                <w:color w:val="000000"/>
                <w:sz w:val="20"/>
                <w:szCs w:val="20"/>
              </w:rPr>
            </w:pPr>
            <w:r>
              <w:rPr>
                <w:color w:val="000000"/>
                <w:sz w:val="20"/>
                <w:szCs w:val="20"/>
              </w:rPr>
              <w:t>(6</w:t>
            </w:r>
          </w:p>
        </w:tc>
        <w:tc>
          <w:tcPr>
            <w:tcW w:w="34" w:type="pct"/>
            <w:noWrap/>
            <w:tcMar>
              <w:top w:w="5" w:type="dxa"/>
              <w:left w:w="5" w:type="dxa"/>
              <w:bottom w:w="20" w:type="dxa"/>
              <w:right w:w="5" w:type="dxa"/>
            </w:tcMar>
            <w:vAlign w:val="bottom"/>
            <w:hideMark/>
          </w:tcPr>
          <w:p w14:paraId="087005A9" w14:textId="77777777" w:rsidR="00954279" w:rsidRDefault="00A66714">
            <w:pPr>
              <w:rPr>
                <w:color w:val="000000"/>
                <w:sz w:val="20"/>
                <w:szCs w:val="20"/>
              </w:rPr>
            </w:pPr>
            <w:r>
              <w:rPr>
                <w:color w:val="000000"/>
                <w:sz w:val="20"/>
                <w:szCs w:val="20"/>
              </w:rPr>
              <w:t>)</w:t>
            </w:r>
          </w:p>
        </w:tc>
      </w:tr>
      <w:tr w:rsidR="00717712" w14:paraId="656E871B" w14:textId="77777777" w:rsidTr="00717712">
        <w:tc>
          <w:tcPr>
            <w:tcW w:w="1163" w:type="pct"/>
            <w:tcMar>
              <w:top w:w="5" w:type="dxa"/>
              <w:left w:w="5" w:type="dxa"/>
              <w:bottom w:w="5" w:type="dxa"/>
              <w:right w:w="5" w:type="dxa"/>
            </w:tcMar>
            <w:vAlign w:val="bottom"/>
            <w:hideMark/>
          </w:tcPr>
          <w:p w14:paraId="295C90A5" w14:textId="77777777" w:rsidR="00954279" w:rsidRDefault="00A66714">
            <w:pPr>
              <w:rPr>
                <w:color w:val="000000"/>
                <w:sz w:val="20"/>
                <w:szCs w:val="20"/>
              </w:rPr>
            </w:pPr>
            <w:r>
              <w:rPr>
                <w:color w:val="000000"/>
                <w:sz w:val="20"/>
                <w:szCs w:val="20"/>
              </w:rPr>
              <w:t>Balance at March 31, 2020</w:t>
            </w:r>
          </w:p>
        </w:tc>
        <w:tc>
          <w:tcPr>
            <w:tcW w:w="31" w:type="pct"/>
            <w:tcMar>
              <w:top w:w="5" w:type="dxa"/>
              <w:left w:w="5" w:type="dxa"/>
              <w:bottom w:w="5" w:type="dxa"/>
              <w:right w:w="5" w:type="dxa"/>
            </w:tcMar>
            <w:vAlign w:val="bottom"/>
            <w:hideMark/>
          </w:tcPr>
          <w:p w14:paraId="5F25D910" w14:textId="77777777" w:rsidR="00954279" w:rsidRDefault="00A66714">
            <w:pPr>
              <w:rPr>
                <w:color w:val="000000"/>
                <w:sz w:val="20"/>
                <w:szCs w:val="20"/>
              </w:rPr>
            </w:pPr>
            <w:r>
              <w:rPr>
                <w:color w:val="000000"/>
                <w:sz w:val="20"/>
                <w:szCs w:val="20"/>
              </w:rPr>
              <w:t> </w:t>
            </w:r>
          </w:p>
        </w:tc>
        <w:tc>
          <w:tcPr>
            <w:tcW w:w="32" w:type="pct"/>
            <w:tcBorders>
              <w:bottom w:val="double" w:sz="6" w:space="0" w:color="000000"/>
            </w:tcBorders>
            <w:tcMar>
              <w:top w:w="5" w:type="dxa"/>
              <w:left w:w="5" w:type="dxa"/>
              <w:bottom w:w="22" w:type="dxa"/>
              <w:right w:w="5" w:type="dxa"/>
            </w:tcMar>
            <w:vAlign w:val="bottom"/>
            <w:hideMark/>
          </w:tcPr>
          <w:p w14:paraId="4A0533D2" w14:textId="77777777" w:rsidR="00954279" w:rsidRDefault="00A66714">
            <w:pPr>
              <w:rPr>
                <w:color w:val="000000"/>
                <w:sz w:val="20"/>
                <w:szCs w:val="20"/>
              </w:rPr>
            </w:pPr>
            <w:r>
              <w:rPr>
                <w:color w:val="000000"/>
                <w:sz w:val="20"/>
                <w:szCs w:val="20"/>
              </w:rPr>
              <w:t> </w:t>
            </w:r>
          </w:p>
        </w:tc>
        <w:tc>
          <w:tcPr>
            <w:tcW w:w="317" w:type="pct"/>
            <w:tcBorders>
              <w:bottom w:val="double" w:sz="6" w:space="0" w:color="000000"/>
            </w:tcBorders>
            <w:tcMar>
              <w:top w:w="5" w:type="dxa"/>
              <w:left w:w="5" w:type="dxa"/>
              <w:bottom w:w="22" w:type="dxa"/>
              <w:right w:w="5" w:type="dxa"/>
            </w:tcMar>
            <w:vAlign w:val="bottom"/>
            <w:hideMark/>
          </w:tcPr>
          <w:p w14:paraId="44A1E68A" w14:textId="77777777" w:rsidR="00954279" w:rsidRDefault="00A66714">
            <w:pPr>
              <w:jc w:val="right"/>
              <w:rPr>
                <w:color w:val="000000"/>
                <w:sz w:val="20"/>
                <w:szCs w:val="20"/>
              </w:rPr>
            </w:pPr>
            <w:r>
              <w:rPr>
                <w:color w:val="000000"/>
                <w:sz w:val="20"/>
                <w:szCs w:val="20"/>
              </w:rPr>
              <w:t>106</w:t>
            </w:r>
          </w:p>
        </w:tc>
        <w:tc>
          <w:tcPr>
            <w:tcW w:w="31" w:type="pct"/>
            <w:noWrap/>
            <w:tcMar>
              <w:top w:w="5" w:type="dxa"/>
              <w:left w:w="5" w:type="dxa"/>
              <w:bottom w:w="50" w:type="dxa"/>
              <w:right w:w="5" w:type="dxa"/>
            </w:tcMar>
            <w:vAlign w:val="bottom"/>
            <w:hideMark/>
          </w:tcPr>
          <w:p w14:paraId="12162184" w14:textId="77777777" w:rsidR="00954279" w:rsidRDefault="00A66714">
            <w:pPr>
              <w:rPr>
                <w:color w:val="000000"/>
                <w:sz w:val="20"/>
                <w:szCs w:val="20"/>
              </w:rPr>
            </w:pPr>
            <w:r>
              <w:rPr>
                <w:color w:val="000000"/>
                <w:sz w:val="20"/>
                <w:szCs w:val="20"/>
              </w:rPr>
              <w:t> </w:t>
            </w:r>
          </w:p>
        </w:tc>
        <w:tc>
          <w:tcPr>
            <w:tcW w:w="31" w:type="pct"/>
            <w:tcMar>
              <w:top w:w="5" w:type="dxa"/>
              <w:left w:w="5" w:type="dxa"/>
              <w:bottom w:w="5" w:type="dxa"/>
              <w:right w:w="5" w:type="dxa"/>
            </w:tcMar>
            <w:vAlign w:val="bottom"/>
            <w:hideMark/>
          </w:tcPr>
          <w:p w14:paraId="76106F36" w14:textId="77777777" w:rsidR="00954279" w:rsidRDefault="00A66714">
            <w:pPr>
              <w:rPr>
                <w:color w:val="000000"/>
                <w:sz w:val="20"/>
                <w:szCs w:val="20"/>
              </w:rPr>
            </w:pPr>
            <w:r>
              <w:rPr>
                <w:color w:val="000000"/>
                <w:sz w:val="20"/>
                <w:szCs w:val="20"/>
              </w:rPr>
              <w:t> </w:t>
            </w:r>
          </w:p>
        </w:tc>
        <w:tc>
          <w:tcPr>
            <w:tcW w:w="49" w:type="pct"/>
            <w:tcBorders>
              <w:bottom w:val="double" w:sz="6" w:space="0" w:color="000000"/>
            </w:tcBorders>
            <w:tcMar>
              <w:top w:w="5" w:type="dxa"/>
              <w:left w:w="5" w:type="dxa"/>
              <w:bottom w:w="22" w:type="dxa"/>
              <w:right w:w="5" w:type="dxa"/>
            </w:tcMar>
            <w:vAlign w:val="bottom"/>
            <w:hideMark/>
          </w:tcPr>
          <w:p w14:paraId="6F87558A" w14:textId="77777777" w:rsidR="00954279" w:rsidRDefault="00A66714">
            <w:pPr>
              <w:rPr>
                <w:color w:val="000000"/>
                <w:sz w:val="20"/>
                <w:szCs w:val="20"/>
              </w:rPr>
            </w:pPr>
            <w:r>
              <w:rPr>
                <w:color w:val="000000"/>
                <w:sz w:val="20"/>
                <w:szCs w:val="20"/>
              </w:rPr>
              <w:t>$</w:t>
            </w:r>
          </w:p>
        </w:tc>
        <w:tc>
          <w:tcPr>
            <w:tcW w:w="318" w:type="pct"/>
            <w:tcBorders>
              <w:bottom w:val="double" w:sz="6" w:space="0" w:color="000000"/>
            </w:tcBorders>
            <w:tcMar>
              <w:top w:w="5" w:type="dxa"/>
              <w:left w:w="5" w:type="dxa"/>
              <w:bottom w:w="22" w:type="dxa"/>
              <w:right w:w="5" w:type="dxa"/>
            </w:tcMar>
            <w:vAlign w:val="bottom"/>
            <w:hideMark/>
          </w:tcPr>
          <w:p w14:paraId="35E970C4" w14:textId="77777777" w:rsidR="00954279" w:rsidRDefault="00A66714">
            <w:pPr>
              <w:jc w:val="right"/>
              <w:rPr>
                <w:color w:val="000000"/>
                <w:sz w:val="20"/>
                <w:szCs w:val="20"/>
              </w:rPr>
            </w:pPr>
            <w:r>
              <w:rPr>
                <w:color w:val="000000"/>
                <w:sz w:val="20"/>
                <w:szCs w:val="20"/>
              </w:rPr>
              <w:t>1</w:t>
            </w:r>
          </w:p>
        </w:tc>
        <w:tc>
          <w:tcPr>
            <w:tcW w:w="32" w:type="pct"/>
            <w:noWrap/>
            <w:tcMar>
              <w:top w:w="5" w:type="dxa"/>
              <w:left w:w="5" w:type="dxa"/>
              <w:bottom w:w="50" w:type="dxa"/>
              <w:right w:w="5" w:type="dxa"/>
            </w:tcMar>
            <w:vAlign w:val="bottom"/>
            <w:hideMark/>
          </w:tcPr>
          <w:p w14:paraId="5797DCC1" w14:textId="77777777" w:rsidR="00954279" w:rsidRDefault="00A66714">
            <w:pPr>
              <w:rPr>
                <w:color w:val="000000"/>
                <w:sz w:val="20"/>
                <w:szCs w:val="20"/>
              </w:rPr>
            </w:pPr>
            <w:r>
              <w:rPr>
                <w:color w:val="000000"/>
                <w:sz w:val="20"/>
                <w:szCs w:val="20"/>
              </w:rPr>
              <w:t> </w:t>
            </w:r>
          </w:p>
        </w:tc>
        <w:tc>
          <w:tcPr>
            <w:tcW w:w="32" w:type="pct"/>
            <w:tcMar>
              <w:top w:w="5" w:type="dxa"/>
              <w:left w:w="5" w:type="dxa"/>
              <w:bottom w:w="5" w:type="dxa"/>
              <w:right w:w="5" w:type="dxa"/>
            </w:tcMar>
            <w:vAlign w:val="bottom"/>
            <w:hideMark/>
          </w:tcPr>
          <w:p w14:paraId="77FCB1E0" w14:textId="77777777" w:rsidR="00954279" w:rsidRDefault="00A66714">
            <w:pPr>
              <w:rPr>
                <w:color w:val="000000"/>
                <w:sz w:val="20"/>
                <w:szCs w:val="20"/>
              </w:rPr>
            </w:pPr>
            <w:r>
              <w:rPr>
                <w:color w:val="000000"/>
                <w:sz w:val="20"/>
                <w:szCs w:val="20"/>
              </w:rPr>
              <w:t> </w:t>
            </w:r>
          </w:p>
        </w:tc>
        <w:tc>
          <w:tcPr>
            <w:tcW w:w="52" w:type="pct"/>
            <w:tcBorders>
              <w:bottom w:val="double" w:sz="6" w:space="0" w:color="000000"/>
            </w:tcBorders>
            <w:tcMar>
              <w:top w:w="5" w:type="dxa"/>
              <w:left w:w="5" w:type="dxa"/>
              <w:bottom w:w="22" w:type="dxa"/>
              <w:right w:w="5" w:type="dxa"/>
            </w:tcMar>
            <w:vAlign w:val="bottom"/>
            <w:hideMark/>
          </w:tcPr>
          <w:p w14:paraId="3440CF71" w14:textId="77777777" w:rsidR="00954279" w:rsidRDefault="00A66714">
            <w:pPr>
              <w:rPr>
                <w:color w:val="000000"/>
                <w:sz w:val="20"/>
                <w:szCs w:val="20"/>
              </w:rPr>
            </w:pPr>
            <w:r>
              <w:rPr>
                <w:color w:val="000000"/>
                <w:sz w:val="20"/>
                <w:szCs w:val="20"/>
              </w:rPr>
              <w:t>$</w:t>
            </w:r>
          </w:p>
        </w:tc>
        <w:tc>
          <w:tcPr>
            <w:tcW w:w="356" w:type="pct"/>
            <w:tcBorders>
              <w:bottom w:val="double" w:sz="6" w:space="0" w:color="000000"/>
            </w:tcBorders>
            <w:tcMar>
              <w:top w:w="5" w:type="dxa"/>
              <w:left w:w="5" w:type="dxa"/>
              <w:bottom w:w="22" w:type="dxa"/>
              <w:right w:w="5" w:type="dxa"/>
            </w:tcMar>
            <w:vAlign w:val="bottom"/>
            <w:hideMark/>
          </w:tcPr>
          <w:p w14:paraId="3562FFA3" w14:textId="77777777" w:rsidR="00954279" w:rsidRDefault="00A66714">
            <w:pPr>
              <w:jc w:val="right"/>
              <w:rPr>
                <w:color w:val="000000"/>
                <w:sz w:val="20"/>
                <w:szCs w:val="20"/>
              </w:rPr>
            </w:pPr>
            <w:r>
              <w:rPr>
                <w:color w:val="000000"/>
                <w:sz w:val="20"/>
                <w:szCs w:val="20"/>
              </w:rPr>
              <w:t>1,730</w:t>
            </w:r>
          </w:p>
        </w:tc>
        <w:tc>
          <w:tcPr>
            <w:tcW w:w="34" w:type="pct"/>
            <w:noWrap/>
            <w:tcMar>
              <w:top w:w="5" w:type="dxa"/>
              <w:left w:w="5" w:type="dxa"/>
              <w:bottom w:w="50" w:type="dxa"/>
              <w:right w:w="5" w:type="dxa"/>
            </w:tcMar>
            <w:vAlign w:val="bottom"/>
            <w:hideMark/>
          </w:tcPr>
          <w:p w14:paraId="31F5E509" w14:textId="77777777" w:rsidR="00954279" w:rsidRDefault="00A66714">
            <w:pPr>
              <w:rPr>
                <w:color w:val="000000"/>
                <w:sz w:val="20"/>
                <w:szCs w:val="20"/>
              </w:rPr>
            </w:pPr>
            <w:r>
              <w:rPr>
                <w:color w:val="000000"/>
                <w:sz w:val="20"/>
                <w:szCs w:val="20"/>
              </w:rPr>
              <w:t> </w:t>
            </w:r>
          </w:p>
        </w:tc>
        <w:tc>
          <w:tcPr>
            <w:tcW w:w="30" w:type="pct"/>
            <w:tcMar>
              <w:top w:w="5" w:type="dxa"/>
              <w:left w:w="5" w:type="dxa"/>
              <w:bottom w:w="5" w:type="dxa"/>
              <w:right w:w="5" w:type="dxa"/>
            </w:tcMar>
            <w:vAlign w:val="bottom"/>
            <w:hideMark/>
          </w:tcPr>
          <w:p w14:paraId="4160556C" w14:textId="77777777" w:rsidR="00954279" w:rsidRDefault="00A66714">
            <w:pPr>
              <w:rPr>
                <w:color w:val="000000"/>
                <w:sz w:val="20"/>
                <w:szCs w:val="20"/>
              </w:rPr>
            </w:pPr>
            <w:r>
              <w:rPr>
                <w:color w:val="000000"/>
                <w:sz w:val="20"/>
                <w:szCs w:val="20"/>
              </w:rPr>
              <w:t> </w:t>
            </w:r>
          </w:p>
        </w:tc>
        <w:tc>
          <w:tcPr>
            <w:tcW w:w="49" w:type="pct"/>
            <w:tcBorders>
              <w:bottom w:val="double" w:sz="6" w:space="0" w:color="000000"/>
            </w:tcBorders>
            <w:tcMar>
              <w:top w:w="5" w:type="dxa"/>
              <w:left w:w="5" w:type="dxa"/>
              <w:bottom w:w="22" w:type="dxa"/>
              <w:right w:w="5" w:type="dxa"/>
            </w:tcMar>
            <w:vAlign w:val="bottom"/>
            <w:hideMark/>
          </w:tcPr>
          <w:p w14:paraId="27B9F132" w14:textId="77777777" w:rsidR="00954279" w:rsidRDefault="00A66714">
            <w:pPr>
              <w:rPr>
                <w:color w:val="000000"/>
                <w:sz w:val="20"/>
                <w:szCs w:val="20"/>
              </w:rPr>
            </w:pPr>
            <w:r>
              <w:rPr>
                <w:color w:val="000000"/>
                <w:sz w:val="20"/>
                <w:szCs w:val="20"/>
              </w:rPr>
              <w:t>$</w:t>
            </w:r>
          </w:p>
        </w:tc>
        <w:tc>
          <w:tcPr>
            <w:tcW w:w="318" w:type="pct"/>
            <w:tcBorders>
              <w:bottom w:val="double" w:sz="6" w:space="0" w:color="000000"/>
            </w:tcBorders>
            <w:tcMar>
              <w:top w:w="5" w:type="dxa"/>
              <w:left w:w="5" w:type="dxa"/>
              <w:bottom w:w="22" w:type="dxa"/>
              <w:right w:w="5" w:type="dxa"/>
            </w:tcMar>
            <w:vAlign w:val="bottom"/>
            <w:hideMark/>
          </w:tcPr>
          <w:p w14:paraId="2366C04A" w14:textId="77777777" w:rsidR="00954279" w:rsidRDefault="00A66714">
            <w:pPr>
              <w:jc w:val="right"/>
              <w:rPr>
                <w:color w:val="000000"/>
                <w:sz w:val="20"/>
                <w:szCs w:val="20"/>
              </w:rPr>
            </w:pPr>
            <w:r>
              <w:rPr>
                <w:color w:val="000000"/>
                <w:sz w:val="20"/>
                <w:szCs w:val="20"/>
              </w:rPr>
              <w:t>(480</w:t>
            </w:r>
          </w:p>
        </w:tc>
        <w:tc>
          <w:tcPr>
            <w:tcW w:w="34" w:type="pct"/>
            <w:noWrap/>
            <w:tcMar>
              <w:top w:w="5" w:type="dxa"/>
              <w:left w:w="5" w:type="dxa"/>
              <w:bottom w:w="50" w:type="dxa"/>
              <w:right w:w="5" w:type="dxa"/>
            </w:tcMar>
            <w:vAlign w:val="bottom"/>
            <w:hideMark/>
          </w:tcPr>
          <w:p w14:paraId="37EBA868" w14:textId="77777777" w:rsidR="00954279" w:rsidRDefault="00A66714">
            <w:pPr>
              <w:rPr>
                <w:color w:val="000000"/>
                <w:sz w:val="20"/>
                <w:szCs w:val="20"/>
              </w:rPr>
            </w:pPr>
            <w:r>
              <w:rPr>
                <w:color w:val="000000"/>
                <w:sz w:val="20"/>
                <w:szCs w:val="20"/>
              </w:rPr>
              <w:t>)</w:t>
            </w:r>
          </w:p>
        </w:tc>
        <w:tc>
          <w:tcPr>
            <w:tcW w:w="30" w:type="pct"/>
            <w:tcMar>
              <w:top w:w="5" w:type="dxa"/>
              <w:left w:w="5" w:type="dxa"/>
              <w:bottom w:w="5" w:type="dxa"/>
              <w:right w:w="5" w:type="dxa"/>
            </w:tcMar>
            <w:vAlign w:val="bottom"/>
            <w:hideMark/>
          </w:tcPr>
          <w:p w14:paraId="66A8693B" w14:textId="77777777" w:rsidR="00954279" w:rsidRDefault="00A66714">
            <w:pPr>
              <w:rPr>
                <w:color w:val="000000"/>
                <w:sz w:val="20"/>
                <w:szCs w:val="20"/>
              </w:rPr>
            </w:pPr>
            <w:r>
              <w:rPr>
                <w:color w:val="000000"/>
                <w:sz w:val="20"/>
                <w:szCs w:val="20"/>
              </w:rPr>
              <w:t> </w:t>
            </w:r>
          </w:p>
        </w:tc>
        <w:tc>
          <w:tcPr>
            <w:tcW w:w="33" w:type="pct"/>
            <w:tcBorders>
              <w:bottom w:val="double" w:sz="6" w:space="0" w:color="000000"/>
            </w:tcBorders>
            <w:tcMar>
              <w:top w:w="5" w:type="dxa"/>
              <w:left w:w="5" w:type="dxa"/>
              <w:bottom w:w="22" w:type="dxa"/>
              <w:right w:w="5" w:type="dxa"/>
            </w:tcMar>
            <w:vAlign w:val="bottom"/>
            <w:hideMark/>
          </w:tcPr>
          <w:p w14:paraId="65D9F943" w14:textId="77777777" w:rsidR="00954279" w:rsidRDefault="00A66714">
            <w:pPr>
              <w:rPr>
                <w:color w:val="000000"/>
                <w:sz w:val="20"/>
                <w:szCs w:val="20"/>
              </w:rPr>
            </w:pPr>
            <w:r>
              <w:rPr>
                <w:color w:val="000000"/>
                <w:sz w:val="20"/>
                <w:szCs w:val="20"/>
              </w:rPr>
              <w:t> </w:t>
            </w:r>
          </w:p>
        </w:tc>
        <w:tc>
          <w:tcPr>
            <w:tcW w:w="317" w:type="pct"/>
            <w:tcBorders>
              <w:bottom w:val="double" w:sz="6" w:space="0" w:color="000000"/>
            </w:tcBorders>
            <w:tcMar>
              <w:top w:w="5" w:type="dxa"/>
              <w:left w:w="5" w:type="dxa"/>
              <w:bottom w:w="22" w:type="dxa"/>
              <w:right w:w="5" w:type="dxa"/>
            </w:tcMar>
            <w:vAlign w:val="bottom"/>
            <w:hideMark/>
          </w:tcPr>
          <w:p w14:paraId="763C70B4" w14:textId="77777777" w:rsidR="00954279" w:rsidRDefault="00A66714">
            <w:pPr>
              <w:jc w:val="right"/>
              <w:rPr>
                <w:color w:val="000000"/>
                <w:sz w:val="20"/>
                <w:szCs w:val="20"/>
              </w:rPr>
            </w:pPr>
            <w:r>
              <w:rPr>
                <w:color w:val="000000"/>
                <w:sz w:val="20"/>
                <w:szCs w:val="20"/>
              </w:rPr>
              <w:t>(24</w:t>
            </w:r>
          </w:p>
        </w:tc>
        <w:tc>
          <w:tcPr>
            <w:tcW w:w="34" w:type="pct"/>
            <w:noWrap/>
            <w:tcMar>
              <w:top w:w="5" w:type="dxa"/>
              <w:left w:w="5" w:type="dxa"/>
              <w:bottom w:w="50" w:type="dxa"/>
              <w:right w:w="5" w:type="dxa"/>
            </w:tcMar>
            <w:vAlign w:val="bottom"/>
            <w:hideMark/>
          </w:tcPr>
          <w:p w14:paraId="07BCA2C7" w14:textId="77777777" w:rsidR="00954279" w:rsidRDefault="00A66714">
            <w:pPr>
              <w:rPr>
                <w:color w:val="000000"/>
                <w:sz w:val="20"/>
                <w:szCs w:val="20"/>
              </w:rPr>
            </w:pPr>
            <w:r>
              <w:rPr>
                <w:color w:val="000000"/>
                <w:sz w:val="20"/>
                <w:szCs w:val="20"/>
              </w:rPr>
              <w:t>)</w:t>
            </w:r>
          </w:p>
        </w:tc>
        <w:tc>
          <w:tcPr>
            <w:tcW w:w="30" w:type="pct"/>
            <w:tcMar>
              <w:top w:w="5" w:type="dxa"/>
              <w:left w:w="5" w:type="dxa"/>
              <w:bottom w:w="5" w:type="dxa"/>
              <w:right w:w="5" w:type="dxa"/>
            </w:tcMar>
            <w:vAlign w:val="bottom"/>
            <w:hideMark/>
          </w:tcPr>
          <w:p w14:paraId="6ABD69A8" w14:textId="77777777" w:rsidR="00954279" w:rsidRDefault="00A66714">
            <w:pPr>
              <w:rPr>
                <w:color w:val="000000"/>
                <w:sz w:val="20"/>
                <w:szCs w:val="20"/>
              </w:rPr>
            </w:pPr>
            <w:r>
              <w:rPr>
                <w:color w:val="000000"/>
                <w:sz w:val="20"/>
                <w:szCs w:val="20"/>
              </w:rPr>
              <w:t> </w:t>
            </w:r>
          </w:p>
        </w:tc>
        <w:tc>
          <w:tcPr>
            <w:tcW w:w="49" w:type="pct"/>
            <w:tcBorders>
              <w:bottom w:val="double" w:sz="6" w:space="0" w:color="000000"/>
            </w:tcBorders>
            <w:tcMar>
              <w:top w:w="5" w:type="dxa"/>
              <w:left w:w="5" w:type="dxa"/>
              <w:bottom w:w="22" w:type="dxa"/>
              <w:right w:w="5" w:type="dxa"/>
            </w:tcMar>
            <w:vAlign w:val="bottom"/>
            <w:hideMark/>
          </w:tcPr>
          <w:p w14:paraId="7F8B492A" w14:textId="77777777" w:rsidR="00954279" w:rsidRDefault="00A66714">
            <w:pPr>
              <w:rPr>
                <w:color w:val="000000"/>
                <w:sz w:val="20"/>
                <w:szCs w:val="20"/>
              </w:rPr>
            </w:pPr>
            <w:r>
              <w:rPr>
                <w:color w:val="000000"/>
                <w:sz w:val="20"/>
                <w:szCs w:val="20"/>
              </w:rPr>
              <w:t>$</w:t>
            </w:r>
          </w:p>
        </w:tc>
        <w:tc>
          <w:tcPr>
            <w:tcW w:w="318" w:type="pct"/>
            <w:tcBorders>
              <w:bottom w:val="double" w:sz="6" w:space="0" w:color="000000"/>
            </w:tcBorders>
            <w:tcMar>
              <w:top w:w="5" w:type="dxa"/>
              <w:left w:w="5" w:type="dxa"/>
              <w:bottom w:w="22" w:type="dxa"/>
              <w:right w:w="5" w:type="dxa"/>
            </w:tcMar>
            <w:vAlign w:val="bottom"/>
            <w:hideMark/>
          </w:tcPr>
          <w:p w14:paraId="1D82C91F" w14:textId="77777777" w:rsidR="00954279" w:rsidRDefault="00A66714">
            <w:pPr>
              <w:jc w:val="right"/>
              <w:rPr>
                <w:color w:val="000000"/>
                <w:sz w:val="20"/>
                <w:szCs w:val="20"/>
              </w:rPr>
            </w:pPr>
            <w:r>
              <w:rPr>
                <w:color w:val="000000"/>
                <w:sz w:val="20"/>
                <w:szCs w:val="20"/>
              </w:rPr>
              <w:t>(375</w:t>
            </w:r>
          </w:p>
        </w:tc>
        <w:tc>
          <w:tcPr>
            <w:tcW w:w="34" w:type="pct"/>
            <w:noWrap/>
            <w:tcMar>
              <w:top w:w="5" w:type="dxa"/>
              <w:left w:w="5" w:type="dxa"/>
              <w:bottom w:w="50" w:type="dxa"/>
              <w:right w:w="5" w:type="dxa"/>
            </w:tcMar>
            <w:vAlign w:val="bottom"/>
            <w:hideMark/>
          </w:tcPr>
          <w:p w14:paraId="3D6A5D4A" w14:textId="77777777" w:rsidR="00954279" w:rsidRDefault="00A66714">
            <w:pPr>
              <w:rPr>
                <w:color w:val="000000"/>
                <w:sz w:val="20"/>
                <w:szCs w:val="20"/>
              </w:rPr>
            </w:pPr>
            <w:r>
              <w:rPr>
                <w:color w:val="000000"/>
                <w:sz w:val="20"/>
                <w:szCs w:val="20"/>
              </w:rPr>
              <w:t>)</w:t>
            </w:r>
          </w:p>
        </w:tc>
        <w:tc>
          <w:tcPr>
            <w:tcW w:w="30" w:type="pct"/>
            <w:tcMar>
              <w:top w:w="5" w:type="dxa"/>
              <w:left w:w="5" w:type="dxa"/>
              <w:bottom w:w="5" w:type="dxa"/>
              <w:right w:w="5" w:type="dxa"/>
            </w:tcMar>
            <w:vAlign w:val="bottom"/>
            <w:hideMark/>
          </w:tcPr>
          <w:p w14:paraId="3489AE1C" w14:textId="77777777" w:rsidR="00954279" w:rsidRDefault="00A66714">
            <w:pPr>
              <w:rPr>
                <w:color w:val="000000"/>
                <w:sz w:val="20"/>
                <w:szCs w:val="20"/>
              </w:rPr>
            </w:pPr>
            <w:r>
              <w:rPr>
                <w:color w:val="000000"/>
                <w:sz w:val="20"/>
                <w:szCs w:val="20"/>
              </w:rPr>
              <w:t> </w:t>
            </w:r>
          </w:p>
        </w:tc>
        <w:tc>
          <w:tcPr>
            <w:tcW w:w="75" w:type="pct"/>
            <w:tcBorders>
              <w:bottom w:val="double" w:sz="6" w:space="0" w:color="000000"/>
            </w:tcBorders>
            <w:tcMar>
              <w:top w:w="5" w:type="dxa"/>
              <w:left w:w="5" w:type="dxa"/>
              <w:bottom w:w="22" w:type="dxa"/>
              <w:right w:w="5" w:type="dxa"/>
            </w:tcMar>
            <w:vAlign w:val="bottom"/>
            <w:hideMark/>
          </w:tcPr>
          <w:p w14:paraId="20E933ED" w14:textId="77777777" w:rsidR="00954279" w:rsidRDefault="00A66714">
            <w:pPr>
              <w:rPr>
                <w:color w:val="000000"/>
                <w:sz w:val="20"/>
                <w:szCs w:val="20"/>
              </w:rPr>
            </w:pPr>
            <w:r>
              <w:rPr>
                <w:color w:val="000000"/>
                <w:sz w:val="20"/>
                <w:szCs w:val="20"/>
              </w:rPr>
              <w:t>$</w:t>
            </w:r>
          </w:p>
        </w:tc>
        <w:tc>
          <w:tcPr>
            <w:tcW w:w="520" w:type="pct"/>
            <w:tcBorders>
              <w:bottom w:val="double" w:sz="6" w:space="0" w:color="000000"/>
            </w:tcBorders>
            <w:tcMar>
              <w:top w:w="5" w:type="dxa"/>
              <w:left w:w="5" w:type="dxa"/>
              <w:bottom w:w="22" w:type="dxa"/>
              <w:right w:w="5" w:type="dxa"/>
            </w:tcMar>
            <w:vAlign w:val="bottom"/>
            <w:hideMark/>
          </w:tcPr>
          <w:p w14:paraId="2D79D714" w14:textId="77777777" w:rsidR="00954279" w:rsidRDefault="00A66714">
            <w:pPr>
              <w:jc w:val="right"/>
              <w:rPr>
                <w:color w:val="000000"/>
                <w:sz w:val="20"/>
                <w:szCs w:val="20"/>
              </w:rPr>
            </w:pPr>
            <w:r>
              <w:rPr>
                <w:color w:val="000000"/>
                <w:sz w:val="20"/>
                <w:szCs w:val="20"/>
              </w:rPr>
              <w:t>(259</w:t>
            </w:r>
          </w:p>
        </w:tc>
        <w:tc>
          <w:tcPr>
            <w:tcW w:w="34" w:type="pct"/>
            <w:noWrap/>
            <w:tcMar>
              <w:top w:w="5" w:type="dxa"/>
              <w:left w:w="5" w:type="dxa"/>
              <w:bottom w:w="50" w:type="dxa"/>
              <w:right w:w="5" w:type="dxa"/>
            </w:tcMar>
            <w:vAlign w:val="bottom"/>
            <w:hideMark/>
          </w:tcPr>
          <w:p w14:paraId="363CD4C9" w14:textId="77777777" w:rsidR="00954279" w:rsidRDefault="00A66714">
            <w:pPr>
              <w:rPr>
                <w:color w:val="000000"/>
                <w:sz w:val="20"/>
                <w:szCs w:val="20"/>
              </w:rPr>
            </w:pPr>
            <w:r>
              <w:rPr>
                <w:color w:val="000000"/>
                <w:sz w:val="20"/>
                <w:szCs w:val="20"/>
              </w:rPr>
              <w:t>)</w:t>
            </w:r>
          </w:p>
        </w:tc>
        <w:tc>
          <w:tcPr>
            <w:tcW w:w="31" w:type="pct"/>
            <w:tcMar>
              <w:top w:w="5" w:type="dxa"/>
              <w:left w:w="5" w:type="dxa"/>
              <w:bottom w:w="5" w:type="dxa"/>
              <w:right w:w="5" w:type="dxa"/>
            </w:tcMar>
            <w:vAlign w:val="bottom"/>
            <w:hideMark/>
          </w:tcPr>
          <w:p w14:paraId="56BBF78A" w14:textId="77777777" w:rsidR="00954279" w:rsidRDefault="00A66714">
            <w:pPr>
              <w:rPr>
                <w:color w:val="000000"/>
                <w:sz w:val="20"/>
                <w:szCs w:val="20"/>
              </w:rPr>
            </w:pPr>
            <w:r>
              <w:rPr>
                <w:color w:val="000000"/>
                <w:sz w:val="20"/>
                <w:szCs w:val="20"/>
              </w:rPr>
              <w:t> </w:t>
            </w:r>
          </w:p>
        </w:tc>
        <w:tc>
          <w:tcPr>
            <w:tcW w:w="65" w:type="pct"/>
            <w:tcBorders>
              <w:bottom w:val="double" w:sz="6" w:space="0" w:color="000000"/>
            </w:tcBorders>
            <w:tcMar>
              <w:top w:w="5" w:type="dxa"/>
              <w:left w:w="5" w:type="dxa"/>
              <w:bottom w:w="22" w:type="dxa"/>
              <w:right w:w="5" w:type="dxa"/>
            </w:tcMar>
            <w:vAlign w:val="bottom"/>
            <w:hideMark/>
          </w:tcPr>
          <w:p w14:paraId="04143EC8" w14:textId="77777777" w:rsidR="00954279" w:rsidRDefault="00A66714">
            <w:pPr>
              <w:rPr>
                <w:color w:val="000000"/>
                <w:sz w:val="20"/>
                <w:szCs w:val="20"/>
              </w:rPr>
            </w:pPr>
            <w:r>
              <w:rPr>
                <w:color w:val="000000"/>
                <w:sz w:val="20"/>
                <w:szCs w:val="20"/>
              </w:rPr>
              <w:t>$</w:t>
            </w:r>
          </w:p>
        </w:tc>
        <w:tc>
          <w:tcPr>
            <w:tcW w:w="455" w:type="pct"/>
            <w:tcBorders>
              <w:bottom w:val="double" w:sz="6" w:space="0" w:color="000000"/>
            </w:tcBorders>
            <w:tcMar>
              <w:top w:w="5" w:type="dxa"/>
              <w:left w:w="5" w:type="dxa"/>
              <w:bottom w:w="22" w:type="dxa"/>
              <w:right w:w="5" w:type="dxa"/>
            </w:tcMar>
            <w:vAlign w:val="bottom"/>
            <w:hideMark/>
          </w:tcPr>
          <w:p w14:paraId="17B92360" w14:textId="77777777" w:rsidR="00954279" w:rsidRDefault="00A66714">
            <w:pPr>
              <w:jc w:val="right"/>
              <w:rPr>
                <w:color w:val="000000"/>
                <w:sz w:val="20"/>
                <w:szCs w:val="20"/>
              </w:rPr>
            </w:pPr>
            <w:r>
              <w:rPr>
                <w:color w:val="000000"/>
                <w:sz w:val="20"/>
                <w:szCs w:val="20"/>
              </w:rPr>
              <w:t>617</w:t>
            </w:r>
          </w:p>
        </w:tc>
        <w:tc>
          <w:tcPr>
            <w:tcW w:w="34" w:type="pct"/>
            <w:noWrap/>
            <w:tcMar>
              <w:top w:w="5" w:type="dxa"/>
              <w:left w:w="5" w:type="dxa"/>
              <w:bottom w:w="50" w:type="dxa"/>
              <w:right w:w="5" w:type="dxa"/>
            </w:tcMar>
            <w:vAlign w:val="bottom"/>
            <w:hideMark/>
          </w:tcPr>
          <w:p w14:paraId="348ECD80" w14:textId="77777777" w:rsidR="00954279" w:rsidRDefault="00A66714">
            <w:pPr>
              <w:rPr>
                <w:color w:val="000000"/>
                <w:sz w:val="20"/>
                <w:szCs w:val="20"/>
              </w:rPr>
            </w:pPr>
            <w:r>
              <w:rPr>
                <w:color w:val="000000"/>
                <w:sz w:val="20"/>
                <w:szCs w:val="20"/>
              </w:rPr>
              <w:t> </w:t>
            </w:r>
          </w:p>
        </w:tc>
      </w:tr>
      <w:tr w:rsidR="00717712" w14:paraId="167A0D94" w14:textId="77777777" w:rsidTr="00717712">
        <w:tc>
          <w:tcPr>
            <w:tcW w:w="1163" w:type="pct"/>
            <w:tcMar>
              <w:top w:w="5" w:type="dxa"/>
              <w:left w:w="185" w:type="dxa"/>
              <w:bottom w:w="5" w:type="dxa"/>
              <w:right w:w="5" w:type="dxa"/>
            </w:tcMar>
            <w:vAlign w:val="bottom"/>
            <w:hideMark/>
          </w:tcPr>
          <w:p w14:paraId="5C420E51" w14:textId="77777777" w:rsidR="00954279" w:rsidRDefault="00A66714">
            <w:pPr>
              <w:rPr>
                <w:color w:val="000000"/>
                <w:sz w:val="20"/>
                <w:szCs w:val="20"/>
              </w:rPr>
            </w:pPr>
            <w:r>
              <w:rPr>
                <w:color w:val="000000"/>
                <w:sz w:val="20"/>
                <w:szCs w:val="20"/>
              </w:rPr>
              <w:t>Net loss</w:t>
            </w:r>
          </w:p>
        </w:tc>
        <w:tc>
          <w:tcPr>
            <w:tcW w:w="31" w:type="pct"/>
            <w:tcMar>
              <w:top w:w="5" w:type="dxa"/>
              <w:left w:w="5" w:type="dxa"/>
              <w:bottom w:w="5" w:type="dxa"/>
              <w:right w:w="5" w:type="dxa"/>
            </w:tcMar>
            <w:vAlign w:val="bottom"/>
            <w:hideMark/>
          </w:tcPr>
          <w:p w14:paraId="6D2C2EC3" w14:textId="77777777" w:rsidR="00954279" w:rsidRDefault="00A66714">
            <w:pPr>
              <w:rPr>
                <w:color w:val="000000"/>
                <w:sz w:val="20"/>
                <w:szCs w:val="20"/>
              </w:rPr>
            </w:pPr>
            <w:r>
              <w:rPr>
                <w:color w:val="000000"/>
                <w:sz w:val="20"/>
                <w:szCs w:val="20"/>
              </w:rPr>
              <w:t> </w:t>
            </w:r>
          </w:p>
        </w:tc>
        <w:tc>
          <w:tcPr>
            <w:tcW w:w="32" w:type="pct"/>
            <w:tcMar>
              <w:top w:w="5" w:type="dxa"/>
              <w:left w:w="5" w:type="dxa"/>
              <w:bottom w:w="5" w:type="dxa"/>
              <w:right w:w="5" w:type="dxa"/>
            </w:tcMar>
            <w:vAlign w:val="bottom"/>
            <w:hideMark/>
          </w:tcPr>
          <w:p w14:paraId="530AD9E9" w14:textId="77777777" w:rsidR="00954279" w:rsidRDefault="00A66714">
            <w:pPr>
              <w:rPr>
                <w:color w:val="000000"/>
                <w:sz w:val="20"/>
                <w:szCs w:val="20"/>
              </w:rPr>
            </w:pPr>
            <w:r>
              <w:rPr>
                <w:color w:val="000000"/>
                <w:sz w:val="20"/>
                <w:szCs w:val="20"/>
              </w:rPr>
              <w:t> </w:t>
            </w:r>
          </w:p>
        </w:tc>
        <w:tc>
          <w:tcPr>
            <w:tcW w:w="317" w:type="pct"/>
            <w:tcMar>
              <w:top w:w="5" w:type="dxa"/>
              <w:left w:w="5" w:type="dxa"/>
              <w:bottom w:w="5" w:type="dxa"/>
              <w:right w:w="5" w:type="dxa"/>
            </w:tcMar>
            <w:vAlign w:val="bottom"/>
            <w:hideMark/>
          </w:tcPr>
          <w:p w14:paraId="6256AF36" w14:textId="77777777" w:rsidR="00954279" w:rsidRDefault="00A66714">
            <w:pPr>
              <w:jc w:val="right"/>
              <w:rPr>
                <w:color w:val="000000"/>
                <w:sz w:val="20"/>
                <w:szCs w:val="20"/>
              </w:rPr>
            </w:pPr>
            <w:r>
              <w:rPr>
                <w:color w:val="000000"/>
                <w:sz w:val="20"/>
                <w:szCs w:val="20"/>
              </w:rPr>
              <w:t>-</w:t>
            </w:r>
          </w:p>
        </w:tc>
        <w:tc>
          <w:tcPr>
            <w:tcW w:w="31" w:type="pct"/>
            <w:noWrap/>
            <w:tcMar>
              <w:top w:w="5" w:type="dxa"/>
              <w:left w:w="5" w:type="dxa"/>
              <w:bottom w:w="5" w:type="dxa"/>
              <w:right w:w="5" w:type="dxa"/>
            </w:tcMar>
            <w:vAlign w:val="bottom"/>
            <w:hideMark/>
          </w:tcPr>
          <w:p w14:paraId="328C9637" w14:textId="77777777" w:rsidR="00954279" w:rsidRDefault="00A66714">
            <w:pPr>
              <w:rPr>
                <w:color w:val="000000"/>
                <w:sz w:val="20"/>
                <w:szCs w:val="20"/>
              </w:rPr>
            </w:pPr>
            <w:r>
              <w:rPr>
                <w:color w:val="000000"/>
                <w:sz w:val="20"/>
                <w:szCs w:val="20"/>
              </w:rPr>
              <w:t> </w:t>
            </w:r>
          </w:p>
        </w:tc>
        <w:tc>
          <w:tcPr>
            <w:tcW w:w="31" w:type="pct"/>
            <w:tcMar>
              <w:top w:w="5" w:type="dxa"/>
              <w:left w:w="5" w:type="dxa"/>
              <w:bottom w:w="5" w:type="dxa"/>
              <w:right w:w="5" w:type="dxa"/>
            </w:tcMar>
            <w:vAlign w:val="bottom"/>
            <w:hideMark/>
          </w:tcPr>
          <w:p w14:paraId="566B8F86" w14:textId="77777777" w:rsidR="00954279" w:rsidRDefault="00A66714">
            <w:pPr>
              <w:rPr>
                <w:color w:val="000000"/>
                <w:sz w:val="20"/>
                <w:szCs w:val="20"/>
              </w:rPr>
            </w:pPr>
            <w:r>
              <w:rPr>
                <w:color w:val="000000"/>
                <w:sz w:val="20"/>
                <w:szCs w:val="20"/>
              </w:rPr>
              <w:t> </w:t>
            </w:r>
          </w:p>
        </w:tc>
        <w:tc>
          <w:tcPr>
            <w:tcW w:w="49" w:type="pct"/>
            <w:tcMar>
              <w:top w:w="5" w:type="dxa"/>
              <w:left w:w="5" w:type="dxa"/>
              <w:bottom w:w="5" w:type="dxa"/>
              <w:right w:w="5" w:type="dxa"/>
            </w:tcMar>
            <w:vAlign w:val="bottom"/>
            <w:hideMark/>
          </w:tcPr>
          <w:p w14:paraId="776DF5D2" w14:textId="77777777" w:rsidR="00954279" w:rsidRDefault="00A66714">
            <w:pPr>
              <w:rPr>
                <w:color w:val="000000"/>
                <w:sz w:val="20"/>
                <w:szCs w:val="20"/>
              </w:rPr>
            </w:pPr>
            <w:r>
              <w:rPr>
                <w:color w:val="000000"/>
                <w:sz w:val="20"/>
                <w:szCs w:val="20"/>
              </w:rPr>
              <w:t> </w:t>
            </w:r>
          </w:p>
        </w:tc>
        <w:tc>
          <w:tcPr>
            <w:tcW w:w="318" w:type="pct"/>
            <w:tcMar>
              <w:top w:w="5" w:type="dxa"/>
              <w:left w:w="5" w:type="dxa"/>
              <w:bottom w:w="5" w:type="dxa"/>
              <w:right w:w="5" w:type="dxa"/>
            </w:tcMar>
            <w:vAlign w:val="bottom"/>
            <w:hideMark/>
          </w:tcPr>
          <w:p w14:paraId="507C79F1" w14:textId="77777777" w:rsidR="00954279" w:rsidRDefault="00A66714">
            <w:pPr>
              <w:jc w:val="right"/>
              <w:rPr>
                <w:color w:val="000000"/>
                <w:sz w:val="20"/>
                <w:szCs w:val="20"/>
              </w:rPr>
            </w:pPr>
            <w:r>
              <w:rPr>
                <w:color w:val="000000"/>
                <w:sz w:val="20"/>
                <w:szCs w:val="20"/>
              </w:rPr>
              <w:t>-</w:t>
            </w:r>
          </w:p>
        </w:tc>
        <w:tc>
          <w:tcPr>
            <w:tcW w:w="32" w:type="pct"/>
            <w:noWrap/>
            <w:tcMar>
              <w:top w:w="5" w:type="dxa"/>
              <w:left w:w="5" w:type="dxa"/>
              <w:bottom w:w="5" w:type="dxa"/>
              <w:right w:w="5" w:type="dxa"/>
            </w:tcMar>
            <w:vAlign w:val="bottom"/>
            <w:hideMark/>
          </w:tcPr>
          <w:p w14:paraId="525EE7BE" w14:textId="77777777" w:rsidR="00954279" w:rsidRDefault="00A66714">
            <w:pPr>
              <w:rPr>
                <w:color w:val="000000"/>
                <w:sz w:val="20"/>
                <w:szCs w:val="20"/>
              </w:rPr>
            </w:pPr>
            <w:r>
              <w:rPr>
                <w:color w:val="000000"/>
                <w:sz w:val="20"/>
                <w:szCs w:val="20"/>
              </w:rPr>
              <w:t> </w:t>
            </w:r>
          </w:p>
        </w:tc>
        <w:tc>
          <w:tcPr>
            <w:tcW w:w="32" w:type="pct"/>
            <w:tcMar>
              <w:top w:w="5" w:type="dxa"/>
              <w:left w:w="5" w:type="dxa"/>
              <w:bottom w:w="5" w:type="dxa"/>
              <w:right w:w="5" w:type="dxa"/>
            </w:tcMar>
            <w:vAlign w:val="bottom"/>
            <w:hideMark/>
          </w:tcPr>
          <w:p w14:paraId="1DED5205" w14:textId="77777777" w:rsidR="00954279" w:rsidRDefault="00A66714">
            <w:pPr>
              <w:rPr>
                <w:color w:val="000000"/>
                <w:sz w:val="20"/>
                <w:szCs w:val="20"/>
              </w:rPr>
            </w:pPr>
            <w:r>
              <w:rPr>
                <w:color w:val="000000"/>
                <w:sz w:val="20"/>
                <w:szCs w:val="20"/>
              </w:rPr>
              <w:t> </w:t>
            </w:r>
          </w:p>
        </w:tc>
        <w:tc>
          <w:tcPr>
            <w:tcW w:w="52" w:type="pct"/>
            <w:tcMar>
              <w:top w:w="5" w:type="dxa"/>
              <w:left w:w="5" w:type="dxa"/>
              <w:bottom w:w="5" w:type="dxa"/>
              <w:right w:w="5" w:type="dxa"/>
            </w:tcMar>
            <w:vAlign w:val="bottom"/>
            <w:hideMark/>
          </w:tcPr>
          <w:p w14:paraId="3470562B" w14:textId="77777777" w:rsidR="00954279" w:rsidRDefault="00A66714">
            <w:pPr>
              <w:rPr>
                <w:color w:val="000000"/>
                <w:sz w:val="20"/>
                <w:szCs w:val="20"/>
              </w:rPr>
            </w:pPr>
            <w:r>
              <w:rPr>
                <w:color w:val="000000"/>
                <w:sz w:val="20"/>
                <w:szCs w:val="20"/>
              </w:rPr>
              <w:t> </w:t>
            </w:r>
          </w:p>
        </w:tc>
        <w:tc>
          <w:tcPr>
            <w:tcW w:w="356" w:type="pct"/>
            <w:tcMar>
              <w:top w:w="5" w:type="dxa"/>
              <w:left w:w="5" w:type="dxa"/>
              <w:bottom w:w="5" w:type="dxa"/>
              <w:right w:w="5" w:type="dxa"/>
            </w:tcMar>
            <w:vAlign w:val="bottom"/>
            <w:hideMark/>
          </w:tcPr>
          <w:p w14:paraId="54A68CFB" w14:textId="77777777" w:rsidR="00954279" w:rsidRDefault="00A66714">
            <w:pPr>
              <w:jc w:val="right"/>
              <w:rPr>
                <w:color w:val="000000"/>
                <w:sz w:val="20"/>
                <w:szCs w:val="20"/>
              </w:rPr>
            </w:pPr>
            <w:r>
              <w:rPr>
                <w:color w:val="000000"/>
                <w:sz w:val="20"/>
                <w:szCs w:val="20"/>
              </w:rPr>
              <w:t>-</w:t>
            </w:r>
          </w:p>
        </w:tc>
        <w:tc>
          <w:tcPr>
            <w:tcW w:w="34" w:type="pct"/>
            <w:noWrap/>
            <w:tcMar>
              <w:top w:w="5" w:type="dxa"/>
              <w:left w:w="5" w:type="dxa"/>
              <w:bottom w:w="5" w:type="dxa"/>
              <w:right w:w="5" w:type="dxa"/>
            </w:tcMar>
            <w:vAlign w:val="bottom"/>
            <w:hideMark/>
          </w:tcPr>
          <w:p w14:paraId="147B5F77" w14:textId="77777777" w:rsidR="00954279" w:rsidRDefault="00A66714">
            <w:pPr>
              <w:rPr>
                <w:color w:val="000000"/>
                <w:sz w:val="20"/>
                <w:szCs w:val="20"/>
              </w:rPr>
            </w:pPr>
            <w:r>
              <w:rPr>
                <w:color w:val="000000"/>
                <w:sz w:val="20"/>
                <w:szCs w:val="20"/>
              </w:rPr>
              <w:t> </w:t>
            </w:r>
          </w:p>
        </w:tc>
        <w:tc>
          <w:tcPr>
            <w:tcW w:w="30" w:type="pct"/>
            <w:tcMar>
              <w:top w:w="5" w:type="dxa"/>
              <w:left w:w="5" w:type="dxa"/>
              <w:bottom w:w="5" w:type="dxa"/>
              <w:right w:w="5" w:type="dxa"/>
            </w:tcMar>
            <w:vAlign w:val="bottom"/>
            <w:hideMark/>
          </w:tcPr>
          <w:p w14:paraId="5C0A0962" w14:textId="77777777" w:rsidR="00954279" w:rsidRDefault="00A66714">
            <w:pPr>
              <w:rPr>
                <w:color w:val="000000"/>
                <w:sz w:val="20"/>
                <w:szCs w:val="20"/>
              </w:rPr>
            </w:pPr>
            <w:r>
              <w:rPr>
                <w:color w:val="000000"/>
                <w:sz w:val="20"/>
                <w:szCs w:val="20"/>
              </w:rPr>
              <w:t> </w:t>
            </w:r>
          </w:p>
        </w:tc>
        <w:tc>
          <w:tcPr>
            <w:tcW w:w="49" w:type="pct"/>
            <w:tcMar>
              <w:top w:w="5" w:type="dxa"/>
              <w:left w:w="5" w:type="dxa"/>
              <w:bottom w:w="5" w:type="dxa"/>
              <w:right w:w="5" w:type="dxa"/>
            </w:tcMar>
            <w:vAlign w:val="bottom"/>
            <w:hideMark/>
          </w:tcPr>
          <w:p w14:paraId="0816D470" w14:textId="77777777" w:rsidR="00954279" w:rsidRDefault="00A66714">
            <w:pPr>
              <w:rPr>
                <w:color w:val="000000"/>
                <w:sz w:val="20"/>
                <w:szCs w:val="20"/>
              </w:rPr>
            </w:pPr>
            <w:r>
              <w:rPr>
                <w:color w:val="000000"/>
                <w:sz w:val="20"/>
                <w:szCs w:val="20"/>
              </w:rPr>
              <w:t> </w:t>
            </w:r>
          </w:p>
        </w:tc>
        <w:tc>
          <w:tcPr>
            <w:tcW w:w="318" w:type="pct"/>
            <w:tcMar>
              <w:top w:w="5" w:type="dxa"/>
              <w:left w:w="5" w:type="dxa"/>
              <w:bottom w:w="5" w:type="dxa"/>
              <w:right w:w="5" w:type="dxa"/>
            </w:tcMar>
            <w:vAlign w:val="bottom"/>
            <w:hideMark/>
          </w:tcPr>
          <w:p w14:paraId="6EE08C60" w14:textId="77777777" w:rsidR="00954279" w:rsidRDefault="00A66714">
            <w:pPr>
              <w:jc w:val="right"/>
              <w:rPr>
                <w:color w:val="000000"/>
                <w:sz w:val="20"/>
                <w:szCs w:val="20"/>
              </w:rPr>
            </w:pPr>
            <w:r>
              <w:rPr>
                <w:color w:val="000000"/>
                <w:sz w:val="20"/>
                <w:szCs w:val="20"/>
              </w:rPr>
              <w:t>(281</w:t>
            </w:r>
          </w:p>
        </w:tc>
        <w:tc>
          <w:tcPr>
            <w:tcW w:w="34" w:type="pct"/>
            <w:noWrap/>
            <w:tcMar>
              <w:top w:w="5" w:type="dxa"/>
              <w:left w:w="5" w:type="dxa"/>
              <w:bottom w:w="5" w:type="dxa"/>
              <w:right w:w="5" w:type="dxa"/>
            </w:tcMar>
            <w:vAlign w:val="bottom"/>
            <w:hideMark/>
          </w:tcPr>
          <w:p w14:paraId="377627DA" w14:textId="77777777" w:rsidR="00954279" w:rsidRDefault="00A66714">
            <w:pPr>
              <w:rPr>
                <w:color w:val="000000"/>
                <w:sz w:val="20"/>
                <w:szCs w:val="20"/>
              </w:rPr>
            </w:pPr>
            <w:r>
              <w:rPr>
                <w:color w:val="000000"/>
                <w:sz w:val="20"/>
                <w:szCs w:val="20"/>
              </w:rPr>
              <w:t>)</w:t>
            </w:r>
          </w:p>
        </w:tc>
        <w:tc>
          <w:tcPr>
            <w:tcW w:w="30" w:type="pct"/>
            <w:tcMar>
              <w:top w:w="5" w:type="dxa"/>
              <w:left w:w="5" w:type="dxa"/>
              <w:bottom w:w="5" w:type="dxa"/>
              <w:right w:w="5" w:type="dxa"/>
            </w:tcMar>
            <w:vAlign w:val="bottom"/>
            <w:hideMark/>
          </w:tcPr>
          <w:p w14:paraId="4AE39C1A" w14:textId="77777777" w:rsidR="00954279" w:rsidRDefault="00A66714">
            <w:pPr>
              <w:rPr>
                <w:color w:val="000000"/>
                <w:sz w:val="20"/>
                <w:szCs w:val="20"/>
              </w:rPr>
            </w:pPr>
            <w:r>
              <w:rPr>
                <w:color w:val="000000"/>
                <w:sz w:val="20"/>
                <w:szCs w:val="20"/>
              </w:rPr>
              <w:t> </w:t>
            </w:r>
          </w:p>
        </w:tc>
        <w:tc>
          <w:tcPr>
            <w:tcW w:w="33" w:type="pct"/>
            <w:tcMar>
              <w:top w:w="5" w:type="dxa"/>
              <w:left w:w="5" w:type="dxa"/>
              <w:bottom w:w="5" w:type="dxa"/>
              <w:right w:w="5" w:type="dxa"/>
            </w:tcMar>
            <w:vAlign w:val="bottom"/>
            <w:hideMark/>
          </w:tcPr>
          <w:p w14:paraId="18E87D58" w14:textId="77777777" w:rsidR="00954279" w:rsidRDefault="00A66714">
            <w:pPr>
              <w:rPr>
                <w:color w:val="000000"/>
                <w:sz w:val="20"/>
                <w:szCs w:val="20"/>
              </w:rPr>
            </w:pPr>
            <w:r>
              <w:rPr>
                <w:color w:val="000000"/>
                <w:sz w:val="20"/>
                <w:szCs w:val="20"/>
              </w:rPr>
              <w:t> </w:t>
            </w:r>
          </w:p>
        </w:tc>
        <w:tc>
          <w:tcPr>
            <w:tcW w:w="317" w:type="pct"/>
            <w:tcMar>
              <w:top w:w="5" w:type="dxa"/>
              <w:left w:w="5" w:type="dxa"/>
              <w:bottom w:w="5" w:type="dxa"/>
              <w:right w:w="5" w:type="dxa"/>
            </w:tcMar>
            <w:vAlign w:val="bottom"/>
            <w:hideMark/>
          </w:tcPr>
          <w:p w14:paraId="2A1D6207" w14:textId="77777777" w:rsidR="00954279" w:rsidRDefault="00A66714">
            <w:pPr>
              <w:jc w:val="right"/>
              <w:rPr>
                <w:color w:val="000000"/>
                <w:sz w:val="20"/>
                <w:szCs w:val="20"/>
              </w:rPr>
            </w:pPr>
            <w:r>
              <w:rPr>
                <w:color w:val="000000"/>
                <w:sz w:val="20"/>
                <w:szCs w:val="20"/>
              </w:rPr>
              <w:t>-</w:t>
            </w:r>
          </w:p>
        </w:tc>
        <w:tc>
          <w:tcPr>
            <w:tcW w:w="34" w:type="pct"/>
            <w:noWrap/>
            <w:tcMar>
              <w:top w:w="5" w:type="dxa"/>
              <w:left w:w="5" w:type="dxa"/>
              <w:bottom w:w="5" w:type="dxa"/>
              <w:right w:w="5" w:type="dxa"/>
            </w:tcMar>
            <w:vAlign w:val="bottom"/>
            <w:hideMark/>
          </w:tcPr>
          <w:p w14:paraId="44465DD7" w14:textId="77777777" w:rsidR="00954279" w:rsidRDefault="00A66714">
            <w:pPr>
              <w:rPr>
                <w:color w:val="000000"/>
                <w:sz w:val="20"/>
                <w:szCs w:val="20"/>
              </w:rPr>
            </w:pPr>
            <w:r>
              <w:rPr>
                <w:color w:val="000000"/>
                <w:sz w:val="20"/>
                <w:szCs w:val="20"/>
              </w:rPr>
              <w:t> </w:t>
            </w:r>
          </w:p>
        </w:tc>
        <w:tc>
          <w:tcPr>
            <w:tcW w:w="30" w:type="pct"/>
            <w:tcMar>
              <w:top w:w="5" w:type="dxa"/>
              <w:left w:w="5" w:type="dxa"/>
              <w:bottom w:w="5" w:type="dxa"/>
              <w:right w:w="5" w:type="dxa"/>
            </w:tcMar>
            <w:vAlign w:val="bottom"/>
            <w:hideMark/>
          </w:tcPr>
          <w:p w14:paraId="5A8ADCE4" w14:textId="77777777" w:rsidR="00954279" w:rsidRDefault="00A66714">
            <w:pPr>
              <w:rPr>
                <w:color w:val="000000"/>
                <w:sz w:val="20"/>
                <w:szCs w:val="20"/>
              </w:rPr>
            </w:pPr>
            <w:r>
              <w:rPr>
                <w:color w:val="000000"/>
                <w:sz w:val="20"/>
                <w:szCs w:val="20"/>
              </w:rPr>
              <w:t> </w:t>
            </w:r>
          </w:p>
        </w:tc>
        <w:tc>
          <w:tcPr>
            <w:tcW w:w="49" w:type="pct"/>
            <w:tcMar>
              <w:top w:w="5" w:type="dxa"/>
              <w:left w:w="5" w:type="dxa"/>
              <w:bottom w:w="5" w:type="dxa"/>
              <w:right w:w="5" w:type="dxa"/>
            </w:tcMar>
            <w:vAlign w:val="bottom"/>
            <w:hideMark/>
          </w:tcPr>
          <w:p w14:paraId="1C49043A" w14:textId="77777777" w:rsidR="00954279" w:rsidRDefault="00A66714">
            <w:pPr>
              <w:rPr>
                <w:color w:val="000000"/>
                <w:sz w:val="20"/>
                <w:szCs w:val="20"/>
              </w:rPr>
            </w:pPr>
            <w:r>
              <w:rPr>
                <w:color w:val="000000"/>
                <w:sz w:val="20"/>
                <w:szCs w:val="20"/>
              </w:rPr>
              <w:t> </w:t>
            </w:r>
          </w:p>
        </w:tc>
        <w:tc>
          <w:tcPr>
            <w:tcW w:w="318" w:type="pct"/>
            <w:tcMar>
              <w:top w:w="5" w:type="dxa"/>
              <w:left w:w="5" w:type="dxa"/>
              <w:bottom w:w="5" w:type="dxa"/>
              <w:right w:w="5" w:type="dxa"/>
            </w:tcMar>
            <w:vAlign w:val="bottom"/>
            <w:hideMark/>
          </w:tcPr>
          <w:p w14:paraId="3833E00A" w14:textId="77777777" w:rsidR="00954279" w:rsidRDefault="00A66714">
            <w:pPr>
              <w:jc w:val="right"/>
              <w:rPr>
                <w:color w:val="000000"/>
                <w:sz w:val="20"/>
                <w:szCs w:val="20"/>
              </w:rPr>
            </w:pPr>
            <w:r>
              <w:rPr>
                <w:color w:val="000000"/>
                <w:sz w:val="20"/>
                <w:szCs w:val="20"/>
              </w:rPr>
              <w:t>-</w:t>
            </w:r>
          </w:p>
        </w:tc>
        <w:tc>
          <w:tcPr>
            <w:tcW w:w="34" w:type="pct"/>
            <w:noWrap/>
            <w:tcMar>
              <w:top w:w="5" w:type="dxa"/>
              <w:left w:w="5" w:type="dxa"/>
              <w:bottom w:w="5" w:type="dxa"/>
              <w:right w:w="5" w:type="dxa"/>
            </w:tcMar>
            <w:vAlign w:val="bottom"/>
            <w:hideMark/>
          </w:tcPr>
          <w:p w14:paraId="3926B799" w14:textId="77777777" w:rsidR="00954279" w:rsidRDefault="00A66714">
            <w:pPr>
              <w:rPr>
                <w:color w:val="000000"/>
                <w:sz w:val="20"/>
                <w:szCs w:val="20"/>
              </w:rPr>
            </w:pPr>
            <w:r>
              <w:rPr>
                <w:color w:val="000000"/>
                <w:sz w:val="20"/>
                <w:szCs w:val="20"/>
              </w:rPr>
              <w:t> </w:t>
            </w:r>
          </w:p>
        </w:tc>
        <w:tc>
          <w:tcPr>
            <w:tcW w:w="30" w:type="pct"/>
            <w:tcMar>
              <w:top w:w="5" w:type="dxa"/>
              <w:left w:w="5" w:type="dxa"/>
              <w:bottom w:w="5" w:type="dxa"/>
              <w:right w:w="5" w:type="dxa"/>
            </w:tcMar>
            <w:vAlign w:val="bottom"/>
            <w:hideMark/>
          </w:tcPr>
          <w:p w14:paraId="1D5E4BDD" w14:textId="77777777" w:rsidR="00954279" w:rsidRDefault="00A66714">
            <w:pPr>
              <w:rPr>
                <w:color w:val="000000"/>
                <w:sz w:val="20"/>
                <w:szCs w:val="20"/>
              </w:rPr>
            </w:pPr>
            <w:r>
              <w:rPr>
                <w:color w:val="000000"/>
                <w:sz w:val="20"/>
                <w:szCs w:val="20"/>
              </w:rPr>
              <w:t> </w:t>
            </w:r>
          </w:p>
        </w:tc>
        <w:tc>
          <w:tcPr>
            <w:tcW w:w="75" w:type="pct"/>
            <w:tcMar>
              <w:top w:w="5" w:type="dxa"/>
              <w:left w:w="5" w:type="dxa"/>
              <w:bottom w:w="5" w:type="dxa"/>
              <w:right w:w="5" w:type="dxa"/>
            </w:tcMar>
            <w:vAlign w:val="bottom"/>
            <w:hideMark/>
          </w:tcPr>
          <w:p w14:paraId="45912A9C" w14:textId="77777777" w:rsidR="00954279" w:rsidRDefault="00A66714">
            <w:pPr>
              <w:rPr>
                <w:color w:val="000000"/>
                <w:sz w:val="20"/>
                <w:szCs w:val="20"/>
              </w:rPr>
            </w:pPr>
            <w:r>
              <w:rPr>
                <w:color w:val="000000"/>
                <w:sz w:val="20"/>
                <w:szCs w:val="20"/>
              </w:rPr>
              <w:t> </w:t>
            </w:r>
          </w:p>
        </w:tc>
        <w:tc>
          <w:tcPr>
            <w:tcW w:w="520" w:type="pct"/>
            <w:tcMar>
              <w:top w:w="5" w:type="dxa"/>
              <w:left w:w="5" w:type="dxa"/>
              <w:bottom w:w="5" w:type="dxa"/>
              <w:right w:w="5" w:type="dxa"/>
            </w:tcMar>
            <w:vAlign w:val="bottom"/>
            <w:hideMark/>
          </w:tcPr>
          <w:p w14:paraId="6D1C8DE4" w14:textId="77777777" w:rsidR="00954279" w:rsidRDefault="00A66714">
            <w:pPr>
              <w:jc w:val="right"/>
              <w:rPr>
                <w:color w:val="000000"/>
                <w:sz w:val="20"/>
                <w:szCs w:val="20"/>
              </w:rPr>
            </w:pPr>
            <w:r>
              <w:rPr>
                <w:color w:val="000000"/>
                <w:sz w:val="20"/>
                <w:szCs w:val="20"/>
              </w:rPr>
              <w:t>-</w:t>
            </w:r>
          </w:p>
        </w:tc>
        <w:tc>
          <w:tcPr>
            <w:tcW w:w="34" w:type="pct"/>
            <w:noWrap/>
            <w:tcMar>
              <w:top w:w="5" w:type="dxa"/>
              <w:left w:w="5" w:type="dxa"/>
              <w:bottom w:w="5" w:type="dxa"/>
              <w:right w:w="5" w:type="dxa"/>
            </w:tcMar>
            <w:vAlign w:val="bottom"/>
            <w:hideMark/>
          </w:tcPr>
          <w:p w14:paraId="7B7C6141" w14:textId="77777777" w:rsidR="00954279" w:rsidRDefault="00A66714">
            <w:pPr>
              <w:rPr>
                <w:color w:val="000000"/>
                <w:sz w:val="20"/>
                <w:szCs w:val="20"/>
              </w:rPr>
            </w:pPr>
            <w:r>
              <w:rPr>
                <w:color w:val="000000"/>
                <w:sz w:val="20"/>
                <w:szCs w:val="20"/>
              </w:rPr>
              <w:t> </w:t>
            </w:r>
          </w:p>
        </w:tc>
        <w:tc>
          <w:tcPr>
            <w:tcW w:w="31" w:type="pct"/>
            <w:tcMar>
              <w:top w:w="5" w:type="dxa"/>
              <w:left w:w="5" w:type="dxa"/>
              <w:bottom w:w="5" w:type="dxa"/>
              <w:right w:w="5" w:type="dxa"/>
            </w:tcMar>
            <w:vAlign w:val="bottom"/>
            <w:hideMark/>
          </w:tcPr>
          <w:p w14:paraId="6DABFD83" w14:textId="77777777" w:rsidR="00954279" w:rsidRDefault="00A66714">
            <w:pPr>
              <w:rPr>
                <w:color w:val="000000"/>
                <w:sz w:val="20"/>
                <w:szCs w:val="20"/>
              </w:rPr>
            </w:pPr>
            <w:r>
              <w:rPr>
                <w:color w:val="000000"/>
                <w:sz w:val="20"/>
                <w:szCs w:val="20"/>
              </w:rPr>
              <w:t> </w:t>
            </w:r>
          </w:p>
        </w:tc>
        <w:tc>
          <w:tcPr>
            <w:tcW w:w="65" w:type="pct"/>
            <w:tcMar>
              <w:top w:w="5" w:type="dxa"/>
              <w:left w:w="5" w:type="dxa"/>
              <w:bottom w:w="5" w:type="dxa"/>
              <w:right w:w="5" w:type="dxa"/>
            </w:tcMar>
            <w:vAlign w:val="bottom"/>
            <w:hideMark/>
          </w:tcPr>
          <w:p w14:paraId="7A297103" w14:textId="77777777" w:rsidR="00954279" w:rsidRDefault="00A66714">
            <w:pPr>
              <w:rPr>
                <w:color w:val="000000"/>
                <w:sz w:val="20"/>
                <w:szCs w:val="20"/>
              </w:rPr>
            </w:pPr>
            <w:r>
              <w:rPr>
                <w:color w:val="000000"/>
                <w:sz w:val="20"/>
                <w:szCs w:val="20"/>
              </w:rPr>
              <w:t> </w:t>
            </w:r>
          </w:p>
        </w:tc>
        <w:tc>
          <w:tcPr>
            <w:tcW w:w="455" w:type="pct"/>
            <w:tcMar>
              <w:top w:w="5" w:type="dxa"/>
              <w:left w:w="5" w:type="dxa"/>
              <w:bottom w:w="5" w:type="dxa"/>
              <w:right w:w="5" w:type="dxa"/>
            </w:tcMar>
            <w:vAlign w:val="bottom"/>
            <w:hideMark/>
          </w:tcPr>
          <w:p w14:paraId="22E18BFC" w14:textId="77777777" w:rsidR="00954279" w:rsidRDefault="00A66714">
            <w:pPr>
              <w:jc w:val="right"/>
              <w:rPr>
                <w:color w:val="000000"/>
                <w:sz w:val="20"/>
                <w:szCs w:val="20"/>
              </w:rPr>
            </w:pPr>
            <w:r>
              <w:rPr>
                <w:color w:val="000000"/>
                <w:sz w:val="20"/>
                <w:szCs w:val="20"/>
              </w:rPr>
              <w:t>(281</w:t>
            </w:r>
          </w:p>
        </w:tc>
        <w:tc>
          <w:tcPr>
            <w:tcW w:w="34" w:type="pct"/>
            <w:noWrap/>
            <w:tcMar>
              <w:top w:w="5" w:type="dxa"/>
              <w:left w:w="5" w:type="dxa"/>
              <w:bottom w:w="5" w:type="dxa"/>
              <w:right w:w="5" w:type="dxa"/>
            </w:tcMar>
            <w:vAlign w:val="bottom"/>
            <w:hideMark/>
          </w:tcPr>
          <w:p w14:paraId="41C3FAD1" w14:textId="77777777" w:rsidR="00954279" w:rsidRDefault="00A66714">
            <w:pPr>
              <w:rPr>
                <w:color w:val="000000"/>
                <w:sz w:val="20"/>
                <w:szCs w:val="20"/>
              </w:rPr>
            </w:pPr>
            <w:r>
              <w:rPr>
                <w:color w:val="000000"/>
                <w:sz w:val="20"/>
                <w:szCs w:val="20"/>
              </w:rPr>
              <w:t>)</w:t>
            </w:r>
          </w:p>
        </w:tc>
      </w:tr>
      <w:tr w:rsidR="00717712" w14:paraId="67CED0EC" w14:textId="77777777" w:rsidTr="00717712">
        <w:tc>
          <w:tcPr>
            <w:tcW w:w="1163" w:type="pct"/>
            <w:tcMar>
              <w:top w:w="5" w:type="dxa"/>
              <w:left w:w="185" w:type="dxa"/>
              <w:bottom w:w="5" w:type="dxa"/>
              <w:right w:w="5" w:type="dxa"/>
            </w:tcMar>
            <w:vAlign w:val="bottom"/>
            <w:hideMark/>
          </w:tcPr>
          <w:p w14:paraId="63679E96" w14:textId="77777777" w:rsidR="00954279" w:rsidRDefault="00A66714">
            <w:pPr>
              <w:rPr>
                <w:color w:val="000000"/>
                <w:sz w:val="20"/>
                <w:szCs w:val="20"/>
              </w:rPr>
            </w:pPr>
            <w:r>
              <w:rPr>
                <w:color w:val="000000"/>
                <w:sz w:val="20"/>
                <w:szCs w:val="20"/>
              </w:rPr>
              <w:t>Foreign currency translation</w:t>
            </w:r>
          </w:p>
        </w:tc>
        <w:tc>
          <w:tcPr>
            <w:tcW w:w="31" w:type="pct"/>
            <w:tcMar>
              <w:top w:w="5" w:type="dxa"/>
              <w:left w:w="5" w:type="dxa"/>
              <w:bottom w:w="5" w:type="dxa"/>
              <w:right w:w="5" w:type="dxa"/>
            </w:tcMar>
            <w:vAlign w:val="bottom"/>
            <w:hideMark/>
          </w:tcPr>
          <w:p w14:paraId="193BC6B2" w14:textId="77777777" w:rsidR="00954279" w:rsidRDefault="00A66714">
            <w:pPr>
              <w:rPr>
                <w:color w:val="000000"/>
                <w:sz w:val="20"/>
                <w:szCs w:val="20"/>
              </w:rPr>
            </w:pPr>
            <w:r>
              <w:rPr>
                <w:color w:val="000000"/>
                <w:sz w:val="20"/>
                <w:szCs w:val="20"/>
              </w:rPr>
              <w:t> </w:t>
            </w:r>
          </w:p>
        </w:tc>
        <w:tc>
          <w:tcPr>
            <w:tcW w:w="32" w:type="pct"/>
            <w:tcMar>
              <w:top w:w="5" w:type="dxa"/>
              <w:left w:w="5" w:type="dxa"/>
              <w:bottom w:w="5" w:type="dxa"/>
              <w:right w:w="5" w:type="dxa"/>
            </w:tcMar>
            <w:vAlign w:val="bottom"/>
            <w:hideMark/>
          </w:tcPr>
          <w:p w14:paraId="25426B37" w14:textId="77777777" w:rsidR="00954279" w:rsidRDefault="00A66714">
            <w:pPr>
              <w:rPr>
                <w:color w:val="000000"/>
                <w:sz w:val="20"/>
                <w:szCs w:val="20"/>
              </w:rPr>
            </w:pPr>
            <w:r>
              <w:rPr>
                <w:color w:val="000000"/>
                <w:sz w:val="20"/>
                <w:szCs w:val="20"/>
              </w:rPr>
              <w:t> </w:t>
            </w:r>
          </w:p>
        </w:tc>
        <w:tc>
          <w:tcPr>
            <w:tcW w:w="317" w:type="pct"/>
            <w:tcMar>
              <w:top w:w="5" w:type="dxa"/>
              <w:left w:w="5" w:type="dxa"/>
              <w:bottom w:w="5" w:type="dxa"/>
              <w:right w:w="5" w:type="dxa"/>
            </w:tcMar>
            <w:vAlign w:val="bottom"/>
            <w:hideMark/>
          </w:tcPr>
          <w:p w14:paraId="0017DA93" w14:textId="77777777" w:rsidR="00954279" w:rsidRDefault="00A66714">
            <w:pPr>
              <w:jc w:val="right"/>
              <w:rPr>
                <w:color w:val="000000"/>
                <w:sz w:val="20"/>
                <w:szCs w:val="20"/>
              </w:rPr>
            </w:pPr>
            <w:r>
              <w:rPr>
                <w:color w:val="000000"/>
                <w:sz w:val="20"/>
                <w:szCs w:val="20"/>
              </w:rPr>
              <w:t>-</w:t>
            </w:r>
          </w:p>
        </w:tc>
        <w:tc>
          <w:tcPr>
            <w:tcW w:w="31" w:type="pct"/>
            <w:noWrap/>
            <w:tcMar>
              <w:top w:w="5" w:type="dxa"/>
              <w:left w:w="5" w:type="dxa"/>
              <w:bottom w:w="5" w:type="dxa"/>
              <w:right w:w="5" w:type="dxa"/>
            </w:tcMar>
            <w:vAlign w:val="bottom"/>
            <w:hideMark/>
          </w:tcPr>
          <w:p w14:paraId="2E28F8B8" w14:textId="77777777" w:rsidR="00954279" w:rsidRDefault="00A66714">
            <w:pPr>
              <w:rPr>
                <w:color w:val="000000"/>
                <w:sz w:val="20"/>
                <w:szCs w:val="20"/>
              </w:rPr>
            </w:pPr>
            <w:r>
              <w:rPr>
                <w:color w:val="000000"/>
                <w:sz w:val="20"/>
                <w:szCs w:val="20"/>
              </w:rPr>
              <w:t> </w:t>
            </w:r>
          </w:p>
        </w:tc>
        <w:tc>
          <w:tcPr>
            <w:tcW w:w="31" w:type="pct"/>
            <w:tcMar>
              <w:top w:w="5" w:type="dxa"/>
              <w:left w:w="5" w:type="dxa"/>
              <w:bottom w:w="5" w:type="dxa"/>
              <w:right w:w="5" w:type="dxa"/>
            </w:tcMar>
            <w:vAlign w:val="bottom"/>
            <w:hideMark/>
          </w:tcPr>
          <w:p w14:paraId="74DA70FA" w14:textId="77777777" w:rsidR="00954279" w:rsidRDefault="00A66714">
            <w:pPr>
              <w:rPr>
                <w:color w:val="000000"/>
                <w:sz w:val="20"/>
                <w:szCs w:val="20"/>
              </w:rPr>
            </w:pPr>
            <w:r>
              <w:rPr>
                <w:color w:val="000000"/>
                <w:sz w:val="20"/>
                <w:szCs w:val="20"/>
              </w:rPr>
              <w:t> </w:t>
            </w:r>
          </w:p>
        </w:tc>
        <w:tc>
          <w:tcPr>
            <w:tcW w:w="49" w:type="pct"/>
            <w:tcMar>
              <w:top w:w="5" w:type="dxa"/>
              <w:left w:w="5" w:type="dxa"/>
              <w:bottom w:w="5" w:type="dxa"/>
              <w:right w:w="5" w:type="dxa"/>
            </w:tcMar>
            <w:vAlign w:val="bottom"/>
            <w:hideMark/>
          </w:tcPr>
          <w:p w14:paraId="7B2D0EE4" w14:textId="77777777" w:rsidR="00954279" w:rsidRDefault="00A66714">
            <w:pPr>
              <w:rPr>
                <w:color w:val="000000"/>
                <w:sz w:val="20"/>
                <w:szCs w:val="20"/>
              </w:rPr>
            </w:pPr>
            <w:r>
              <w:rPr>
                <w:color w:val="000000"/>
                <w:sz w:val="20"/>
                <w:szCs w:val="20"/>
              </w:rPr>
              <w:t> </w:t>
            </w:r>
          </w:p>
        </w:tc>
        <w:tc>
          <w:tcPr>
            <w:tcW w:w="318" w:type="pct"/>
            <w:tcMar>
              <w:top w:w="5" w:type="dxa"/>
              <w:left w:w="5" w:type="dxa"/>
              <w:bottom w:w="5" w:type="dxa"/>
              <w:right w:w="5" w:type="dxa"/>
            </w:tcMar>
            <w:vAlign w:val="bottom"/>
            <w:hideMark/>
          </w:tcPr>
          <w:p w14:paraId="0AA14C93" w14:textId="77777777" w:rsidR="00954279" w:rsidRDefault="00A66714">
            <w:pPr>
              <w:jc w:val="right"/>
              <w:rPr>
                <w:color w:val="000000"/>
                <w:sz w:val="20"/>
                <w:szCs w:val="20"/>
              </w:rPr>
            </w:pPr>
            <w:r>
              <w:rPr>
                <w:color w:val="000000"/>
                <w:sz w:val="20"/>
                <w:szCs w:val="20"/>
              </w:rPr>
              <w:t>-</w:t>
            </w:r>
          </w:p>
        </w:tc>
        <w:tc>
          <w:tcPr>
            <w:tcW w:w="32" w:type="pct"/>
            <w:noWrap/>
            <w:tcMar>
              <w:top w:w="5" w:type="dxa"/>
              <w:left w:w="5" w:type="dxa"/>
              <w:bottom w:w="5" w:type="dxa"/>
              <w:right w:w="5" w:type="dxa"/>
            </w:tcMar>
            <w:vAlign w:val="bottom"/>
            <w:hideMark/>
          </w:tcPr>
          <w:p w14:paraId="69034DBC" w14:textId="77777777" w:rsidR="00954279" w:rsidRDefault="00A66714">
            <w:pPr>
              <w:rPr>
                <w:color w:val="000000"/>
                <w:sz w:val="20"/>
                <w:szCs w:val="20"/>
              </w:rPr>
            </w:pPr>
            <w:r>
              <w:rPr>
                <w:color w:val="000000"/>
                <w:sz w:val="20"/>
                <w:szCs w:val="20"/>
              </w:rPr>
              <w:t> </w:t>
            </w:r>
          </w:p>
        </w:tc>
        <w:tc>
          <w:tcPr>
            <w:tcW w:w="32" w:type="pct"/>
            <w:tcMar>
              <w:top w:w="5" w:type="dxa"/>
              <w:left w:w="5" w:type="dxa"/>
              <w:bottom w:w="5" w:type="dxa"/>
              <w:right w:w="5" w:type="dxa"/>
            </w:tcMar>
            <w:vAlign w:val="bottom"/>
            <w:hideMark/>
          </w:tcPr>
          <w:p w14:paraId="3ECA1730" w14:textId="77777777" w:rsidR="00954279" w:rsidRDefault="00A66714">
            <w:pPr>
              <w:rPr>
                <w:color w:val="000000"/>
                <w:sz w:val="20"/>
                <w:szCs w:val="20"/>
              </w:rPr>
            </w:pPr>
            <w:r>
              <w:rPr>
                <w:color w:val="000000"/>
                <w:sz w:val="20"/>
                <w:szCs w:val="20"/>
              </w:rPr>
              <w:t> </w:t>
            </w:r>
          </w:p>
        </w:tc>
        <w:tc>
          <w:tcPr>
            <w:tcW w:w="52" w:type="pct"/>
            <w:tcMar>
              <w:top w:w="5" w:type="dxa"/>
              <w:left w:w="5" w:type="dxa"/>
              <w:bottom w:w="5" w:type="dxa"/>
              <w:right w:w="5" w:type="dxa"/>
            </w:tcMar>
            <w:vAlign w:val="bottom"/>
            <w:hideMark/>
          </w:tcPr>
          <w:p w14:paraId="69E869DF" w14:textId="77777777" w:rsidR="00954279" w:rsidRDefault="00A66714">
            <w:pPr>
              <w:rPr>
                <w:color w:val="000000"/>
                <w:sz w:val="20"/>
                <w:szCs w:val="20"/>
              </w:rPr>
            </w:pPr>
            <w:r>
              <w:rPr>
                <w:color w:val="000000"/>
                <w:sz w:val="20"/>
                <w:szCs w:val="20"/>
              </w:rPr>
              <w:t> </w:t>
            </w:r>
          </w:p>
        </w:tc>
        <w:tc>
          <w:tcPr>
            <w:tcW w:w="356" w:type="pct"/>
            <w:tcMar>
              <w:top w:w="5" w:type="dxa"/>
              <w:left w:w="5" w:type="dxa"/>
              <w:bottom w:w="5" w:type="dxa"/>
              <w:right w:w="5" w:type="dxa"/>
            </w:tcMar>
            <w:vAlign w:val="bottom"/>
            <w:hideMark/>
          </w:tcPr>
          <w:p w14:paraId="14327D43" w14:textId="77777777" w:rsidR="00954279" w:rsidRDefault="00A66714">
            <w:pPr>
              <w:jc w:val="right"/>
              <w:rPr>
                <w:color w:val="000000"/>
                <w:sz w:val="20"/>
                <w:szCs w:val="20"/>
              </w:rPr>
            </w:pPr>
            <w:r>
              <w:rPr>
                <w:color w:val="000000"/>
                <w:sz w:val="20"/>
                <w:szCs w:val="20"/>
              </w:rPr>
              <w:t>-</w:t>
            </w:r>
          </w:p>
        </w:tc>
        <w:tc>
          <w:tcPr>
            <w:tcW w:w="34" w:type="pct"/>
            <w:noWrap/>
            <w:tcMar>
              <w:top w:w="5" w:type="dxa"/>
              <w:left w:w="5" w:type="dxa"/>
              <w:bottom w:w="5" w:type="dxa"/>
              <w:right w:w="5" w:type="dxa"/>
            </w:tcMar>
            <w:vAlign w:val="bottom"/>
            <w:hideMark/>
          </w:tcPr>
          <w:p w14:paraId="6FFC205F" w14:textId="77777777" w:rsidR="00954279" w:rsidRDefault="00A66714">
            <w:pPr>
              <w:rPr>
                <w:color w:val="000000"/>
                <w:sz w:val="20"/>
                <w:szCs w:val="20"/>
              </w:rPr>
            </w:pPr>
            <w:r>
              <w:rPr>
                <w:color w:val="000000"/>
                <w:sz w:val="20"/>
                <w:szCs w:val="20"/>
              </w:rPr>
              <w:t> </w:t>
            </w:r>
          </w:p>
        </w:tc>
        <w:tc>
          <w:tcPr>
            <w:tcW w:w="30" w:type="pct"/>
            <w:tcMar>
              <w:top w:w="5" w:type="dxa"/>
              <w:left w:w="5" w:type="dxa"/>
              <w:bottom w:w="5" w:type="dxa"/>
              <w:right w:w="5" w:type="dxa"/>
            </w:tcMar>
            <w:vAlign w:val="bottom"/>
            <w:hideMark/>
          </w:tcPr>
          <w:p w14:paraId="3672BCB8" w14:textId="77777777" w:rsidR="00954279" w:rsidRDefault="00A66714">
            <w:pPr>
              <w:rPr>
                <w:color w:val="000000"/>
                <w:sz w:val="20"/>
                <w:szCs w:val="20"/>
              </w:rPr>
            </w:pPr>
            <w:r>
              <w:rPr>
                <w:color w:val="000000"/>
                <w:sz w:val="20"/>
                <w:szCs w:val="20"/>
              </w:rPr>
              <w:t> </w:t>
            </w:r>
          </w:p>
        </w:tc>
        <w:tc>
          <w:tcPr>
            <w:tcW w:w="49" w:type="pct"/>
            <w:tcMar>
              <w:top w:w="5" w:type="dxa"/>
              <w:left w:w="5" w:type="dxa"/>
              <w:bottom w:w="5" w:type="dxa"/>
              <w:right w:w="5" w:type="dxa"/>
            </w:tcMar>
            <w:vAlign w:val="bottom"/>
            <w:hideMark/>
          </w:tcPr>
          <w:p w14:paraId="6ABEC15F" w14:textId="77777777" w:rsidR="00954279" w:rsidRDefault="00A66714">
            <w:pPr>
              <w:rPr>
                <w:color w:val="000000"/>
                <w:sz w:val="20"/>
                <w:szCs w:val="20"/>
              </w:rPr>
            </w:pPr>
            <w:r>
              <w:rPr>
                <w:color w:val="000000"/>
                <w:sz w:val="20"/>
                <w:szCs w:val="20"/>
              </w:rPr>
              <w:t> </w:t>
            </w:r>
          </w:p>
        </w:tc>
        <w:tc>
          <w:tcPr>
            <w:tcW w:w="318" w:type="pct"/>
            <w:tcMar>
              <w:top w:w="5" w:type="dxa"/>
              <w:left w:w="5" w:type="dxa"/>
              <w:bottom w:w="5" w:type="dxa"/>
              <w:right w:w="5" w:type="dxa"/>
            </w:tcMar>
            <w:vAlign w:val="bottom"/>
            <w:hideMark/>
          </w:tcPr>
          <w:p w14:paraId="330D543F" w14:textId="77777777" w:rsidR="00954279" w:rsidRDefault="00A66714">
            <w:pPr>
              <w:jc w:val="right"/>
              <w:rPr>
                <w:color w:val="000000"/>
                <w:sz w:val="20"/>
                <w:szCs w:val="20"/>
              </w:rPr>
            </w:pPr>
            <w:r>
              <w:rPr>
                <w:color w:val="000000"/>
                <w:sz w:val="20"/>
                <w:szCs w:val="20"/>
              </w:rPr>
              <w:t>-</w:t>
            </w:r>
          </w:p>
        </w:tc>
        <w:tc>
          <w:tcPr>
            <w:tcW w:w="34" w:type="pct"/>
            <w:noWrap/>
            <w:tcMar>
              <w:top w:w="5" w:type="dxa"/>
              <w:left w:w="5" w:type="dxa"/>
              <w:bottom w:w="5" w:type="dxa"/>
              <w:right w:w="5" w:type="dxa"/>
            </w:tcMar>
            <w:vAlign w:val="bottom"/>
            <w:hideMark/>
          </w:tcPr>
          <w:p w14:paraId="2165BC98" w14:textId="77777777" w:rsidR="00954279" w:rsidRDefault="00A66714">
            <w:pPr>
              <w:rPr>
                <w:color w:val="000000"/>
                <w:sz w:val="20"/>
                <w:szCs w:val="20"/>
              </w:rPr>
            </w:pPr>
            <w:r>
              <w:rPr>
                <w:color w:val="000000"/>
                <w:sz w:val="20"/>
                <w:szCs w:val="20"/>
              </w:rPr>
              <w:t> </w:t>
            </w:r>
          </w:p>
        </w:tc>
        <w:tc>
          <w:tcPr>
            <w:tcW w:w="30" w:type="pct"/>
            <w:tcMar>
              <w:top w:w="5" w:type="dxa"/>
              <w:left w:w="5" w:type="dxa"/>
              <w:bottom w:w="5" w:type="dxa"/>
              <w:right w:w="5" w:type="dxa"/>
            </w:tcMar>
            <w:vAlign w:val="bottom"/>
            <w:hideMark/>
          </w:tcPr>
          <w:p w14:paraId="5700E68A" w14:textId="77777777" w:rsidR="00954279" w:rsidRDefault="00A66714">
            <w:pPr>
              <w:rPr>
                <w:color w:val="000000"/>
                <w:sz w:val="20"/>
                <w:szCs w:val="20"/>
              </w:rPr>
            </w:pPr>
            <w:r>
              <w:rPr>
                <w:color w:val="000000"/>
                <w:sz w:val="20"/>
                <w:szCs w:val="20"/>
              </w:rPr>
              <w:t> </w:t>
            </w:r>
          </w:p>
        </w:tc>
        <w:tc>
          <w:tcPr>
            <w:tcW w:w="33" w:type="pct"/>
            <w:tcMar>
              <w:top w:w="5" w:type="dxa"/>
              <w:left w:w="5" w:type="dxa"/>
              <w:bottom w:w="5" w:type="dxa"/>
              <w:right w:w="5" w:type="dxa"/>
            </w:tcMar>
            <w:vAlign w:val="bottom"/>
            <w:hideMark/>
          </w:tcPr>
          <w:p w14:paraId="5899155F" w14:textId="77777777" w:rsidR="00954279" w:rsidRDefault="00A66714">
            <w:pPr>
              <w:rPr>
                <w:color w:val="000000"/>
                <w:sz w:val="20"/>
                <w:szCs w:val="20"/>
              </w:rPr>
            </w:pPr>
            <w:r>
              <w:rPr>
                <w:color w:val="000000"/>
                <w:sz w:val="20"/>
                <w:szCs w:val="20"/>
              </w:rPr>
              <w:t> </w:t>
            </w:r>
          </w:p>
        </w:tc>
        <w:tc>
          <w:tcPr>
            <w:tcW w:w="317" w:type="pct"/>
            <w:tcMar>
              <w:top w:w="5" w:type="dxa"/>
              <w:left w:w="5" w:type="dxa"/>
              <w:bottom w:w="5" w:type="dxa"/>
              <w:right w:w="5" w:type="dxa"/>
            </w:tcMar>
            <w:vAlign w:val="bottom"/>
            <w:hideMark/>
          </w:tcPr>
          <w:p w14:paraId="03D5C42B" w14:textId="77777777" w:rsidR="00954279" w:rsidRDefault="00A66714">
            <w:pPr>
              <w:jc w:val="right"/>
              <w:rPr>
                <w:color w:val="000000"/>
                <w:sz w:val="20"/>
                <w:szCs w:val="20"/>
              </w:rPr>
            </w:pPr>
            <w:r>
              <w:rPr>
                <w:color w:val="000000"/>
                <w:sz w:val="20"/>
                <w:szCs w:val="20"/>
              </w:rPr>
              <w:t>-</w:t>
            </w:r>
          </w:p>
        </w:tc>
        <w:tc>
          <w:tcPr>
            <w:tcW w:w="34" w:type="pct"/>
            <w:noWrap/>
            <w:tcMar>
              <w:top w:w="5" w:type="dxa"/>
              <w:left w:w="5" w:type="dxa"/>
              <w:bottom w:w="5" w:type="dxa"/>
              <w:right w:w="5" w:type="dxa"/>
            </w:tcMar>
            <w:vAlign w:val="bottom"/>
            <w:hideMark/>
          </w:tcPr>
          <w:p w14:paraId="3AD35341" w14:textId="77777777" w:rsidR="00954279" w:rsidRDefault="00A66714">
            <w:pPr>
              <w:rPr>
                <w:color w:val="000000"/>
                <w:sz w:val="20"/>
                <w:szCs w:val="20"/>
              </w:rPr>
            </w:pPr>
            <w:r>
              <w:rPr>
                <w:color w:val="000000"/>
                <w:sz w:val="20"/>
                <w:szCs w:val="20"/>
              </w:rPr>
              <w:t> </w:t>
            </w:r>
          </w:p>
        </w:tc>
        <w:tc>
          <w:tcPr>
            <w:tcW w:w="30" w:type="pct"/>
            <w:tcMar>
              <w:top w:w="5" w:type="dxa"/>
              <w:left w:w="5" w:type="dxa"/>
              <w:bottom w:w="5" w:type="dxa"/>
              <w:right w:w="5" w:type="dxa"/>
            </w:tcMar>
            <w:vAlign w:val="bottom"/>
            <w:hideMark/>
          </w:tcPr>
          <w:p w14:paraId="582DAFD7" w14:textId="77777777" w:rsidR="00954279" w:rsidRDefault="00A66714">
            <w:pPr>
              <w:rPr>
                <w:color w:val="000000"/>
                <w:sz w:val="20"/>
                <w:szCs w:val="20"/>
              </w:rPr>
            </w:pPr>
            <w:r>
              <w:rPr>
                <w:color w:val="000000"/>
                <w:sz w:val="20"/>
                <w:szCs w:val="20"/>
              </w:rPr>
              <w:t> </w:t>
            </w:r>
          </w:p>
        </w:tc>
        <w:tc>
          <w:tcPr>
            <w:tcW w:w="49" w:type="pct"/>
            <w:tcMar>
              <w:top w:w="5" w:type="dxa"/>
              <w:left w:w="5" w:type="dxa"/>
              <w:bottom w:w="5" w:type="dxa"/>
              <w:right w:w="5" w:type="dxa"/>
            </w:tcMar>
            <w:vAlign w:val="bottom"/>
            <w:hideMark/>
          </w:tcPr>
          <w:p w14:paraId="6BBFB307" w14:textId="77777777" w:rsidR="00954279" w:rsidRDefault="00A66714">
            <w:pPr>
              <w:rPr>
                <w:color w:val="000000"/>
                <w:sz w:val="20"/>
                <w:szCs w:val="20"/>
              </w:rPr>
            </w:pPr>
            <w:r>
              <w:rPr>
                <w:color w:val="000000"/>
                <w:sz w:val="20"/>
                <w:szCs w:val="20"/>
              </w:rPr>
              <w:t> </w:t>
            </w:r>
          </w:p>
        </w:tc>
        <w:tc>
          <w:tcPr>
            <w:tcW w:w="318" w:type="pct"/>
            <w:tcMar>
              <w:top w:w="5" w:type="dxa"/>
              <w:left w:w="5" w:type="dxa"/>
              <w:bottom w:w="5" w:type="dxa"/>
              <w:right w:w="5" w:type="dxa"/>
            </w:tcMar>
            <w:vAlign w:val="bottom"/>
            <w:hideMark/>
          </w:tcPr>
          <w:p w14:paraId="34441146" w14:textId="77777777" w:rsidR="00954279" w:rsidRDefault="00A66714">
            <w:pPr>
              <w:jc w:val="right"/>
              <w:rPr>
                <w:color w:val="000000"/>
                <w:sz w:val="20"/>
                <w:szCs w:val="20"/>
              </w:rPr>
            </w:pPr>
            <w:r>
              <w:rPr>
                <w:color w:val="000000"/>
                <w:sz w:val="20"/>
                <w:szCs w:val="20"/>
              </w:rPr>
              <w:t>-</w:t>
            </w:r>
          </w:p>
        </w:tc>
        <w:tc>
          <w:tcPr>
            <w:tcW w:w="34" w:type="pct"/>
            <w:noWrap/>
            <w:tcMar>
              <w:top w:w="5" w:type="dxa"/>
              <w:left w:w="5" w:type="dxa"/>
              <w:bottom w:w="5" w:type="dxa"/>
              <w:right w:w="5" w:type="dxa"/>
            </w:tcMar>
            <w:vAlign w:val="bottom"/>
            <w:hideMark/>
          </w:tcPr>
          <w:p w14:paraId="32577C7A" w14:textId="77777777" w:rsidR="00954279" w:rsidRDefault="00A66714">
            <w:pPr>
              <w:rPr>
                <w:color w:val="000000"/>
                <w:sz w:val="20"/>
                <w:szCs w:val="20"/>
              </w:rPr>
            </w:pPr>
            <w:r>
              <w:rPr>
                <w:color w:val="000000"/>
                <w:sz w:val="20"/>
                <w:szCs w:val="20"/>
              </w:rPr>
              <w:t> </w:t>
            </w:r>
          </w:p>
        </w:tc>
        <w:tc>
          <w:tcPr>
            <w:tcW w:w="30" w:type="pct"/>
            <w:tcMar>
              <w:top w:w="5" w:type="dxa"/>
              <w:left w:w="5" w:type="dxa"/>
              <w:bottom w:w="5" w:type="dxa"/>
              <w:right w:w="5" w:type="dxa"/>
            </w:tcMar>
            <w:vAlign w:val="bottom"/>
            <w:hideMark/>
          </w:tcPr>
          <w:p w14:paraId="614F2A30" w14:textId="77777777" w:rsidR="00954279" w:rsidRDefault="00A66714">
            <w:pPr>
              <w:rPr>
                <w:color w:val="000000"/>
                <w:sz w:val="20"/>
                <w:szCs w:val="20"/>
              </w:rPr>
            </w:pPr>
            <w:r>
              <w:rPr>
                <w:color w:val="000000"/>
                <w:sz w:val="20"/>
                <w:szCs w:val="20"/>
              </w:rPr>
              <w:t> </w:t>
            </w:r>
          </w:p>
        </w:tc>
        <w:tc>
          <w:tcPr>
            <w:tcW w:w="75" w:type="pct"/>
            <w:tcMar>
              <w:top w:w="5" w:type="dxa"/>
              <w:left w:w="5" w:type="dxa"/>
              <w:bottom w:w="5" w:type="dxa"/>
              <w:right w:w="5" w:type="dxa"/>
            </w:tcMar>
            <w:vAlign w:val="bottom"/>
            <w:hideMark/>
          </w:tcPr>
          <w:p w14:paraId="3512536C" w14:textId="77777777" w:rsidR="00954279" w:rsidRDefault="00A66714">
            <w:pPr>
              <w:rPr>
                <w:color w:val="000000"/>
                <w:sz w:val="20"/>
                <w:szCs w:val="20"/>
              </w:rPr>
            </w:pPr>
            <w:r>
              <w:rPr>
                <w:color w:val="000000"/>
                <w:sz w:val="20"/>
                <w:szCs w:val="20"/>
              </w:rPr>
              <w:t> </w:t>
            </w:r>
          </w:p>
        </w:tc>
        <w:tc>
          <w:tcPr>
            <w:tcW w:w="520" w:type="pct"/>
            <w:tcMar>
              <w:top w:w="5" w:type="dxa"/>
              <w:left w:w="5" w:type="dxa"/>
              <w:bottom w:w="5" w:type="dxa"/>
              <w:right w:w="5" w:type="dxa"/>
            </w:tcMar>
            <w:vAlign w:val="bottom"/>
            <w:hideMark/>
          </w:tcPr>
          <w:p w14:paraId="1B1723DD" w14:textId="77777777" w:rsidR="00954279" w:rsidRDefault="00A66714">
            <w:pPr>
              <w:jc w:val="right"/>
              <w:rPr>
                <w:color w:val="000000"/>
                <w:sz w:val="20"/>
                <w:szCs w:val="20"/>
              </w:rPr>
            </w:pPr>
            <w:r>
              <w:rPr>
                <w:color w:val="000000"/>
                <w:sz w:val="20"/>
                <w:szCs w:val="20"/>
              </w:rPr>
              <w:t>8</w:t>
            </w:r>
          </w:p>
        </w:tc>
        <w:tc>
          <w:tcPr>
            <w:tcW w:w="34" w:type="pct"/>
            <w:noWrap/>
            <w:tcMar>
              <w:top w:w="5" w:type="dxa"/>
              <w:left w:w="5" w:type="dxa"/>
              <w:bottom w:w="5" w:type="dxa"/>
              <w:right w:w="5" w:type="dxa"/>
            </w:tcMar>
            <w:vAlign w:val="bottom"/>
            <w:hideMark/>
          </w:tcPr>
          <w:p w14:paraId="61C78FA7" w14:textId="77777777" w:rsidR="00954279" w:rsidRDefault="00A66714">
            <w:pPr>
              <w:rPr>
                <w:color w:val="000000"/>
                <w:sz w:val="20"/>
                <w:szCs w:val="20"/>
              </w:rPr>
            </w:pPr>
            <w:r>
              <w:rPr>
                <w:color w:val="000000"/>
                <w:sz w:val="20"/>
                <w:szCs w:val="20"/>
              </w:rPr>
              <w:t> </w:t>
            </w:r>
          </w:p>
        </w:tc>
        <w:tc>
          <w:tcPr>
            <w:tcW w:w="31" w:type="pct"/>
            <w:tcMar>
              <w:top w:w="5" w:type="dxa"/>
              <w:left w:w="5" w:type="dxa"/>
              <w:bottom w:w="5" w:type="dxa"/>
              <w:right w:w="5" w:type="dxa"/>
            </w:tcMar>
            <w:vAlign w:val="bottom"/>
            <w:hideMark/>
          </w:tcPr>
          <w:p w14:paraId="3FDEE69D" w14:textId="77777777" w:rsidR="00954279" w:rsidRDefault="00A66714">
            <w:pPr>
              <w:rPr>
                <w:color w:val="000000"/>
                <w:sz w:val="20"/>
                <w:szCs w:val="20"/>
              </w:rPr>
            </w:pPr>
            <w:r>
              <w:rPr>
                <w:color w:val="000000"/>
                <w:sz w:val="20"/>
                <w:szCs w:val="20"/>
              </w:rPr>
              <w:t> </w:t>
            </w:r>
          </w:p>
        </w:tc>
        <w:tc>
          <w:tcPr>
            <w:tcW w:w="65" w:type="pct"/>
            <w:tcMar>
              <w:top w:w="5" w:type="dxa"/>
              <w:left w:w="5" w:type="dxa"/>
              <w:bottom w:w="5" w:type="dxa"/>
              <w:right w:w="5" w:type="dxa"/>
            </w:tcMar>
            <w:vAlign w:val="bottom"/>
            <w:hideMark/>
          </w:tcPr>
          <w:p w14:paraId="6541F2EB" w14:textId="77777777" w:rsidR="00954279" w:rsidRDefault="00A66714">
            <w:pPr>
              <w:rPr>
                <w:color w:val="000000"/>
                <w:sz w:val="20"/>
                <w:szCs w:val="20"/>
              </w:rPr>
            </w:pPr>
            <w:r>
              <w:rPr>
                <w:color w:val="000000"/>
                <w:sz w:val="20"/>
                <w:szCs w:val="20"/>
              </w:rPr>
              <w:t> </w:t>
            </w:r>
          </w:p>
        </w:tc>
        <w:tc>
          <w:tcPr>
            <w:tcW w:w="455" w:type="pct"/>
            <w:tcMar>
              <w:top w:w="5" w:type="dxa"/>
              <w:left w:w="5" w:type="dxa"/>
              <w:bottom w:w="5" w:type="dxa"/>
              <w:right w:w="5" w:type="dxa"/>
            </w:tcMar>
            <w:vAlign w:val="bottom"/>
            <w:hideMark/>
          </w:tcPr>
          <w:p w14:paraId="2E111211" w14:textId="77777777" w:rsidR="00954279" w:rsidRDefault="00A66714">
            <w:pPr>
              <w:jc w:val="right"/>
              <w:rPr>
                <w:color w:val="000000"/>
                <w:sz w:val="20"/>
                <w:szCs w:val="20"/>
              </w:rPr>
            </w:pPr>
            <w:r>
              <w:rPr>
                <w:color w:val="000000"/>
                <w:sz w:val="20"/>
                <w:szCs w:val="20"/>
              </w:rPr>
              <w:t>8</w:t>
            </w:r>
          </w:p>
        </w:tc>
        <w:tc>
          <w:tcPr>
            <w:tcW w:w="34" w:type="pct"/>
            <w:noWrap/>
            <w:tcMar>
              <w:top w:w="5" w:type="dxa"/>
              <w:left w:w="5" w:type="dxa"/>
              <w:bottom w:w="5" w:type="dxa"/>
              <w:right w:w="5" w:type="dxa"/>
            </w:tcMar>
            <w:vAlign w:val="bottom"/>
            <w:hideMark/>
          </w:tcPr>
          <w:p w14:paraId="5FEED0D8" w14:textId="77777777" w:rsidR="00954279" w:rsidRDefault="00A66714">
            <w:pPr>
              <w:rPr>
                <w:color w:val="000000"/>
                <w:sz w:val="20"/>
                <w:szCs w:val="20"/>
              </w:rPr>
            </w:pPr>
            <w:r>
              <w:rPr>
                <w:color w:val="000000"/>
                <w:sz w:val="20"/>
                <w:szCs w:val="20"/>
              </w:rPr>
              <w:t> </w:t>
            </w:r>
          </w:p>
        </w:tc>
      </w:tr>
      <w:tr w:rsidR="00717712" w14:paraId="578AA78D" w14:textId="77777777" w:rsidTr="00717712">
        <w:tc>
          <w:tcPr>
            <w:tcW w:w="1163" w:type="pct"/>
            <w:tcMar>
              <w:top w:w="5" w:type="dxa"/>
              <w:left w:w="185" w:type="dxa"/>
              <w:bottom w:w="5" w:type="dxa"/>
              <w:right w:w="5" w:type="dxa"/>
            </w:tcMar>
            <w:vAlign w:val="bottom"/>
            <w:hideMark/>
          </w:tcPr>
          <w:p w14:paraId="0431E181" w14:textId="77777777" w:rsidR="00954279" w:rsidRDefault="00A66714">
            <w:pPr>
              <w:rPr>
                <w:color w:val="000000"/>
                <w:sz w:val="20"/>
                <w:szCs w:val="20"/>
              </w:rPr>
            </w:pPr>
            <w:r>
              <w:rPr>
                <w:color w:val="000000"/>
                <w:sz w:val="20"/>
                <w:szCs w:val="20"/>
              </w:rPr>
              <w:t>Equity-based compensation expense</w:t>
            </w:r>
          </w:p>
        </w:tc>
        <w:tc>
          <w:tcPr>
            <w:tcW w:w="31" w:type="pct"/>
            <w:tcMar>
              <w:top w:w="5" w:type="dxa"/>
              <w:left w:w="5" w:type="dxa"/>
              <w:bottom w:w="5" w:type="dxa"/>
              <w:right w:w="5" w:type="dxa"/>
            </w:tcMar>
            <w:vAlign w:val="bottom"/>
            <w:hideMark/>
          </w:tcPr>
          <w:p w14:paraId="08A4B755" w14:textId="77777777" w:rsidR="00954279" w:rsidRDefault="00A66714">
            <w:pPr>
              <w:rPr>
                <w:color w:val="000000"/>
                <w:sz w:val="20"/>
                <w:szCs w:val="20"/>
              </w:rPr>
            </w:pPr>
            <w:r>
              <w:rPr>
                <w:color w:val="000000"/>
                <w:sz w:val="20"/>
                <w:szCs w:val="20"/>
              </w:rPr>
              <w:t> </w:t>
            </w:r>
          </w:p>
        </w:tc>
        <w:tc>
          <w:tcPr>
            <w:tcW w:w="32" w:type="pct"/>
            <w:tcMar>
              <w:top w:w="5" w:type="dxa"/>
              <w:left w:w="5" w:type="dxa"/>
              <w:bottom w:w="5" w:type="dxa"/>
              <w:right w:w="5" w:type="dxa"/>
            </w:tcMar>
            <w:vAlign w:val="bottom"/>
            <w:hideMark/>
          </w:tcPr>
          <w:p w14:paraId="3219E476" w14:textId="77777777" w:rsidR="00954279" w:rsidRDefault="00A66714">
            <w:pPr>
              <w:rPr>
                <w:color w:val="000000"/>
                <w:sz w:val="20"/>
                <w:szCs w:val="20"/>
              </w:rPr>
            </w:pPr>
            <w:r>
              <w:rPr>
                <w:color w:val="000000"/>
                <w:sz w:val="20"/>
                <w:szCs w:val="20"/>
              </w:rPr>
              <w:t> </w:t>
            </w:r>
          </w:p>
        </w:tc>
        <w:tc>
          <w:tcPr>
            <w:tcW w:w="317" w:type="pct"/>
            <w:tcMar>
              <w:top w:w="5" w:type="dxa"/>
              <w:left w:w="5" w:type="dxa"/>
              <w:bottom w:w="5" w:type="dxa"/>
              <w:right w:w="5" w:type="dxa"/>
            </w:tcMar>
            <w:vAlign w:val="bottom"/>
            <w:hideMark/>
          </w:tcPr>
          <w:p w14:paraId="265E5FA1" w14:textId="77777777" w:rsidR="00954279" w:rsidRDefault="00A66714">
            <w:pPr>
              <w:jc w:val="right"/>
              <w:rPr>
                <w:color w:val="000000"/>
                <w:sz w:val="20"/>
                <w:szCs w:val="20"/>
              </w:rPr>
            </w:pPr>
            <w:r>
              <w:rPr>
                <w:color w:val="000000"/>
                <w:sz w:val="20"/>
                <w:szCs w:val="20"/>
              </w:rPr>
              <w:t>-</w:t>
            </w:r>
          </w:p>
        </w:tc>
        <w:tc>
          <w:tcPr>
            <w:tcW w:w="31" w:type="pct"/>
            <w:noWrap/>
            <w:tcMar>
              <w:top w:w="5" w:type="dxa"/>
              <w:left w:w="5" w:type="dxa"/>
              <w:bottom w:w="5" w:type="dxa"/>
              <w:right w:w="5" w:type="dxa"/>
            </w:tcMar>
            <w:vAlign w:val="bottom"/>
            <w:hideMark/>
          </w:tcPr>
          <w:p w14:paraId="0D877863" w14:textId="77777777" w:rsidR="00954279" w:rsidRDefault="00A66714">
            <w:pPr>
              <w:rPr>
                <w:color w:val="000000"/>
                <w:sz w:val="20"/>
                <w:szCs w:val="20"/>
              </w:rPr>
            </w:pPr>
            <w:r>
              <w:rPr>
                <w:color w:val="000000"/>
                <w:sz w:val="20"/>
                <w:szCs w:val="20"/>
              </w:rPr>
              <w:t> </w:t>
            </w:r>
          </w:p>
        </w:tc>
        <w:tc>
          <w:tcPr>
            <w:tcW w:w="31" w:type="pct"/>
            <w:tcMar>
              <w:top w:w="5" w:type="dxa"/>
              <w:left w:w="5" w:type="dxa"/>
              <w:bottom w:w="5" w:type="dxa"/>
              <w:right w:w="5" w:type="dxa"/>
            </w:tcMar>
            <w:vAlign w:val="bottom"/>
            <w:hideMark/>
          </w:tcPr>
          <w:p w14:paraId="212219BA" w14:textId="77777777" w:rsidR="00954279" w:rsidRDefault="00A66714">
            <w:pPr>
              <w:rPr>
                <w:color w:val="000000"/>
                <w:sz w:val="20"/>
                <w:szCs w:val="20"/>
              </w:rPr>
            </w:pPr>
            <w:r>
              <w:rPr>
                <w:color w:val="000000"/>
                <w:sz w:val="20"/>
                <w:szCs w:val="20"/>
              </w:rPr>
              <w:t> </w:t>
            </w:r>
          </w:p>
        </w:tc>
        <w:tc>
          <w:tcPr>
            <w:tcW w:w="49" w:type="pct"/>
            <w:tcMar>
              <w:top w:w="5" w:type="dxa"/>
              <w:left w:w="5" w:type="dxa"/>
              <w:bottom w:w="5" w:type="dxa"/>
              <w:right w:w="5" w:type="dxa"/>
            </w:tcMar>
            <w:vAlign w:val="bottom"/>
            <w:hideMark/>
          </w:tcPr>
          <w:p w14:paraId="3441AB0B" w14:textId="77777777" w:rsidR="00954279" w:rsidRDefault="00A66714">
            <w:pPr>
              <w:rPr>
                <w:color w:val="000000"/>
                <w:sz w:val="20"/>
                <w:szCs w:val="20"/>
              </w:rPr>
            </w:pPr>
            <w:r>
              <w:rPr>
                <w:color w:val="000000"/>
                <w:sz w:val="20"/>
                <w:szCs w:val="20"/>
              </w:rPr>
              <w:t> </w:t>
            </w:r>
          </w:p>
        </w:tc>
        <w:tc>
          <w:tcPr>
            <w:tcW w:w="318" w:type="pct"/>
            <w:tcMar>
              <w:top w:w="5" w:type="dxa"/>
              <w:left w:w="5" w:type="dxa"/>
              <w:bottom w:w="5" w:type="dxa"/>
              <w:right w:w="5" w:type="dxa"/>
            </w:tcMar>
            <w:vAlign w:val="bottom"/>
            <w:hideMark/>
          </w:tcPr>
          <w:p w14:paraId="564BA0DB" w14:textId="77777777" w:rsidR="00954279" w:rsidRDefault="00A66714">
            <w:pPr>
              <w:jc w:val="right"/>
              <w:rPr>
                <w:color w:val="000000"/>
                <w:sz w:val="20"/>
                <w:szCs w:val="20"/>
              </w:rPr>
            </w:pPr>
            <w:r>
              <w:rPr>
                <w:color w:val="000000"/>
                <w:sz w:val="20"/>
                <w:szCs w:val="20"/>
              </w:rPr>
              <w:t>-</w:t>
            </w:r>
          </w:p>
        </w:tc>
        <w:tc>
          <w:tcPr>
            <w:tcW w:w="32" w:type="pct"/>
            <w:noWrap/>
            <w:tcMar>
              <w:top w:w="5" w:type="dxa"/>
              <w:left w:w="5" w:type="dxa"/>
              <w:bottom w:w="5" w:type="dxa"/>
              <w:right w:w="5" w:type="dxa"/>
            </w:tcMar>
            <w:vAlign w:val="bottom"/>
            <w:hideMark/>
          </w:tcPr>
          <w:p w14:paraId="2E66E5EC" w14:textId="77777777" w:rsidR="00954279" w:rsidRDefault="00A66714">
            <w:pPr>
              <w:rPr>
                <w:color w:val="000000"/>
                <w:sz w:val="20"/>
                <w:szCs w:val="20"/>
              </w:rPr>
            </w:pPr>
            <w:r>
              <w:rPr>
                <w:color w:val="000000"/>
                <w:sz w:val="20"/>
                <w:szCs w:val="20"/>
              </w:rPr>
              <w:t> </w:t>
            </w:r>
          </w:p>
        </w:tc>
        <w:tc>
          <w:tcPr>
            <w:tcW w:w="32" w:type="pct"/>
            <w:tcMar>
              <w:top w:w="5" w:type="dxa"/>
              <w:left w:w="5" w:type="dxa"/>
              <w:bottom w:w="5" w:type="dxa"/>
              <w:right w:w="5" w:type="dxa"/>
            </w:tcMar>
            <w:vAlign w:val="bottom"/>
            <w:hideMark/>
          </w:tcPr>
          <w:p w14:paraId="3C8F6BF2" w14:textId="77777777" w:rsidR="00954279" w:rsidRDefault="00A66714">
            <w:pPr>
              <w:rPr>
                <w:color w:val="000000"/>
                <w:sz w:val="20"/>
                <w:szCs w:val="20"/>
              </w:rPr>
            </w:pPr>
            <w:r>
              <w:rPr>
                <w:color w:val="000000"/>
                <w:sz w:val="20"/>
                <w:szCs w:val="20"/>
              </w:rPr>
              <w:t> </w:t>
            </w:r>
          </w:p>
        </w:tc>
        <w:tc>
          <w:tcPr>
            <w:tcW w:w="52" w:type="pct"/>
            <w:tcMar>
              <w:top w:w="5" w:type="dxa"/>
              <w:left w:w="5" w:type="dxa"/>
              <w:bottom w:w="5" w:type="dxa"/>
              <w:right w:w="5" w:type="dxa"/>
            </w:tcMar>
            <w:vAlign w:val="bottom"/>
            <w:hideMark/>
          </w:tcPr>
          <w:p w14:paraId="652CFB41" w14:textId="77777777" w:rsidR="00954279" w:rsidRDefault="00A66714">
            <w:pPr>
              <w:rPr>
                <w:color w:val="000000"/>
                <w:sz w:val="20"/>
                <w:szCs w:val="20"/>
              </w:rPr>
            </w:pPr>
            <w:r>
              <w:rPr>
                <w:color w:val="000000"/>
                <w:sz w:val="20"/>
                <w:szCs w:val="20"/>
              </w:rPr>
              <w:t> </w:t>
            </w:r>
          </w:p>
        </w:tc>
        <w:tc>
          <w:tcPr>
            <w:tcW w:w="356" w:type="pct"/>
            <w:tcMar>
              <w:top w:w="5" w:type="dxa"/>
              <w:left w:w="5" w:type="dxa"/>
              <w:bottom w:w="5" w:type="dxa"/>
              <w:right w:w="5" w:type="dxa"/>
            </w:tcMar>
            <w:vAlign w:val="bottom"/>
            <w:hideMark/>
          </w:tcPr>
          <w:p w14:paraId="09AFCC60" w14:textId="77777777" w:rsidR="00954279" w:rsidRDefault="00A66714">
            <w:pPr>
              <w:jc w:val="right"/>
              <w:rPr>
                <w:color w:val="000000"/>
                <w:sz w:val="20"/>
                <w:szCs w:val="20"/>
              </w:rPr>
            </w:pPr>
            <w:r>
              <w:rPr>
                <w:color w:val="000000"/>
                <w:sz w:val="20"/>
                <w:szCs w:val="20"/>
              </w:rPr>
              <w:t>3</w:t>
            </w:r>
          </w:p>
        </w:tc>
        <w:tc>
          <w:tcPr>
            <w:tcW w:w="34" w:type="pct"/>
            <w:noWrap/>
            <w:tcMar>
              <w:top w:w="5" w:type="dxa"/>
              <w:left w:w="5" w:type="dxa"/>
              <w:bottom w:w="5" w:type="dxa"/>
              <w:right w:w="5" w:type="dxa"/>
            </w:tcMar>
            <w:vAlign w:val="bottom"/>
            <w:hideMark/>
          </w:tcPr>
          <w:p w14:paraId="38403799" w14:textId="77777777" w:rsidR="00954279" w:rsidRDefault="00A66714">
            <w:pPr>
              <w:rPr>
                <w:color w:val="000000"/>
                <w:sz w:val="20"/>
                <w:szCs w:val="20"/>
              </w:rPr>
            </w:pPr>
            <w:r>
              <w:rPr>
                <w:color w:val="000000"/>
                <w:sz w:val="20"/>
                <w:szCs w:val="20"/>
              </w:rPr>
              <w:t> </w:t>
            </w:r>
          </w:p>
        </w:tc>
        <w:tc>
          <w:tcPr>
            <w:tcW w:w="30" w:type="pct"/>
            <w:tcMar>
              <w:top w:w="5" w:type="dxa"/>
              <w:left w:w="5" w:type="dxa"/>
              <w:bottom w:w="5" w:type="dxa"/>
              <w:right w:w="5" w:type="dxa"/>
            </w:tcMar>
            <w:vAlign w:val="bottom"/>
            <w:hideMark/>
          </w:tcPr>
          <w:p w14:paraId="12A1AF51" w14:textId="77777777" w:rsidR="00954279" w:rsidRDefault="00A66714">
            <w:pPr>
              <w:rPr>
                <w:color w:val="000000"/>
                <w:sz w:val="20"/>
                <w:szCs w:val="20"/>
              </w:rPr>
            </w:pPr>
            <w:r>
              <w:rPr>
                <w:color w:val="000000"/>
                <w:sz w:val="20"/>
                <w:szCs w:val="20"/>
              </w:rPr>
              <w:t> </w:t>
            </w:r>
          </w:p>
        </w:tc>
        <w:tc>
          <w:tcPr>
            <w:tcW w:w="49" w:type="pct"/>
            <w:tcMar>
              <w:top w:w="5" w:type="dxa"/>
              <w:left w:w="5" w:type="dxa"/>
              <w:bottom w:w="5" w:type="dxa"/>
              <w:right w:w="5" w:type="dxa"/>
            </w:tcMar>
            <w:vAlign w:val="bottom"/>
            <w:hideMark/>
          </w:tcPr>
          <w:p w14:paraId="5FCF7BE2" w14:textId="77777777" w:rsidR="00954279" w:rsidRDefault="00A66714">
            <w:pPr>
              <w:rPr>
                <w:color w:val="000000"/>
                <w:sz w:val="20"/>
                <w:szCs w:val="20"/>
              </w:rPr>
            </w:pPr>
            <w:r>
              <w:rPr>
                <w:color w:val="000000"/>
                <w:sz w:val="20"/>
                <w:szCs w:val="20"/>
              </w:rPr>
              <w:t> </w:t>
            </w:r>
          </w:p>
        </w:tc>
        <w:tc>
          <w:tcPr>
            <w:tcW w:w="318" w:type="pct"/>
            <w:tcMar>
              <w:top w:w="5" w:type="dxa"/>
              <w:left w:w="5" w:type="dxa"/>
              <w:bottom w:w="5" w:type="dxa"/>
              <w:right w:w="5" w:type="dxa"/>
            </w:tcMar>
            <w:vAlign w:val="bottom"/>
            <w:hideMark/>
          </w:tcPr>
          <w:p w14:paraId="35D0758D" w14:textId="77777777" w:rsidR="00954279" w:rsidRDefault="00A66714">
            <w:pPr>
              <w:jc w:val="right"/>
              <w:rPr>
                <w:color w:val="000000"/>
                <w:sz w:val="20"/>
                <w:szCs w:val="20"/>
              </w:rPr>
            </w:pPr>
            <w:r>
              <w:rPr>
                <w:color w:val="000000"/>
                <w:sz w:val="20"/>
                <w:szCs w:val="20"/>
              </w:rPr>
              <w:t>-</w:t>
            </w:r>
          </w:p>
        </w:tc>
        <w:tc>
          <w:tcPr>
            <w:tcW w:w="34" w:type="pct"/>
            <w:noWrap/>
            <w:tcMar>
              <w:top w:w="5" w:type="dxa"/>
              <w:left w:w="5" w:type="dxa"/>
              <w:bottom w:w="5" w:type="dxa"/>
              <w:right w:w="5" w:type="dxa"/>
            </w:tcMar>
            <w:vAlign w:val="bottom"/>
            <w:hideMark/>
          </w:tcPr>
          <w:p w14:paraId="193A8402" w14:textId="77777777" w:rsidR="00954279" w:rsidRDefault="00A66714">
            <w:pPr>
              <w:rPr>
                <w:color w:val="000000"/>
                <w:sz w:val="20"/>
                <w:szCs w:val="20"/>
              </w:rPr>
            </w:pPr>
            <w:r>
              <w:rPr>
                <w:color w:val="000000"/>
                <w:sz w:val="20"/>
                <w:szCs w:val="20"/>
              </w:rPr>
              <w:t> </w:t>
            </w:r>
          </w:p>
        </w:tc>
        <w:tc>
          <w:tcPr>
            <w:tcW w:w="30" w:type="pct"/>
            <w:tcMar>
              <w:top w:w="5" w:type="dxa"/>
              <w:left w:w="5" w:type="dxa"/>
              <w:bottom w:w="5" w:type="dxa"/>
              <w:right w:w="5" w:type="dxa"/>
            </w:tcMar>
            <w:vAlign w:val="bottom"/>
            <w:hideMark/>
          </w:tcPr>
          <w:p w14:paraId="74E6F5C6" w14:textId="77777777" w:rsidR="00954279" w:rsidRDefault="00A66714">
            <w:pPr>
              <w:rPr>
                <w:color w:val="000000"/>
                <w:sz w:val="20"/>
                <w:szCs w:val="20"/>
              </w:rPr>
            </w:pPr>
            <w:r>
              <w:rPr>
                <w:color w:val="000000"/>
                <w:sz w:val="20"/>
                <w:szCs w:val="20"/>
              </w:rPr>
              <w:t> </w:t>
            </w:r>
          </w:p>
        </w:tc>
        <w:tc>
          <w:tcPr>
            <w:tcW w:w="33" w:type="pct"/>
            <w:tcMar>
              <w:top w:w="5" w:type="dxa"/>
              <w:left w:w="5" w:type="dxa"/>
              <w:bottom w:w="5" w:type="dxa"/>
              <w:right w:w="5" w:type="dxa"/>
            </w:tcMar>
            <w:vAlign w:val="bottom"/>
            <w:hideMark/>
          </w:tcPr>
          <w:p w14:paraId="5B6F9DD8" w14:textId="77777777" w:rsidR="00954279" w:rsidRDefault="00A66714">
            <w:pPr>
              <w:rPr>
                <w:color w:val="000000"/>
                <w:sz w:val="20"/>
                <w:szCs w:val="20"/>
              </w:rPr>
            </w:pPr>
            <w:r>
              <w:rPr>
                <w:color w:val="000000"/>
                <w:sz w:val="20"/>
                <w:szCs w:val="20"/>
              </w:rPr>
              <w:t> </w:t>
            </w:r>
          </w:p>
        </w:tc>
        <w:tc>
          <w:tcPr>
            <w:tcW w:w="317" w:type="pct"/>
            <w:tcMar>
              <w:top w:w="5" w:type="dxa"/>
              <w:left w:w="5" w:type="dxa"/>
              <w:bottom w:w="5" w:type="dxa"/>
              <w:right w:w="5" w:type="dxa"/>
            </w:tcMar>
            <w:vAlign w:val="bottom"/>
            <w:hideMark/>
          </w:tcPr>
          <w:p w14:paraId="64075D7B" w14:textId="77777777" w:rsidR="00954279" w:rsidRDefault="00A66714">
            <w:pPr>
              <w:jc w:val="right"/>
              <w:rPr>
                <w:color w:val="000000"/>
                <w:sz w:val="20"/>
                <w:szCs w:val="20"/>
              </w:rPr>
            </w:pPr>
            <w:r>
              <w:rPr>
                <w:color w:val="000000"/>
                <w:sz w:val="20"/>
                <w:szCs w:val="20"/>
              </w:rPr>
              <w:t>-</w:t>
            </w:r>
          </w:p>
        </w:tc>
        <w:tc>
          <w:tcPr>
            <w:tcW w:w="34" w:type="pct"/>
            <w:noWrap/>
            <w:tcMar>
              <w:top w:w="5" w:type="dxa"/>
              <w:left w:w="5" w:type="dxa"/>
              <w:bottom w:w="5" w:type="dxa"/>
              <w:right w:w="5" w:type="dxa"/>
            </w:tcMar>
            <w:vAlign w:val="bottom"/>
            <w:hideMark/>
          </w:tcPr>
          <w:p w14:paraId="099A14C0" w14:textId="77777777" w:rsidR="00954279" w:rsidRDefault="00A66714">
            <w:pPr>
              <w:rPr>
                <w:color w:val="000000"/>
                <w:sz w:val="20"/>
                <w:szCs w:val="20"/>
              </w:rPr>
            </w:pPr>
            <w:r>
              <w:rPr>
                <w:color w:val="000000"/>
                <w:sz w:val="20"/>
                <w:szCs w:val="20"/>
              </w:rPr>
              <w:t> </w:t>
            </w:r>
          </w:p>
        </w:tc>
        <w:tc>
          <w:tcPr>
            <w:tcW w:w="30" w:type="pct"/>
            <w:tcMar>
              <w:top w:w="5" w:type="dxa"/>
              <w:left w:w="5" w:type="dxa"/>
              <w:bottom w:w="5" w:type="dxa"/>
              <w:right w:w="5" w:type="dxa"/>
            </w:tcMar>
            <w:vAlign w:val="bottom"/>
            <w:hideMark/>
          </w:tcPr>
          <w:p w14:paraId="771AADCA" w14:textId="77777777" w:rsidR="00954279" w:rsidRDefault="00A66714">
            <w:pPr>
              <w:rPr>
                <w:color w:val="000000"/>
                <w:sz w:val="20"/>
                <w:szCs w:val="20"/>
              </w:rPr>
            </w:pPr>
            <w:r>
              <w:rPr>
                <w:color w:val="000000"/>
                <w:sz w:val="20"/>
                <w:szCs w:val="20"/>
              </w:rPr>
              <w:t> </w:t>
            </w:r>
          </w:p>
        </w:tc>
        <w:tc>
          <w:tcPr>
            <w:tcW w:w="49" w:type="pct"/>
            <w:tcMar>
              <w:top w:w="5" w:type="dxa"/>
              <w:left w:w="5" w:type="dxa"/>
              <w:bottom w:w="5" w:type="dxa"/>
              <w:right w:w="5" w:type="dxa"/>
            </w:tcMar>
            <w:vAlign w:val="bottom"/>
            <w:hideMark/>
          </w:tcPr>
          <w:p w14:paraId="558A0662" w14:textId="77777777" w:rsidR="00954279" w:rsidRDefault="00A66714">
            <w:pPr>
              <w:rPr>
                <w:color w:val="000000"/>
                <w:sz w:val="20"/>
                <w:szCs w:val="20"/>
              </w:rPr>
            </w:pPr>
            <w:r>
              <w:rPr>
                <w:color w:val="000000"/>
                <w:sz w:val="20"/>
                <w:szCs w:val="20"/>
              </w:rPr>
              <w:t> </w:t>
            </w:r>
          </w:p>
        </w:tc>
        <w:tc>
          <w:tcPr>
            <w:tcW w:w="318" w:type="pct"/>
            <w:tcMar>
              <w:top w:w="5" w:type="dxa"/>
              <w:left w:w="5" w:type="dxa"/>
              <w:bottom w:w="5" w:type="dxa"/>
              <w:right w:w="5" w:type="dxa"/>
            </w:tcMar>
            <w:vAlign w:val="bottom"/>
            <w:hideMark/>
          </w:tcPr>
          <w:p w14:paraId="2B23BBF0" w14:textId="77777777" w:rsidR="00954279" w:rsidRDefault="00A66714">
            <w:pPr>
              <w:jc w:val="right"/>
              <w:rPr>
                <w:color w:val="000000"/>
                <w:sz w:val="20"/>
                <w:szCs w:val="20"/>
              </w:rPr>
            </w:pPr>
            <w:r>
              <w:rPr>
                <w:color w:val="000000"/>
                <w:sz w:val="20"/>
                <w:szCs w:val="20"/>
              </w:rPr>
              <w:t>-</w:t>
            </w:r>
          </w:p>
        </w:tc>
        <w:tc>
          <w:tcPr>
            <w:tcW w:w="34" w:type="pct"/>
            <w:noWrap/>
            <w:tcMar>
              <w:top w:w="5" w:type="dxa"/>
              <w:left w:w="5" w:type="dxa"/>
              <w:bottom w:w="5" w:type="dxa"/>
              <w:right w:w="5" w:type="dxa"/>
            </w:tcMar>
            <w:vAlign w:val="bottom"/>
            <w:hideMark/>
          </w:tcPr>
          <w:p w14:paraId="14EDB3F7" w14:textId="77777777" w:rsidR="00954279" w:rsidRDefault="00A66714">
            <w:pPr>
              <w:rPr>
                <w:color w:val="000000"/>
                <w:sz w:val="20"/>
                <w:szCs w:val="20"/>
              </w:rPr>
            </w:pPr>
            <w:r>
              <w:rPr>
                <w:color w:val="000000"/>
                <w:sz w:val="20"/>
                <w:szCs w:val="20"/>
              </w:rPr>
              <w:t> </w:t>
            </w:r>
          </w:p>
        </w:tc>
        <w:tc>
          <w:tcPr>
            <w:tcW w:w="30" w:type="pct"/>
            <w:tcMar>
              <w:top w:w="5" w:type="dxa"/>
              <w:left w:w="5" w:type="dxa"/>
              <w:bottom w:w="5" w:type="dxa"/>
              <w:right w:w="5" w:type="dxa"/>
            </w:tcMar>
            <w:vAlign w:val="bottom"/>
            <w:hideMark/>
          </w:tcPr>
          <w:p w14:paraId="7E1DD308" w14:textId="77777777" w:rsidR="00954279" w:rsidRDefault="00A66714">
            <w:pPr>
              <w:rPr>
                <w:color w:val="000000"/>
                <w:sz w:val="20"/>
                <w:szCs w:val="20"/>
              </w:rPr>
            </w:pPr>
            <w:r>
              <w:rPr>
                <w:color w:val="000000"/>
                <w:sz w:val="20"/>
                <w:szCs w:val="20"/>
              </w:rPr>
              <w:t> </w:t>
            </w:r>
          </w:p>
        </w:tc>
        <w:tc>
          <w:tcPr>
            <w:tcW w:w="75" w:type="pct"/>
            <w:tcMar>
              <w:top w:w="5" w:type="dxa"/>
              <w:left w:w="5" w:type="dxa"/>
              <w:bottom w:w="5" w:type="dxa"/>
              <w:right w:w="5" w:type="dxa"/>
            </w:tcMar>
            <w:vAlign w:val="bottom"/>
            <w:hideMark/>
          </w:tcPr>
          <w:p w14:paraId="5935E4F9" w14:textId="77777777" w:rsidR="00954279" w:rsidRDefault="00A66714">
            <w:pPr>
              <w:rPr>
                <w:color w:val="000000"/>
                <w:sz w:val="20"/>
                <w:szCs w:val="20"/>
              </w:rPr>
            </w:pPr>
            <w:r>
              <w:rPr>
                <w:color w:val="000000"/>
                <w:sz w:val="20"/>
                <w:szCs w:val="20"/>
              </w:rPr>
              <w:t> </w:t>
            </w:r>
          </w:p>
        </w:tc>
        <w:tc>
          <w:tcPr>
            <w:tcW w:w="520" w:type="pct"/>
            <w:tcMar>
              <w:top w:w="5" w:type="dxa"/>
              <w:left w:w="5" w:type="dxa"/>
              <w:bottom w:w="5" w:type="dxa"/>
              <w:right w:w="5" w:type="dxa"/>
            </w:tcMar>
            <w:vAlign w:val="bottom"/>
            <w:hideMark/>
          </w:tcPr>
          <w:p w14:paraId="039E0318" w14:textId="77777777" w:rsidR="00954279" w:rsidRDefault="00A66714">
            <w:pPr>
              <w:jc w:val="right"/>
              <w:rPr>
                <w:color w:val="000000"/>
                <w:sz w:val="20"/>
                <w:szCs w:val="20"/>
              </w:rPr>
            </w:pPr>
            <w:r>
              <w:rPr>
                <w:color w:val="000000"/>
                <w:sz w:val="20"/>
                <w:szCs w:val="20"/>
              </w:rPr>
              <w:t>-</w:t>
            </w:r>
          </w:p>
        </w:tc>
        <w:tc>
          <w:tcPr>
            <w:tcW w:w="34" w:type="pct"/>
            <w:noWrap/>
            <w:tcMar>
              <w:top w:w="5" w:type="dxa"/>
              <w:left w:w="5" w:type="dxa"/>
              <w:bottom w:w="5" w:type="dxa"/>
              <w:right w:w="5" w:type="dxa"/>
            </w:tcMar>
            <w:vAlign w:val="bottom"/>
            <w:hideMark/>
          </w:tcPr>
          <w:p w14:paraId="5FE97301" w14:textId="77777777" w:rsidR="00954279" w:rsidRDefault="00A66714">
            <w:pPr>
              <w:rPr>
                <w:color w:val="000000"/>
                <w:sz w:val="20"/>
                <w:szCs w:val="20"/>
              </w:rPr>
            </w:pPr>
            <w:r>
              <w:rPr>
                <w:color w:val="000000"/>
                <w:sz w:val="20"/>
                <w:szCs w:val="20"/>
              </w:rPr>
              <w:t> </w:t>
            </w:r>
          </w:p>
        </w:tc>
        <w:tc>
          <w:tcPr>
            <w:tcW w:w="31" w:type="pct"/>
            <w:tcMar>
              <w:top w:w="5" w:type="dxa"/>
              <w:left w:w="5" w:type="dxa"/>
              <w:bottom w:w="5" w:type="dxa"/>
              <w:right w:w="5" w:type="dxa"/>
            </w:tcMar>
            <w:vAlign w:val="bottom"/>
            <w:hideMark/>
          </w:tcPr>
          <w:p w14:paraId="19EDCB8D" w14:textId="77777777" w:rsidR="00954279" w:rsidRDefault="00A66714">
            <w:pPr>
              <w:rPr>
                <w:color w:val="000000"/>
                <w:sz w:val="20"/>
                <w:szCs w:val="20"/>
              </w:rPr>
            </w:pPr>
            <w:r>
              <w:rPr>
                <w:color w:val="000000"/>
                <w:sz w:val="20"/>
                <w:szCs w:val="20"/>
              </w:rPr>
              <w:t> </w:t>
            </w:r>
          </w:p>
        </w:tc>
        <w:tc>
          <w:tcPr>
            <w:tcW w:w="65" w:type="pct"/>
            <w:tcMar>
              <w:top w:w="5" w:type="dxa"/>
              <w:left w:w="5" w:type="dxa"/>
              <w:bottom w:w="5" w:type="dxa"/>
              <w:right w:w="5" w:type="dxa"/>
            </w:tcMar>
            <w:vAlign w:val="bottom"/>
            <w:hideMark/>
          </w:tcPr>
          <w:p w14:paraId="52A6A010" w14:textId="77777777" w:rsidR="00954279" w:rsidRDefault="00A66714">
            <w:pPr>
              <w:rPr>
                <w:color w:val="000000"/>
                <w:sz w:val="20"/>
                <w:szCs w:val="20"/>
              </w:rPr>
            </w:pPr>
            <w:r>
              <w:rPr>
                <w:color w:val="000000"/>
                <w:sz w:val="20"/>
                <w:szCs w:val="20"/>
              </w:rPr>
              <w:t> </w:t>
            </w:r>
          </w:p>
        </w:tc>
        <w:tc>
          <w:tcPr>
            <w:tcW w:w="455" w:type="pct"/>
            <w:tcMar>
              <w:top w:w="5" w:type="dxa"/>
              <w:left w:w="5" w:type="dxa"/>
              <w:bottom w:w="5" w:type="dxa"/>
              <w:right w:w="5" w:type="dxa"/>
            </w:tcMar>
            <w:vAlign w:val="bottom"/>
            <w:hideMark/>
          </w:tcPr>
          <w:p w14:paraId="5D57565C" w14:textId="77777777" w:rsidR="00954279" w:rsidRDefault="00A66714">
            <w:pPr>
              <w:jc w:val="right"/>
              <w:rPr>
                <w:color w:val="000000"/>
                <w:sz w:val="20"/>
                <w:szCs w:val="20"/>
              </w:rPr>
            </w:pPr>
            <w:r>
              <w:rPr>
                <w:color w:val="000000"/>
                <w:sz w:val="20"/>
                <w:szCs w:val="20"/>
              </w:rPr>
              <w:t>3</w:t>
            </w:r>
          </w:p>
        </w:tc>
        <w:tc>
          <w:tcPr>
            <w:tcW w:w="34" w:type="pct"/>
            <w:noWrap/>
            <w:tcMar>
              <w:top w:w="5" w:type="dxa"/>
              <w:left w:w="5" w:type="dxa"/>
              <w:bottom w:w="5" w:type="dxa"/>
              <w:right w:w="5" w:type="dxa"/>
            </w:tcMar>
            <w:vAlign w:val="bottom"/>
            <w:hideMark/>
          </w:tcPr>
          <w:p w14:paraId="7A98EB5F" w14:textId="77777777" w:rsidR="00954279" w:rsidRDefault="00A66714">
            <w:pPr>
              <w:rPr>
                <w:color w:val="000000"/>
                <w:sz w:val="20"/>
                <w:szCs w:val="20"/>
              </w:rPr>
            </w:pPr>
            <w:r>
              <w:rPr>
                <w:color w:val="000000"/>
                <w:sz w:val="20"/>
                <w:szCs w:val="20"/>
              </w:rPr>
              <w:t> </w:t>
            </w:r>
          </w:p>
        </w:tc>
      </w:tr>
      <w:tr w:rsidR="00717712" w14:paraId="006A92E7" w14:textId="77777777" w:rsidTr="00717712">
        <w:tc>
          <w:tcPr>
            <w:tcW w:w="1163" w:type="pct"/>
            <w:tcMar>
              <w:top w:w="5" w:type="dxa"/>
              <w:left w:w="185" w:type="dxa"/>
              <w:bottom w:w="5" w:type="dxa"/>
              <w:right w:w="5" w:type="dxa"/>
            </w:tcMar>
            <w:vAlign w:val="bottom"/>
            <w:hideMark/>
          </w:tcPr>
          <w:p w14:paraId="7D4AB8CA" w14:textId="77777777" w:rsidR="00954279" w:rsidRDefault="00A66714">
            <w:pPr>
              <w:rPr>
                <w:color w:val="000000"/>
                <w:sz w:val="20"/>
                <w:szCs w:val="20"/>
              </w:rPr>
            </w:pPr>
            <w:r>
              <w:rPr>
                <w:color w:val="000000"/>
                <w:sz w:val="20"/>
                <w:szCs w:val="20"/>
              </w:rPr>
              <w:t>Dividends declared on preferred stock</w:t>
            </w:r>
          </w:p>
        </w:tc>
        <w:tc>
          <w:tcPr>
            <w:tcW w:w="31" w:type="pct"/>
            <w:tcMar>
              <w:top w:w="5" w:type="dxa"/>
              <w:left w:w="5" w:type="dxa"/>
              <w:bottom w:w="20" w:type="dxa"/>
              <w:right w:w="5" w:type="dxa"/>
            </w:tcMar>
            <w:vAlign w:val="bottom"/>
            <w:hideMark/>
          </w:tcPr>
          <w:p w14:paraId="36A02527" w14:textId="77777777" w:rsidR="00954279" w:rsidRDefault="00A66714">
            <w:pPr>
              <w:rPr>
                <w:color w:val="000000"/>
                <w:sz w:val="20"/>
                <w:szCs w:val="20"/>
              </w:rPr>
            </w:pPr>
            <w:r>
              <w:rPr>
                <w:color w:val="000000"/>
                <w:sz w:val="20"/>
                <w:szCs w:val="20"/>
              </w:rPr>
              <w:t> </w:t>
            </w:r>
          </w:p>
        </w:tc>
        <w:tc>
          <w:tcPr>
            <w:tcW w:w="32" w:type="pct"/>
            <w:tcBorders>
              <w:bottom w:val="single" w:sz="6" w:space="0" w:color="000000"/>
            </w:tcBorders>
            <w:tcMar>
              <w:top w:w="5" w:type="dxa"/>
              <w:left w:w="5" w:type="dxa"/>
              <w:bottom w:w="8" w:type="dxa"/>
              <w:right w:w="5" w:type="dxa"/>
            </w:tcMar>
            <w:vAlign w:val="bottom"/>
            <w:hideMark/>
          </w:tcPr>
          <w:p w14:paraId="38BE281A" w14:textId="77777777" w:rsidR="00954279" w:rsidRDefault="00A66714">
            <w:pPr>
              <w:rPr>
                <w:color w:val="000000"/>
                <w:sz w:val="20"/>
                <w:szCs w:val="20"/>
              </w:rPr>
            </w:pPr>
            <w:r>
              <w:rPr>
                <w:color w:val="000000"/>
                <w:sz w:val="20"/>
                <w:szCs w:val="20"/>
              </w:rPr>
              <w:t> </w:t>
            </w:r>
          </w:p>
        </w:tc>
        <w:tc>
          <w:tcPr>
            <w:tcW w:w="317" w:type="pct"/>
            <w:tcBorders>
              <w:bottom w:val="single" w:sz="6" w:space="0" w:color="000000"/>
            </w:tcBorders>
            <w:tcMar>
              <w:top w:w="5" w:type="dxa"/>
              <w:left w:w="5" w:type="dxa"/>
              <w:bottom w:w="8" w:type="dxa"/>
              <w:right w:w="5" w:type="dxa"/>
            </w:tcMar>
            <w:vAlign w:val="bottom"/>
            <w:hideMark/>
          </w:tcPr>
          <w:p w14:paraId="72154C9A" w14:textId="77777777" w:rsidR="00954279" w:rsidRDefault="00A66714">
            <w:pPr>
              <w:jc w:val="right"/>
              <w:rPr>
                <w:color w:val="000000"/>
                <w:sz w:val="20"/>
                <w:szCs w:val="20"/>
              </w:rPr>
            </w:pPr>
            <w:r>
              <w:rPr>
                <w:color w:val="000000"/>
                <w:sz w:val="20"/>
                <w:szCs w:val="20"/>
              </w:rPr>
              <w:t>-</w:t>
            </w:r>
          </w:p>
        </w:tc>
        <w:tc>
          <w:tcPr>
            <w:tcW w:w="31" w:type="pct"/>
            <w:noWrap/>
            <w:tcMar>
              <w:top w:w="5" w:type="dxa"/>
              <w:left w:w="5" w:type="dxa"/>
              <w:bottom w:w="20" w:type="dxa"/>
              <w:right w:w="5" w:type="dxa"/>
            </w:tcMar>
            <w:vAlign w:val="bottom"/>
            <w:hideMark/>
          </w:tcPr>
          <w:p w14:paraId="3628A403" w14:textId="77777777" w:rsidR="00954279" w:rsidRDefault="00A66714">
            <w:pPr>
              <w:rPr>
                <w:color w:val="000000"/>
                <w:sz w:val="20"/>
                <w:szCs w:val="20"/>
              </w:rPr>
            </w:pPr>
            <w:r>
              <w:rPr>
                <w:color w:val="000000"/>
                <w:sz w:val="20"/>
                <w:szCs w:val="20"/>
              </w:rPr>
              <w:t> </w:t>
            </w:r>
          </w:p>
        </w:tc>
        <w:tc>
          <w:tcPr>
            <w:tcW w:w="31" w:type="pct"/>
            <w:tcMar>
              <w:top w:w="5" w:type="dxa"/>
              <w:left w:w="5" w:type="dxa"/>
              <w:bottom w:w="20" w:type="dxa"/>
              <w:right w:w="5" w:type="dxa"/>
            </w:tcMar>
            <w:vAlign w:val="bottom"/>
            <w:hideMark/>
          </w:tcPr>
          <w:p w14:paraId="5028C880" w14:textId="77777777" w:rsidR="00954279" w:rsidRDefault="00A66714">
            <w:pPr>
              <w:rPr>
                <w:color w:val="000000"/>
                <w:sz w:val="20"/>
                <w:szCs w:val="20"/>
              </w:rPr>
            </w:pPr>
            <w:r>
              <w:rPr>
                <w:color w:val="000000"/>
                <w:sz w:val="20"/>
                <w:szCs w:val="20"/>
              </w:rPr>
              <w:t> </w:t>
            </w:r>
          </w:p>
        </w:tc>
        <w:tc>
          <w:tcPr>
            <w:tcW w:w="49" w:type="pct"/>
            <w:tcBorders>
              <w:bottom w:val="single" w:sz="6" w:space="0" w:color="000000"/>
            </w:tcBorders>
            <w:tcMar>
              <w:top w:w="5" w:type="dxa"/>
              <w:left w:w="5" w:type="dxa"/>
              <w:bottom w:w="8" w:type="dxa"/>
              <w:right w:w="5" w:type="dxa"/>
            </w:tcMar>
            <w:vAlign w:val="bottom"/>
            <w:hideMark/>
          </w:tcPr>
          <w:p w14:paraId="47A0C64B" w14:textId="77777777" w:rsidR="00954279" w:rsidRDefault="00A66714">
            <w:pPr>
              <w:rPr>
                <w:color w:val="000000"/>
                <w:sz w:val="20"/>
                <w:szCs w:val="20"/>
              </w:rPr>
            </w:pPr>
            <w:r>
              <w:rPr>
                <w:color w:val="000000"/>
                <w:sz w:val="20"/>
                <w:szCs w:val="20"/>
              </w:rPr>
              <w:t> </w:t>
            </w:r>
          </w:p>
        </w:tc>
        <w:tc>
          <w:tcPr>
            <w:tcW w:w="318" w:type="pct"/>
            <w:tcBorders>
              <w:bottom w:val="single" w:sz="6" w:space="0" w:color="000000"/>
            </w:tcBorders>
            <w:tcMar>
              <w:top w:w="5" w:type="dxa"/>
              <w:left w:w="5" w:type="dxa"/>
              <w:bottom w:w="8" w:type="dxa"/>
              <w:right w:w="5" w:type="dxa"/>
            </w:tcMar>
            <w:vAlign w:val="bottom"/>
            <w:hideMark/>
          </w:tcPr>
          <w:p w14:paraId="7DE40562" w14:textId="77777777" w:rsidR="00954279" w:rsidRDefault="00A66714">
            <w:pPr>
              <w:jc w:val="right"/>
              <w:rPr>
                <w:color w:val="000000"/>
                <w:sz w:val="20"/>
                <w:szCs w:val="20"/>
              </w:rPr>
            </w:pPr>
            <w:r>
              <w:rPr>
                <w:color w:val="000000"/>
                <w:sz w:val="20"/>
                <w:szCs w:val="20"/>
              </w:rPr>
              <w:t>-</w:t>
            </w:r>
          </w:p>
        </w:tc>
        <w:tc>
          <w:tcPr>
            <w:tcW w:w="32" w:type="pct"/>
            <w:noWrap/>
            <w:tcMar>
              <w:top w:w="5" w:type="dxa"/>
              <w:left w:w="5" w:type="dxa"/>
              <w:bottom w:w="20" w:type="dxa"/>
              <w:right w:w="5" w:type="dxa"/>
            </w:tcMar>
            <w:vAlign w:val="bottom"/>
            <w:hideMark/>
          </w:tcPr>
          <w:p w14:paraId="2FAF6E26" w14:textId="77777777" w:rsidR="00954279" w:rsidRDefault="00A66714">
            <w:pPr>
              <w:rPr>
                <w:color w:val="000000"/>
                <w:sz w:val="20"/>
                <w:szCs w:val="20"/>
              </w:rPr>
            </w:pPr>
            <w:r>
              <w:rPr>
                <w:color w:val="000000"/>
                <w:sz w:val="20"/>
                <w:szCs w:val="20"/>
              </w:rPr>
              <w:t> </w:t>
            </w:r>
          </w:p>
        </w:tc>
        <w:tc>
          <w:tcPr>
            <w:tcW w:w="32" w:type="pct"/>
            <w:tcMar>
              <w:top w:w="5" w:type="dxa"/>
              <w:left w:w="5" w:type="dxa"/>
              <w:bottom w:w="20" w:type="dxa"/>
              <w:right w:w="5" w:type="dxa"/>
            </w:tcMar>
            <w:vAlign w:val="bottom"/>
            <w:hideMark/>
          </w:tcPr>
          <w:p w14:paraId="782170DB" w14:textId="77777777" w:rsidR="00954279" w:rsidRDefault="00A66714">
            <w:pPr>
              <w:rPr>
                <w:color w:val="000000"/>
                <w:sz w:val="20"/>
                <w:szCs w:val="20"/>
              </w:rPr>
            </w:pPr>
            <w:r>
              <w:rPr>
                <w:color w:val="000000"/>
                <w:sz w:val="20"/>
                <w:szCs w:val="20"/>
              </w:rPr>
              <w:t> </w:t>
            </w:r>
          </w:p>
        </w:tc>
        <w:tc>
          <w:tcPr>
            <w:tcW w:w="52" w:type="pct"/>
            <w:tcBorders>
              <w:bottom w:val="single" w:sz="6" w:space="0" w:color="000000"/>
            </w:tcBorders>
            <w:tcMar>
              <w:top w:w="5" w:type="dxa"/>
              <w:left w:w="5" w:type="dxa"/>
              <w:bottom w:w="8" w:type="dxa"/>
              <w:right w:w="5" w:type="dxa"/>
            </w:tcMar>
            <w:vAlign w:val="bottom"/>
            <w:hideMark/>
          </w:tcPr>
          <w:p w14:paraId="35F38595" w14:textId="77777777" w:rsidR="00954279" w:rsidRDefault="00A66714">
            <w:pPr>
              <w:rPr>
                <w:color w:val="000000"/>
                <w:sz w:val="20"/>
                <w:szCs w:val="20"/>
              </w:rPr>
            </w:pPr>
            <w:r>
              <w:rPr>
                <w:color w:val="000000"/>
                <w:sz w:val="20"/>
                <w:szCs w:val="20"/>
              </w:rPr>
              <w:t> </w:t>
            </w:r>
          </w:p>
        </w:tc>
        <w:tc>
          <w:tcPr>
            <w:tcW w:w="356" w:type="pct"/>
            <w:tcBorders>
              <w:bottom w:val="single" w:sz="6" w:space="0" w:color="000000"/>
            </w:tcBorders>
            <w:tcMar>
              <w:top w:w="5" w:type="dxa"/>
              <w:left w:w="5" w:type="dxa"/>
              <w:bottom w:w="8" w:type="dxa"/>
              <w:right w:w="5" w:type="dxa"/>
            </w:tcMar>
            <w:vAlign w:val="bottom"/>
            <w:hideMark/>
          </w:tcPr>
          <w:p w14:paraId="5A588111" w14:textId="77777777" w:rsidR="00954279" w:rsidRDefault="00A66714">
            <w:pPr>
              <w:jc w:val="right"/>
              <w:rPr>
                <w:color w:val="000000"/>
                <w:sz w:val="20"/>
                <w:szCs w:val="20"/>
              </w:rPr>
            </w:pPr>
            <w:r>
              <w:rPr>
                <w:color w:val="000000"/>
                <w:sz w:val="20"/>
                <w:szCs w:val="20"/>
              </w:rPr>
              <w:t>-</w:t>
            </w:r>
          </w:p>
        </w:tc>
        <w:tc>
          <w:tcPr>
            <w:tcW w:w="34" w:type="pct"/>
            <w:noWrap/>
            <w:tcMar>
              <w:top w:w="5" w:type="dxa"/>
              <w:left w:w="5" w:type="dxa"/>
              <w:bottom w:w="20" w:type="dxa"/>
              <w:right w:w="5" w:type="dxa"/>
            </w:tcMar>
            <w:vAlign w:val="bottom"/>
            <w:hideMark/>
          </w:tcPr>
          <w:p w14:paraId="105C3E26" w14:textId="77777777" w:rsidR="00954279" w:rsidRDefault="00A66714">
            <w:pPr>
              <w:rPr>
                <w:color w:val="000000"/>
                <w:sz w:val="20"/>
                <w:szCs w:val="20"/>
              </w:rPr>
            </w:pPr>
            <w:r>
              <w:rPr>
                <w:color w:val="000000"/>
                <w:sz w:val="20"/>
                <w:szCs w:val="20"/>
              </w:rPr>
              <w:t> </w:t>
            </w:r>
          </w:p>
        </w:tc>
        <w:tc>
          <w:tcPr>
            <w:tcW w:w="30" w:type="pct"/>
            <w:tcMar>
              <w:top w:w="5" w:type="dxa"/>
              <w:left w:w="5" w:type="dxa"/>
              <w:bottom w:w="20" w:type="dxa"/>
              <w:right w:w="5" w:type="dxa"/>
            </w:tcMar>
            <w:vAlign w:val="bottom"/>
            <w:hideMark/>
          </w:tcPr>
          <w:p w14:paraId="3DC8EA88" w14:textId="77777777" w:rsidR="00954279" w:rsidRDefault="00A66714">
            <w:pPr>
              <w:rPr>
                <w:color w:val="000000"/>
                <w:sz w:val="20"/>
                <w:szCs w:val="20"/>
              </w:rPr>
            </w:pPr>
            <w:r>
              <w:rPr>
                <w:color w:val="000000"/>
                <w:sz w:val="20"/>
                <w:szCs w:val="20"/>
              </w:rPr>
              <w:t> </w:t>
            </w:r>
          </w:p>
        </w:tc>
        <w:tc>
          <w:tcPr>
            <w:tcW w:w="49" w:type="pct"/>
            <w:tcBorders>
              <w:bottom w:val="single" w:sz="6" w:space="0" w:color="000000"/>
            </w:tcBorders>
            <w:tcMar>
              <w:top w:w="5" w:type="dxa"/>
              <w:left w:w="5" w:type="dxa"/>
              <w:bottom w:w="8" w:type="dxa"/>
              <w:right w:w="5" w:type="dxa"/>
            </w:tcMar>
            <w:vAlign w:val="bottom"/>
            <w:hideMark/>
          </w:tcPr>
          <w:p w14:paraId="5FDA3C1F" w14:textId="77777777" w:rsidR="00954279" w:rsidRDefault="00A66714">
            <w:pPr>
              <w:rPr>
                <w:color w:val="000000"/>
                <w:sz w:val="20"/>
                <w:szCs w:val="20"/>
              </w:rPr>
            </w:pPr>
            <w:r>
              <w:rPr>
                <w:color w:val="000000"/>
                <w:sz w:val="20"/>
                <w:szCs w:val="20"/>
              </w:rPr>
              <w:t> </w:t>
            </w:r>
          </w:p>
        </w:tc>
        <w:tc>
          <w:tcPr>
            <w:tcW w:w="318" w:type="pct"/>
            <w:tcBorders>
              <w:bottom w:val="single" w:sz="6" w:space="0" w:color="000000"/>
            </w:tcBorders>
            <w:tcMar>
              <w:top w:w="5" w:type="dxa"/>
              <w:left w:w="5" w:type="dxa"/>
              <w:bottom w:w="8" w:type="dxa"/>
              <w:right w:w="5" w:type="dxa"/>
            </w:tcMar>
            <w:vAlign w:val="bottom"/>
            <w:hideMark/>
          </w:tcPr>
          <w:p w14:paraId="52414D7F" w14:textId="77777777" w:rsidR="00954279" w:rsidRDefault="00A66714">
            <w:pPr>
              <w:jc w:val="right"/>
              <w:rPr>
                <w:color w:val="000000"/>
                <w:sz w:val="20"/>
                <w:szCs w:val="20"/>
              </w:rPr>
            </w:pPr>
            <w:r>
              <w:rPr>
                <w:color w:val="000000"/>
                <w:sz w:val="20"/>
                <w:szCs w:val="20"/>
              </w:rPr>
              <w:t>(6</w:t>
            </w:r>
          </w:p>
        </w:tc>
        <w:tc>
          <w:tcPr>
            <w:tcW w:w="34" w:type="pct"/>
            <w:noWrap/>
            <w:tcMar>
              <w:top w:w="5" w:type="dxa"/>
              <w:left w:w="5" w:type="dxa"/>
              <w:bottom w:w="20" w:type="dxa"/>
              <w:right w:w="5" w:type="dxa"/>
            </w:tcMar>
            <w:vAlign w:val="bottom"/>
            <w:hideMark/>
          </w:tcPr>
          <w:p w14:paraId="2E46F1FB" w14:textId="77777777" w:rsidR="00954279" w:rsidRDefault="00A66714">
            <w:pPr>
              <w:rPr>
                <w:color w:val="000000"/>
                <w:sz w:val="20"/>
                <w:szCs w:val="20"/>
              </w:rPr>
            </w:pPr>
            <w:r>
              <w:rPr>
                <w:color w:val="000000"/>
                <w:sz w:val="20"/>
                <w:szCs w:val="20"/>
              </w:rPr>
              <w:t>)</w:t>
            </w:r>
          </w:p>
        </w:tc>
        <w:tc>
          <w:tcPr>
            <w:tcW w:w="30" w:type="pct"/>
            <w:tcMar>
              <w:top w:w="5" w:type="dxa"/>
              <w:left w:w="5" w:type="dxa"/>
              <w:bottom w:w="20" w:type="dxa"/>
              <w:right w:w="5" w:type="dxa"/>
            </w:tcMar>
            <w:vAlign w:val="bottom"/>
            <w:hideMark/>
          </w:tcPr>
          <w:p w14:paraId="72BDF2C9" w14:textId="77777777" w:rsidR="00954279" w:rsidRDefault="00A66714">
            <w:pPr>
              <w:rPr>
                <w:color w:val="000000"/>
                <w:sz w:val="20"/>
                <w:szCs w:val="20"/>
              </w:rPr>
            </w:pPr>
            <w:r>
              <w:rPr>
                <w:color w:val="000000"/>
                <w:sz w:val="20"/>
                <w:szCs w:val="20"/>
              </w:rPr>
              <w:t> </w:t>
            </w:r>
          </w:p>
        </w:tc>
        <w:tc>
          <w:tcPr>
            <w:tcW w:w="33" w:type="pct"/>
            <w:tcBorders>
              <w:bottom w:val="single" w:sz="6" w:space="0" w:color="000000"/>
            </w:tcBorders>
            <w:tcMar>
              <w:top w:w="5" w:type="dxa"/>
              <w:left w:w="5" w:type="dxa"/>
              <w:bottom w:w="8" w:type="dxa"/>
              <w:right w:w="5" w:type="dxa"/>
            </w:tcMar>
            <w:vAlign w:val="bottom"/>
            <w:hideMark/>
          </w:tcPr>
          <w:p w14:paraId="7C180998" w14:textId="77777777" w:rsidR="00954279" w:rsidRDefault="00A66714">
            <w:pPr>
              <w:rPr>
                <w:color w:val="000000"/>
                <w:sz w:val="20"/>
                <w:szCs w:val="20"/>
              </w:rPr>
            </w:pPr>
            <w:r>
              <w:rPr>
                <w:color w:val="000000"/>
                <w:sz w:val="20"/>
                <w:szCs w:val="20"/>
              </w:rPr>
              <w:t> </w:t>
            </w:r>
          </w:p>
        </w:tc>
        <w:tc>
          <w:tcPr>
            <w:tcW w:w="317" w:type="pct"/>
            <w:tcBorders>
              <w:bottom w:val="single" w:sz="6" w:space="0" w:color="000000"/>
            </w:tcBorders>
            <w:tcMar>
              <w:top w:w="5" w:type="dxa"/>
              <w:left w:w="5" w:type="dxa"/>
              <w:bottom w:w="8" w:type="dxa"/>
              <w:right w:w="5" w:type="dxa"/>
            </w:tcMar>
            <w:vAlign w:val="bottom"/>
            <w:hideMark/>
          </w:tcPr>
          <w:p w14:paraId="413500BC" w14:textId="77777777" w:rsidR="00954279" w:rsidRDefault="00A66714">
            <w:pPr>
              <w:jc w:val="right"/>
              <w:rPr>
                <w:color w:val="000000"/>
                <w:sz w:val="20"/>
                <w:szCs w:val="20"/>
              </w:rPr>
            </w:pPr>
            <w:r>
              <w:rPr>
                <w:color w:val="000000"/>
                <w:sz w:val="20"/>
                <w:szCs w:val="20"/>
              </w:rPr>
              <w:t>-</w:t>
            </w:r>
          </w:p>
        </w:tc>
        <w:tc>
          <w:tcPr>
            <w:tcW w:w="34" w:type="pct"/>
            <w:noWrap/>
            <w:tcMar>
              <w:top w:w="5" w:type="dxa"/>
              <w:left w:w="5" w:type="dxa"/>
              <w:bottom w:w="20" w:type="dxa"/>
              <w:right w:w="5" w:type="dxa"/>
            </w:tcMar>
            <w:vAlign w:val="bottom"/>
            <w:hideMark/>
          </w:tcPr>
          <w:p w14:paraId="2969F128" w14:textId="77777777" w:rsidR="00954279" w:rsidRDefault="00A66714">
            <w:pPr>
              <w:rPr>
                <w:color w:val="000000"/>
                <w:sz w:val="20"/>
                <w:szCs w:val="20"/>
              </w:rPr>
            </w:pPr>
            <w:r>
              <w:rPr>
                <w:color w:val="000000"/>
                <w:sz w:val="20"/>
                <w:szCs w:val="20"/>
              </w:rPr>
              <w:t> </w:t>
            </w:r>
          </w:p>
        </w:tc>
        <w:tc>
          <w:tcPr>
            <w:tcW w:w="30" w:type="pct"/>
            <w:tcMar>
              <w:top w:w="5" w:type="dxa"/>
              <w:left w:w="5" w:type="dxa"/>
              <w:bottom w:w="20" w:type="dxa"/>
              <w:right w:w="5" w:type="dxa"/>
            </w:tcMar>
            <w:vAlign w:val="bottom"/>
            <w:hideMark/>
          </w:tcPr>
          <w:p w14:paraId="60556299" w14:textId="77777777" w:rsidR="00954279" w:rsidRDefault="00A66714">
            <w:pPr>
              <w:rPr>
                <w:color w:val="000000"/>
                <w:sz w:val="20"/>
                <w:szCs w:val="20"/>
              </w:rPr>
            </w:pPr>
            <w:r>
              <w:rPr>
                <w:color w:val="000000"/>
                <w:sz w:val="20"/>
                <w:szCs w:val="20"/>
              </w:rPr>
              <w:t> </w:t>
            </w:r>
          </w:p>
        </w:tc>
        <w:tc>
          <w:tcPr>
            <w:tcW w:w="49" w:type="pct"/>
            <w:tcBorders>
              <w:bottom w:val="single" w:sz="6" w:space="0" w:color="000000"/>
            </w:tcBorders>
            <w:tcMar>
              <w:top w:w="5" w:type="dxa"/>
              <w:left w:w="5" w:type="dxa"/>
              <w:bottom w:w="8" w:type="dxa"/>
              <w:right w:w="5" w:type="dxa"/>
            </w:tcMar>
            <w:vAlign w:val="bottom"/>
            <w:hideMark/>
          </w:tcPr>
          <w:p w14:paraId="46B463F8" w14:textId="77777777" w:rsidR="00954279" w:rsidRDefault="00A66714">
            <w:pPr>
              <w:rPr>
                <w:color w:val="000000"/>
                <w:sz w:val="20"/>
                <w:szCs w:val="20"/>
              </w:rPr>
            </w:pPr>
            <w:r>
              <w:rPr>
                <w:color w:val="000000"/>
                <w:sz w:val="20"/>
                <w:szCs w:val="20"/>
              </w:rPr>
              <w:t> </w:t>
            </w:r>
          </w:p>
        </w:tc>
        <w:tc>
          <w:tcPr>
            <w:tcW w:w="318" w:type="pct"/>
            <w:tcBorders>
              <w:bottom w:val="single" w:sz="6" w:space="0" w:color="000000"/>
            </w:tcBorders>
            <w:tcMar>
              <w:top w:w="5" w:type="dxa"/>
              <w:left w:w="5" w:type="dxa"/>
              <w:bottom w:w="8" w:type="dxa"/>
              <w:right w:w="5" w:type="dxa"/>
            </w:tcMar>
            <w:vAlign w:val="bottom"/>
            <w:hideMark/>
          </w:tcPr>
          <w:p w14:paraId="116BF983" w14:textId="77777777" w:rsidR="00954279" w:rsidRDefault="00A66714">
            <w:pPr>
              <w:jc w:val="right"/>
              <w:rPr>
                <w:color w:val="000000"/>
                <w:sz w:val="20"/>
                <w:szCs w:val="20"/>
              </w:rPr>
            </w:pPr>
            <w:r>
              <w:rPr>
                <w:color w:val="000000"/>
                <w:sz w:val="20"/>
                <w:szCs w:val="20"/>
              </w:rPr>
              <w:t>-</w:t>
            </w:r>
          </w:p>
        </w:tc>
        <w:tc>
          <w:tcPr>
            <w:tcW w:w="34" w:type="pct"/>
            <w:noWrap/>
            <w:tcMar>
              <w:top w:w="5" w:type="dxa"/>
              <w:left w:w="5" w:type="dxa"/>
              <w:bottom w:w="20" w:type="dxa"/>
              <w:right w:w="5" w:type="dxa"/>
            </w:tcMar>
            <w:vAlign w:val="bottom"/>
            <w:hideMark/>
          </w:tcPr>
          <w:p w14:paraId="764FD6F3" w14:textId="77777777" w:rsidR="00954279" w:rsidRDefault="00A66714">
            <w:pPr>
              <w:rPr>
                <w:color w:val="000000"/>
                <w:sz w:val="20"/>
                <w:szCs w:val="20"/>
              </w:rPr>
            </w:pPr>
            <w:r>
              <w:rPr>
                <w:color w:val="000000"/>
                <w:sz w:val="20"/>
                <w:szCs w:val="20"/>
              </w:rPr>
              <w:t> </w:t>
            </w:r>
          </w:p>
        </w:tc>
        <w:tc>
          <w:tcPr>
            <w:tcW w:w="30" w:type="pct"/>
            <w:tcMar>
              <w:top w:w="5" w:type="dxa"/>
              <w:left w:w="5" w:type="dxa"/>
              <w:bottom w:w="20" w:type="dxa"/>
              <w:right w:w="5" w:type="dxa"/>
            </w:tcMar>
            <w:vAlign w:val="bottom"/>
            <w:hideMark/>
          </w:tcPr>
          <w:p w14:paraId="6FF6299A" w14:textId="77777777" w:rsidR="00954279" w:rsidRDefault="00A66714">
            <w:pPr>
              <w:rPr>
                <w:color w:val="000000"/>
                <w:sz w:val="20"/>
                <w:szCs w:val="20"/>
              </w:rPr>
            </w:pPr>
            <w:r>
              <w:rPr>
                <w:color w:val="000000"/>
                <w:sz w:val="20"/>
                <w:szCs w:val="20"/>
              </w:rPr>
              <w:t> </w:t>
            </w:r>
          </w:p>
        </w:tc>
        <w:tc>
          <w:tcPr>
            <w:tcW w:w="75" w:type="pct"/>
            <w:tcBorders>
              <w:bottom w:val="single" w:sz="6" w:space="0" w:color="000000"/>
            </w:tcBorders>
            <w:tcMar>
              <w:top w:w="5" w:type="dxa"/>
              <w:left w:w="5" w:type="dxa"/>
              <w:bottom w:w="8" w:type="dxa"/>
              <w:right w:w="5" w:type="dxa"/>
            </w:tcMar>
            <w:vAlign w:val="bottom"/>
            <w:hideMark/>
          </w:tcPr>
          <w:p w14:paraId="51A6E691" w14:textId="77777777" w:rsidR="00954279" w:rsidRDefault="00A66714">
            <w:pPr>
              <w:rPr>
                <w:color w:val="000000"/>
                <w:sz w:val="20"/>
                <w:szCs w:val="20"/>
              </w:rPr>
            </w:pPr>
            <w:r>
              <w:rPr>
                <w:color w:val="000000"/>
                <w:sz w:val="20"/>
                <w:szCs w:val="20"/>
              </w:rPr>
              <w:t> </w:t>
            </w:r>
          </w:p>
        </w:tc>
        <w:tc>
          <w:tcPr>
            <w:tcW w:w="520" w:type="pct"/>
            <w:tcBorders>
              <w:bottom w:val="single" w:sz="6" w:space="0" w:color="000000"/>
            </w:tcBorders>
            <w:tcMar>
              <w:top w:w="5" w:type="dxa"/>
              <w:left w:w="5" w:type="dxa"/>
              <w:bottom w:w="8" w:type="dxa"/>
              <w:right w:w="5" w:type="dxa"/>
            </w:tcMar>
            <w:vAlign w:val="bottom"/>
            <w:hideMark/>
          </w:tcPr>
          <w:p w14:paraId="0AE818A1" w14:textId="77777777" w:rsidR="00954279" w:rsidRDefault="00A66714">
            <w:pPr>
              <w:jc w:val="right"/>
              <w:rPr>
                <w:color w:val="000000"/>
                <w:sz w:val="20"/>
                <w:szCs w:val="20"/>
              </w:rPr>
            </w:pPr>
            <w:r>
              <w:rPr>
                <w:color w:val="000000"/>
                <w:sz w:val="20"/>
                <w:szCs w:val="20"/>
              </w:rPr>
              <w:t>-</w:t>
            </w:r>
          </w:p>
        </w:tc>
        <w:tc>
          <w:tcPr>
            <w:tcW w:w="34" w:type="pct"/>
            <w:noWrap/>
            <w:tcMar>
              <w:top w:w="5" w:type="dxa"/>
              <w:left w:w="5" w:type="dxa"/>
              <w:bottom w:w="20" w:type="dxa"/>
              <w:right w:w="5" w:type="dxa"/>
            </w:tcMar>
            <w:vAlign w:val="bottom"/>
            <w:hideMark/>
          </w:tcPr>
          <w:p w14:paraId="050584B3" w14:textId="77777777" w:rsidR="00954279" w:rsidRDefault="00A66714">
            <w:pPr>
              <w:rPr>
                <w:color w:val="000000"/>
                <w:sz w:val="20"/>
                <w:szCs w:val="20"/>
              </w:rPr>
            </w:pPr>
            <w:r>
              <w:rPr>
                <w:color w:val="000000"/>
                <w:sz w:val="20"/>
                <w:szCs w:val="20"/>
              </w:rPr>
              <w:t> </w:t>
            </w:r>
          </w:p>
        </w:tc>
        <w:tc>
          <w:tcPr>
            <w:tcW w:w="31" w:type="pct"/>
            <w:tcMar>
              <w:top w:w="5" w:type="dxa"/>
              <w:left w:w="5" w:type="dxa"/>
              <w:bottom w:w="20" w:type="dxa"/>
              <w:right w:w="5" w:type="dxa"/>
            </w:tcMar>
            <w:vAlign w:val="bottom"/>
            <w:hideMark/>
          </w:tcPr>
          <w:p w14:paraId="3FC080F2" w14:textId="77777777" w:rsidR="00954279" w:rsidRDefault="00A66714">
            <w:pPr>
              <w:rPr>
                <w:color w:val="000000"/>
                <w:sz w:val="20"/>
                <w:szCs w:val="20"/>
              </w:rPr>
            </w:pPr>
            <w:r>
              <w:rPr>
                <w:color w:val="000000"/>
                <w:sz w:val="20"/>
                <w:szCs w:val="20"/>
              </w:rPr>
              <w:t> </w:t>
            </w:r>
          </w:p>
        </w:tc>
        <w:tc>
          <w:tcPr>
            <w:tcW w:w="65" w:type="pct"/>
            <w:tcBorders>
              <w:bottom w:val="single" w:sz="6" w:space="0" w:color="000000"/>
            </w:tcBorders>
            <w:tcMar>
              <w:top w:w="5" w:type="dxa"/>
              <w:left w:w="5" w:type="dxa"/>
              <w:bottom w:w="8" w:type="dxa"/>
              <w:right w:w="5" w:type="dxa"/>
            </w:tcMar>
            <w:vAlign w:val="bottom"/>
            <w:hideMark/>
          </w:tcPr>
          <w:p w14:paraId="571FAD69" w14:textId="77777777" w:rsidR="00954279" w:rsidRDefault="00A66714">
            <w:pPr>
              <w:rPr>
                <w:color w:val="000000"/>
                <w:sz w:val="20"/>
                <w:szCs w:val="20"/>
              </w:rPr>
            </w:pPr>
            <w:r>
              <w:rPr>
                <w:color w:val="000000"/>
                <w:sz w:val="20"/>
                <w:szCs w:val="20"/>
              </w:rPr>
              <w:t> </w:t>
            </w:r>
          </w:p>
        </w:tc>
        <w:tc>
          <w:tcPr>
            <w:tcW w:w="455" w:type="pct"/>
            <w:tcBorders>
              <w:bottom w:val="single" w:sz="6" w:space="0" w:color="000000"/>
            </w:tcBorders>
            <w:tcMar>
              <w:top w:w="5" w:type="dxa"/>
              <w:left w:w="5" w:type="dxa"/>
              <w:bottom w:w="8" w:type="dxa"/>
              <w:right w:w="5" w:type="dxa"/>
            </w:tcMar>
            <w:vAlign w:val="bottom"/>
            <w:hideMark/>
          </w:tcPr>
          <w:p w14:paraId="754C8BC1" w14:textId="77777777" w:rsidR="00954279" w:rsidRDefault="00A66714">
            <w:pPr>
              <w:jc w:val="right"/>
              <w:rPr>
                <w:color w:val="000000"/>
                <w:sz w:val="20"/>
                <w:szCs w:val="20"/>
              </w:rPr>
            </w:pPr>
            <w:r>
              <w:rPr>
                <w:color w:val="000000"/>
                <w:sz w:val="20"/>
                <w:szCs w:val="20"/>
              </w:rPr>
              <w:t>(6</w:t>
            </w:r>
          </w:p>
        </w:tc>
        <w:tc>
          <w:tcPr>
            <w:tcW w:w="34" w:type="pct"/>
            <w:noWrap/>
            <w:tcMar>
              <w:top w:w="5" w:type="dxa"/>
              <w:left w:w="5" w:type="dxa"/>
              <w:bottom w:w="20" w:type="dxa"/>
              <w:right w:w="5" w:type="dxa"/>
            </w:tcMar>
            <w:vAlign w:val="bottom"/>
            <w:hideMark/>
          </w:tcPr>
          <w:p w14:paraId="149A5990" w14:textId="77777777" w:rsidR="00954279" w:rsidRDefault="00A66714">
            <w:pPr>
              <w:rPr>
                <w:color w:val="000000"/>
                <w:sz w:val="20"/>
                <w:szCs w:val="20"/>
              </w:rPr>
            </w:pPr>
            <w:r>
              <w:rPr>
                <w:color w:val="000000"/>
                <w:sz w:val="20"/>
                <w:szCs w:val="20"/>
              </w:rPr>
              <w:t>)</w:t>
            </w:r>
          </w:p>
        </w:tc>
      </w:tr>
      <w:tr w:rsidR="00717712" w14:paraId="4DEF535D" w14:textId="77777777" w:rsidTr="00717712">
        <w:tc>
          <w:tcPr>
            <w:tcW w:w="1163" w:type="pct"/>
            <w:tcMar>
              <w:top w:w="5" w:type="dxa"/>
              <w:left w:w="5" w:type="dxa"/>
              <w:bottom w:w="5" w:type="dxa"/>
              <w:right w:w="5" w:type="dxa"/>
            </w:tcMar>
            <w:vAlign w:val="bottom"/>
            <w:hideMark/>
          </w:tcPr>
          <w:p w14:paraId="13925421" w14:textId="77777777" w:rsidR="00954279" w:rsidRDefault="00A66714">
            <w:pPr>
              <w:rPr>
                <w:color w:val="000000"/>
                <w:sz w:val="20"/>
                <w:szCs w:val="20"/>
              </w:rPr>
            </w:pPr>
            <w:r>
              <w:rPr>
                <w:color w:val="000000"/>
                <w:sz w:val="20"/>
                <w:szCs w:val="20"/>
              </w:rPr>
              <w:t>Balance at June 30, 2020</w:t>
            </w:r>
          </w:p>
        </w:tc>
        <w:tc>
          <w:tcPr>
            <w:tcW w:w="31" w:type="pct"/>
            <w:tcMar>
              <w:top w:w="5" w:type="dxa"/>
              <w:left w:w="5" w:type="dxa"/>
              <w:bottom w:w="50" w:type="dxa"/>
              <w:right w:w="5" w:type="dxa"/>
            </w:tcMar>
            <w:vAlign w:val="bottom"/>
            <w:hideMark/>
          </w:tcPr>
          <w:p w14:paraId="6FB22FE8" w14:textId="77777777" w:rsidR="00954279" w:rsidRDefault="00A66714">
            <w:pPr>
              <w:rPr>
                <w:color w:val="000000"/>
                <w:sz w:val="20"/>
                <w:szCs w:val="20"/>
              </w:rPr>
            </w:pPr>
            <w:r>
              <w:rPr>
                <w:color w:val="000000"/>
                <w:sz w:val="20"/>
                <w:szCs w:val="20"/>
              </w:rPr>
              <w:t> </w:t>
            </w:r>
          </w:p>
        </w:tc>
        <w:tc>
          <w:tcPr>
            <w:tcW w:w="32" w:type="pct"/>
            <w:tcBorders>
              <w:bottom w:val="double" w:sz="6" w:space="0" w:color="000000"/>
            </w:tcBorders>
            <w:tcMar>
              <w:top w:w="5" w:type="dxa"/>
              <w:left w:w="5" w:type="dxa"/>
              <w:bottom w:w="22" w:type="dxa"/>
              <w:right w:w="5" w:type="dxa"/>
            </w:tcMar>
            <w:vAlign w:val="bottom"/>
            <w:hideMark/>
          </w:tcPr>
          <w:p w14:paraId="21E4CC49" w14:textId="77777777" w:rsidR="00954279" w:rsidRDefault="00A66714">
            <w:pPr>
              <w:rPr>
                <w:color w:val="000000"/>
                <w:sz w:val="20"/>
                <w:szCs w:val="20"/>
              </w:rPr>
            </w:pPr>
            <w:r>
              <w:rPr>
                <w:color w:val="000000"/>
                <w:sz w:val="20"/>
                <w:szCs w:val="20"/>
              </w:rPr>
              <w:t> </w:t>
            </w:r>
          </w:p>
        </w:tc>
        <w:tc>
          <w:tcPr>
            <w:tcW w:w="317" w:type="pct"/>
            <w:tcBorders>
              <w:bottom w:val="double" w:sz="6" w:space="0" w:color="000000"/>
            </w:tcBorders>
            <w:tcMar>
              <w:top w:w="5" w:type="dxa"/>
              <w:left w:w="5" w:type="dxa"/>
              <w:bottom w:w="22" w:type="dxa"/>
              <w:right w:w="5" w:type="dxa"/>
            </w:tcMar>
            <w:vAlign w:val="bottom"/>
            <w:hideMark/>
          </w:tcPr>
          <w:p w14:paraId="617DC517" w14:textId="77777777" w:rsidR="00954279" w:rsidRDefault="00A66714">
            <w:pPr>
              <w:jc w:val="right"/>
              <w:rPr>
                <w:color w:val="000000"/>
                <w:sz w:val="20"/>
                <w:szCs w:val="20"/>
              </w:rPr>
            </w:pPr>
            <w:r>
              <w:rPr>
                <w:color w:val="000000"/>
                <w:sz w:val="20"/>
                <w:szCs w:val="20"/>
              </w:rPr>
              <w:t>106</w:t>
            </w:r>
          </w:p>
        </w:tc>
        <w:tc>
          <w:tcPr>
            <w:tcW w:w="31" w:type="pct"/>
            <w:noWrap/>
            <w:tcMar>
              <w:top w:w="5" w:type="dxa"/>
              <w:left w:w="5" w:type="dxa"/>
              <w:bottom w:w="50" w:type="dxa"/>
              <w:right w:w="5" w:type="dxa"/>
            </w:tcMar>
            <w:vAlign w:val="bottom"/>
            <w:hideMark/>
          </w:tcPr>
          <w:p w14:paraId="30FEE284" w14:textId="77777777" w:rsidR="00954279" w:rsidRDefault="00A66714">
            <w:pPr>
              <w:rPr>
                <w:color w:val="000000"/>
                <w:sz w:val="20"/>
                <w:szCs w:val="20"/>
              </w:rPr>
            </w:pPr>
            <w:r>
              <w:rPr>
                <w:color w:val="000000"/>
                <w:sz w:val="20"/>
                <w:szCs w:val="20"/>
              </w:rPr>
              <w:t> </w:t>
            </w:r>
          </w:p>
        </w:tc>
        <w:tc>
          <w:tcPr>
            <w:tcW w:w="31" w:type="pct"/>
            <w:tcMar>
              <w:top w:w="5" w:type="dxa"/>
              <w:left w:w="5" w:type="dxa"/>
              <w:bottom w:w="50" w:type="dxa"/>
              <w:right w:w="5" w:type="dxa"/>
            </w:tcMar>
            <w:vAlign w:val="bottom"/>
            <w:hideMark/>
          </w:tcPr>
          <w:p w14:paraId="3D44AFA7" w14:textId="77777777" w:rsidR="00954279" w:rsidRDefault="00A66714">
            <w:pPr>
              <w:rPr>
                <w:color w:val="000000"/>
                <w:sz w:val="20"/>
                <w:szCs w:val="20"/>
              </w:rPr>
            </w:pPr>
            <w:r>
              <w:rPr>
                <w:color w:val="000000"/>
                <w:sz w:val="20"/>
                <w:szCs w:val="20"/>
              </w:rPr>
              <w:t> </w:t>
            </w:r>
          </w:p>
        </w:tc>
        <w:tc>
          <w:tcPr>
            <w:tcW w:w="49" w:type="pct"/>
            <w:tcBorders>
              <w:bottom w:val="double" w:sz="6" w:space="0" w:color="000000"/>
            </w:tcBorders>
            <w:tcMar>
              <w:top w:w="5" w:type="dxa"/>
              <w:left w:w="5" w:type="dxa"/>
              <w:bottom w:w="22" w:type="dxa"/>
              <w:right w:w="5" w:type="dxa"/>
            </w:tcMar>
            <w:vAlign w:val="bottom"/>
            <w:hideMark/>
          </w:tcPr>
          <w:p w14:paraId="0F13815F" w14:textId="77777777" w:rsidR="00954279" w:rsidRDefault="00A66714">
            <w:pPr>
              <w:rPr>
                <w:color w:val="000000"/>
                <w:sz w:val="20"/>
                <w:szCs w:val="20"/>
              </w:rPr>
            </w:pPr>
            <w:r>
              <w:rPr>
                <w:color w:val="000000"/>
                <w:sz w:val="20"/>
                <w:szCs w:val="20"/>
              </w:rPr>
              <w:t>$</w:t>
            </w:r>
          </w:p>
        </w:tc>
        <w:tc>
          <w:tcPr>
            <w:tcW w:w="318" w:type="pct"/>
            <w:tcBorders>
              <w:bottom w:val="double" w:sz="6" w:space="0" w:color="000000"/>
            </w:tcBorders>
            <w:tcMar>
              <w:top w:w="5" w:type="dxa"/>
              <w:left w:w="5" w:type="dxa"/>
              <w:bottom w:w="22" w:type="dxa"/>
              <w:right w:w="5" w:type="dxa"/>
            </w:tcMar>
            <w:vAlign w:val="bottom"/>
            <w:hideMark/>
          </w:tcPr>
          <w:p w14:paraId="7A56DBF8" w14:textId="77777777" w:rsidR="00954279" w:rsidRDefault="00A66714">
            <w:pPr>
              <w:jc w:val="right"/>
              <w:rPr>
                <w:color w:val="000000"/>
                <w:sz w:val="20"/>
                <w:szCs w:val="20"/>
              </w:rPr>
            </w:pPr>
            <w:r>
              <w:rPr>
                <w:color w:val="000000"/>
                <w:sz w:val="20"/>
                <w:szCs w:val="20"/>
              </w:rPr>
              <w:t>1</w:t>
            </w:r>
          </w:p>
        </w:tc>
        <w:tc>
          <w:tcPr>
            <w:tcW w:w="32" w:type="pct"/>
            <w:noWrap/>
            <w:tcMar>
              <w:top w:w="5" w:type="dxa"/>
              <w:left w:w="5" w:type="dxa"/>
              <w:bottom w:w="50" w:type="dxa"/>
              <w:right w:w="5" w:type="dxa"/>
            </w:tcMar>
            <w:vAlign w:val="bottom"/>
            <w:hideMark/>
          </w:tcPr>
          <w:p w14:paraId="7141BDB7" w14:textId="77777777" w:rsidR="00954279" w:rsidRDefault="00A66714">
            <w:pPr>
              <w:rPr>
                <w:color w:val="000000"/>
                <w:sz w:val="20"/>
                <w:szCs w:val="20"/>
              </w:rPr>
            </w:pPr>
            <w:r>
              <w:rPr>
                <w:color w:val="000000"/>
                <w:sz w:val="20"/>
                <w:szCs w:val="20"/>
              </w:rPr>
              <w:t> </w:t>
            </w:r>
          </w:p>
        </w:tc>
        <w:tc>
          <w:tcPr>
            <w:tcW w:w="32" w:type="pct"/>
            <w:tcMar>
              <w:top w:w="5" w:type="dxa"/>
              <w:left w:w="5" w:type="dxa"/>
              <w:bottom w:w="50" w:type="dxa"/>
              <w:right w:w="5" w:type="dxa"/>
            </w:tcMar>
            <w:vAlign w:val="bottom"/>
            <w:hideMark/>
          </w:tcPr>
          <w:p w14:paraId="021802CE" w14:textId="77777777" w:rsidR="00954279" w:rsidRDefault="00A66714">
            <w:pPr>
              <w:rPr>
                <w:color w:val="000000"/>
                <w:sz w:val="20"/>
                <w:szCs w:val="20"/>
              </w:rPr>
            </w:pPr>
            <w:r>
              <w:rPr>
                <w:color w:val="000000"/>
                <w:sz w:val="20"/>
                <w:szCs w:val="20"/>
              </w:rPr>
              <w:t> </w:t>
            </w:r>
          </w:p>
        </w:tc>
        <w:tc>
          <w:tcPr>
            <w:tcW w:w="52" w:type="pct"/>
            <w:tcBorders>
              <w:bottom w:val="double" w:sz="6" w:space="0" w:color="000000"/>
            </w:tcBorders>
            <w:tcMar>
              <w:top w:w="5" w:type="dxa"/>
              <w:left w:w="5" w:type="dxa"/>
              <w:bottom w:w="22" w:type="dxa"/>
              <w:right w:w="5" w:type="dxa"/>
            </w:tcMar>
            <w:vAlign w:val="bottom"/>
            <w:hideMark/>
          </w:tcPr>
          <w:p w14:paraId="6E304CE9" w14:textId="77777777" w:rsidR="00954279" w:rsidRDefault="00A66714">
            <w:pPr>
              <w:rPr>
                <w:color w:val="000000"/>
                <w:sz w:val="20"/>
                <w:szCs w:val="20"/>
              </w:rPr>
            </w:pPr>
            <w:r>
              <w:rPr>
                <w:color w:val="000000"/>
                <w:sz w:val="20"/>
                <w:szCs w:val="20"/>
              </w:rPr>
              <w:t>$</w:t>
            </w:r>
          </w:p>
        </w:tc>
        <w:tc>
          <w:tcPr>
            <w:tcW w:w="356" w:type="pct"/>
            <w:tcBorders>
              <w:bottom w:val="double" w:sz="6" w:space="0" w:color="000000"/>
            </w:tcBorders>
            <w:tcMar>
              <w:top w:w="5" w:type="dxa"/>
              <w:left w:w="5" w:type="dxa"/>
              <w:bottom w:w="22" w:type="dxa"/>
              <w:right w:w="5" w:type="dxa"/>
            </w:tcMar>
            <w:vAlign w:val="bottom"/>
            <w:hideMark/>
          </w:tcPr>
          <w:p w14:paraId="4E0369B4" w14:textId="77777777" w:rsidR="00954279" w:rsidRDefault="00A66714">
            <w:pPr>
              <w:jc w:val="right"/>
              <w:rPr>
                <w:color w:val="000000"/>
                <w:sz w:val="20"/>
                <w:szCs w:val="20"/>
              </w:rPr>
            </w:pPr>
            <w:r>
              <w:rPr>
                <w:color w:val="000000"/>
                <w:sz w:val="20"/>
                <w:szCs w:val="20"/>
              </w:rPr>
              <w:t>1,733</w:t>
            </w:r>
          </w:p>
        </w:tc>
        <w:tc>
          <w:tcPr>
            <w:tcW w:w="34" w:type="pct"/>
            <w:noWrap/>
            <w:tcMar>
              <w:top w:w="5" w:type="dxa"/>
              <w:left w:w="5" w:type="dxa"/>
              <w:bottom w:w="50" w:type="dxa"/>
              <w:right w:w="5" w:type="dxa"/>
            </w:tcMar>
            <w:vAlign w:val="bottom"/>
            <w:hideMark/>
          </w:tcPr>
          <w:p w14:paraId="73FAEDE3" w14:textId="77777777" w:rsidR="00954279" w:rsidRDefault="00A66714">
            <w:pPr>
              <w:rPr>
                <w:color w:val="000000"/>
                <w:sz w:val="20"/>
                <w:szCs w:val="20"/>
              </w:rPr>
            </w:pPr>
            <w:r>
              <w:rPr>
                <w:color w:val="000000"/>
                <w:sz w:val="20"/>
                <w:szCs w:val="20"/>
              </w:rPr>
              <w:t> </w:t>
            </w:r>
          </w:p>
        </w:tc>
        <w:tc>
          <w:tcPr>
            <w:tcW w:w="30" w:type="pct"/>
            <w:tcMar>
              <w:top w:w="5" w:type="dxa"/>
              <w:left w:w="5" w:type="dxa"/>
              <w:bottom w:w="50" w:type="dxa"/>
              <w:right w:w="5" w:type="dxa"/>
            </w:tcMar>
            <w:vAlign w:val="bottom"/>
            <w:hideMark/>
          </w:tcPr>
          <w:p w14:paraId="7C8512F3" w14:textId="77777777" w:rsidR="00954279" w:rsidRDefault="00A66714">
            <w:pPr>
              <w:rPr>
                <w:color w:val="000000"/>
                <w:sz w:val="20"/>
                <w:szCs w:val="20"/>
              </w:rPr>
            </w:pPr>
            <w:r>
              <w:rPr>
                <w:color w:val="000000"/>
                <w:sz w:val="20"/>
                <w:szCs w:val="20"/>
              </w:rPr>
              <w:t> </w:t>
            </w:r>
          </w:p>
        </w:tc>
        <w:tc>
          <w:tcPr>
            <w:tcW w:w="49" w:type="pct"/>
            <w:tcBorders>
              <w:bottom w:val="double" w:sz="6" w:space="0" w:color="000000"/>
            </w:tcBorders>
            <w:tcMar>
              <w:top w:w="5" w:type="dxa"/>
              <w:left w:w="5" w:type="dxa"/>
              <w:bottom w:w="22" w:type="dxa"/>
              <w:right w:w="5" w:type="dxa"/>
            </w:tcMar>
            <w:vAlign w:val="bottom"/>
            <w:hideMark/>
          </w:tcPr>
          <w:p w14:paraId="1834ED4A" w14:textId="77777777" w:rsidR="00954279" w:rsidRDefault="00A66714">
            <w:pPr>
              <w:rPr>
                <w:color w:val="000000"/>
                <w:sz w:val="20"/>
                <w:szCs w:val="20"/>
              </w:rPr>
            </w:pPr>
            <w:r>
              <w:rPr>
                <w:color w:val="000000"/>
                <w:sz w:val="20"/>
                <w:szCs w:val="20"/>
              </w:rPr>
              <w:t>$</w:t>
            </w:r>
          </w:p>
        </w:tc>
        <w:tc>
          <w:tcPr>
            <w:tcW w:w="318" w:type="pct"/>
            <w:tcBorders>
              <w:bottom w:val="double" w:sz="6" w:space="0" w:color="000000"/>
            </w:tcBorders>
            <w:tcMar>
              <w:top w:w="5" w:type="dxa"/>
              <w:left w:w="5" w:type="dxa"/>
              <w:bottom w:w="22" w:type="dxa"/>
              <w:right w:w="5" w:type="dxa"/>
            </w:tcMar>
            <w:vAlign w:val="bottom"/>
            <w:hideMark/>
          </w:tcPr>
          <w:p w14:paraId="417FF0D9" w14:textId="77777777" w:rsidR="00954279" w:rsidRDefault="00A66714">
            <w:pPr>
              <w:jc w:val="right"/>
              <w:rPr>
                <w:color w:val="000000"/>
                <w:sz w:val="20"/>
                <w:szCs w:val="20"/>
              </w:rPr>
            </w:pPr>
            <w:r>
              <w:rPr>
                <w:color w:val="000000"/>
                <w:sz w:val="20"/>
                <w:szCs w:val="20"/>
              </w:rPr>
              <w:t>(767</w:t>
            </w:r>
          </w:p>
        </w:tc>
        <w:tc>
          <w:tcPr>
            <w:tcW w:w="34" w:type="pct"/>
            <w:noWrap/>
            <w:tcMar>
              <w:top w:w="5" w:type="dxa"/>
              <w:left w:w="5" w:type="dxa"/>
              <w:bottom w:w="50" w:type="dxa"/>
              <w:right w:w="5" w:type="dxa"/>
            </w:tcMar>
            <w:vAlign w:val="bottom"/>
            <w:hideMark/>
          </w:tcPr>
          <w:p w14:paraId="64477AD0" w14:textId="77777777" w:rsidR="00954279" w:rsidRDefault="00A66714">
            <w:pPr>
              <w:rPr>
                <w:color w:val="000000"/>
                <w:sz w:val="20"/>
                <w:szCs w:val="20"/>
              </w:rPr>
            </w:pPr>
            <w:r>
              <w:rPr>
                <w:color w:val="000000"/>
                <w:sz w:val="20"/>
                <w:szCs w:val="20"/>
              </w:rPr>
              <w:t>)</w:t>
            </w:r>
          </w:p>
        </w:tc>
        <w:tc>
          <w:tcPr>
            <w:tcW w:w="30" w:type="pct"/>
            <w:tcMar>
              <w:top w:w="5" w:type="dxa"/>
              <w:left w:w="5" w:type="dxa"/>
              <w:bottom w:w="50" w:type="dxa"/>
              <w:right w:w="5" w:type="dxa"/>
            </w:tcMar>
            <w:vAlign w:val="bottom"/>
            <w:hideMark/>
          </w:tcPr>
          <w:p w14:paraId="253F706E" w14:textId="77777777" w:rsidR="00954279" w:rsidRDefault="00A66714">
            <w:pPr>
              <w:rPr>
                <w:color w:val="000000"/>
                <w:sz w:val="20"/>
                <w:szCs w:val="20"/>
              </w:rPr>
            </w:pPr>
            <w:r>
              <w:rPr>
                <w:color w:val="000000"/>
                <w:sz w:val="20"/>
                <w:szCs w:val="20"/>
              </w:rPr>
              <w:t> </w:t>
            </w:r>
          </w:p>
        </w:tc>
        <w:tc>
          <w:tcPr>
            <w:tcW w:w="33" w:type="pct"/>
            <w:tcBorders>
              <w:bottom w:val="double" w:sz="6" w:space="0" w:color="000000"/>
            </w:tcBorders>
            <w:tcMar>
              <w:top w:w="5" w:type="dxa"/>
              <w:left w:w="5" w:type="dxa"/>
              <w:bottom w:w="22" w:type="dxa"/>
              <w:right w:w="5" w:type="dxa"/>
            </w:tcMar>
            <w:vAlign w:val="bottom"/>
            <w:hideMark/>
          </w:tcPr>
          <w:p w14:paraId="0DC8F0E6" w14:textId="77777777" w:rsidR="00954279" w:rsidRDefault="00A66714">
            <w:pPr>
              <w:rPr>
                <w:color w:val="000000"/>
                <w:sz w:val="20"/>
                <w:szCs w:val="20"/>
              </w:rPr>
            </w:pPr>
            <w:r>
              <w:rPr>
                <w:color w:val="000000"/>
                <w:sz w:val="20"/>
                <w:szCs w:val="20"/>
              </w:rPr>
              <w:t> </w:t>
            </w:r>
          </w:p>
        </w:tc>
        <w:tc>
          <w:tcPr>
            <w:tcW w:w="317" w:type="pct"/>
            <w:tcBorders>
              <w:bottom w:val="double" w:sz="6" w:space="0" w:color="000000"/>
            </w:tcBorders>
            <w:tcMar>
              <w:top w:w="5" w:type="dxa"/>
              <w:left w:w="5" w:type="dxa"/>
              <w:bottom w:w="22" w:type="dxa"/>
              <w:right w:w="5" w:type="dxa"/>
            </w:tcMar>
            <w:vAlign w:val="bottom"/>
            <w:hideMark/>
          </w:tcPr>
          <w:p w14:paraId="70CE5F39" w14:textId="77777777" w:rsidR="00954279" w:rsidRDefault="00A66714">
            <w:pPr>
              <w:jc w:val="right"/>
              <w:rPr>
                <w:color w:val="000000"/>
                <w:sz w:val="20"/>
                <w:szCs w:val="20"/>
              </w:rPr>
            </w:pPr>
            <w:r>
              <w:rPr>
                <w:color w:val="000000"/>
                <w:sz w:val="20"/>
                <w:szCs w:val="20"/>
              </w:rPr>
              <w:t>(24</w:t>
            </w:r>
          </w:p>
        </w:tc>
        <w:tc>
          <w:tcPr>
            <w:tcW w:w="34" w:type="pct"/>
            <w:noWrap/>
            <w:tcMar>
              <w:top w:w="5" w:type="dxa"/>
              <w:left w:w="5" w:type="dxa"/>
              <w:bottom w:w="50" w:type="dxa"/>
              <w:right w:w="5" w:type="dxa"/>
            </w:tcMar>
            <w:vAlign w:val="bottom"/>
            <w:hideMark/>
          </w:tcPr>
          <w:p w14:paraId="38280C56" w14:textId="77777777" w:rsidR="00954279" w:rsidRDefault="00A66714">
            <w:pPr>
              <w:rPr>
                <w:color w:val="000000"/>
                <w:sz w:val="20"/>
                <w:szCs w:val="20"/>
              </w:rPr>
            </w:pPr>
            <w:r>
              <w:rPr>
                <w:color w:val="000000"/>
                <w:sz w:val="20"/>
                <w:szCs w:val="20"/>
              </w:rPr>
              <w:t>)</w:t>
            </w:r>
          </w:p>
        </w:tc>
        <w:tc>
          <w:tcPr>
            <w:tcW w:w="30" w:type="pct"/>
            <w:tcMar>
              <w:top w:w="5" w:type="dxa"/>
              <w:left w:w="5" w:type="dxa"/>
              <w:bottom w:w="50" w:type="dxa"/>
              <w:right w:w="5" w:type="dxa"/>
            </w:tcMar>
            <w:vAlign w:val="bottom"/>
            <w:hideMark/>
          </w:tcPr>
          <w:p w14:paraId="736E182E" w14:textId="77777777" w:rsidR="00954279" w:rsidRDefault="00A66714">
            <w:pPr>
              <w:rPr>
                <w:color w:val="000000"/>
                <w:sz w:val="20"/>
                <w:szCs w:val="20"/>
              </w:rPr>
            </w:pPr>
            <w:r>
              <w:rPr>
                <w:color w:val="000000"/>
                <w:sz w:val="20"/>
                <w:szCs w:val="20"/>
              </w:rPr>
              <w:t> </w:t>
            </w:r>
          </w:p>
        </w:tc>
        <w:tc>
          <w:tcPr>
            <w:tcW w:w="49" w:type="pct"/>
            <w:tcBorders>
              <w:bottom w:val="double" w:sz="6" w:space="0" w:color="000000"/>
            </w:tcBorders>
            <w:tcMar>
              <w:top w:w="5" w:type="dxa"/>
              <w:left w:w="5" w:type="dxa"/>
              <w:bottom w:w="22" w:type="dxa"/>
              <w:right w:w="5" w:type="dxa"/>
            </w:tcMar>
            <w:vAlign w:val="bottom"/>
            <w:hideMark/>
          </w:tcPr>
          <w:p w14:paraId="61A28DDA" w14:textId="77777777" w:rsidR="00954279" w:rsidRDefault="00A66714">
            <w:pPr>
              <w:rPr>
                <w:color w:val="000000"/>
                <w:sz w:val="20"/>
                <w:szCs w:val="20"/>
              </w:rPr>
            </w:pPr>
            <w:r>
              <w:rPr>
                <w:color w:val="000000"/>
                <w:sz w:val="20"/>
                <w:szCs w:val="20"/>
              </w:rPr>
              <w:t>$</w:t>
            </w:r>
          </w:p>
        </w:tc>
        <w:tc>
          <w:tcPr>
            <w:tcW w:w="318" w:type="pct"/>
            <w:tcBorders>
              <w:bottom w:val="double" w:sz="6" w:space="0" w:color="000000"/>
            </w:tcBorders>
            <w:tcMar>
              <w:top w:w="5" w:type="dxa"/>
              <w:left w:w="5" w:type="dxa"/>
              <w:bottom w:w="22" w:type="dxa"/>
              <w:right w:w="5" w:type="dxa"/>
            </w:tcMar>
            <w:vAlign w:val="bottom"/>
            <w:hideMark/>
          </w:tcPr>
          <w:p w14:paraId="3428C8D3" w14:textId="77777777" w:rsidR="00954279" w:rsidRDefault="00A66714">
            <w:pPr>
              <w:jc w:val="right"/>
              <w:rPr>
                <w:color w:val="000000"/>
                <w:sz w:val="20"/>
                <w:szCs w:val="20"/>
              </w:rPr>
            </w:pPr>
            <w:r>
              <w:rPr>
                <w:color w:val="000000"/>
                <w:sz w:val="20"/>
                <w:szCs w:val="20"/>
              </w:rPr>
              <w:t>(375</w:t>
            </w:r>
          </w:p>
        </w:tc>
        <w:tc>
          <w:tcPr>
            <w:tcW w:w="34" w:type="pct"/>
            <w:noWrap/>
            <w:tcMar>
              <w:top w:w="5" w:type="dxa"/>
              <w:left w:w="5" w:type="dxa"/>
              <w:bottom w:w="50" w:type="dxa"/>
              <w:right w:w="5" w:type="dxa"/>
            </w:tcMar>
            <w:vAlign w:val="bottom"/>
            <w:hideMark/>
          </w:tcPr>
          <w:p w14:paraId="1BAD1E52" w14:textId="77777777" w:rsidR="00954279" w:rsidRDefault="00A66714">
            <w:pPr>
              <w:rPr>
                <w:color w:val="000000"/>
                <w:sz w:val="20"/>
                <w:szCs w:val="20"/>
              </w:rPr>
            </w:pPr>
            <w:r>
              <w:rPr>
                <w:color w:val="000000"/>
                <w:sz w:val="20"/>
                <w:szCs w:val="20"/>
              </w:rPr>
              <w:t>)</w:t>
            </w:r>
          </w:p>
        </w:tc>
        <w:tc>
          <w:tcPr>
            <w:tcW w:w="30" w:type="pct"/>
            <w:tcMar>
              <w:top w:w="5" w:type="dxa"/>
              <w:left w:w="5" w:type="dxa"/>
              <w:bottom w:w="50" w:type="dxa"/>
              <w:right w:w="5" w:type="dxa"/>
            </w:tcMar>
            <w:vAlign w:val="bottom"/>
            <w:hideMark/>
          </w:tcPr>
          <w:p w14:paraId="5B70F732" w14:textId="77777777" w:rsidR="00954279" w:rsidRDefault="00A66714">
            <w:pPr>
              <w:rPr>
                <w:color w:val="000000"/>
                <w:sz w:val="20"/>
                <w:szCs w:val="20"/>
              </w:rPr>
            </w:pPr>
            <w:r>
              <w:rPr>
                <w:color w:val="000000"/>
                <w:sz w:val="20"/>
                <w:szCs w:val="20"/>
              </w:rPr>
              <w:t> </w:t>
            </w:r>
          </w:p>
        </w:tc>
        <w:tc>
          <w:tcPr>
            <w:tcW w:w="75" w:type="pct"/>
            <w:tcBorders>
              <w:bottom w:val="double" w:sz="6" w:space="0" w:color="000000"/>
            </w:tcBorders>
            <w:tcMar>
              <w:top w:w="5" w:type="dxa"/>
              <w:left w:w="5" w:type="dxa"/>
              <w:bottom w:w="22" w:type="dxa"/>
              <w:right w:w="5" w:type="dxa"/>
            </w:tcMar>
            <w:vAlign w:val="bottom"/>
            <w:hideMark/>
          </w:tcPr>
          <w:p w14:paraId="17C816FA" w14:textId="77777777" w:rsidR="00954279" w:rsidRDefault="00A66714">
            <w:pPr>
              <w:rPr>
                <w:color w:val="000000"/>
                <w:sz w:val="20"/>
                <w:szCs w:val="20"/>
              </w:rPr>
            </w:pPr>
            <w:r>
              <w:rPr>
                <w:color w:val="000000"/>
                <w:sz w:val="20"/>
                <w:szCs w:val="20"/>
              </w:rPr>
              <w:t>$</w:t>
            </w:r>
          </w:p>
        </w:tc>
        <w:tc>
          <w:tcPr>
            <w:tcW w:w="520" w:type="pct"/>
            <w:tcBorders>
              <w:bottom w:val="double" w:sz="6" w:space="0" w:color="000000"/>
            </w:tcBorders>
            <w:tcMar>
              <w:top w:w="5" w:type="dxa"/>
              <w:left w:w="5" w:type="dxa"/>
              <w:bottom w:w="22" w:type="dxa"/>
              <w:right w:w="5" w:type="dxa"/>
            </w:tcMar>
            <w:vAlign w:val="bottom"/>
            <w:hideMark/>
          </w:tcPr>
          <w:p w14:paraId="7226382E" w14:textId="77777777" w:rsidR="00954279" w:rsidRDefault="00A66714">
            <w:pPr>
              <w:jc w:val="right"/>
              <w:rPr>
                <w:color w:val="000000"/>
                <w:sz w:val="20"/>
                <w:szCs w:val="20"/>
              </w:rPr>
            </w:pPr>
            <w:r>
              <w:rPr>
                <w:color w:val="000000"/>
                <w:sz w:val="20"/>
                <w:szCs w:val="20"/>
              </w:rPr>
              <w:t>(251</w:t>
            </w:r>
          </w:p>
        </w:tc>
        <w:tc>
          <w:tcPr>
            <w:tcW w:w="34" w:type="pct"/>
            <w:noWrap/>
            <w:tcMar>
              <w:top w:w="5" w:type="dxa"/>
              <w:left w:w="5" w:type="dxa"/>
              <w:bottom w:w="50" w:type="dxa"/>
              <w:right w:w="5" w:type="dxa"/>
            </w:tcMar>
            <w:vAlign w:val="bottom"/>
            <w:hideMark/>
          </w:tcPr>
          <w:p w14:paraId="3F4621DD" w14:textId="77777777" w:rsidR="00954279" w:rsidRDefault="00A66714">
            <w:pPr>
              <w:rPr>
                <w:color w:val="000000"/>
                <w:sz w:val="20"/>
                <w:szCs w:val="20"/>
              </w:rPr>
            </w:pPr>
            <w:r>
              <w:rPr>
                <w:color w:val="000000"/>
                <w:sz w:val="20"/>
                <w:szCs w:val="20"/>
              </w:rPr>
              <w:t>)</w:t>
            </w:r>
          </w:p>
        </w:tc>
        <w:tc>
          <w:tcPr>
            <w:tcW w:w="31" w:type="pct"/>
            <w:tcMar>
              <w:top w:w="5" w:type="dxa"/>
              <w:left w:w="5" w:type="dxa"/>
              <w:bottom w:w="50" w:type="dxa"/>
              <w:right w:w="5" w:type="dxa"/>
            </w:tcMar>
            <w:vAlign w:val="bottom"/>
            <w:hideMark/>
          </w:tcPr>
          <w:p w14:paraId="008DFD85" w14:textId="77777777" w:rsidR="00954279" w:rsidRDefault="00A66714">
            <w:pPr>
              <w:rPr>
                <w:color w:val="000000"/>
                <w:sz w:val="20"/>
                <w:szCs w:val="20"/>
              </w:rPr>
            </w:pPr>
            <w:r>
              <w:rPr>
                <w:color w:val="000000"/>
                <w:sz w:val="20"/>
                <w:szCs w:val="20"/>
              </w:rPr>
              <w:t> </w:t>
            </w:r>
          </w:p>
        </w:tc>
        <w:tc>
          <w:tcPr>
            <w:tcW w:w="65" w:type="pct"/>
            <w:tcBorders>
              <w:bottom w:val="double" w:sz="6" w:space="0" w:color="000000"/>
            </w:tcBorders>
            <w:tcMar>
              <w:top w:w="5" w:type="dxa"/>
              <w:left w:w="5" w:type="dxa"/>
              <w:bottom w:w="22" w:type="dxa"/>
              <w:right w:w="5" w:type="dxa"/>
            </w:tcMar>
            <w:vAlign w:val="bottom"/>
            <w:hideMark/>
          </w:tcPr>
          <w:p w14:paraId="62438FD0" w14:textId="77777777" w:rsidR="00954279" w:rsidRDefault="00A66714">
            <w:pPr>
              <w:rPr>
                <w:color w:val="000000"/>
                <w:sz w:val="20"/>
                <w:szCs w:val="20"/>
              </w:rPr>
            </w:pPr>
            <w:r>
              <w:rPr>
                <w:color w:val="000000"/>
                <w:sz w:val="20"/>
                <w:szCs w:val="20"/>
              </w:rPr>
              <w:t>$</w:t>
            </w:r>
          </w:p>
        </w:tc>
        <w:tc>
          <w:tcPr>
            <w:tcW w:w="455" w:type="pct"/>
            <w:tcBorders>
              <w:bottom w:val="double" w:sz="6" w:space="0" w:color="000000"/>
            </w:tcBorders>
            <w:tcMar>
              <w:top w:w="5" w:type="dxa"/>
              <w:left w:w="5" w:type="dxa"/>
              <w:bottom w:w="22" w:type="dxa"/>
              <w:right w:w="5" w:type="dxa"/>
            </w:tcMar>
            <w:vAlign w:val="bottom"/>
            <w:hideMark/>
          </w:tcPr>
          <w:p w14:paraId="54F0F6C1" w14:textId="77777777" w:rsidR="00954279" w:rsidRDefault="00A66714">
            <w:pPr>
              <w:jc w:val="right"/>
              <w:rPr>
                <w:color w:val="000000"/>
                <w:sz w:val="20"/>
                <w:szCs w:val="20"/>
              </w:rPr>
            </w:pPr>
            <w:r>
              <w:rPr>
                <w:color w:val="000000"/>
                <w:sz w:val="20"/>
                <w:szCs w:val="20"/>
              </w:rPr>
              <w:t>341</w:t>
            </w:r>
          </w:p>
        </w:tc>
        <w:tc>
          <w:tcPr>
            <w:tcW w:w="34" w:type="pct"/>
            <w:noWrap/>
            <w:tcMar>
              <w:top w:w="5" w:type="dxa"/>
              <w:left w:w="5" w:type="dxa"/>
              <w:bottom w:w="50" w:type="dxa"/>
              <w:right w:w="5" w:type="dxa"/>
            </w:tcMar>
            <w:vAlign w:val="bottom"/>
            <w:hideMark/>
          </w:tcPr>
          <w:p w14:paraId="3B372766" w14:textId="77777777" w:rsidR="00954279" w:rsidRDefault="00A66714">
            <w:pPr>
              <w:rPr>
                <w:color w:val="000000"/>
                <w:sz w:val="20"/>
                <w:szCs w:val="20"/>
              </w:rPr>
            </w:pPr>
            <w:r>
              <w:rPr>
                <w:color w:val="000000"/>
                <w:sz w:val="20"/>
                <w:szCs w:val="20"/>
              </w:rPr>
              <w:t> </w:t>
            </w:r>
          </w:p>
        </w:tc>
      </w:tr>
    </w:tbl>
    <w:p w14:paraId="715DF26B" w14:textId="77777777" w:rsidR="00954279" w:rsidRDefault="00A66714">
      <w:pPr>
        <w:ind w:left="144" w:right="144"/>
        <w:rPr>
          <w:sz w:val="20"/>
          <w:szCs w:val="20"/>
        </w:rPr>
      </w:pPr>
      <w:r>
        <w:rPr>
          <w:sz w:val="20"/>
          <w:szCs w:val="20"/>
        </w:rPr>
        <w:t> </w:t>
      </w:r>
    </w:p>
    <w:p w14:paraId="3C29F8B2" w14:textId="77777777" w:rsidR="00954279" w:rsidRDefault="00A66714">
      <w:pPr>
        <w:ind w:left="144" w:right="144"/>
        <w:rPr>
          <w:sz w:val="20"/>
          <w:szCs w:val="20"/>
        </w:rPr>
      </w:pPr>
      <w:r>
        <w:rPr>
          <w:i/>
          <w:iCs/>
          <w:sz w:val="20"/>
          <w:szCs w:val="20"/>
        </w:rPr>
        <w:t>See notes to condensed consolidated financial statements.</w:t>
      </w:r>
    </w:p>
    <w:p w14:paraId="31368807" w14:textId="77777777" w:rsidR="00954279" w:rsidRDefault="00A66714">
      <w:pPr>
        <w:ind w:left="144" w:right="144"/>
        <w:jc w:val="center"/>
        <w:rPr>
          <w:sz w:val="20"/>
          <w:szCs w:val="20"/>
        </w:rPr>
      </w:pPr>
      <w:r>
        <w:rPr>
          <w:sz w:val="20"/>
          <w:szCs w:val="20"/>
        </w:rPr>
        <w:t> </w:t>
      </w:r>
    </w:p>
    <w:p w14:paraId="140D3356" w14:textId="77777777" w:rsidR="00954279" w:rsidRDefault="00A66714">
      <w:pPr>
        <w:ind w:left="144" w:right="144"/>
        <w:jc w:val="center"/>
        <w:rPr>
          <w:sz w:val="20"/>
          <w:szCs w:val="20"/>
        </w:rPr>
      </w:pPr>
      <w:r>
        <w:rPr>
          <w:sz w:val="20"/>
          <w:szCs w:val="20"/>
        </w:rPr>
        <w:t>4</w:t>
      </w:r>
    </w:p>
    <w:p w14:paraId="597725F5" w14:textId="77777777" w:rsidR="00954279" w:rsidRDefault="00A66714">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4AF81F4A" w14:textId="77777777" w:rsidR="00954279" w:rsidRDefault="00A66714">
      <w:pPr>
        <w:ind w:left="144" w:right="144"/>
        <w:rPr>
          <w:sz w:val="20"/>
          <w:szCs w:val="20"/>
        </w:rPr>
      </w:pPr>
      <w:r>
        <w:rPr>
          <w:sz w:val="20"/>
          <w:szCs w:val="20"/>
        </w:rPr>
        <w:t> </w:t>
      </w:r>
    </w:p>
    <w:p w14:paraId="2BD53A51" w14:textId="77777777" w:rsidR="00954279" w:rsidRDefault="00A66714">
      <w:pPr>
        <w:ind w:left="144" w:right="144"/>
        <w:rPr>
          <w:sz w:val="20"/>
          <w:szCs w:val="20"/>
        </w:rPr>
      </w:pPr>
      <w:r>
        <w:rPr>
          <w:sz w:val="20"/>
          <w:szCs w:val="20"/>
        </w:rPr>
        <w:t> </w:t>
      </w:r>
    </w:p>
    <w:p w14:paraId="2E2B0680" w14:textId="77777777" w:rsidR="00954279" w:rsidRDefault="00A66714">
      <w:pPr>
        <w:ind w:left="144" w:right="144"/>
        <w:rPr>
          <w:sz w:val="20"/>
          <w:szCs w:val="20"/>
        </w:rPr>
      </w:pPr>
      <w:bookmarkStart w:id="6" w:name="Cash_Flows"/>
      <w:bookmarkEnd w:id="6"/>
      <w:r>
        <w:rPr>
          <w:sz w:val="20"/>
          <w:szCs w:val="20"/>
        </w:rPr>
        <w:t>CONDENSED CONSOLIDATED STATEMENTS OF CASH FLOWS (UNAUDITED)</w:t>
      </w:r>
    </w:p>
    <w:p w14:paraId="43A52482" w14:textId="77777777" w:rsidR="00954279" w:rsidRDefault="00A66714">
      <w:pPr>
        <w:ind w:left="144" w:right="144"/>
        <w:rPr>
          <w:sz w:val="20"/>
          <w:szCs w:val="20"/>
        </w:rPr>
      </w:pPr>
      <w:r>
        <w:rPr>
          <w:sz w:val="20"/>
          <w:szCs w:val="20"/>
        </w:rPr>
        <w:t>MRC GLOBAL INC.</w:t>
      </w:r>
    </w:p>
    <w:p w14:paraId="3176580F" w14:textId="77777777" w:rsidR="00954279" w:rsidRDefault="00A66714">
      <w:pPr>
        <w:ind w:left="144" w:right="144"/>
        <w:rPr>
          <w:sz w:val="20"/>
          <w:szCs w:val="20"/>
        </w:rPr>
      </w:pPr>
      <w:r>
        <w:rPr>
          <w:i/>
          <w:iCs/>
          <w:sz w:val="20"/>
          <w:szCs w:val="20"/>
        </w:rPr>
        <w:t>(in millions)</w:t>
      </w:r>
    </w:p>
    <w:p w14:paraId="241D0035" w14:textId="77777777" w:rsidR="00954279" w:rsidRDefault="00A66714">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7559"/>
        <w:gridCol w:w="107"/>
        <w:gridCol w:w="110"/>
        <w:gridCol w:w="1295"/>
        <w:gridCol w:w="107"/>
        <w:gridCol w:w="108"/>
        <w:gridCol w:w="110"/>
        <w:gridCol w:w="1296"/>
        <w:gridCol w:w="108"/>
      </w:tblGrid>
      <w:tr w:rsidR="00954279" w14:paraId="342FB7D8" w14:textId="77777777">
        <w:tc>
          <w:tcPr>
            <w:tcW w:w="0" w:type="auto"/>
            <w:tcMar>
              <w:top w:w="5" w:type="dxa"/>
              <w:left w:w="5" w:type="dxa"/>
              <w:bottom w:w="5" w:type="dxa"/>
              <w:right w:w="5" w:type="dxa"/>
            </w:tcMar>
            <w:vAlign w:val="bottom"/>
            <w:hideMark/>
          </w:tcPr>
          <w:p w14:paraId="079DB30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7EA72E7" w14:textId="77777777" w:rsidR="00954279" w:rsidRDefault="00A66714">
            <w:pPr>
              <w:rPr>
                <w:color w:val="000000"/>
                <w:sz w:val="20"/>
                <w:szCs w:val="20"/>
              </w:rPr>
            </w:pPr>
            <w:r>
              <w:rPr>
                <w:color w:val="000000"/>
                <w:sz w:val="20"/>
                <w:szCs w:val="20"/>
              </w:rPr>
              <w:t> </w:t>
            </w:r>
          </w:p>
        </w:tc>
        <w:tc>
          <w:tcPr>
            <w:tcW w:w="0" w:type="auto"/>
            <w:gridSpan w:val="6"/>
            <w:tcBorders>
              <w:bottom w:val="single" w:sz="6" w:space="0" w:color="000000"/>
            </w:tcBorders>
            <w:tcMar>
              <w:top w:w="5" w:type="dxa"/>
              <w:left w:w="5" w:type="dxa"/>
              <w:bottom w:w="8" w:type="dxa"/>
              <w:right w:w="5" w:type="dxa"/>
            </w:tcMar>
            <w:vAlign w:val="bottom"/>
            <w:hideMark/>
          </w:tcPr>
          <w:p w14:paraId="0846F3D2" w14:textId="77777777" w:rsidR="00954279" w:rsidRDefault="00A66714">
            <w:pPr>
              <w:jc w:val="center"/>
              <w:rPr>
                <w:color w:val="000000"/>
                <w:sz w:val="20"/>
                <w:szCs w:val="20"/>
              </w:rPr>
            </w:pPr>
            <w:r>
              <w:rPr>
                <w:b/>
                <w:bCs/>
                <w:color w:val="000000"/>
                <w:sz w:val="20"/>
                <w:szCs w:val="20"/>
              </w:rPr>
              <w:t>Six Months Ended</w:t>
            </w:r>
          </w:p>
        </w:tc>
        <w:tc>
          <w:tcPr>
            <w:tcW w:w="0" w:type="auto"/>
            <w:tcMar>
              <w:top w:w="5" w:type="dxa"/>
              <w:left w:w="5" w:type="dxa"/>
              <w:bottom w:w="20" w:type="dxa"/>
              <w:right w:w="5" w:type="dxa"/>
            </w:tcMar>
            <w:vAlign w:val="bottom"/>
            <w:hideMark/>
          </w:tcPr>
          <w:p w14:paraId="250461FC" w14:textId="77777777" w:rsidR="00954279" w:rsidRDefault="00A66714">
            <w:pPr>
              <w:rPr>
                <w:color w:val="000000"/>
                <w:sz w:val="20"/>
                <w:szCs w:val="20"/>
              </w:rPr>
            </w:pPr>
            <w:r>
              <w:rPr>
                <w:color w:val="000000"/>
                <w:sz w:val="20"/>
                <w:szCs w:val="20"/>
              </w:rPr>
              <w:t> </w:t>
            </w:r>
          </w:p>
        </w:tc>
      </w:tr>
      <w:tr w:rsidR="00954279" w14:paraId="3474FB76" w14:textId="77777777">
        <w:tc>
          <w:tcPr>
            <w:tcW w:w="0" w:type="auto"/>
            <w:tcMar>
              <w:top w:w="5" w:type="dxa"/>
              <w:left w:w="5" w:type="dxa"/>
              <w:bottom w:w="5" w:type="dxa"/>
              <w:right w:w="5" w:type="dxa"/>
            </w:tcMar>
            <w:vAlign w:val="bottom"/>
            <w:hideMark/>
          </w:tcPr>
          <w:p w14:paraId="25ACB542"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DB26C02"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70E66A0E" w14:textId="77777777" w:rsidR="00954279" w:rsidRDefault="00A66714">
            <w:pPr>
              <w:jc w:val="center"/>
              <w:rPr>
                <w:color w:val="000000"/>
                <w:sz w:val="20"/>
                <w:szCs w:val="20"/>
              </w:rPr>
            </w:pPr>
            <w:r>
              <w:rPr>
                <w:b/>
                <w:bCs/>
                <w:color w:val="000000"/>
                <w:sz w:val="20"/>
                <w:szCs w:val="20"/>
              </w:rPr>
              <w:t>June 30,</w:t>
            </w:r>
          </w:p>
        </w:tc>
        <w:tc>
          <w:tcPr>
            <w:tcW w:w="0" w:type="auto"/>
            <w:tcMar>
              <w:top w:w="5" w:type="dxa"/>
              <w:left w:w="5" w:type="dxa"/>
              <w:bottom w:w="5" w:type="dxa"/>
              <w:right w:w="5" w:type="dxa"/>
            </w:tcMar>
            <w:vAlign w:val="bottom"/>
            <w:hideMark/>
          </w:tcPr>
          <w:p w14:paraId="527F997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4303ABD"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494A0E78" w14:textId="77777777" w:rsidR="00954279" w:rsidRDefault="00A66714">
            <w:pPr>
              <w:jc w:val="center"/>
              <w:rPr>
                <w:color w:val="000000"/>
                <w:sz w:val="20"/>
                <w:szCs w:val="20"/>
              </w:rPr>
            </w:pPr>
            <w:r>
              <w:rPr>
                <w:b/>
                <w:bCs/>
                <w:color w:val="000000"/>
                <w:sz w:val="20"/>
                <w:szCs w:val="20"/>
              </w:rPr>
              <w:t>June 30,</w:t>
            </w:r>
          </w:p>
        </w:tc>
        <w:tc>
          <w:tcPr>
            <w:tcW w:w="0" w:type="auto"/>
            <w:tcMar>
              <w:top w:w="5" w:type="dxa"/>
              <w:left w:w="5" w:type="dxa"/>
              <w:bottom w:w="5" w:type="dxa"/>
              <w:right w:w="5" w:type="dxa"/>
            </w:tcMar>
            <w:vAlign w:val="bottom"/>
            <w:hideMark/>
          </w:tcPr>
          <w:p w14:paraId="3919F912" w14:textId="77777777" w:rsidR="00954279" w:rsidRDefault="00A66714">
            <w:pPr>
              <w:rPr>
                <w:color w:val="000000"/>
                <w:sz w:val="20"/>
                <w:szCs w:val="20"/>
              </w:rPr>
            </w:pPr>
            <w:r>
              <w:rPr>
                <w:color w:val="000000"/>
                <w:sz w:val="20"/>
                <w:szCs w:val="20"/>
              </w:rPr>
              <w:t> </w:t>
            </w:r>
          </w:p>
        </w:tc>
      </w:tr>
      <w:tr w:rsidR="00954279" w14:paraId="481EFA4A" w14:textId="77777777">
        <w:tc>
          <w:tcPr>
            <w:tcW w:w="0" w:type="auto"/>
            <w:tcMar>
              <w:top w:w="5" w:type="dxa"/>
              <w:left w:w="5" w:type="dxa"/>
              <w:bottom w:w="5" w:type="dxa"/>
              <w:right w:w="5" w:type="dxa"/>
            </w:tcMar>
            <w:vAlign w:val="bottom"/>
            <w:hideMark/>
          </w:tcPr>
          <w:p w14:paraId="06DFA22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C5B91AC"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FF04A79" w14:textId="77777777" w:rsidR="00954279" w:rsidRDefault="00A66714">
            <w:pPr>
              <w:jc w:val="center"/>
              <w:rPr>
                <w:color w:val="000000"/>
                <w:sz w:val="20"/>
                <w:szCs w:val="20"/>
              </w:rPr>
            </w:pPr>
            <w:r>
              <w:rPr>
                <w:b/>
                <w:bCs/>
                <w:color w:val="000000"/>
                <w:sz w:val="20"/>
                <w:szCs w:val="20"/>
              </w:rPr>
              <w:t>2021</w:t>
            </w:r>
          </w:p>
        </w:tc>
        <w:tc>
          <w:tcPr>
            <w:tcW w:w="0" w:type="auto"/>
            <w:tcMar>
              <w:top w:w="5" w:type="dxa"/>
              <w:left w:w="5" w:type="dxa"/>
              <w:bottom w:w="20" w:type="dxa"/>
              <w:right w:w="5" w:type="dxa"/>
            </w:tcMar>
            <w:vAlign w:val="bottom"/>
            <w:hideMark/>
          </w:tcPr>
          <w:p w14:paraId="7065FFB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410D233"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45CAE97" w14:textId="77777777" w:rsidR="00954279" w:rsidRDefault="00A66714">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52A2BC4F" w14:textId="77777777" w:rsidR="00954279" w:rsidRDefault="00A66714">
            <w:pPr>
              <w:rPr>
                <w:color w:val="000000"/>
                <w:sz w:val="20"/>
                <w:szCs w:val="20"/>
              </w:rPr>
            </w:pPr>
            <w:r>
              <w:rPr>
                <w:color w:val="000000"/>
                <w:sz w:val="20"/>
                <w:szCs w:val="20"/>
              </w:rPr>
              <w:t> </w:t>
            </w:r>
          </w:p>
        </w:tc>
      </w:tr>
      <w:tr w:rsidR="00954279" w14:paraId="5AFB6F41" w14:textId="77777777">
        <w:tc>
          <w:tcPr>
            <w:tcW w:w="0" w:type="auto"/>
            <w:tcMar>
              <w:top w:w="5" w:type="dxa"/>
              <w:left w:w="5" w:type="dxa"/>
              <w:bottom w:w="5" w:type="dxa"/>
              <w:right w:w="5" w:type="dxa"/>
            </w:tcMar>
            <w:vAlign w:val="bottom"/>
            <w:hideMark/>
          </w:tcPr>
          <w:p w14:paraId="6774CFA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7504E82"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EE0943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8A2C44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7514192"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34D4D1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793370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5B3194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2DD9DCD" w14:textId="77777777" w:rsidR="00954279" w:rsidRDefault="00A66714">
            <w:pPr>
              <w:rPr>
                <w:color w:val="000000"/>
                <w:sz w:val="20"/>
                <w:szCs w:val="20"/>
              </w:rPr>
            </w:pPr>
            <w:r>
              <w:rPr>
                <w:color w:val="000000"/>
                <w:sz w:val="20"/>
                <w:szCs w:val="20"/>
              </w:rPr>
              <w:t> </w:t>
            </w:r>
          </w:p>
        </w:tc>
      </w:tr>
      <w:tr w:rsidR="00954279" w14:paraId="31830355" w14:textId="77777777">
        <w:tc>
          <w:tcPr>
            <w:tcW w:w="3500" w:type="pct"/>
            <w:tcMar>
              <w:top w:w="5" w:type="dxa"/>
              <w:left w:w="5" w:type="dxa"/>
              <w:bottom w:w="5" w:type="dxa"/>
              <w:right w:w="5" w:type="dxa"/>
            </w:tcMar>
            <w:vAlign w:val="bottom"/>
            <w:hideMark/>
          </w:tcPr>
          <w:p w14:paraId="7AE7E9C6" w14:textId="77777777" w:rsidR="00954279" w:rsidRDefault="00A66714">
            <w:pPr>
              <w:rPr>
                <w:color w:val="000000"/>
                <w:sz w:val="20"/>
                <w:szCs w:val="20"/>
              </w:rPr>
            </w:pPr>
            <w:r>
              <w:rPr>
                <w:b/>
                <w:bCs/>
                <w:color w:val="000000"/>
                <w:sz w:val="20"/>
                <w:szCs w:val="20"/>
              </w:rPr>
              <w:t>Operating activities</w:t>
            </w:r>
          </w:p>
        </w:tc>
        <w:tc>
          <w:tcPr>
            <w:tcW w:w="0" w:type="auto"/>
            <w:tcMar>
              <w:top w:w="5" w:type="dxa"/>
              <w:left w:w="5" w:type="dxa"/>
              <w:bottom w:w="5" w:type="dxa"/>
              <w:right w:w="5" w:type="dxa"/>
            </w:tcMar>
            <w:vAlign w:val="bottom"/>
            <w:hideMark/>
          </w:tcPr>
          <w:p w14:paraId="2E0056F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E158D02"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BCF7DE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21E3AF8" w14:textId="77777777" w:rsidR="00954279" w:rsidRDefault="00A66714">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3CC9288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C24236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16FCD6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928138F" w14:textId="77777777" w:rsidR="00954279" w:rsidRDefault="00A66714">
            <w:pPr>
              <w:rPr>
                <w:color w:val="000000"/>
                <w:sz w:val="20"/>
                <w:szCs w:val="20"/>
              </w:rPr>
            </w:pPr>
            <w:r>
              <w:rPr>
                <w:b/>
                <w:bCs/>
                <w:color w:val="000000"/>
                <w:sz w:val="20"/>
                <w:szCs w:val="20"/>
              </w:rPr>
              <w:t> </w:t>
            </w:r>
          </w:p>
        </w:tc>
      </w:tr>
      <w:tr w:rsidR="00954279" w14:paraId="1BB740DE" w14:textId="77777777">
        <w:tc>
          <w:tcPr>
            <w:tcW w:w="0" w:type="auto"/>
            <w:tcMar>
              <w:top w:w="5" w:type="dxa"/>
              <w:left w:w="5" w:type="dxa"/>
              <w:bottom w:w="5" w:type="dxa"/>
              <w:right w:w="5" w:type="dxa"/>
            </w:tcMar>
            <w:vAlign w:val="bottom"/>
            <w:hideMark/>
          </w:tcPr>
          <w:p w14:paraId="0A239811" w14:textId="77777777" w:rsidR="00954279" w:rsidRDefault="00A66714">
            <w:pPr>
              <w:rPr>
                <w:color w:val="000000"/>
                <w:sz w:val="20"/>
                <w:szCs w:val="20"/>
              </w:rPr>
            </w:pPr>
            <w:r>
              <w:rPr>
                <w:color w:val="000000"/>
                <w:sz w:val="20"/>
                <w:szCs w:val="20"/>
              </w:rPr>
              <w:t>Net income (loss)</w:t>
            </w:r>
          </w:p>
        </w:tc>
        <w:tc>
          <w:tcPr>
            <w:tcW w:w="50" w:type="pct"/>
            <w:tcMar>
              <w:top w:w="5" w:type="dxa"/>
              <w:left w:w="5" w:type="dxa"/>
              <w:bottom w:w="5" w:type="dxa"/>
              <w:right w:w="5" w:type="dxa"/>
            </w:tcMar>
            <w:vAlign w:val="bottom"/>
            <w:hideMark/>
          </w:tcPr>
          <w:p w14:paraId="128D82E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9E33FF1" w14:textId="77777777" w:rsidR="00954279" w:rsidRDefault="00A66714">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7E18D597" w14:textId="77777777" w:rsidR="00954279" w:rsidRDefault="00A66714">
            <w:pPr>
              <w:jc w:val="right"/>
              <w:rPr>
                <w:color w:val="000000"/>
                <w:sz w:val="20"/>
                <w:szCs w:val="20"/>
              </w:rPr>
            </w:pPr>
            <w:r>
              <w:rPr>
                <w:b/>
                <w:bCs/>
                <w:color w:val="000000"/>
                <w:sz w:val="20"/>
                <w:szCs w:val="20"/>
              </w:rPr>
              <w:t>1</w:t>
            </w:r>
          </w:p>
        </w:tc>
        <w:tc>
          <w:tcPr>
            <w:tcW w:w="50" w:type="pct"/>
            <w:noWrap/>
            <w:tcMar>
              <w:top w:w="5" w:type="dxa"/>
              <w:left w:w="5" w:type="dxa"/>
              <w:bottom w:w="5" w:type="dxa"/>
              <w:right w:w="5" w:type="dxa"/>
            </w:tcMar>
            <w:vAlign w:val="bottom"/>
            <w:hideMark/>
          </w:tcPr>
          <w:p w14:paraId="19C70848"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395608A"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4A55252" w14:textId="77777777" w:rsidR="00954279" w:rsidRDefault="00A66714">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2553D282" w14:textId="77777777" w:rsidR="00954279" w:rsidRDefault="00A66714">
            <w:pPr>
              <w:jc w:val="right"/>
              <w:rPr>
                <w:color w:val="000000"/>
                <w:sz w:val="20"/>
                <w:szCs w:val="20"/>
              </w:rPr>
            </w:pPr>
            <w:r>
              <w:rPr>
                <w:color w:val="000000"/>
                <w:sz w:val="20"/>
                <w:szCs w:val="20"/>
              </w:rPr>
              <w:t>(272</w:t>
            </w:r>
          </w:p>
        </w:tc>
        <w:tc>
          <w:tcPr>
            <w:tcW w:w="50" w:type="pct"/>
            <w:noWrap/>
            <w:tcMar>
              <w:top w:w="5" w:type="dxa"/>
              <w:left w:w="5" w:type="dxa"/>
              <w:bottom w:w="5" w:type="dxa"/>
              <w:right w:w="5" w:type="dxa"/>
            </w:tcMar>
            <w:vAlign w:val="bottom"/>
            <w:hideMark/>
          </w:tcPr>
          <w:p w14:paraId="1BBF79FB" w14:textId="77777777" w:rsidR="00954279" w:rsidRDefault="00A66714">
            <w:pPr>
              <w:rPr>
                <w:color w:val="000000"/>
                <w:sz w:val="20"/>
                <w:szCs w:val="20"/>
              </w:rPr>
            </w:pPr>
            <w:r>
              <w:rPr>
                <w:color w:val="000000"/>
                <w:sz w:val="20"/>
                <w:szCs w:val="20"/>
              </w:rPr>
              <w:t>)</w:t>
            </w:r>
          </w:p>
        </w:tc>
      </w:tr>
      <w:tr w:rsidR="00954279" w14:paraId="107007C3" w14:textId="77777777">
        <w:tc>
          <w:tcPr>
            <w:tcW w:w="0" w:type="auto"/>
            <w:tcMar>
              <w:top w:w="5" w:type="dxa"/>
              <w:left w:w="5" w:type="dxa"/>
              <w:bottom w:w="5" w:type="dxa"/>
              <w:right w:w="5" w:type="dxa"/>
            </w:tcMar>
            <w:vAlign w:val="bottom"/>
            <w:hideMark/>
          </w:tcPr>
          <w:p w14:paraId="60403E57" w14:textId="77777777" w:rsidR="00954279" w:rsidRDefault="00A66714">
            <w:pPr>
              <w:rPr>
                <w:color w:val="000000"/>
                <w:sz w:val="20"/>
                <w:szCs w:val="20"/>
              </w:rPr>
            </w:pPr>
            <w:r>
              <w:rPr>
                <w:color w:val="000000"/>
                <w:sz w:val="20"/>
                <w:szCs w:val="20"/>
              </w:rPr>
              <w:t>Adjustments to reconcile net income (loss) to net cash provided by operations:</w:t>
            </w:r>
          </w:p>
        </w:tc>
        <w:tc>
          <w:tcPr>
            <w:tcW w:w="0" w:type="auto"/>
            <w:tcMar>
              <w:top w:w="5" w:type="dxa"/>
              <w:left w:w="5" w:type="dxa"/>
              <w:bottom w:w="5" w:type="dxa"/>
              <w:right w:w="5" w:type="dxa"/>
            </w:tcMar>
            <w:vAlign w:val="bottom"/>
            <w:hideMark/>
          </w:tcPr>
          <w:p w14:paraId="1BA48A9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26492E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765550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57CD47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0EF1BD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00CD03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69BB8A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F0791C4" w14:textId="77777777" w:rsidR="00954279" w:rsidRDefault="00A66714">
            <w:pPr>
              <w:rPr>
                <w:color w:val="000000"/>
                <w:sz w:val="20"/>
                <w:szCs w:val="20"/>
              </w:rPr>
            </w:pPr>
            <w:r>
              <w:rPr>
                <w:color w:val="000000"/>
                <w:sz w:val="20"/>
                <w:szCs w:val="20"/>
              </w:rPr>
              <w:t> </w:t>
            </w:r>
          </w:p>
        </w:tc>
      </w:tr>
      <w:tr w:rsidR="00954279" w14:paraId="6257DD66" w14:textId="77777777">
        <w:tc>
          <w:tcPr>
            <w:tcW w:w="0" w:type="auto"/>
            <w:tcMar>
              <w:top w:w="5" w:type="dxa"/>
              <w:left w:w="5" w:type="dxa"/>
              <w:bottom w:w="5" w:type="dxa"/>
              <w:right w:w="5" w:type="dxa"/>
            </w:tcMar>
            <w:vAlign w:val="bottom"/>
            <w:hideMark/>
          </w:tcPr>
          <w:p w14:paraId="34E68B8C" w14:textId="77777777" w:rsidR="00954279" w:rsidRDefault="00A66714">
            <w:pPr>
              <w:ind w:left="360"/>
              <w:rPr>
                <w:color w:val="000000"/>
                <w:sz w:val="20"/>
                <w:szCs w:val="20"/>
              </w:rPr>
            </w:pPr>
            <w:r>
              <w:rPr>
                <w:color w:val="000000"/>
                <w:sz w:val="20"/>
                <w:szCs w:val="20"/>
              </w:rPr>
              <w:t>Depreciation and amortization</w:t>
            </w:r>
          </w:p>
        </w:tc>
        <w:tc>
          <w:tcPr>
            <w:tcW w:w="50" w:type="pct"/>
            <w:tcMar>
              <w:top w:w="5" w:type="dxa"/>
              <w:left w:w="5" w:type="dxa"/>
              <w:bottom w:w="5" w:type="dxa"/>
              <w:right w:w="5" w:type="dxa"/>
            </w:tcMar>
            <w:vAlign w:val="bottom"/>
            <w:hideMark/>
          </w:tcPr>
          <w:p w14:paraId="0B844D2F"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D91B6F3"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A246EEF" w14:textId="77777777" w:rsidR="00954279" w:rsidRDefault="00A66714">
            <w:pPr>
              <w:jc w:val="right"/>
              <w:rPr>
                <w:color w:val="000000"/>
                <w:sz w:val="20"/>
                <w:szCs w:val="20"/>
              </w:rPr>
            </w:pPr>
            <w:r>
              <w:rPr>
                <w:b/>
                <w:bCs/>
                <w:color w:val="000000"/>
                <w:sz w:val="20"/>
                <w:szCs w:val="20"/>
              </w:rPr>
              <w:t>10</w:t>
            </w:r>
          </w:p>
        </w:tc>
        <w:tc>
          <w:tcPr>
            <w:tcW w:w="50" w:type="pct"/>
            <w:noWrap/>
            <w:tcMar>
              <w:top w:w="5" w:type="dxa"/>
              <w:left w:w="5" w:type="dxa"/>
              <w:bottom w:w="5" w:type="dxa"/>
              <w:right w:w="5" w:type="dxa"/>
            </w:tcMar>
            <w:vAlign w:val="bottom"/>
            <w:hideMark/>
          </w:tcPr>
          <w:p w14:paraId="32C0749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C46377A"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CCAFCA4"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24AF7B2" w14:textId="77777777" w:rsidR="00954279" w:rsidRDefault="00A66714">
            <w:pPr>
              <w:jc w:val="right"/>
              <w:rPr>
                <w:color w:val="000000"/>
                <w:sz w:val="20"/>
                <w:szCs w:val="20"/>
              </w:rPr>
            </w:pPr>
            <w:r>
              <w:rPr>
                <w:color w:val="000000"/>
                <w:sz w:val="20"/>
                <w:szCs w:val="20"/>
              </w:rPr>
              <w:t>10</w:t>
            </w:r>
          </w:p>
        </w:tc>
        <w:tc>
          <w:tcPr>
            <w:tcW w:w="50" w:type="pct"/>
            <w:noWrap/>
            <w:tcMar>
              <w:top w:w="5" w:type="dxa"/>
              <w:left w:w="5" w:type="dxa"/>
              <w:bottom w:w="5" w:type="dxa"/>
              <w:right w:w="5" w:type="dxa"/>
            </w:tcMar>
            <w:vAlign w:val="bottom"/>
            <w:hideMark/>
          </w:tcPr>
          <w:p w14:paraId="310D3285" w14:textId="77777777" w:rsidR="00954279" w:rsidRDefault="00A66714">
            <w:pPr>
              <w:rPr>
                <w:color w:val="000000"/>
                <w:sz w:val="20"/>
                <w:szCs w:val="20"/>
              </w:rPr>
            </w:pPr>
            <w:r>
              <w:rPr>
                <w:color w:val="000000"/>
                <w:sz w:val="20"/>
                <w:szCs w:val="20"/>
              </w:rPr>
              <w:t> </w:t>
            </w:r>
          </w:p>
        </w:tc>
      </w:tr>
      <w:tr w:rsidR="00954279" w14:paraId="22C2468B" w14:textId="77777777">
        <w:tc>
          <w:tcPr>
            <w:tcW w:w="0" w:type="auto"/>
            <w:tcMar>
              <w:top w:w="5" w:type="dxa"/>
              <w:left w:w="5" w:type="dxa"/>
              <w:bottom w:w="5" w:type="dxa"/>
              <w:right w:w="5" w:type="dxa"/>
            </w:tcMar>
            <w:vAlign w:val="bottom"/>
            <w:hideMark/>
          </w:tcPr>
          <w:p w14:paraId="5FD57E06" w14:textId="77777777" w:rsidR="00954279" w:rsidRDefault="00A66714">
            <w:pPr>
              <w:ind w:left="360"/>
              <w:rPr>
                <w:color w:val="000000"/>
                <w:sz w:val="20"/>
                <w:szCs w:val="20"/>
              </w:rPr>
            </w:pPr>
            <w:r>
              <w:rPr>
                <w:color w:val="000000"/>
                <w:sz w:val="20"/>
                <w:szCs w:val="20"/>
              </w:rPr>
              <w:t>Amortization of intangibles</w:t>
            </w:r>
          </w:p>
        </w:tc>
        <w:tc>
          <w:tcPr>
            <w:tcW w:w="50" w:type="pct"/>
            <w:tcMar>
              <w:top w:w="5" w:type="dxa"/>
              <w:left w:w="5" w:type="dxa"/>
              <w:bottom w:w="5" w:type="dxa"/>
              <w:right w:w="5" w:type="dxa"/>
            </w:tcMar>
            <w:vAlign w:val="bottom"/>
            <w:hideMark/>
          </w:tcPr>
          <w:p w14:paraId="1C50A292"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C796E37"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9861025" w14:textId="77777777" w:rsidR="00954279" w:rsidRDefault="00A66714">
            <w:pPr>
              <w:jc w:val="right"/>
              <w:rPr>
                <w:color w:val="000000"/>
                <w:sz w:val="20"/>
                <w:szCs w:val="20"/>
              </w:rPr>
            </w:pPr>
            <w:r>
              <w:rPr>
                <w:b/>
                <w:bCs/>
                <w:color w:val="000000"/>
                <w:sz w:val="20"/>
                <w:szCs w:val="20"/>
              </w:rPr>
              <w:t>12</w:t>
            </w:r>
          </w:p>
        </w:tc>
        <w:tc>
          <w:tcPr>
            <w:tcW w:w="50" w:type="pct"/>
            <w:noWrap/>
            <w:tcMar>
              <w:top w:w="5" w:type="dxa"/>
              <w:left w:w="5" w:type="dxa"/>
              <w:bottom w:w="5" w:type="dxa"/>
              <w:right w:w="5" w:type="dxa"/>
            </w:tcMar>
            <w:vAlign w:val="bottom"/>
            <w:hideMark/>
          </w:tcPr>
          <w:p w14:paraId="67261EF3"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C7E435E"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2EB46FD"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70F2995" w14:textId="77777777" w:rsidR="00954279" w:rsidRDefault="00A66714">
            <w:pPr>
              <w:jc w:val="right"/>
              <w:rPr>
                <w:color w:val="000000"/>
                <w:sz w:val="20"/>
                <w:szCs w:val="20"/>
              </w:rPr>
            </w:pPr>
            <w:r>
              <w:rPr>
                <w:color w:val="000000"/>
                <w:sz w:val="20"/>
                <w:szCs w:val="20"/>
              </w:rPr>
              <w:t>13</w:t>
            </w:r>
          </w:p>
        </w:tc>
        <w:tc>
          <w:tcPr>
            <w:tcW w:w="50" w:type="pct"/>
            <w:noWrap/>
            <w:tcMar>
              <w:top w:w="5" w:type="dxa"/>
              <w:left w:w="5" w:type="dxa"/>
              <w:bottom w:w="5" w:type="dxa"/>
              <w:right w:w="5" w:type="dxa"/>
            </w:tcMar>
            <w:vAlign w:val="bottom"/>
            <w:hideMark/>
          </w:tcPr>
          <w:p w14:paraId="0BBB1286" w14:textId="77777777" w:rsidR="00954279" w:rsidRDefault="00A66714">
            <w:pPr>
              <w:rPr>
                <w:color w:val="000000"/>
                <w:sz w:val="20"/>
                <w:szCs w:val="20"/>
              </w:rPr>
            </w:pPr>
            <w:r>
              <w:rPr>
                <w:color w:val="000000"/>
                <w:sz w:val="20"/>
                <w:szCs w:val="20"/>
              </w:rPr>
              <w:t> </w:t>
            </w:r>
          </w:p>
        </w:tc>
      </w:tr>
      <w:tr w:rsidR="00954279" w14:paraId="24427B2F" w14:textId="77777777">
        <w:tc>
          <w:tcPr>
            <w:tcW w:w="0" w:type="auto"/>
            <w:tcMar>
              <w:top w:w="5" w:type="dxa"/>
              <w:left w:w="5" w:type="dxa"/>
              <w:bottom w:w="5" w:type="dxa"/>
              <w:right w:w="5" w:type="dxa"/>
            </w:tcMar>
            <w:vAlign w:val="bottom"/>
            <w:hideMark/>
          </w:tcPr>
          <w:p w14:paraId="12190E40" w14:textId="77777777" w:rsidR="00954279" w:rsidRDefault="00A66714">
            <w:pPr>
              <w:ind w:left="360"/>
              <w:rPr>
                <w:color w:val="000000"/>
                <w:sz w:val="20"/>
                <w:szCs w:val="20"/>
              </w:rPr>
            </w:pPr>
            <w:r>
              <w:rPr>
                <w:color w:val="000000"/>
                <w:sz w:val="20"/>
                <w:szCs w:val="20"/>
              </w:rPr>
              <w:t>Equity-based compensation expense</w:t>
            </w:r>
          </w:p>
        </w:tc>
        <w:tc>
          <w:tcPr>
            <w:tcW w:w="50" w:type="pct"/>
            <w:tcMar>
              <w:top w:w="5" w:type="dxa"/>
              <w:left w:w="5" w:type="dxa"/>
              <w:bottom w:w="5" w:type="dxa"/>
              <w:right w:w="5" w:type="dxa"/>
            </w:tcMar>
            <w:vAlign w:val="bottom"/>
            <w:hideMark/>
          </w:tcPr>
          <w:p w14:paraId="6644793A"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BEB86F3"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5A51329" w14:textId="77777777" w:rsidR="00954279" w:rsidRDefault="00A66714">
            <w:pPr>
              <w:jc w:val="right"/>
              <w:rPr>
                <w:color w:val="000000"/>
                <w:sz w:val="20"/>
                <w:szCs w:val="20"/>
              </w:rPr>
            </w:pPr>
            <w:r>
              <w:rPr>
                <w:b/>
                <w:bCs/>
                <w:color w:val="000000"/>
                <w:sz w:val="20"/>
                <w:szCs w:val="20"/>
              </w:rPr>
              <w:t>7</w:t>
            </w:r>
          </w:p>
        </w:tc>
        <w:tc>
          <w:tcPr>
            <w:tcW w:w="50" w:type="pct"/>
            <w:noWrap/>
            <w:tcMar>
              <w:top w:w="5" w:type="dxa"/>
              <w:left w:w="5" w:type="dxa"/>
              <w:bottom w:w="5" w:type="dxa"/>
              <w:right w:w="5" w:type="dxa"/>
            </w:tcMar>
            <w:vAlign w:val="bottom"/>
            <w:hideMark/>
          </w:tcPr>
          <w:p w14:paraId="68DCE189"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CC5363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4BD8F9B"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73B0CFD" w14:textId="77777777" w:rsidR="00954279" w:rsidRDefault="00A66714">
            <w:pPr>
              <w:jc w:val="right"/>
              <w:rPr>
                <w:color w:val="000000"/>
                <w:sz w:val="20"/>
                <w:szCs w:val="20"/>
              </w:rPr>
            </w:pPr>
            <w:r>
              <w:rPr>
                <w:color w:val="000000"/>
                <w:sz w:val="20"/>
                <w:szCs w:val="20"/>
              </w:rPr>
              <w:t>5</w:t>
            </w:r>
          </w:p>
        </w:tc>
        <w:tc>
          <w:tcPr>
            <w:tcW w:w="50" w:type="pct"/>
            <w:noWrap/>
            <w:tcMar>
              <w:top w:w="5" w:type="dxa"/>
              <w:left w:w="5" w:type="dxa"/>
              <w:bottom w:w="5" w:type="dxa"/>
              <w:right w:w="5" w:type="dxa"/>
            </w:tcMar>
            <w:vAlign w:val="bottom"/>
            <w:hideMark/>
          </w:tcPr>
          <w:p w14:paraId="5F6E4463" w14:textId="77777777" w:rsidR="00954279" w:rsidRDefault="00A66714">
            <w:pPr>
              <w:rPr>
                <w:color w:val="000000"/>
                <w:sz w:val="20"/>
                <w:szCs w:val="20"/>
              </w:rPr>
            </w:pPr>
            <w:r>
              <w:rPr>
                <w:color w:val="000000"/>
                <w:sz w:val="20"/>
                <w:szCs w:val="20"/>
              </w:rPr>
              <w:t> </w:t>
            </w:r>
          </w:p>
        </w:tc>
      </w:tr>
      <w:tr w:rsidR="00954279" w14:paraId="0B7F3E40" w14:textId="77777777">
        <w:tc>
          <w:tcPr>
            <w:tcW w:w="0" w:type="auto"/>
            <w:tcMar>
              <w:top w:w="5" w:type="dxa"/>
              <w:left w:w="5" w:type="dxa"/>
              <w:bottom w:w="5" w:type="dxa"/>
              <w:right w:w="5" w:type="dxa"/>
            </w:tcMar>
            <w:vAlign w:val="bottom"/>
            <w:hideMark/>
          </w:tcPr>
          <w:p w14:paraId="257C7F29" w14:textId="77777777" w:rsidR="00954279" w:rsidRDefault="00A66714">
            <w:pPr>
              <w:ind w:left="360"/>
              <w:rPr>
                <w:color w:val="000000"/>
                <w:sz w:val="20"/>
                <w:szCs w:val="20"/>
              </w:rPr>
            </w:pPr>
            <w:r>
              <w:rPr>
                <w:color w:val="000000"/>
                <w:sz w:val="20"/>
                <w:szCs w:val="20"/>
              </w:rPr>
              <w:t>Deferred income tax benefit</w:t>
            </w:r>
          </w:p>
        </w:tc>
        <w:tc>
          <w:tcPr>
            <w:tcW w:w="50" w:type="pct"/>
            <w:tcMar>
              <w:top w:w="5" w:type="dxa"/>
              <w:left w:w="5" w:type="dxa"/>
              <w:bottom w:w="5" w:type="dxa"/>
              <w:right w:w="5" w:type="dxa"/>
            </w:tcMar>
            <w:vAlign w:val="bottom"/>
            <w:hideMark/>
          </w:tcPr>
          <w:p w14:paraId="34270D81"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93DDDE3"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5762701" w14:textId="77777777" w:rsidR="00954279" w:rsidRDefault="00A66714">
            <w:pPr>
              <w:jc w:val="right"/>
              <w:rPr>
                <w:color w:val="000000"/>
                <w:sz w:val="20"/>
                <w:szCs w:val="20"/>
              </w:rPr>
            </w:pPr>
            <w:r>
              <w:rPr>
                <w:b/>
                <w:bCs/>
                <w:color w:val="000000"/>
                <w:sz w:val="20"/>
                <w:szCs w:val="20"/>
              </w:rPr>
              <w:t>(1</w:t>
            </w:r>
          </w:p>
        </w:tc>
        <w:tc>
          <w:tcPr>
            <w:tcW w:w="50" w:type="pct"/>
            <w:noWrap/>
            <w:tcMar>
              <w:top w:w="5" w:type="dxa"/>
              <w:left w:w="5" w:type="dxa"/>
              <w:bottom w:w="5" w:type="dxa"/>
              <w:right w:w="5" w:type="dxa"/>
            </w:tcMar>
            <w:vAlign w:val="bottom"/>
            <w:hideMark/>
          </w:tcPr>
          <w:p w14:paraId="10C32D87"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2AB6578E"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049AF50"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5D769E8" w14:textId="77777777" w:rsidR="00954279" w:rsidRDefault="00A66714">
            <w:pPr>
              <w:jc w:val="right"/>
              <w:rPr>
                <w:color w:val="000000"/>
                <w:sz w:val="20"/>
                <w:szCs w:val="20"/>
              </w:rPr>
            </w:pPr>
            <w:r>
              <w:rPr>
                <w:color w:val="000000"/>
                <w:sz w:val="20"/>
                <w:szCs w:val="20"/>
              </w:rPr>
              <w:t>(8</w:t>
            </w:r>
          </w:p>
        </w:tc>
        <w:tc>
          <w:tcPr>
            <w:tcW w:w="50" w:type="pct"/>
            <w:noWrap/>
            <w:tcMar>
              <w:top w:w="5" w:type="dxa"/>
              <w:left w:w="5" w:type="dxa"/>
              <w:bottom w:w="5" w:type="dxa"/>
              <w:right w:w="5" w:type="dxa"/>
            </w:tcMar>
            <w:vAlign w:val="bottom"/>
            <w:hideMark/>
          </w:tcPr>
          <w:p w14:paraId="04069498" w14:textId="77777777" w:rsidR="00954279" w:rsidRDefault="00A66714">
            <w:pPr>
              <w:rPr>
                <w:color w:val="000000"/>
                <w:sz w:val="20"/>
                <w:szCs w:val="20"/>
              </w:rPr>
            </w:pPr>
            <w:r>
              <w:rPr>
                <w:color w:val="000000"/>
                <w:sz w:val="20"/>
                <w:szCs w:val="20"/>
              </w:rPr>
              <w:t>)</w:t>
            </w:r>
          </w:p>
        </w:tc>
      </w:tr>
      <w:tr w:rsidR="00954279" w14:paraId="6C3E10DA" w14:textId="77777777">
        <w:tc>
          <w:tcPr>
            <w:tcW w:w="0" w:type="auto"/>
            <w:tcMar>
              <w:top w:w="5" w:type="dxa"/>
              <w:left w:w="5" w:type="dxa"/>
              <w:bottom w:w="5" w:type="dxa"/>
              <w:right w:w="5" w:type="dxa"/>
            </w:tcMar>
            <w:vAlign w:val="bottom"/>
            <w:hideMark/>
          </w:tcPr>
          <w:p w14:paraId="2B83C51D" w14:textId="77777777" w:rsidR="00954279" w:rsidRDefault="00A66714">
            <w:pPr>
              <w:ind w:left="360"/>
              <w:rPr>
                <w:color w:val="000000"/>
                <w:sz w:val="20"/>
                <w:szCs w:val="20"/>
              </w:rPr>
            </w:pPr>
            <w:r>
              <w:rPr>
                <w:color w:val="000000"/>
                <w:sz w:val="20"/>
                <w:szCs w:val="20"/>
              </w:rPr>
              <w:t>Increase (decrease) in LIFO reserve</w:t>
            </w:r>
          </w:p>
        </w:tc>
        <w:tc>
          <w:tcPr>
            <w:tcW w:w="50" w:type="pct"/>
            <w:tcMar>
              <w:top w:w="5" w:type="dxa"/>
              <w:left w:w="5" w:type="dxa"/>
              <w:bottom w:w="5" w:type="dxa"/>
              <w:right w:w="5" w:type="dxa"/>
            </w:tcMar>
            <w:vAlign w:val="bottom"/>
            <w:hideMark/>
          </w:tcPr>
          <w:p w14:paraId="792DB549"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990A3DC"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CEB0FF4" w14:textId="77777777" w:rsidR="00954279" w:rsidRDefault="00A66714">
            <w:pPr>
              <w:jc w:val="right"/>
              <w:rPr>
                <w:color w:val="000000"/>
                <w:sz w:val="20"/>
                <w:szCs w:val="20"/>
              </w:rPr>
            </w:pPr>
            <w:r>
              <w:rPr>
                <w:b/>
                <w:bCs/>
                <w:color w:val="000000"/>
                <w:sz w:val="20"/>
                <w:szCs w:val="20"/>
              </w:rPr>
              <w:t>15</w:t>
            </w:r>
          </w:p>
        </w:tc>
        <w:tc>
          <w:tcPr>
            <w:tcW w:w="50" w:type="pct"/>
            <w:noWrap/>
            <w:tcMar>
              <w:top w:w="5" w:type="dxa"/>
              <w:left w:w="5" w:type="dxa"/>
              <w:bottom w:w="5" w:type="dxa"/>
              <w:right w:w="5" w:type="dxa"/>
            </w:tcMar>
            <w:vAlign w:val="bottom"/>
            <w:hideMark/>
          </w:tcPr>
          <w:p w14:paraId="10CFE61A"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2BB1AA3"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EF9929E"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77A821A" w14:textId="77777777" w:rsidR="00954279" w:rsidRDefault="00A66714">
            <w:pPr>
              <w:jc w:val="right"/>
              <w:rPr>
                <w:color w:val="000000"/>
                <w:sz w:val="20"/>
                <w:szCs w:val="20"/>
              </w:rPr>
            </w:pPr>
            <w:r>
              <w:rPr>
                <w:color w:val="000000"/>
                <w:sz w:val="20"/>
                <w:szCs w:val="20"/>
              </w:rPr>
              <w:t>(9</w:t>
            </w:r>
          </w:p>
        </w:tc>
        <w:tc>
          <w:tcPr>
            <w:tcW w:w="50" w:type="pct"/>
            <w:noWrap/>
            <w:tcMar>
              <w:top w:w="5" w:type="dxa"/>
              <w:left w:w="5" w:type="dxa"/>
              <w:bottom w:w="5" w:type="dxa"/>
              <w:right w:w="5" w:type="dxa"/>
            </w:tcMar>
            <w:vAlign w:val="bottom"/>
            <w:hideMark/>
          </w:tcPr>
          <w:p w14:paraId="71DDFCF4" w14:textId="77777777" w:rsidR="00954279" w:rsidRDefault="00A66714">
            <w:pPr>
              <w:rPr>
                <w:color w:val="000000"/>
                <w:sz w:val="20"/>
                <w:szCs w:val="20"/>
              </w:rPr>
            </w:pPr>
            <w:r>
              <w:rPr>
                <w:color w:val="000000"/>
                <w:sz w:val="20"/>
                <w:szCs w:val="20"/>
              </w:rPr>
              <w:t>)</w:t>
            </w:r>
          </w:p>
        </w:tc>
      </w:tr>
      <w:tr w:rsidR="00954279" w14:paraId="7555093B" w14:textId="77777777">
        <w:tc>
          <w:tcPr>
            <w:tcW w:w="0" w:type="auto"/>
            <w:tcMar>
              <w:top w:w="5" w:type="dxa"/>
              <w:left w:w="5" w:type="dxa"/>
              <w:bottom w:w="5" w:type="dxa"/>
              <w:right w:w="5" w:type="dxa"/>
            </w:tcMar>
            <w:vAlign w:val="bottom"/>
            <w:hideMark/>
          </w:tcPr>
          <w:p w14:paraId="241970E9" w14:textId="77777777" w:rsidR="00954279" w:rsidRDefault="00A66714">
            <w:pPr>
              <w:ind w:left="360"/>
              <w:rPr>
                <w:color w:val="000000"/>
                <w:sz w:val="20"/>
                <w:szCs w:val="20"/>
              </w:rPr>
            </w:pPr>
            <w:r>
              <w:rPr>
                <w:color w:val="000000"/>
                <w:sz w:val="20"/>
                <w:szCs w:val="20"/>
              </w:rPr>
              <w:t>Goodwill and intangible asset impairment</w:t>
            </w:r>
          </w:p>
        </w:tc>
        <w:tc>
          <w:tcPr>
            <w:tcW w:w="50" w:type="pct"/>
            <w:tcMar>
              <w:top w:w="5" w:type="dxa"/>
              <w:left w:w="5" w:type="dxa"/>
              <w:bottom w:w="5" w:type="dxa"/>
              <w:right w:w="5" w:type="dxa"/>
            </w:tcMar>
            <w:vAlign w:val="bottom"/>
            <w:hideMark/>
          </w:tcPr>
          <w:p w14:paraId="7F0D5BE7"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E8BB523"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0B0E240" w14:textId="77777777" w:rsidR="00954279" w:rsidRDefault="00A66714">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6CE45F41"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0272EB0"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A36C2F8"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1E2844E" w14:textId="77777777" w:rsidR="00954279" w:rsidRDefault="00A66714">
            <w:pPr>
              <w:jc w:val="right"/>
              <w:rPr>
                <w:color w:val="000000"/>
                <w:sz w:val="20"/>
                <w:szCs w:val="20"/>
              </w:rPr>
            </w:pPr>
            <w:r>
              <w:rPr>
                <w:color w:val="000000"/>
                <w:sz w:val="20"/>
                <w:szCs w:val="20"/>
              </w:rPr>
              <w:t>242</w:t>
            </w:r>
          </w:p>
        </w:tc>
        <w:tc>
          <w:tcPr>
            <w:tcW w:w="50" w:type="pct"/>
            <w:noWrap/>
            <w:tcMar>
              <w:top w:w="5" w:type="dxa"/>
              <w:left w:w="5" w:type="dxa"/>
              <w:bottom w:w="5" w:type="dxa"/>
              <w:right w:w="5" w:type="dxa"/>
            </w:tcMar>
            <w:vAlign w:val="bottom"/>
            <w:hideMark/>
          </w:tcPr>
          <w:p w14:paraId="59FA6081" w14:textId="77777777" w:rsidR="00954279" w:rsidRDefault="00A66714">
            <w:pPr>
              <w:rPr>
                <w:color w:val="000000"/>
                <w:sz w:val="20"/>
                <w:szCs w:val="20"/>
              </w:rPr>
            </w:pPr>
            <w:r>
              <w:rPr>
                <w:color w:val="000000"/>
                <w:sz w:val="20"/>
                <w:szCs w:val="20"/>
              </w:rPr>
              <w:t> </w:t>
            </w:r>
          </w:p>
        </w:tc>
      </w:tr>
      <w:tr w:rsidR="00954279" w14:paraId="0B13B32B" w14:textId="77777777">
        <w:tc>
          <w:tcPr>
            <w:tcW w:w="0" w:type="auto"/>
            <w:tcMar>
              <w:top w:w="5" w:type="dxa"/>
              <w:left w:w="5" w:type="dxa"/>
              <w:bottom w:w="5" w:type="dxa"/>
              <w:right w:w="5" w:type="dxa"/>
            </w:tcMar>
            <w:vAlign w:val="bottom"/>
            <w:hideMark/>
          </w:tcPr>
          <w:p w14:paraId="5A500A81" w14:textId="77777777" w:rsidR="00954279" w:rsidRDefault="00A66714">
            <w:pPr>
              <w:ind w:left="360"/>
              <w:rPr>
                <w:color w:val="000000"/>
                <w:sz w:val="20"/>
                <w:szCs w:val="20"/>
              </w:rPr>
            </w:pPr>
            <w:r>
              <w:rPr>
                <w:color w:val="000000"/>
                <w:sz w:val="20"/>
                <w:szCs w:val="20"/>
              </w:rPr>
              <w:t>Lease impairment and abandonment</w:t>
            </w:r>
          </w:p>
        </w:tc>
        <w:tc>
          <w:tcPr>
            <w:tcW w:w="50" w:type="pct"/>
            <w:tcMar>
              <w:top w:w="5" w:type="dxa"/>
              <w:left w:w="5" w:type="dxa"/>
              <w:bottom w:w="5" w:type="dxa"/>
              <w:right w:w="5" w:type="dxa"/>
            </w:tcMar>
            <w:vAlign w:val="bottom"/>
            <w:hideMark/>
          </w:tcPr>
          <w:p w14:paraId="4BAFCA42"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1EF2630"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E98BB9B" w14:textId="77777777" w:rsidR="00954279" w:rsidRDefault="00A66714">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0461FDAF"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E4DC3E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861E1B1"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E1C1C8A" w14:textId="77777777" w:rsidR="00954279" w:rsidRDefault="00A66714">
            <w:pPr>
              <w:jc w:val="right"/>
              <w:rPr>
                <w:color w:val="000000"/>
                <w:sz w:val="20"/>
                <w:szCs w:val="20"/>
              </w:rPr>
            </w:pPr>
            <w:r>
              <w:rPr>
                <w:color w:val="000000"/>
                <w:sz w:val="20"/>
                <w:szCs w:val="20"/>
              </w:rPr>
              <w:t>15</w:t>
            </w:r>
          </w:p>
        </w:tc>
        <w:tc>
          <w:tcPr>
            <w:tcW w:w="50" w:type="pct"/>
            <w:noWrap/>
            <w:tcMar>
              <w:top w:w="5" w:type="dxa"/>
              <w:left w:w="5" w:type="dxa"/>
              <w:bottom w:w="5" w:type="dxa"/>
              <w:right w:w="5" w:type="dxa"/>
            </w:tcMar>
            <w:vAlign w:val="bottom"/>
            <w:hideMark/>
          </w:tcPr>
          <w:p w14:paraId="477FC0C9" w14:textId="77777777" w:rsidR="00954279" w:rsidRDefault="00A66714">
            <w:pPr>
              <w:rPr>
                <w:color w:val="000000"/>
                <w:sz w:val="20"/>
                <w:szCs w:val="20"/>
              </w:rPr>
            </w:pPr>
            <w:r>
              <w:rPr>
                <w:color w:val="000000"/>
                <w:sz w:val="20"/>
                <w:szCs w:val="20"/>
              </w:rPr>
              <w:t> </w:t>
            </w:r>
          </w:p>
        </w:tc>
      </w:tr>
      <w:tr w:rsidR="00954279" w14:paraId="0394849C" w14:textId="77777777">
        <w:tc>
          <w:tcPr>
            <w:tcW w:w="0" w:type="auto"/>
            <w:tcMar>
              <w:top w:w="5" w:type="dxa"/>
              <w:left w:w="5" w:type="dxa"/>
              <w:bottom w:w="5" w:type="dxa"/>
              <w:right w:w="5" w:type="dxa"/>
            </w:tcMar>
            <w:vAlign w:val="bottom"/>
            <w:hideMark/>
          </w:tcPr>
          <w:p w14:paraId="0DCD2B6D" w14:textId="77777777" w:rsidR="00954279" w:rsidRDefault="00A66714">
            <w:pPr>
              <w:ind w:left="360"/>
              <w:rPr>
                <w:color w:val="000000"/>
                <w:sz w:val="20"/>
                <w:szCs w:val="20"/>
              </w:rPr>
            </w:pPr>
            <w:r>
              <w:rPr>
                <w:color w:val="000000"/>
                <w:sz w:val="20"/>
                <w:szCs w:val="20"/>
              </w:rPr>
              <w:t>Inventory-related charges</w:t>
            </w:r>
          </w:p>
        </w:tc>
        <w:tc>
          <w:tcPr>
            <w:tcW w:w="50" w:type="pct"/>
            <w:tcMar>
              <w:top w:w="5" w:type="dxa"/>
              <w:left w:w="5" w:type="dxa"/>
              <w:bottom w:w="5" w:type="dxa"/>
              <w:right w:w="5" w:type="dxa"/>
            </w:tcMar>
            <w:vAlign w:val="bottom"/>
            <w:hideMark/>
          </w:tcPr>
          <w:p w14:paraId="1307ADE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8A7E87D"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C8ECE43" w14:textId="77777777" w:rsidR="00954279" w:rsidRDefault="00A66714">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1D8BCBCA"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715C9FE"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9F2E54C"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6536E26" w14:textId="77777777" w:rsidR="00954279" w:rsidRDefault="00A66714">
            <w:pPr>
              <w:jc w:val="right"/>
              <w:rPr>
                <w:color w:val="000000"/>
                <w:sz w:val="20"/>
                <w:szCs w:val="20"/>
              </w:rPr>
            </w:pPr>
            <w:r>
              <w:rPr>
                <w:color w:val="000000"/>
                <w:sz w:val="20"/>
                <w:szCs w:val="20"/>
              </w:rPr>
              <w:t>34</w:t>
            </w:r>
          </w:p>
        </w:tc>
        <w:tc>
          <w:tcPr>
            <w:tcW w:w="50" w:type="pct"/>
            <w:noWrap/>
            <w:tcMar>
              <w:top w:w="5" w:type="dxa"/>
              <w:left w:w="5" w:type="dxa"/>
              <w:bottom w:w="5" w:type="dxa"/>
              <w:right w:w="5" w:type="dxa"/>
            </w:tcMar>
            <w:vAlign w:val="bottom"/>
            <w:hideMark/>
          </w:tcPr>
          <w:p w14:paraId="39B583F8" w14:textId="77777777" w:rsidR="00954279" w:rsidRDefault="00A66714">
            <w:pPr>
              <w:rPr>
                <w:color w:val="000000"/>
                <w:sz w:val="20"/>
                <w:szCs w:val="20"/>
              </w:rPr>
            </w:pPr>
            <w:r>
              <w:rPr>
                <w:color w:val="000000"/>
                <w:sz w:val="20"/>
                <w:szCs w:val="20"/>
              </w:rPr>
              <w:t> </w:t>
            </w:r>
          </w:p>
        </w:tc>
      </w:tr>
      <w:tr w:rsidR="00954279" w14:paraId="52202ED9" w14:textId="77777777">
        <w:tc>
          <w:tcPr>
            <w:tcW w:w="0" w:type="auto"/>
            <w:tcMar>
              <w:top w:w="5" w:type="dxa"/>
              <w:left w:w="5" w:type="dxa"/>
              <w:bottom w:w="5" w:type="dxa"/>
              <w:right w:w="5" w:type="dxa"/>
            </w:tcMar>
            <w:vAlign w:val="bottom"/>
            <w:hideMark/>
          </w:tcPr>
          <w:p w14:paraId="73AFFB08" w14:textId="77777777" w:rsidR="00954279" w:rsidRDefault="00A66714">
            <w:pPr>
              <w:ind w:left="360"/>
              <w:rPr>
                <w:color w:val="000000"/>
                <w:sz w:val="20"/>
                <w:szCs w:val="20"/>
              </w:rPr>
            </w:pPr>
            <w:r>
              <w:rPr>
                <w:color w:val="000000"/>
                <w:sz w:val="20"/>
                <w:szCs w:val="20"/>
              </w:rPr>
              <w:t>Provision for credit losses</w:t>
            </w:r>
          </w:p>
        </w:tc>
        <w:tc>
          <w:tcPr>
            <w:tcW w:w="50" w:type="pct"/>
            <w:tcMar>
              <w:top w:w="5" w:type="dxa"/>
              <w:left w:w="5" w:type="dxa"/>
              <w:bottom w:w="5" w:type="dxa"/>
              <w:right w:w="5" w:type="dxa"/>
            </w:tcMar>
            <w:vAlign w:val="bottom"/>
            <w:hideMark/>
          </w:tcPr>
          <w:p w14:paraId="413E621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1469DEC"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D2520BA" w14:textId="77777777" w:rsidR="00954279" w:rsidRDefault="00A66714">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74657009"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287FBC2"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5D2304B"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B939FF6" w14:textId="77777777" w:rsidR="00954279" w:rsidRDefault="00A66714">
            <w:pPr>
              <w:jc w:val="right"/>
              <w:rPr>
                <w:color w:val="000000"/>
                <w:sz w:val="20"/>
                <w:szCs w:val="20"/>
              </w:rPr>
            </w:pPr>
            <w:r>
              <w:rPr>
                <w:color w:val="000000"/>
                <w:sz w:val="20"/>
                <w:szCs w:val="20"/>
              </w:rPr>
              <w:t>5</w:t>
            </w:r>
          </w:p>
        </w:tc>
        <w:tc>
          <w:tcPr>
            <w:tcW w:w="50" w:type="pct"/>
            <w:noWrap/>
            <w:tcMar>
              <w:top w:w="5" w:type="dxa"/>
              <w:left w:w="5" w:type="dxa"/>
              <w:bottom w:w="5" w:type="dxa"/>
              <w:right w:w="5" w:type="dxa"/>
            </w:tcMar>
            <w:vAlign w:val="bottom"/>
            <w:hideMark/>
          </w:tcPr>
          <w:p w14:paraId="796C7DBA" w14:textId="77777777" w:rsidR="00954279" w:rsidRDefault="00A66714">
            <w:pPr>
              <w:rPr>
                <w:color w:val="000000"/>
                <w:sz w:val="20"/>
                <w:szCs w:val="20"/>
              </w:rPr>
            </w:pPr>
            <w:r>
              <w:rPr>
                <w:color w:val="000000"/>
                <w:sz w:val="20"/>
                <w:szCs w:val="20"/>
              </w:rPr>
              <w:t> </w:t>
            </w:r>
          </w:p>
        </w:tc>
      </w:tr>
      <w:tr w:rsidR="00954279" w14:paraId="07410071" w14:textId="77777777">
        <w:tc>
          <w:tcPr>
            <w:tcW w:w="0" w:type="auto"/>
            <w:tcMar>
              <w:top w:w="5" w:type="dxa"/>
              <w:left w:w="5" w:type="dxa"/>
              <w:bottom w:w="5" w:type="dxa"/>
              <w:right w:w="5" w:type="dxa"/>
            </w:tcMar>
            <w:vAlign w:val="bottom"/>
            <w:hideMark/>
          </w:tcPr>
          <w:p w14:paraId="37B2126D" w14:textId="77777777" w:rsidR="00954279" w:rsidRDefault="00A66714">
            <w:pPr>
              <w:ind w:firstLine="360"/>
              <w:rPr>
                <w:color w:val="000000"/>
                <w:sz w:val="20"/>
                <w:szCs w:val="20"/>
              </w:rPr>
            </w:pPr>
            <w:r>
              <w:rPr>
                <w:color w:val="000000"/>
                <w:sz w:val="20"/>
                <w:szCs w:val="20"/>
              </w:rPr>
              <w:t>Other</w:t>
            </w:r>
          </w:p>
        </w:tc>
        <w:tc>
          <w:tcPr>
            <w:tcW w:w="50" w:type="pct"/>
            <w:tcMar>
              <w:top w:w="5" w:type="dxa"/>
              <w:left w:w="5" w:type="dxa"/>
              <w:bottom w:w="5" w:type="dxa"/>
              <w:right w:w="5" w:type="dxa"/>
            </w:tcMar>
            <w:vAlign w:val="bottom"/>
            <w:hideMark/>
          </w:tcPr>
          <w:p w14:paraId="4579A009"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5FD5B33"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3A09CE0" w14:textId="77777777" w:rsidR="00954279" w:rsidRDefault="00A66714">
            <w:pPr>
              <w:jc w:val="right"/>
              <w:rPr>
                <w:color w:val="000000"/>
                <w:sz w:val="20"/>
                <w:szCs w:val="20"/>
              </w:rPr>
            </w:pPr>
            <w:r>
              <w:rPr>
                <w:b/>
                <w:bCs/>
                <w:color w:val="000000"/>
                <w:sz w:val="20"/>
                <w:szCs w:val="20"/>
              </w:rPr>
              <w:t>3</w:t>
            </w:r>
          </w:p>
        </w:tc>
        <w:tc>
          <w:tcPr>
            <w:tcW w:w="50" w:type="pct"/>
            <w:noWrap/>
            <w:tcMar>
              <w:top w:w="5" w:type="dxa"/>
              <w:left w:w="5" w:type="dxa"/>
              <w:bottom w:w="5" w:type="dxa"/>
              <w:right w:w="5" w:type="dxa"/>
            </w:tcMar>
            <w:vAlign w:val="bottom"/>
            <w:hideMark/>
          </w:tcPr>
          <w:p w14:paraId="03AF260E"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153910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DF04869"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616AFE5" w14:textId="77777777" w:rsidR="00954279" w:rsidRDefault="00A66714">
            <w:pPr>
              <w:jc w:val="right"/>
              <w:rPr>
                <w:color w:val="000000"/>
                <w:sz w:val="20"/>
                <w:szCs w:val="20"/>
              </w:rPr>
            </w:pPr>
            <w:r>
              <w:rPr>
                <w:color w:val="000000"/>
                <w:sz w:val="20"/>
                <w:szCs w:val="20"/>
              </w:rPr>
              <w:t>1</w:t>
            </w:r>
          </w:p>
        </w:tc>
        <w:tc>
          <w:tcPr>
            <w:tcW w:w="50" w:type="pct"/>
            <w:noWrap/>
            <w:tcMar>
              <w:top w:w="5" w:type="dxa"/>
              <w:left w:w="5" w:type="dxa"/>
              <w:bottom w:w="5" w:type="dxa"/>
              <w:right w:w="5" w:type="dxa"/>
            </w:tcMar>
            <w:vAlign w:val="bottom"/>
            <w:hideMark/>
          </w:tcPr>
          <w:p w14:paraId="5F66D688" w14:textId="77777777" w:rsidR="00954279" w:rsidRDefault="00A66714">
            <w:pPr>
              <w:rPr>
                <w:color w:val="000000"/>
                <w:sz w:val="20"/>
                <w:szCs w:val="20"/>
              </w:rPr>
            </w:pPr>
            <w:r>
              <w:rPr>
                <w:color w:val="000000"/>
                <w:sz w:val="20"/>
                <w:szCs w:val="20"/>
              </w:rPr>
              <w:t> </w:t>
            </w:r>
          </w:p>
        </w:tc>
      </w:tr>
      <w:tr w:rsidR="00954279" w14:paraId="3C89B344" w14:textId="77777777">
        <w:tc>
          <w:tcPr>
            <w:tcW w:w="0" w:type="auto"/>
            <w:tcMar>
              <w:top w:w="5" w:type="dxa"/>
              <w:left w:w="5" w:type="dxa"/>
              <w:bottom w:w="5" w:type="dxa"/>
              <w:right w:w="5" w:type="dxa"/>
            </w:tcMar>
            <w:vAlign w:val="bottom"/>
            <w:hideMark/>
          </w:tcPr>
          <w:p w14:paraId="63BAAB24" w14:textId="77777777" w:rsidR="00954279" w:rsidRDefault="00A66714">
            <w:pPr>
              <w:ind w:left="360"/>
              <w:rPr>
                <w:color w:val="000000"/>
                <w:sz w:val="20"/>
                <w:szCs w:val="20"/>
              </w:rPr>
            </w:pPr>
            <w:r>
              <w:rPr>
                <w:color w:val="000000"/>
                <w:sz w:val="20"/>
                <w:szCs w:val="20"/>
              </w:rPr>
              <w:t>Changes in operating assets and liabilities:</w:t>
            </w:r>
          </w:p>
        </w:tc>
        <w:tc>
          <w:tcPr>
            <w:tcW w:w="0" w:type="auto"/>
            <w:tcMar>
              <w:top w:w="5" w:type="dxa"/>
              <w:left w:w="5" w:type="dxa"/>
              <w:bottom w:w="5" w:type="dxa"/>
              <w:right w:w="5" w:type="dxa"/>
            </w:tcMar>
            <w:vAlign w:val="bottom"/>
            <w:hideMark/>
          </w:tcPr>
          <w:p w14:paraId="0B4477D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CB6654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C58E78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9B80F5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5319E3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B8FE93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AF1D9A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B371E13" w14:textId="77777777" w:rsidR="00954279" w:rsidRDefault="00A66714">
            <w:pPr>
              <w:rPr>
                <w:color w:val="000000"/>
                <w:sz w:val="20"/>
                <w:szCs w:val="20"/>
              </w:rPr>
            </w:pPr>
            <w:r>
              <w:rPr>
                <w:color w:val="000000"/>
                <w:sz w:val="20"/>
                <w:szCs w:val="20"/>
              </w:rPr>
              <w:t> </w:t>
            </w:r>
          </w:p>
        </w:tc>
      </w:tr>
      <w:tr w:rsidR="00954279" w14:paraId="28BC2B6B" w14:textId="77777777">
        <w:tc>
          <w:tcPr>
            <w:tcW w:w="0" w:type="auto"/>
            <w:tcMar>
              <w:top w:w="5" w:type="dxa"/>
              <w:left w:w="5" w:type="dxa"/>
              <w:bottom w:w="5" w:type="dxa"/>
              <w:right w:w="5" w:type="dxa"/>
            </w:tcMar>
            <w:vAlign w:val="bottom"/>
            <w:hideMark/>
          </w:tcPr>
          <w:p w14:paraId="09AF14FE" w14:textId="77777777" w:rsidR="00954279" w:rsidRDefault="00A66714">
            <w:pPr>
              <w:ind w:left="540"/>
              <w:rPr>
                <w:color w:val="000000"/>
                <w:sz w:val="20"/>
                <w:szCs w:val="20"/>
              </w:rPr>
            </w:pPr>
            <w:r>
              <w:rPr>
                <w:color w:val="000000"/>
                <w:sz w:val="20"/>
                <w:szCs w:val="20"/>
              </w:rPr>
              <w:t>Accounts receivable</w:t>
            </w:r>
          </w:p>
        </w:tc>
        <w:tc>
          <w:tcPr>
            <w:tcW w:w="50" w:type="pct"/>
            <w:tcMar>
              <w:top w:w="5" w:type="dxa"/>
              <w:left w:w="5" w:type="dxa"/>
              <w:bottom w:w="5" w:type="dxa"/>
              <w:right w:w="5" w:type="dxa"/>
            </w:tcMar>
            <w:vAlign w:val="bottom"/>
            <w:hideMark/>
          </w:tcPr>
          <w:p w14:paraId="1CC50D39"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E98F8FB"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D9494A4" w14:textId="77777777" w:rsidR="00954279" w:rsidRDefault="00A66714">
            <w:pPr>
              <w:jc w:val="right"/>
              <w:rPr>
                <w:color w:val="000000"/>
                <w:sz w:val="20"/>
                <w:szCs w:val="20"/>
              </w:rPr>
            </w:pPr>
            <w:r>
              <w:rPr>
                <w:b/>
                <w:bCs/>
                <w:color w:val="000000"/>
                <w:sz w:val="20"/>
                <w:szCs w:val="20"/>
              </w:rPr>
              <w:t>(62</w:t>
            </w:r>
          </w:p>
        </w:tc>
        <w:tc>
          <w:tcPr>
            <w:tcW w:w="50" w:type="pct"/>
            <w:noWrap/>
            <w:tcMar>
              <w:top w:w="5" w:type="dxa"/>
              <w:left w:w="5" w:type="dxa"/>
              <w:bottom w:w="5" w:type="dxa"/>
              <w:right w:w="5" w:type="dxa"/>
            </w:tcMar>
            <w:vAlign w:val="bottom"/>
            <w:hideMark/>
          </w:tcPr>
          <w:p w14:paraId="28174127" w14:textId="77777777" w:rsidR="00954279" w:rsidRDefault="00A66714">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1F2B4C63"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B1E35EC"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1079546" w14:textId="77777777" w:rsidR="00954279" w:rsidRDefault="00A66714">
            <w:pPr>
              <w:jc w:val="right"/>
              <w:rPr>
                <w:color w:val="000000"/>
                <w:sz w:val="20"/>
                <w:szCs w:val="20"/>
              </w:rPr>
            </w:pPr>
            <w:r>
              <w:rPr>
                <w:color w:val="000000"/>
                <w:sz w:val="20"/>
                <w:szCs w:val="20"/>
              </w:rPr>
              <w:t>69</w:t>
            </w:r>
          </w:p>
        </w:tc>
        <w:tc>
          <w:tcPr>
            <w:tcW w:w="50" w:type="pct"/>
            <w:noWrap/>
            <w:tcMar>
              <w:top w:w="5" w:type="dxa"/>
              <w:left w:w="5" w:type="dxa"/>
              <w:bottom w:w="5" w:type="dxa"/>
              <w:right w:w="5" w:type="dxa"/>
            </w:tcMar>
            <w:vAlign w:val="bottom"/>
            <w:hideMark/>
          </w:tcPr>
          <w:p w14:paraId="0AF65F8C" w14:textId="77777777" w:rsidR="00954279" w:rsidRDefault="00A66714">
            <w:pPr>
              <w:rPr>
                <w:color w:val="000000"/>
                <w:sz w:val="20"/>
                <w:szCs w:val="20"/>
              </w:rPr>
            </w:pPr>
            <w:r>
              <w:rPr>
                <w:color w:val="000000"/>
                <w:sz w:val="20"/>
                <w:szCs w:val="20"/>
              </w:rPr>
              <w:t> </w:t>
            </w:r>
          </w:p>
        </w:tc>
      </w:tr>
      <w:tr w:rsidR="00954279" w14:paraId="678088FE" w14:textId="77777777">
        <w:tc>
          <w:tcPr>
            <w:tcW w:w="0" w:type="auto"/>
            <w:tcMar>
              <w:top w:w="5" w:type="dxa"/>
              <w:left w:w="5" w:type="dxa"/>
              <w:bottom w:w="5" w:type="dxa"/>
              <w:right w:w="5" w:type="dxa"/>
            </w:tcMar>
            <w:vAlign w:val="bottom"/>
            <w:hideMark/>
          </w:tcPr>
          <w:p w14:paraId="55DA6C21" w14:textId="77777777" w:rsidR="00954279" w:rsidRDefault="00A66714">
            <w:pPr>
              <w:ind w:left="540"/>
              <w:rPr>
                <w:color w:val="000000"/>
                <w:sz w:val="20"/>
                <w:szCs w:val="20"/>
              </w:rPr>
            </w:pPr>
            <w:r>
              <w:rPr>
                <w:color w:val="000000"/>
                <w:sz w:val="20"/>
                <w:szCs w:val="20"/>
              </w:rPr>
              <w:t>Inventories</w:t>
            </w:r>
          </w:p>
        </w:tc>
        <w:tc>
          <w:tcPr>
            <w:tcW w:w="50" w:type="pct"/>
            <w:tcMar>
              <w:top w:w="5" w:type="dxa"/>
              <w:left w:w="5" w:type="dxa"/>
              <w:bottom w:w="5" w:type="dxa"/>
              <w:right w:w="5" w:type="dxa"/>
            </w:tcMar>
            <w:vAlign w:val="bottom"/>
            <w:hideMark/>
          </w:tcPr>
          <w:p w14:paraId="37731A09"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5BAA243"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3EFB9C1" w14:textId="77777777" w:rsidR="00954279" w:rsidRDefault="00A66714">
            <w:pPr>
              <w:jc w:val="right"/>
              <w:rPr>
                <w:color w:val="000000"/>
                <w:sz w:val="20"/>
                <w:szCs w:val="20"/>
              </w:rPr>
            </w:pPr>
            <w:r>
              <w:rPr>
                <w:b/>
                <w:bCs/>
                <w:color w:val="000000"/>
                <w:sz w:val="20"/>
                <w:szCs w:val="20"/>
              </w:rPr>
              <w:t>8</w:t>
            </w:r>
          </w:p>
        </w:tc>
        <w:tc>
          <w:tcPr>
            <w:tcW w:w="50" w:type="pct"/>
            <w:noWrap/>
            <w:tcMar>
              <w:top w:w="5" w:type="dxa"/>
              <w:left w:w="5" w:type="dxa"/>
              <w:bottom w:w="5" w:type="dxa"/>
              <w:right w:w="5" w:type="dxa"/>
            </w:tcMar>
            <w:vAlign w:val="bottom"/>
            <w:hideMark/>
          </w:tcPr>
          <w:p w14:paraId="4EB62403"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C906D8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BC64669"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087DB5F" w14:textId="77777777" w:rsidR="00954279" w:rsidRDefault="00A66714">
            <w:pPr>
              <w:jc w:val="right"/>
              <w:rPr>
                <w:color w:val="000000"/>
                <w:sz w:val="20"/>
                <w:szCs w:val="20"/>
              </w:rPr>
            </w:pPr>
            <w:r>
              <w:rPr>
                <w:color w:val="000000"/>
                <w:sz w:val="20"/>
                <w:szCs w:val="20"/>
              </w:rPr>
              <w:t>41</w:t>
            </w:r>
          </w:p>
        </w:tc>
        <w:tc>
          <w:tcPr>
            <w:tcW w:w="50" w:type="pct"/>
            <w:noWrap/>
            <w:tcMar>
              <w:top w:w="5" w:type="dxa"/>
              <w:left w:w="5" w:type="dxa"/>
              <w:bottom w:w="5" w:type="dxa"/>
              <w:right w:w="5" w:type="dxa"/>
            </w:tcMar>
            <w:vAlign w:val="bottom"/>
            <w:hideMark/>
          </w:tcPr>
          <w:p w14:paraId="06F7B251" w14:textId="77777777" w:rsidR="00954279" w:rsidRDefault="00A66714">
            <w:pPr>
              <w:rPr>
                <w:color w:val="000000"/>
                <w:sz w:val="20"/>
                <w:szCs w:val="20"/>
              </w:rPr>
            </w:pPr>
            <w:r>
              <w:rPr>
                <w:color w:val="000000"/>
                <w:sz w:val="20"/>
                <w:szCs w:val="20"/>
              </w:rPr>
              <w:t> </w:t>
            </w:r>
          </w:p>
        </w:tc>
      </w:tr>
      <w:tr w:rsidR="00954279" w14:paraId="7E84FB3F" w14:textId="77777777">
        <w:tc>
          <w:tcPr>
            <w:tcW w:w="0" w:type="auto"/>
            <w:tcMar>
              <w:top w:w="5" w:type="dxa"/>
              <w:left w:w="5" w:type="dxa"/>
              <w:bottom w:w="5" w:type="dxa"/>
              <w:right w:w="5" w:type="dxa"/>
            </w:tcMar>
            <w:vAlign w:val="bottom"/>
            <w:hideMark/>
          </w:tcPr>
          <w:p w14:paraId="4914619F" w14:textId="77777777" w:rsidR="00954279" w:rsidRDefault="00A66714">
            <w:pPr>
              <w:ind w:left="540"/>
              <w:rPr>
                <w:color w:val="000000"/>
                <w:sz w:val="20"/>
                <w:szCs w:val="20"/>
              </w:rPr>
            </w:pPr>
            <w:r>
              <w:rPr>
                <w:color w:val="000000"/>
                <w:sz w:val="20"/>
                <w:szCs w:val="20"/>
              </w:rPr>
              <w:t>Other current assets</w:t>
            </w:r>
          </w:p>
        </w:tc>
        <w:tc>
          <w:tcPr>
            <w:tcW w:w="50" w:type="pct"/>
            <w:tcMar>
              <w:top w:w="5" w:type="dxa"/>
              <w:left w:w="5" w:type="dxa"/>
              <w:bottom w:w="5" w:type="dxa"/>
              <w:right w:w="5" w:type="dxa"/>
            </w:tcMar>
            <w:vAlign w:val="bottom"/>
            <w:hideMark/>
          </w:tcPr>
          <w:p w14:paraId="2DF1F970"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6FB0E03"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8555823" w14:textId="77777777" w:rsidR="00954279" w:rsidRDefault="00A66714">
            <w:pPr>
              <w:jc w:val="right"/>
              <w:rPr>
                <w:color w:val="000000"/>
                <w:sz w:val="20"/>
                <w:szCs w:val="20"/>
              </w:rPr>
            </w:pPr>
            <w:r>
              <w:rPr>
                <w:b/>
                <w:bCs/>
                <w:color w:val="000000"/>
                <w:sz w:val="20"/>
                <w:szCs w:val="20"/>
              </w:rPr>
              <w:t>(16</w:t>
            </w:r>
          </w:p>
        </w:tc>
        <w:tc>
          <w:tcPr>
            <w:tcW w:w="50" w:type="pct"/>
            <w:noWrap/>
            <w:tcMar>
              <w:top w:w="5" w:type="dxa"/>
              <w:left w:w="5" w:type="dxa"/>
              <w:bottom w:w="5" w:type="dxa"/>
              <w:right w:w="5" w:type="dxa"/>
            </w:tcMar>
            <w:vAlign w:val="bottom"/>
            <w:hideMark/>
          </w:tcPr>
          <w:p w14:paraId="5D2328C1" w14:textId="77777777" w:rsidR="00954279" w:rsidRDefault="00A66714">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28DF5F7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C5EFD0D"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31EAFDF" w14:textId="77777777" w:rsidR="00954279" w:rsidRDefault="00A66714">
            <w:pPr>
              <w:jc w:val="right"/>
              <w:rPr>
                <w:color w:val="000000"/>
                <w:sz w:val="20"/>
                <w:szCs w:val="20"/>
              </w:rPr>
            </w:pPr>
            <w:r>
              <w:rPr>
                <w:color w:val="000000"/>
                <w:sz w:val="20"/>
                <w:szCs w:val="20"/>
              </w:rPr>
              <w:t>(10</w:t>
            </w:r>
          </w:p>
        </w:tc>
        <w:tc>
          <w:tcPr>
            <w:tcW w:w="50" w:type="pct"/>
            <w:noWrap/>
            <w:tcMar>
              <w:top w:w="5" w:type="dxa"/>
              <w:left w:w="5" w:type="dxa"/>
              <w:bottom w:w="5" w:type="dxa"/>
              <w:right w:w="5" w:type="dxa"/>
            </w:tcMar>
            <w:vAlign w:val="bottom"/>
            <w:hideMark/>
          </w:tcPr>
          <w:p w14:paraId="4B4DB0D0" w14:textId="77777777" w:rsidR="00954279" w:rsidRDefault="00A66714">
            <w:pPr>
              <w:rPr>
                <w:color w:val="000000"/>
                <w:sz w:val="20"/>
                <w:szCs w:val="20"/>
              </w:rPr>
            </w:pPr>
            <w:r>
              <w:rPr>
                <w:color w:val="000000"/>
                <w:sz w:val="20"/>
                <w:szCs w:val="20"/>
              </w:rPr>
              <w:t>)</w:t>
            </w:r>
          </w:p>
        </w:tc>
      </w:tr>
      <w:tr w:rsidR="00954279" w14:paraId="3369C518" w14:textId="77777777">
        <w:tc>
          <w:tcPr>
            <w:tcW w:w="0" w:type="auto"/>
            <w:tcMar>
              <w:top w:w="5" w:type="dxa"/>
              <w:left w:w="5" w:type="dxa"/>
              <w:bottom w:w="5" w:type="dxa"/>
              <w:right w:w="5" w:type="dxa"/>
            </w:tcMar>
            <w:vAlign w:val="bottom"/>
            <w:hideMark/>
          </w:tcPr>
          <w:p w14:paraId="4EA78F01" w14:textId="77777777" w:rsidR="00954279" w:rsidRDefault="00A66714">
            <w:pPr>
              <w:ind w:left="540"/>
              <w:rPr>
                <w:color w:val="000000"/>
                <w:sz w:val="20"/>
                <w:szCs w:val="20"/>
              </w:rPr>
            </w:pPr>
            <w:r>
              <w:rPr>
                <w:color w:val="000000"/>
                <w:sz w:val="20"/>
                <w:szCs w:val="20"/>
              </w:rPr>
              <w:t>Accounts payable</w:t>
            </w:r>
          </w:p>
        </w:tc>
        <w:tc>
          <w:tcPr>
            <w:tcW w:w="50" w:type="pct"/>
            <w:tcMar>
              <w:top w:w="5" w:type="dxa"/>
              <w:left w:w="5" w:type="dxa"/>
              <w:bottom w:w="5" w:type="dxa"/>
              <w:right w:w="5" w:type="dxa"/>
            </w:tcMar>
            <w:vAlign w:val="bottom"/>
            <w:hideMark/>
          </w:tcPr>
          <w:p w14:paraId="0D260198"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617CABC"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9C94FB5" w14:textId="77777777" w:rsidR="00954279" w:rsidRDefault="00A66714">
            <w:pPr>
              <w:jc w:val="right"/>
              <w:rPr>
                <w:color w:val="000000"/>
                <w:sz w:val="20"/>
                <w:szCs w:val="20"/>
              </w:rPr>
            </w:pPr>
            <w:r>
              <w:rPr>
                <w:b/>
                <w:bCs/>
                <w:color w:val="000000"/>
                <w:sz w:val="20"/>
                <w:szCs w:val="20"/>
              </w:rPr>
              <w:t>86</w:t>
            </w:r>
          </w:p>
        </w:tc>
        <w:tc>
          <w:tcPr>
            <w:tcW w:w="50" w:type="pct"/>
            <w:noWrap/>
            <w:tcMar>
              <w:top w:w="5" w:type="dxa"/>
              <w:left w:w="5" w:type="dxa"/>
              <w:bottom w:w="5" w:type="dxa"/>
              <w:right w:w="5" w:type="dxa"/>
            </w:tcMar>
            <w:vAlign w:val="bottom"/>
            <w:hideMark/>
          </w:tcPr>
          <w:p w14:paraId="1B03C28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A4B4EFF"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6227A2F"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3B62621" w14:textId="77777777" w:rsidR="00954279" w:rsidRDefault="00A66714">
            <w:pPr>
              <w:jc w:val="right"/>
              <w:rPr>
                <w:color w:val="000000"/>
                <w:sz w:val="20"/>
                <w:szCs w:val="20"/>
              </w:rPr>
            </w:pPr>
            <w:r>
              <w:rPr>
                <w:color w:val="000000"/>
                <w:sz w:val="20"/>
                <w:szCs w:val="20"/>
              </w:rPr>
              <w:t>(51</w:t>
            </w:r>
          </w:p>
        </w:tc>
        <w:tc>
          <w:tcPr>
            <w:tcW w:w="50" w:type="pct"/>
            <w:noWrap/>
            <w:tcMar>
              <w:top w:w="5" w:type="dxa"/>
              <w:left w:w="5" w:type="dxa"/>
              <w:bottom w:w="5" w:type="dxa"/>
              <w:right w:w="5" w:type="dxa"/>
            </w:tcMar>
            <w:vAlign w:val="bottom"/>
            <w:hideMark/>
          </w:tcPr>
          <w:p w14:paraId="5DE19DA6" w14:textId="77777777" w:rsidR="00954279" w:rsidRDefault="00A66714">
            <w:pPr>
              <w:rPr>
                <w:color w:val="000000"/>
                <w:sz w:val="20"/>
                <w:szCs w:val="20"/>
              </w:rPr>
            </w:pPr>
            <w:r>
              <w:rPr>
                <w:color w:val="000000"/>
                <w:sz w:val="20"/>
                <w:szCs w:val="20"/>
              </w:rPr>
              <w:t>)</w:t>
            </w:r>
          </w:p>
        </w:tc>
      </w:tr>
      <w:tr w:rsidR="00954279" w14:paraId="7036F74E" w14:textId="77777777">
        <w:tc>
          <w:tcPr>
            <w:tcW w:w="0" w:type="auto"/>
            <w:tcMar>
              <w:top w:w="5" w:type="dxa"/>
              <w:left w:w="5" w:type="dxa"/>
              <w:bottom w:w="5" w:type="dxa"/>
              <w:right w:w="5" w:type="dxa"/>
            </w:tcMar>
            <w:vAlign w:val="bottom"/>
            <w:hideMark/>
          </w:tcPr>
          <w:p w14:paraId="7BBAF0BF" w14:textId="77777777" w:rsidR="00954279" w:rsidRDefault="00A66714">
            <w:pPr>
              <w:ind w:left="540"/>
              <w:rPr>
                <w:color w:val="000000"/>
                <w:sz w:val="20"/>
                <w:szCs w:val="20"/>
              </w:rPr>
            </w:pPr>
            <w:r>
              <w:rPr>
                <w:color w:val="000000"/>
                <w:sz w:val="20"/>
                <w:szCs w:val="20"/>
              </w:rPr>
              <w:t>Accrued expenses and other current liabilities</w:t>
            </w:r>
          </w:p>
        </w:tc>
        <w:tc>
          <w:tcPr>
            <w:tcW w:w="50" w:type="pct"/>
            <w:tcMar>
              <w:top w:w="5" w:type="dxa"/>
              <w:left w:w="5" w:type="dxa"/>
              <w:bottom w:w="20" w:type="dxa"/>
              <w:right w:w="5" w:type="dxa"/>
            </w:tcMar>
            <w:vAlign w:val="bottom"/>
            <w:hideMark/>
          </w:tcPr>
          <w:p w14:paraId="4DB2D715"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0F218AB" w14:textId="77777777" w:rsidR="00954279" w:rsidRDefault="00A66714">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2A9425F" w14:textId="77777777" w:rsidR="00954279" w:rsidRDefault="00A66714">
            <w:pPr>
              <w:jc w:val="right"/>
              <w:rPr>
                <w:color w:val="000000"/>
                <w:sz w:val="20"/>
                <w:szCs w:val="20"/>
              </w:rPr>
            </w:pPr>
            <w:r>
              <w:rPr>
                <w:b/>
                <w:bCs/>
                <w:color w:val="000000"/>
                <w:sz w:val="20"/>
                <w:szCs w:val="20"/>
              </w:rPr>
              <w:t>(16</w:t>
            </w:r>
          </w:p>
        </w:tc>
        <w:tc>
          <w:tcPr>
            <w:tcW w:w="50" w:type="pct"/>
            <w:noWrap/>
            <w:tcMar>
              <w:top w:w="5" w:type="dxa"/>
              <w:left w:w="5" w:type="dxa"/>
              <w:bottom w:w="20" w:type="dxa"/>
              <w:right w:w="5" w:type="dxa"/>
            </w:tcMar>
            <w:vAlign w:val="bottom"/>
            <w:hideMark/>
          </w:tcPr>
          <w:p w14:paraId="7263FFB7" w14:textId="77777777" w:rsidR="00954279" w:rsidRDefault="00A66714">
            <w:pPr>
              <w:rPr>
                <w:color w:val="000000"/>
                <w:sz w:val="20"/>
                <w:szCs w:val="20"/>
              </w:rPr>
            </w:pPr>
            <w:r>
              <w:rPr>
                <w:b/>
                <w:bCs/>
                <w:color w:val="000000"/>
                <w:sz w:val="20"/>
                <w:szCs w:val="20"/>
              </w:rPr>
              <w:t>)</w:t>
            </w:r>
          </w:p>
        </w:tc>
        <w:tc>
          <w:tcPr>
            <w:tcW w:w="50" w:type="pct"/>
            <w:tcMar>
              <w:top w:w="5" w:type="dxa"/>
              <w:left w:w="5" w:type="dxa"/>
              <w:bottom w:w="20" w:type="dxa"/>
              <w:right w:w="5" w:type="dxa"/>
            </w:tcMar>
            <w:vAlign w:val="bottom"/>
            <w:hideMark/>
          </w:tcPr>
          <w:p w14:paraId="0155FB15"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A8E01CF" w14:textId="77777777" w:rsidR="00954279" w:rsidRDefault="00A66714">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14E85059" w14:textId="77777777" w:rsidR="00954279" w:rsidRDefault="00A66714">
            <w:pPr>
              <w:jc w:val="right"/>
              <w:rPr>
                <w:color w:val="000000"/>
                <w:sz w:val="20"/>
                <w:szCs w:val="20"/>
              </w:rPr>
            </w:pPr>
            <w:r>
              <w:rPr>
                <w:color w:val="000000"/>
                <w:sz w:val="20"/>
                <w:szCs w:val="20"/>
              </w:rPr>
              <w:t>(1</w:t>
            </w:r>
          </w:p>
        </w:tc>
        <w:tc>
          <w:tcPr>
            <w:tcW w:w="50" w:type="pct"/>
            <w:noWrap/>
            <w:tcMar>
              <w:top w:w="5" w:type="dxa"/>
              <w:left w:w="5" w:type="dxa"/>
              <w:bottom w:w="20" w:type="dxa"/>
              <w:right w:w="5" w:type="dxa"/>
            </w:tcMar>
            <w:vAlign w:val="bottom"/>
            <w:hideMark/>
          </w:tcPr>
          <w:p w14:paraId="2F5F25B9" w14:textId="77777777" w:rsidR="00954279" w:rsidRDefault="00A66714">
            <w:pPr>
              <w:rPr>
                <w:color w:val="000000"/>
                <w:sz w:val="20"/>
                <w:szCs w:val="20"/>
              </w:rPr>
            </w:pPr>
            <w:r>
              <w:rPr>
                <w:color w:val="000000"/>
                <w:sz w:val="20"/>
                <w:szCs w:val="20"/>
              </w:rPr>
              <w:t>)</w:t>
            </w:r>
          </w:p>
        </w:tc>
      </w:tr>
      <w:tr w:rsidR="00954279" w14:paraId="0F123CB8" w14:textId="77777777">
        <w:tc>
          <w:tcPr>
            <w:tcW w:w="0" w:type="auto"/>
            <w:tcMar>
              <w:top w:w="5" w:type="dxa"/>
              <w:left w:w="5" w:type="dxa"/>
              <w:bottom w:w="5" w:type="dxa"/>
              <w:right w:w="5" w:type="dxa"/>
            </w:tcMar>
            <w:vAlign w:val="bottom"/>
            <w:hideMark/>
          </w:tcPr>
          <w:p w14:paraId="07BA6805" w14:textId="77777777" w:rsidR="00954279" w:rsidRDefault="00A66714">
            <w:pPr>
              <w:rPr>
                <w:color w:val="000000"/>
                <w:sz w:val="20"/>
                <w:szCs w:val="20"/>
              </w:rPr>
            </w:pPr>
            <w:r>
              <w:rPr>
                <w:color w:val="000000"/>
                <w:sz w:val="20"/>
                <w:szCs w:val="20"/>
              </w:rPr>
              <w:t>Net cash provided by operations</w:t>
            </w:r>
          </w:p>
        </w:tc>
        <w:tc>
          <w:tcPr>
            <w:tcW w:w="50" w:type="pct"/>
            <w:tcMar>
              <w:top w:w="5" w:type="dxa"/>
              <w:left w:w="5" w:type="dxa"/>
              <w:bottom w:w="5" w:type="dxa"/>
              <w:right w:w="5" w:type="dxa"/>
            </w:tcMar>
            <w:vAlign w:val="bottom"/>
            <w:hideMark/>
          </w:tcPr>
          <w:p w14:paraId="153544E3"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7A06D5D" w14:textId="77777777" w:rsidR="00954279" w:rsidRDefault="00A66714">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20906BC5" w14:textId="77777777" w:rsidR="00954279" w:rsidRDefault="00A66714">
            <w:pPr>
              <w:jc w:val="right"/>
              <w:rPr>
                <w:color w:val="000000"/>
                <w:sz w:val="20"/>
                <w:szCs w:val="20"/>
              </w:rPr>
            </w:pPr>
            <w:r>
              <w:rPr>
                <w:b/>
                <w:bCs/>
                <w:color w:val="000000"/>
                <w:sz w:val="20"/>
                <w:szCs w:val="20"/>
              </w:rPr>
              <w:t>47</w:t>
            </w:r>
          </w:p>
        </w:tc>
        <w:tc>
          <w:tcPr>
            <w:tcW w:w="50" w:type="pct"/>
            <w:noWrap/>
            <w:tcMar>
              <w:top w:w="5" w:type="dxa"/>
              <w:left w:w="5" w:type="dxa"/>
              <w:bottom w:w="20" w:type="dxa"/>
              <w:right w:w="5" w:type="dxa"/>
            </w:tcMar>
            <w:vAlign w:val="bottom"/>
            <w:hideMark/>
          </w:tcPr>
          <w:p w14:paraId="5F83160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2F09329"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24A6177" w14:textId="77777777" w:rsidR="00954279" w:rsidRDefault="00A66714">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1A89D658" w14:textId="77777777" w:rsidR="00954279" w:rsidRDefault="00A66714">
            <w:pPr>
              <w:jc w:val="right"/>
              <w:rPr>
                <w:color w:val="000000"/>
                <w:sz w:val="20"/>
                <w:szCs w:val="20"/>
              </w:rPr>
            </w:pPr>
            <w:r>
              <w:rPr>
                <w:color w:val="000000"/>
                <w:sz w:val="20"/>
                <w:szCs w:val="20"/>
              </w:rPr>
              <w:t>84</w:t>
            </w:r>
          </w:p>
        </w:tc>
        <w:tc>
          <w:tcPr>
            <w:tcW w:w="50" w:type="pct"/>
            <w:noWrap/>
            <w:tcMar>
              <w:top w:w="5" w:type="dxa"/>
              <w:left w:w="5" w:type="dxa"/>
              <w:bottom w:w="20" w:type="dxa"/>
              <w:right w:w="5" w:type="dxa"/>
            </w:tcMar>
            <w:vAlign w:val="bottom"/>
            <w:hideMark/>
          </w:tcPr>
          <w:p w14:paraId="34F0A5B7" w14:textId="77777777" w:rsidR="00954279" w:rsidRDefault="00A66714">
            <w:pPr>
              <w:rPr>
                <w:color w:val="000000"/>
                <w:sz w:val="20"/>
                <w:szCs w:val="20"/>
              </w:rPr>
            </w:pPr>
            <w:r>
              <w:rPr>
                <w:color w:val="000000"/>
                <w:sz w:val="20"/>
                <w:szCs w:val="20"/>
              </w:rPr>
              <w:t> </w:t>
            </w:r>
          </w:p>
        </w:tc>
      </w:tr>
      <w:tr w:rsidR="00954279" w14:paraId="25621631" w14:textId="77777777">
        <w:tc>
          <w:tcPr>
            <w:tcW w:w="0" w:type="auto"/>
            <w:tcMar>
              <w:top w:w="5" w:type="dxa"/>
              <w:left w:w="5" w:type="dxa"/>
              <w:bottom w:w="5" w:type="dxa"/>
              <w:right w:w="5" w:type="dxa"/>
            </w:tcMar>
            <w:vAlign w:val="bottom"/>
            <w:hideMark/>
          </w:tcPr>
          <w:p w14:paraId="49B00D2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1F54E6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ACCEEC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2F2093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A584C2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86F92A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B5AA40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F538EB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395D03B" w14:textId="77777777" w:rsidR="00954279" w:rsidRDefault="00A66714">
            <w:pPr>
              <w:rPr>
                <w:color w:val="000000"/>
                <w:sz w:val="20"/>
                <w:szCs w:val="20"/>
              </w:rPr>
            </w:pPr>
            <w:r>
              <w:rPr>
                <w:color w:val="000000"/>
                <w:sz w:val="20"/>
                <w:szCs w:val="20"/>
              </w:rPr>
              <w:t> </w:t>
            </w:r>
          </w:p>
        </w:tc>
      </w:tr>
      <w:tr w:rsidR="00954279" w14:paraId="2DC22C94" w14:textId="77777777">
        <w:tc>
          <w:tcPr>
            <w:tcW w:w="0" w:type="auto"/>
            <w:tcMar>
              <w:top w:w="5" w:type="dxa"/>
              <w:left w:w="5" w:type="dxa"/>
              <w:bottom w:w="5" w:type="dxa"/>
              <w:right w:w="5" w:type="dxa"/>
            </w:tcMar>
            <w:vAlign w:val="bottom"/>
            <w:hideMark/>
          </w:tcPr>
          <w:p w14:paraId="3EFA1677" w14:textId="77777777" w:rsidR="00954279" w:rsidRDefault="00A66714">
            <w:pPr>
              <w:rPr>
                <w:color w:val="000000"/>
                <w:sz w:val="20"/>
                <w:szCs w:val="20"/>
              </w:rPr>
            </w:pPr>
            <w:r>
              <w:rPr>
                <w:b/>
                <w:bCs/>
                <w:color w:val="000000"/>
                <w:sz w:val="20"/>
                <w:szCs w:val="20"/>
              </w:rPr>
              <w:t>Investing activities</w:t>
            </w:r>
          </w:p>
        </w:tc>
        <w:tc>
          <w:tcPr>
            <w:tcW w:w="0" w:type="auto"/>
            <w:tcMar>
              <w:top w:w="5" w:type="dxa"/>
              <w:left w:w="5" w:type="dxa"/>
              <w:bottom w:w="5" w:type="dxa"/>
              <w:right w:w="5" w:type="dxa"/>
            </w:tcMar>
            <w:vAlign w:val="bottom"/>
            <w:hideMark/>
          </w:tcPr>
          <w:p w14:paraId="1B3CA3B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0610D6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64B05A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725839C" w14:textId="77777777" w:rsidR="00954279" w:rsidRDefault="00A66714">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536BDA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016A28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F6626B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CE7A56E" w14:textId="77777777" w:rsidR="00954279" w:rsidRDefault="00A66714">
            <w:pPr>
              <w:rPr>
                <w:color w:val="000000"/>
                <w:sz w:val="20"/>
                <w:szCs w:val="20"/>
              </w:rPr>
            </w:pPr>
            <w:r>
              <w:rPr>
                <w:b/>
                <w:bCs/>
                <w:color w:val="000000"/>
                <w:sz w:val="20"/>
                <w:szCs w:val="20"/>
              </w:rPr>
              <w:t> </w:t>
            </w:r>
          </w:p>
        </w:tc>
      </w:tr>
      <w:tr w:rsidR="00954279" w14:paraId="4F717EAD" w14:textId="77777777">
        <w:tc>
          <w:tcPr>
            <w:tcW w:w="0" w:type="auto"/>
            <w:tcMar>
              <w:top w:w="5" w:type="dxa"/>
              <w:left w:w="5" w:type="dxa"/>
              <w:bottom w:w="5" w:type="dxa"/>
              <w:right w:w="5" w:type="dxa"/>
            </w:tcMar>
            <w:vAlign w:val="bottom"/>
            <w:hideMark/>
          </w:tcPr>
          <w:p w14:paraId="0D34E569" w14:textId="77777777" w:rsidR="00954279" w:rsidRDefault="00A66714">
            <w:pPr>
              <w:rPr>
                <w:color w:val="000000"/>
                <w:sz w:val="20"/>
                <w:szCs w:val="20"/>
              </w:rPr>
            </w:pPr>
            <w:r>
              <w:rPr>
                <w:color w:val="000000"/>
                <w:sz w:val="20"/>
                <w:szCs w:val="20"/>
              </w:rPr>
              <w:t>Purchases of property, plant and equipment</w:t>
            </w:r>
          </w:p>
        </w:tc>
        <w:tc>
          <w:tcPr>
            <w:tcW w:w="50" w:type="pct"/>
            <w:tcMar>
              <w:top w:w="5" w:type="dxa"/>
              <w:left w:w="5" w:type="dxa"/>
              <w:bottom w:w="5" w:type="dxa"/>
              <w:right w:w="5" w:type="dxa"/>
            </w:tcMar>
            <w:vAlign w:val="bottom"/>
            <w:hideMark/>
          </w:tcPr>
          <w:p w14:paraId="4151B719"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6EA1EA2"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EA623EA" w14:textId="77777777" w:rsidR="00954279" w:rsidRDefault="00A66714">
            <w:pPr>
              <w:jc w:val="right"/>
              <w:rPr>
                <w:color w:val="000000"/>
                <w:sz w:val="20"/>
                <w:szCs w:val="20"/>
              </w:rPr>
            </w:pPr>
            <w:r>
              <w:rPr>
                <w:b/>
                <w:bCs/>
                <w:color w:val="000000"/>
                <w:sz w:val="20"/>
                <w:szCs w:val="20"/>
              </w:rPr>
              <w:t>(4</w:t>
            </w:r>
          </w:p>
        </w:tc>
        <w:tc>
          <w:tcPr>
            <w:tcW w:w="50" w:type="pct"/>
            <w:noWrap/>
            <w:tcMar>
              <w:top w:w="5" w:type="dxa"/>
              <w:left w:w="5" w:type="dxa"/>
              <w:bottom w:w="20" w:type="dxa"/>
              <w:right w:w="5" w:type="dxa"/>
            </w:tcMar>
            <w:vAlign w:val="bottom"/>
            <w:hideMark/>
          </w:tcPr>
          <w:p w14:paraId="16BC939D" w14:textId="77777777" w:rsidR="00954279" w:rsidRDefault="00A66714">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5B77AC13"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9113E08"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5856650" w14:textId="77777777" w:rsidR="00954279" w:rsidRDefault="00A66714">
            <w:pPr>
              <w:jc w:val="right"/>
              <w:rPr>
                <w:color w:val="000000"/>
                <w:sz w:val="20"/>
                <w:szCs w:val="20"/>
              </w:rPr>
            </w:pPr>
            <w:r>
              <w:rPr>
                <w:color w:val="000000"/>
                <w:sz w:val="20"/>
                <w:szCs w:val="20"/>
              </w:rPr>
              <w:t>(5</w:t>
            </w:r>
          </w:p>
        </w:tc>
        <w:tc>
          <w:tcPr>
            <w:tcW w:w="50" w:type="pct"/>
            <w:noWrap/>
            <w:tcMar>
              <w:top w:w="5" w:type="dxa"/>
              <w:left w:w="5" w:type="dxa"/>
              <w:bottom w:w="20" w:type="dxa"/>
              <w:right w:w="5" w:type="dxa"/>
            </w:tcMar>
            <w:vAlign w:val="bottom"/>
            <w:hideMark/>
          </w:tcPr>
          <w:p w14:paraId="29B2E7C0" w14:textId="77777777" w:rsidR="00954279" w:rsidRDefault="00A66714">
            <w:pPr>
              <w:rPr>
                <w:color w:val="000000"/>
                <w:sz w:val="20"/>
                <w:szCs w:val="20"/>
              </w:rPr>
            </w:pPr>
            <w:r>
              <w:rPr>
                <w:color w:val="000000"/>
                <w:sz w:val="20"/>
                <w:szCs w:val="20"/>
              </w:rPr>
              <w:t>)</w:t>
            </w:r>
          </w:p>
        </w:tc>
      </w:tr>
      <w:tr w:rsidR="00954279" w14:paraId="1A862FCC" w14:textId="77777777">
        <w:tc>
          <w:tcPr>
            <w:tcW w:w="0" w:type="auto"/>
            <w:tcMar>
              <w:top w:w="5" w:type="dxa"/>
              <w:left w:w="5" w:type="dxa"/>
              <w:bottom w:w="5" w:type="dxa"/>
              <w:right w:w="5" w:type="dxa"/>
            </w:tcMar>
            <w:vAlign w:val="bottom"/>
            <w:hideMark/>
          </w:tcPr>
          <w:p w14:paraId="50158917" w14:textId="77777777" w:rsidR="00954279" w:rsidRDefault="00A66714">
            <w:pPr>
              <w:rPr>
                <w:color w:val="000000"/>
                <w:sz w:val="20"/>
                <w:szCs w:val="20"/>
              </w:rPr>
            </w:pPr>
            <w:r>
              <w:rPr>
                <w:color w:val="000000"/>
                <w:sz w:val="20"/>
                <w:szCs w:val="20"/>
              </w:rPr>
              <w:t>Other investing activities</w:t>
            </w:r>
          </w:p>
        </w:tc>
        <w:tc>
          <w:tcPr>
            <w:tcW w:w="50" w:type="pct"/>
            <w:tcMar>
              <w:top w:w="5" w:type="dxa"/>
              <w:left w:w="5" w:type="dxa"/>
              <w:bottom w:w="5" w:type="dxa"/>
              <w:right w:w="5" w:type="dxa"/>
            </w:tcMar>
            <w:vAlign w:val="bottom"/>
            <w:hideMark/>
          </w:tcPr>
          <w:p w14:paraId="653913D1"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9BA184F" w14:textId="77777777" w:rsidR="00954279" w:rsidRDefault="00A66714">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343714E" w14:textId="77777777" w:rsidR="00954279" w:rsidRDefault="00A66714">
            <w:pPr>
              <w:jc w:val="right"/>
              <w:rPr>
                <w:color w:val="000000"/>
                <w:sz w:val="20"/>
                <w:szCs w:val="20"/>
              </w:rPr>
            </w:pPr>
            <w:r>
              <w:rPr>
                <w:b/>
                <w:bCs/>
                <w:color w:val="000000"/>
                <w:sz w:val="20"/>
                <w:szCs w:val="20"/>
              </w:rPr>
              <w:t>2</w:t>
            </w:r>
          </w:p>
        </w:tc>
        <w:tc>
          <w:tcPr>
            <w:tcW w:w="50" w:type="pct"/>
            <w:noWrap/>
            <w:tcMar>
              <w:top w:w="5" w:type="dxa"/>
              <w:left w:w="5" w:type="dxa"/>
              <w:bottom w:w="5" w:type="dxa"/>
              <w:right w:w="5" w:type="dxa"/>
            </w:tcMar>
            <w:vAlign w:val="bottom"/>
            <w:hideMark/>
          </w:tcPr>
          <w:p w14:paraId="5D5E98A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113E870"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3C8BE05" w14:textId="77777777" w:rsidR="00954279" w:rsidRDefault="00A66714">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072E9B8A" w14:textId="77777777" w:rsidR="00954279" w:rsidRDefault="00A66714">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2211A8D1" w14:textId="77777777" w:rsidR="00954279" w:rsidRDefault="00A66714">
            <w:pPr>
              <w:rPr>
                <w:color w:val="000000"/>
                <w:sz w:val="20"/>
                <w:szCs w:val="20"/>
              </w:rPr>
            </w:pPr>
            <w:r>
              <w:rPr>
                <w:color w:val="000000"/>
                <w:sz w:val="20"/>
                <w:szCs w:val="20"/>
              </w:rPr>
              <w:t> </w:t>
            </w:r>
          </w:p>
        </w:tc>
      </w:tr>
      <w:tr w:rsidR="00954279" w14:paraId="5B9024E6" w14:textId="77777777">
        <w:tc>
          <w:tcPr>
            <w:tcW w:w="0" w:type="auto"/>
            <w:tcMar>
              <w:top w:w="5" w:type="dxa"/>
              <w:left w:w="5" w:type="dxa"/>
              <w:bottom w:w="5" w:type="dxa"/>
              <w:right w:w="5" w:type="dxa"/>
            </w:tcMar>
            <w:vAlign w:val="bottom"/>
            <w:hideMark/>
          </w:tcPr>
          <w:p w14:paraId="28E45EBB" w14:textId="77777777" w:rsidR="00954279" w:rsidRDefault="00A66714">
            <w:pPr>
              <w:rPr>
                <w:color w:val="000000"/>
                <w:sz w:val="20"/>
                <w:szCs w:val="20"/>
              </w:rPr>
            </w:pPr>
            <w:r>
              <w:rPr>
                <w:color w:val="000000"/>
                <w:sz w:val="20"/>
                <w:szCs w:val="20"/>
              </w:rPr>
              <w:t>Net cash used in investing activities</w:t>
            </w:r>
          </w:p>
        </w:tc>
        <w:tc>
          <w:tcPr>
            <w:tcW w:w="50" w:type="pct"/>
            <w:tcMar>
              <w:top w:w="5" w:type="dxa"/>
              <w:left w:w="5" w:type="dxa"/>
              <w:bottom w:w="5" w:type="dxa"/>
              <w:right w:w="5" w:type="dxa"/>
            </w:tcMar>
            <w:vAlign w:val="bottom"/>
            <w:hideMark/>
          </w:tcPr>
          <w:p w14:paraId="5C12F98F"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EFCC3AE" w14:textId="77777777" w:rsidR="00954279" w:rsidRDefault="00A66714">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21EBD729" w14:textId="77777777" w:rsidR="00954279" w:rsidRDefault="00A66714">
            <w:pPr>
              <w:jc w:val="right"/>
              <w:rPr>
                <w:color w:val="000000"/>
                <w:sz w:val="20"/>
                <w:szCs w:val="20"/>
              </w:rPr>
            </w:pPr>
            <w:r>
              <w:rPr>
                <w:b/>
                <w:bCs/>
                <w:color w:val="000000"/>
                <w:sz w:val="20"/>
                <w:szCs w:val="20"/>
              </w:rPr>
              <w:t>(2</w:t>
            </w:r>
          </w:p>
        </w:tc>
        <w:tc>
          <w:tcPr>
            <w:tcW w:w="50" w:type="pct"/>
            <w:noWrap/>
            <w:tcMar>
              <w:top w:w="5" w:type="dxa"/>
              <w:left w:w="5" w:type="dxa"/>
              <w:bottom w:w="20" w:type="dxa"/>
              <w:right w:w="5" w:type="dxa"/>
            </w:tcMar>
            <w:vAlign w:val="bottom"/>
            <w:hideMark/>
          </w:tcPr>
          <w:p w14:paraId="6FA9F76A" w14:textId="77777777" w:rsidR="00954279" w:rsidRDefault="00A66714">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66858E33"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CAD1B90" w14:textId="77777777" w:rsidR="00954279" w:rsidRDefault="00A66714">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08071F69" w14:textId="77777777" w:rsidR="00954279" w:rsidRDefault="00A66714">
            <w:pPr>
              <w:jc w:val="right"/>
              <w:rPr>
                <w:color w:val="000000"/>
                <w:sz w:val="20"/>
                <w:szCs w:val="20"/>
              </w:rPr>
            </w:pPr>
            <w:r>
              <w:rPr>
                <w:color w:val="000000"/>
                <w:sz w:val="20"/>
                <w:szCs w:val="20"/>
              </w:rPr>
              <w:t>(5</w:t>
            </w:r>
          </w:p>
        </w:tc>
        <w:tc>
          <w:tcPr>
            <w:tcW w:w="50" w:type="pct"/>
            <w:noWrap/>
            <w:tcMar>
              <w:top w:w="5" w:type="dxa"/>
              <w:left w:w="5" w:type="dxa"/>
              <w:bottom w:w="20" w:type="dxa"/>
              <w:right w:w="5" w:type="dxa"/>
            </w:tcMar>
            <w:vAlign w:val="bottom"/>
            <w:hideMark/>
          </w:tcPr>
          <w:p w14:paraId="144CA62F" w14:textId="77777777" w:rsidR="00954279" w:rsidRDefault="00A66714">
            <w:pPr>
              <w:rPr>
                <w:color w:val="000000"/>
                <w:sz w:val="20"/>
                <w:szCs w:val="20"/>
              </w:rPr>
            </w:pPr>
            <w:r>
              <w:rPr>
                <w:color w:val="000000"/>
                <w:sz w:val="20"/>
                <w:szCs w:val="20"/>
              </w:rPr>
              <w:t>)</w:t>
            </w:r>
          </w:p>
        </w:tc>
      </w:tr>
      <w:tr w:rsidR="00954279" w14:paraId="298A46BE" w14:textId="77777777">
        <w:tc>
          <w:tcPr>
            <w:tcW w:w="0" w:type="auto"/>
            <w:tcMar>
              <w:top w:w="5" w:type="dxa"/>
              <w:left w:w="5" w:type="dxa"/>
              <w:bottom w:w="5" w:type="dxa"/>
              <w:right w:w="5" w:type="dxa"/>
            </w:tcMar>
            <w:vAlign w:val="bottom"/>
            <w:hideMark/>
          </w:tcPr>
          <w:p w14:paraId="43E484D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0C9EF0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DE4744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04CB3B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9981022"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9AFC43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7073FF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C2E5D6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9C1C408" w14:textId="77777777" w:rsidR="00954279" w:rsidRDefault="00A66714">
            <w:pPr>
              <w:rPr>
                <w:color w:val="000000"/>
                <w:sz w:val="20"/>
                <w:szCs w:val="20"/>
              </w:rPr>
            </w:pPr>
            <w:r>
              <w:rPr>
                <w:color w:val="000000"/>
                <w:sz w:val="20"/>
                <w:szCs w:val="20"/>
              </w:rPr>
              <w:t> </w:t>
            </w:r>
          </w:p>
        </w:tc>
      </w:tr>
      <w:tr w:rsidR="00954279" w14:paraId="4F233CF3" w14:textId="77777777">
        <w:tc>
          <w:tcPr>
            <w:tcW w:w="0" w:type="auto"/>
            <w:tcMar>
              <w:top w:w="5" w:type="dxa"/>
              <w:left w:w="5" w:type="dxa"/>
              <w:bottom w:w="5" w:type="dxa"/>
              <w:right w:w="5" w:type="dxa"/>
            </w:tcMar>
            <w:vAlign w:val="bottom"/>
            <w:hideMark/>
          </w:tcPr>
          <w:p w14:paraId="38C8A6B7" w14:textId="77777777" w:rsidR="00954279" w:rsidRDefault="00A66714">
            <w:pPr>
              <w:rPr>
                <w:color w:val="000000"/>
                <w:sz w:val="20"/>
                <w:szCs w:val="20"/>
              </w:rPr>
            </w:pPr>
            <w:r>
              <w:rPr>
                <w:b/>
                <w:bCs/>
                <w:color w:val="000000"/>
                <w:sz w:val="20"/>
                <w:szCs w:val="20"/>
              </w:rPr>
              <w:t>Financing activities</w:t>
            </w:r>
          </w:p>
        </w:tc>
        <w:tc>
          <w:tcPr>
            <w:tcW w:w="0" w:type="auto"/>
            <w:tcMar>
              <w:top w:w="5" w:type="dxa"/>
              <w:left w:w="5" w:type="dxa"/>
              <w:bottom w:w="5" w:type="dxa"/>
              <w:right w:w="5" w:type="dxa"/>
            </w:tcMar>
            <w:vAlign w:val="bottom"/>
            <w:hideMark/>
          </w:tcPr>
          <w:p w14:paraId="04B07D1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1BBC78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BE3512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AAD1258" w14:textId="77777777" w:rsidR="00954279" w:rsidRDefault="00A66714">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5CA5AE42"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B1AF03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37E70C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4BA6E39" w14:textId="77777777" w:rsidR="00954279" w:rsidRDefault="00A66714">
            <w:pPr>
              <w:rPr>
                <w:color w:val="000000"/>
                <w:sz w:val="20"/>
                <w:szCs w:val="20"/>
              </w:rPr>
            </w:pPr>
            <w:r>
              <w:rPr>
                <w:b/>
                <w:bCs/>
                <w:color w:val="000000"/>
                <w:sz w:val="20"/>
                <w:szCs w:val="20"/>
              </w:rPr>
              <w:t> </w:t>
            </w:r>
          </w:p>
        </w:tc>
      </w:tr>
      <w:tr w:rsidR="00954279" w14:paraId="45E92467" w14:textId="77777777">
        <w:tc>
          <w:tcPr>
            <w:tcW w:w="0" w:type="auto"/>
            <w:tcMar>
              <w:top w:w="5" w:type="dxa"/>
              <w:left w:w="5" w:type="dxa"/>
              <w:bottom w:w="5" w:type="dxa"/>
              <w:right w:w="5" w:type="dxa"/>
            </w:tcMar>
            <w:vAlign w:val="bottom"/>
            <w:hideMark/>
          </w:tcPr>
          <w:p w14:paraId="15E6119E" w14:textId="77777777" w:rsidR="00954279" w:rsidRDefault="00A66714">
            <w:pPr>
              <w:rPr>
                <w:color w:val="000000"/>
                <w:sz w:val="20"/>
                <w:szCs w:val="20"/>
              </w:rPr>
            </w:pPr>
            <w:r>
              <w:rPr>
                <w:color w:val="000000"/>
                <w:sz w:val="20"/>
                <w:szCs w:val="20"/>
              </w:rPr>
              <w:t>Payments on revolving credit facilities</w:t>
            </w:r>
          </w:p>
        </w:tc>
        <w:tc>
          <w:tcPr>
            <w:tcW w:w="50" w:type="pct"/>
            <w:tcMar>
              <w:top w:w="5" w:type="dxa"/>
              <w:left w:w="5" w:type="dxa"/>
              <w:bottom w:w="5" w:type="dxa"/>
              <w:right w:w="5" w:type="dxa"/>
            </w:tcMar>
            <w:vAlign w:val="bottom"/>
            <w:hideMark/>
          </w:tcPr>
          <w:p w14:paraId="363E9DF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B3FA03F"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2F3403D" w14:textId="77777777" w:rsidR="00954279" w:rsidRDefault="00A66714">
            <w:pPr>
              <w:jc w:val="right"/>
              <w:rPr>
                <w:color w:val="000000"/>
                <w:sz w:val="20"/>
                <w:szCs w:val="20"/>
              </w:rPr>
            </w:pPr>
            <w:r>
              <w:rPr>
                <w:b/>
                <w:bCs/>
                <w:color w:val="000000"/>
                <w:sz w:val="20"/>
                <w:szCs w:val="20"/>
              </w:rPr>
              <w:t>(125</w:t>
            </w:r>
          </w:p>
        </w:tc>
        <w:tc>
          <w:tcPr>
            <w:tcW w:w="50" w:type="pct"/>
            <w:noWrap/>
            <w:tcMar>
              <w:top w:w="5" w:type="dxa"/>
              <w:left w:w="5" w:type="dxa"/>
              <w:bottom w:w="5" w:type="dxa"/>
              <w:right w:w="5" w:type="dxa"/>
            </w:tcMar>
            <w:vAlign w:val="bottom"/>
            <w:hideMark/>
          </w:tcPr>
          <w:p w14:paraId="78F45C91" w14:textId="77777777" w:rsidR="00954279" w:rsidRDefault="00A66714">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519022F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19ADE36"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D4B8E17" w14:textId="77777777" w:rsidR="00954279" w:rsidRDefault="00A66714">
            <w:pPr>
              <w:jc w:val="right"/>
              <w:rPr>
                <w:color w:val="000000"/>
                <w:sz w:val="20"/>
                <w:szCs w:val="20"/>
              </w:rPr>
            </w:pPr>
            <w:r>
              <w:rPr>
                <w:color w:val="000000"/>
                <w:sz w:val="20"/>
                <w:szCs w:val="20"/>
              </w:rPr>
              <w:t>(460</w:t>
            </w:r>
          </w:p>
        </w:tc>
        <w:tc>
          <w:tcPr>
            <w:tcW w:w="50" w:type="pct"/>
            <w:noWrap/>
            <w:tcMar>
              <w:top w:w="5" w:type="dxa"/>
              <w:left w:w="5" w:type="dxa"/>
              <w:bottom w:w="5" w:type="dxa"/>
              <w:right w:w="5" w:type="dxa"/>
            </w:tcMar>
            <w:vAlign w:val="bottom"/>
            <w:hideMark/>
          </w:tcPr>
          <w:p w14:paraId="6696E557" w14:textId="77777777" w:rsidR="00954279" w:rsidRDefault="00A66714">
            <w:pPr>
              <w:rPr>
                <w:color w:val="000000"/>
                <w:sz w:val="20"/>
                <w:szCs w:val="20"/>
              </w:rPr>
            </w:pPr>
            <w:r>
              <w:rPr>
                <w:color w:val="000000"/>
                <w:sz w:val="20"/>
                <w:szCs w:val="20"/>
              </w:rPr>
              <w:t>)</w:t>
            </w:r>
          </w:p>
        </w:tc>
      </w:tr>
      <w:tr w:rsidR="00954279" w14:paraId="0DB1A925" w14:textId="77777777">
        <w:tc>
          <w:tcPr>
            <w:tcW w:w="0" w:type="auto"/>
            <w:tcMar>
              <w:top w:w="5" w:type="dxa"/>
              <w:left w:w="5" w:type="dxa"/>
              <w:bottom w:w="5" w:type="dxa"/>
              <w:right w:w="5" w:type="dxa"/>
            </w:tcMar>
            <w:vAlign w:val="bottom"/>
            <w:hideMark/>
          </w:tcPr>
          <w:p w14:paraId="1C266F8B" w14:textId="77777777" w:rsidR="00954279" w:rsidRDefault="00A66714">
            <w:pPr>
              <w:rPr>
                <w:color w:val="000000"/>
                <w:sz w:val="20"/>
                <w:szCs w:val="20"/>
              </w:rPr>
            </w:pPr>
            <w:r>
              <w:rPr>
                <w:color w:val="000000"/>
                <w:sz w:val="20"/>
                <w:szCs w:val="20"/>
              </w:rPr>
              <w:t>Proceeds from revolving credit facilities</w:t>
            </w:r>
          </w:p>
        </w:tc>
        <w:tc>
          <w:tcPr>
            <w:tcW w:w="50" w:type="pct"/>
            <w:tcMar>
              <w:top w:w="5" w:type="dxa"/>
              <w:left w:w="5" w:type="dxa"/>
              <w:bottom w:w="5" w:type="dxa"/>
              <w:right w:w="5" w:type="dxa"/>
            </w:tcMar>
            <w:vAlign w:val="bottom"/>
            <w:hideMark/>
          </w:tcPr>
          <w:p w14:paraId="0991DF19"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C286D04"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5EB0F5C" w14:textId="77777777" w:rsidR="00954279" w:rsidRDefault="00A66714">
            <w:pPr>
              <w:jc w:val="right"/>
              <w:rPr>
                <w:color w:val="000000"/>
                <w:sz w:val="20"/>
                <w:szCs w:val="20"/>
              </w:rPr>
            </w:pPr>
            <w:r>
              <w:rPr>
                <w:b/>
                <w:bCs/>
                <w:color w:val="000000"/>
                <w:sz w:val="20"/>
                <w:szCs w:val="20"/>
              </w:rPr>
              <w:t>125</w:t>
            </w:r>
          </w:p>
        </w:tc>
        <w:tc>
          <w:tcPr>
            <w:tcW w:w="50" w:type="pct"/>
            <w:noWrap/>
            <w:tcMar>
              <w:top w:w="5" w:type="dxa"/>
              <w:left w:w="5" w:type="dxa"/>
              <w:bottom w:w="5" w:type="dxa"/>
              <w:right w:w="5" w:type="dxa"/>
            </w:tcMar>
            <w:vAlign w:val="bottom"/>
            <w:hideMark/>
          </w:tcPr>
          <w:p w14:paraId="55B9459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FB0885A"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26BC93F"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C146CF3" w14:textId="77777777" w:rsidR="00954279" w:rsidRDefault="00A66714">
            <w:pPr>
              <w:jc w:val="right"/>
              <w:rPr>
                <w:color w:val="000000"/>
                <w:sz w:val="20"/>
                <w:szCs w:val="20"/>
              </w:rPr>
            </w:pPr>
            <w:r>
              <w:rPr>
                <w:color w:val="000000"/>
                <w:sz w:val="20"/>
                <w:szCs w:val="20"/>
              </w:rPr>
              <w:t>389</w:t>
            </w:r>
          </w:p>
        </w:tc>
        <w:tc>
          <w:tcPr>
            <w:tcW w:w="50" w:type="pct"/>
            <w:noWrap/>
            <w:tcMar>
              <w:top w:w="5" w:type="dxa"/>
              <w:left w:w="5" w:type="dxa"/>
              <w:bottom w:w="5" w:type="dxa"/>
              <w:right w:w="5" w:type="dxa"/>
            </w:tcMar>
            <w:vAlign w:val="bottom"/>
            <w:hideMark/>
          </w:tcPr>
          <w:p w14:paraId="26A471E2" w14:textId="77777777" w:rsidR="00954279" w:rsidRDefault="00A66714">
            <w:pPr>
              <w:rPr>
                <w:color w:val="000000"/>
                <w:sz w:val="20"/>
                <w:szCs w:val="20"/>
              </w:rPr>
            </w:pPr>
            <w:r>
              <w:rPr>
                <w:color w:val="000000"/>
                <w:sz w:val="20"/>
                <w:szCs w:val="20"/>
              </w:rPr>
              <w:t> </w:t>
            </w:r>
          </w:p>
        </w:tc>
      </w:tr>
      <w:tr w:rsidR="00954279" w14:paraId="23919B4B" w14:textId="77777777">
        <w:tc>
          <w:tcPr>
            <w:tcW w:w="0" w:type="auto"/>
            <w:tcMar>
              <w:top w:w="5" w:type="dxa"/>
              <w:left w:w="5" w:type="dxa"/>
              <w:bottom w:w="5" w:type="dxa"/>
              <w:right w:w="5" w:type="dxa"/>
            </w:tcMar>
            <w:vAlign w:val="bottom"/>
            <w:hideMark/>
          </w:tcPr>
          <w:p w14:paraId="73B2B333" w14:textId="77777777" w:rsidR="00954279" w:rsidRDefault="00A66714">
            <w:pPr>
              <w:rPr>
                <w:color w:val="000000"/>
                <w:sz w:val="20"/>
                <w:szCs w:val="20"/>
              </w:rPr>
            </w:pPr>
            <w:r>
              <w:rPr>
                <w:color w:val="000000"/>
                <w:sz w:val="20"/>
                <w:szCs w:val="20"/>
              </w:rPr>
              <w:t>Payments on long-term obligations</w:t>
            </w:r>
          </w:p>
        </w:tc>
        <w:tc>
          <w:tcPr>
            <w:tcW w:w="50" w:type="pct"/>
            <w:tcMar>
              <w:top w:w="5" w:type="dxa"/>
              <w:left w:w="5" w:type="dxa"/>
              <w:bottom w:w="5" w:type="dxa"/>
              <w:right w:w="5" w:type="dxa"/>
            </w:tcMar>
            <w:vAlign w:val="bottom"/>
            <w:hideMark/>
          </w:tcPr>
          <w:p w14:paraId="2991A5AA"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38D213B"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840B04B" w14:textId="77777777" w:rsidR="00954279" w:rsidRDefault="00A66714">
            <w:pPr>
              <w:jc w:val="right"/>
              <w:rPr>
                <w:color w:val="000000"/>
                <w:sz w:val="20"/>
                <w:szCs w:val="20"/>
              </w:rPr>
            </w:pPr>
            <w:r>
              <w:rPr>
                <w:b/>
                <w:bCs/>
                <w:color w:val="000000"/>
                <w:sz w:val="20"/>
                <w:szCs w:val="20"/>
              </w:rPr>
              <w:t>(87</w:t>
            </w:r>
          </w:p>
        </w:tc>
        <w:tc>
          <w:tcPr>
            <w:tcW w:w="50" w:type="pct"/>
            <w:noWrap/>
            <w:tcMar>
              <w:top w:w="5" w:type="dxa"/>
              <w:left w:w="5" w:type="dxa"/>
              <w:bottom w:w="5" w:type="dxa"/>
              <w:right w:w="5" w:type="dxa"/>
            </w:tcMar>
            <w:vAlign w:val="bottom"/>
            <w:hideMark/>
          </w:tcPr>
          <w:p w14:paraId="14B8219D" w14:textId="77777777" w:rsidR="00954279" w:rsidRDefault="00A66714">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76EE3AE1"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C55C872"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1F776E2" w14:textId="77777777" w:rsidR="00954279" w:rsidRDefault="00A66714">
            <w:pPr>
              <w:jc w:val="right"/>
              <w:rPr>
                <w:color w:val="000000"/>
                <w:sz w:val="20"/>
                <w:szCs w:val="20"/>
              </w:rPr>
            </w:pPr>
            <w:r>
              <w:rPr>
                <w:color w:val="000000"/>
                <w:sz w:val="20"/>
                <w:szCs w:val="20"/>
              </w:rPr>
              <w:t>(4</w:t>
            </w:r>
          </w:p>
        </w:tc>
        <w:tc>
          <w:tcPr>
            <w:tcW w:w="50" w:type="pct"/>
            <w:noWrap/>
            <w:tcMar>
              <w:top w:w="5" w:type="dxa"/>
              <w:left w:w="5" w:type="dxa"/>
              <w:bottom w:w="5" w:type="dxa"/>
              <w:right w:w="5" w:type="dxa"/>
            </w:tcMar>
            <w:vAlign w:val="bottom"/>
            <w:hideMark/>
          </w:tcPr>
          <w:p w14:paraId="3D98A228" w14:textId="77777777" w:rsidR="00954279" w:rsidRDefault="00A66714">
            <w:pPr>
              <w:rPr>
                <w:color w:val="000000"/>
                <w:sz w:val="20"/>
                <w:szCs w:val="20"/>
              </w:rPr>
            </w:pPr>
            <w:r>
              <w:rPr>
                <w:color w:val="000000"/>
                <w:sz w:val="20"/>
                <w:szCs w:val="20"/>
              </w:rPr>
              <w:t>)</w:t>
            </w:r>
          </w:p>
        </w:tc>
      </w:tr>
      <w:tr w:rsidR="00954279" w14:paraId="67568B0F" w14:textId="77777777">
        <w:tc>
          <w:tcPr>
            <w:tcW w:w="0" w:type="auto"/>
            <w:tcMar>
              <w:top w:w="5" w:type="dxa"/>
              <w:left w:w="5" w:type="dxa"/>
              <w:bottom w:w="5" w:type="dxa"/>
              <w:right w:w="5" w:type="dxa"/>
            </w:tcMar>
            <w:vAlign w:val="bottom"/>
            <w:hideMark/>
          </w:tcPr>
          <w:p w14:paraId="23FF6005" w14:textId="77777777" w:rsidR="00954279" w:rsidRDefault="00A66714">
            <w:pPr>
              <w:rPr>
                <w:color w:val="000000"/>
                <w:sz w:val="20"/>
                <w:szCs w:val="20"/>
              </w:rPr>
            </w:pPr>
            <w:r>
              <w:rPr>
                <w:color w:val="000000"/>
                <w:sz w:val="20"/>
                <w:szCs w:val="20"/>
              </w:rPr>
              <w:t>Dividends paid on preferred stock</w:t>
            </w:r>
          </w:p>
        </w:tc>
        <w:tc>
          <w:tcPr>
            <w:tcW w:w="50" w:type="pct"/>
            <w:tcMar>
              <w:top w:w="5" w:type="dxa"/>
              <w:left w:w="5" w:type="dxa"/>
              <w:bottom w:w="5" w:type="dxa"/>
              <w:right w:w="5" w:type="dxa"/>
            </w:tcMar>
            <w:vAlign w:val="bottom"/>
            <w:hideMark/>
          </w:tcPr>
          <w:p w14:paraId="1713562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BDC7101"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2E8099B" w14:textId="77777777" w:rsidR="00954279" w:rsidRDefault="00A66714">
            <w:pPr>
              <w:jc w:val="right"/>
              <w:rPr>
                <w:color w:val="000000"/>
                <w:sz w:val="20"/>
                <w:szCs w:val="20"/>
              </w:rPr>
            </w:pPr>
            <w:r>
              <w:rPr>
                <w:b/>
                <w:bCs/>
                <w:color w:val="000000"/>
                <w:sz w:val="20"/>
                <w:szCs w:val="20"/>
              </w:rPr>
              <w:t>(12</w:t>
            </w:r>
          </w:p>
        </w:tc>
        <w:tc>
          <w:tcPr>
            <w:tcW w:w="50" w:type="pct"/>
            <w:noWrap/>
            <w:tcMar>
              <w:top w:w="5" w:type="dxa"/>
              <w:left w:w="5" w:type="dxa"/>
              <w:bottom w:w="5" w:type="dxa"/>
              <w:right w:w="5" w:type="dxa"/>
            </w:tcMar>
            <w:vAlign w:val="bottom"/>
            <w:hideMark/>
          </w:tcPr>
          <w:p w14:paraId="0AC55BC6" w14:textId="77777777" w:rsidR="00954279" w:rsidRDefault="00A66714">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505E73F3"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29313E2"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F6EA070" w14:textId="77777777" w:rsidR="00954279" w:rsidRDefault="00A66714">
            <w:pPr>
              <w:jc w:val="right"/>
              <w:rPr>
                <w:color w:val="000000"/>
                <w:sz w:val="20"/>
                <w:szCs w:val="20"/>
              </w:rPr>
            </w:pPr>
            <w:r>
              <w:rPr>
                <w:color w:val="000000"/>
                <w:sz w:val="20"/>
                <w:szCs w:val="20"/>
              </w:rPr>
              <w:t>(12</w:t>
            </w:r>
          </w:p>
        </w:tc>
        <w:tc>
          <w:tcPr>
            <w:tcW w:w="50" w:type="pct"/>
            <w:noWrap/>
            <w:tcMar>
              <w:top w:w="5" w:type="dxa"/>
              <w:left w:w="5" w:type="dxa"/>
              <w:bottom w:w="5" w:type="dxa"/>
              <w:right w:w="5" w:type="dxa"/>
            </w:tcMar>
            <w:vAlign w:val="bottom"/>
            <w:hideMark/>
          </w:tcPr>
          <w:p w14:paraId="020DD2A4" w14:textId="77777777" w:rsidR="00954279" w:rsidRDefault="00A66714">
            <w:pPr>
              <w:rPr>
                <w:color w:val="000000"/>
                <w:sz w:val="20"/>
                <w:szCs w:val="20"/>
              </w:rPr>
            </w:pPr>
            <w:r>
              <w:rPr>
                <w:color w:val="000000"/>
                <w:sz w:val="20"/>
                <w:szCs w:val="20"/>
              </w:rPr>
              <w:t>)</w:t>
            </w:r>
          </w:p>
        </w:tc>
      </w:tr>
      <w:tr w:rsidR="00954279" w14:paraId="0CD745EB" w14:textId="77777777">
        <w:tc>
          <w:tcPr>
            <w:tcW w:w="0" w:type="auto"/>
            <w:tcMar>
              <w:top w:w="5" w:type="dxa"/>
              <w:left w:w="5" w:type="dxa"/>
              <w:bottom w:w="5" w:type="dxa"/>
              <w:right w:w="5" w:type="dxa"/>
            </w:tcMar>
            <w:vAlign w:val="bottom"/>
            <w:hideMark/>
          </w:tcPr>
          <w:p w14:paraId="7E21A21A" w14:textId="77777777" w:rsidR="00954279" w:rsidRDefault="00A66714">
            <w:pPr>
              <w:rPr>
                <w:color w:val="000000"/>
                <w:sz w:val="20"/>
                <w:szCs w:val="20"/>
              </w:rPr>
            </w:pPr>
            <w:r>
              <w:rPr>
                <w:color w:val="000000"/>
                <w:sz w:val="20"/>
                <w:szCs w:val="20"/>
              </w:rPr>
              <w:t>Repurchases of shares to satisfy tax withholdings</w:t>
            </w:r>
          </w:p>
        </w:tc>
        <w:tc>
          <w:tcPr>
            <w:tcW w:w="50" w:type="pct"/>
            <w:tcMar>
              <w:top w:w="5" w:type="dxa"/>
              <w:left w:w="5" w:type="dxa"/>
              <w:bottom w:w="20" w:type="dxa"/>
              <w:right w:w="5" w:type="dxa"/>
            </w:tcMar>
            <w:vAlign w:val="bottom"/>
            <w:hideMark/>
          </w:tcPr>
          <w:p w14:paraId="6B54C69D"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E5468F3" w14:textId="77777777" w:rsidR="00954279" w:rsidRDefault="00A66714">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774B0C1D" w14:textId="77777777" w:rsidR="00954279" w:rsidRDefault="00A66714">
            <w:pPr>
              <w:jc w:val="right"/>
              <w:rPr>
                <w:color w:val="000000"/>
                <w:sz w:val="20"/>
                <w:szCs w:val="20"/>
              </w:rPr>
            </w:pPr>
            <w:r>
              <w:rPr>
                <w:b/>
                <w:bCs/>
                <w:color w:val="000000"/>
                <w:sz w:val="20"/>
                <w:szCs w:val="20"/>
              </w:rPr>
              <w:t>(2</w:t>
            </w:r>
          </w:p>
        </w:tc>
        <w:tc>
          <w:tcPr>
            <w:tcW w:w="50" w:type="pct"/>
            <w:noWrap/>
            <w:tcMar>
              <w:top w:w="5" w:type="dxa"/>
              <w:left w:w="5" w:type="dxa"/>
              <w:bottom w:w="20" w:type="dxa"/>
              <w:right w:w="5" w:type="dxa"/>
            </w:tcMar>
            <w:vAlign w:val="bottom"/>
            <w:hideMark/>
          </w:tcPr>
          <w:p w14:paraId="151CAC93" w14:textId="77777777" w:rsidR="00954279" w:rsidRDefault="00A66714">
            <w:pPr>
              <w:rPr>
                <w:color w:val="000000"/>
                <w:sz w:val="20"/>
                <w:szCs w:val="20"/>
              </w:rPr>
            </w:pPr>
            <w:r>
              <w:rPr>
                <w:b/>
                <w:bCs/>
                <w:color w:val="000000"/>
                <w:sz w:val="20"/>
                <w:szCs w:val="20"/>
              </w:rPr>
              <w:t>)</w:t>
            </w:r>
          </w:p>
        </w:tc>
        <w:tc>
          <w:tcPr>
            <w:tcW w:w="50" w:type="pct"/>
            <w:tcMar>
              <w:top w:w="5" w:type="dxa"/>
              <w:left w:w="5" w:type="dxa"/>
              <w:bottom w:w="20" w:type="dxa"/>
              <w:right w:w="5" w:type="dxa"/>
            </w:tcMar>
            <w:vAlign w:val="bottom"/>
            <w:hideMark/>
          </w:tcPr>
          <w:p w14:paraId="08153695"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0DBA7EE" w14:textId="77777777" w:rsidR="00954279" w:rsidRDefault="00A66714">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75C618F8" w14:textId="77777777" w:rsidR="00954279" w:rsidRDefault="00A66714">
            <w:pPr>
              <w:jc w:val="right"/>
              <w:rPr>
                <w:color w:val="000000"/>
                <w:sz w:val="20"/>
                <w:szCs w:val="20"/>
              </w:rPr>
            </w:pPr>
            <w:r>
              <w:rPr>
                <w:color w:val="000000"/>
                <w:sz w:val="20"/>
                <w:szCs w:val="20"/>
              </w:rPr>
              <w:t>(3</w:t>
            </w:r>
          </w:p>
        </w:tc>
        <w:tc>
          <w:tcPr>
            <w:tcW w:w="50" w:type="pct"/>
            <w:noWrap/>
            <w:tcMar>
              <w:top w:w="5" w:type="dxa"/>
              <w:left w:w="5" w:type="dxa"/>
              <w:bottom w:w="20" w:type="dxa"/>
              <w:right w:w="5" w:type="dxa"/>
            </w:tcMar>
            <w:vAlign w:val="bottom"/>
            <w:hideMark/>
          </w:tcPr>
          <w:p w14:paraId="4BB8D52F" w14:textId="77777777" w:rsidR="00954279" w:rsidRDefault="00A66714">
            <w:pPr>
              <w:rPr>
                <w:color w:val="000000"/>
                <w:sz w:val="20"/>
                <w:szCs w:val="20"/>
              </w:rPr>
            </w:pPr>
            <w:r>
              <w:rPr>
                <w:color w:val="000000"/>
                <w:sz w:val="20"/>
                <w:szCs w:val="20"/>
              </w:rPr>
              <w:t>)</w:t>
            </w:r>
          </w:p>
        </w:tc>
      </w:tr>
      <w:tr w:rsidR="00954279" w14:paraId="413C15D0" w14:textId="77777777">
        <w:tc>
          <w:tcPr>
            <w:tcW w:w="0" w:type="auto"/>
            <w:tcMar>
              <w:top w:w="5" w:type="dxa"/>
              <w:left w:w="5" w:type="dxa"/>
              <w:bottom w:w="5" w:type="dxa"/>
              <w:right w:w="5" w:type="dxa"/>
            </w:tcMar>
            <w:vAlign w:val="bottom"/>
            <w:hideMark/>
          </w:tcPr>
          <w:p w14:paraId="39A1F3AE" w14:textId="77777777" w:rsidR="00954279" w:rsidRDefault="00A66714">
            <w:pPr>
              <w:rPr>
                <w:color w:val="000000"/>
                <w:sz w:val="20"/>
                <w:szCs w:val="20"/>
              </w:rPr>
            </w:pPr>
            <w:r>
              <w:rPr>
                <w:color w:val="000000"/>
                <w:sz w:val="20"/>
                <w:szCs w:val="20"/>
              </w:rPr>
              <w:t>Net cash used in financing activities</w:t>
            </w:r>
          </w:p>
        </w:tc>
        <w:tc>
          <w:tcPr>
            <w:tcW w:w="50" w:type="pct"/>
            <w:tcMar>
              <w:top w:w="5" w:type="dxa"/>
              <w:left w:w="5" w:type="dxa"/>
              <w:bottom w:w="5" w:type="dxa"/>
              <w:right w:w="5" w:type="dxa"/>
            </w:tcMar>
            <w:vAlign w:val="bottom"/>
            <w:hideMark/>
          </w:tcPr>
          <w:p w14:paraId="150E339A"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CDE692B" w14:textId="77777777" w:rsidR="00954279" w:rsidRDefault="00A66714">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B7588BC" w14:textId="77777777" w:rsidR="00954279" w:rsidRDefault="00A66714">
            <w:pPr>
              <w:jc w:val="right"/>
              <w:rPr>
                <w:color w:val="000000"/>
                <w:sz w:val="20"/>
                <w:szCs w:val="20"/>
              </w:rPr>
            </w:pPr>
            <w:r>
              <w:rPr>
                <w:b/>
                <w:bCs/>
                <w:color w:val="000000"/>
                <w:sz w:val="20"/>
                <w:szCs w:val="20"/>
              </w:rPr>
              <w:t>(101</w:t>
            </w:r>
          </w:p>
        </w:tc>
        <w:tc>
          <w:tcPr>
            <w:tcW w:w="50" w:type="pct"/>
            <w:noWrap/>
            <w:tcMar>
              <w:top w:w="5" w:type="dxa"/>
              <w:left w:w="5" w:type="dxa"/>
              <w:bottom w:w="20" w:type="dxa"/>
              <w:right w:w="5" w:type="dxa"/>
            </w:tcMar>
            <w:vAlign w:val="bottom"/>
            <w:hideMark/>
          </w:tcPr>
          <w:p w14:paraId="470B86A3" w14:textId="77777777" w:rsidR="00954279" w:rsidRDefault="00A66714">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2038FC19"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52C1F9A" w14:textId="77777777" w:rsidR="00954279" w:rsidRDefault="00A66714">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8C52C97" w14:textId="77777777" w:rsidR="00954279" w:rsidRDefault="00A66714">
            <w:pPr>
              <w:jc w:val="right"/>
              <w:rPr>
                <w:color w:val="000000"/>
                <w:sz w:val="20"/>
                <w:szCs w:val="20"/>
              </w:rPr>
            </w:pPr>
            <w:r>
              <w:rPr>
                <w:color w:val="000000"/>
                <w:sz w:val="20"/>
                <w:szCs w:val="20"/>
              </w:rPr>
              <w:t>(90</w:t>
            </w:r>
          </w:p>
        </w:tc>
        <w:tc>
          <w:tcPr>
            <w:tcW w:w="50" w:type="pct"/>
            <w:noWrap/>
            <w:tcMar>
              <w:top w:w="5" w:type="dxa"/>
              <w:left w:w="5" w:type="dxa"/>
              <w:bottom w:w="20" w:type="dxa"/>
              <w:right w:w="5" w:type="dxa"/>
            </w:tcMar>
            <w:vAlign w:val="bottom"/>
            <w:hideMark/>
          </w:tcPr>
          <w:p w14:paraId="4F4C67EF" w14:textId="77777777" w:rsidR="00954279" w:rsidRDefault="00A66714">
            <w:pPr>
              <w:rPr>
                <w:color w:val="000000"/>
                <w:sz w:val="20"/>
                <w:szCs w:val="20"/>
              </w:rPr>
            </w:pPr>
            <w:r>
              <w:rPr>
                <w:color w:val="000000"/>
                <w:sz w:val="20"/>
                <w:szCs w:val="20"/>
              </w:rPr>
              <w:t>)</w:t>
            </w:r>
          </w:p>
        </w:tc>
      </w:tr>
      <w:tr w:rsidR="00954279" w14:paraId="582F3D93" w14:textId="77777777">
        <w:tc>
          <w:tcPr>
            <w:tcW w:w="0" w:type="auto"/>
            <w:tcMar>
              <w:top w:w="5" w:type="dxa"/>
              <w:left w:w="5" w:type="dxa"/>
              <w:bottom w:w="5" w:type="dxa"/>
              <w:right w:w="5" w:type="dxa"/>
            </w:tcMar>
            <w:vAlign w:val="bottom"/>
            <w:hideMark/>
          </w:tcPr>
          <w:p w14:paraId="391DAC2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262E522"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6FD185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69B133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63D613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BC6C62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3ACC432"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5EF9FE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4D771A3" w14:textId="77777777" w:rsidR="00954279" w:rsidRDefault="00A66714">
            <w:pPr>
              <w:rPr>
                <w:color w:val="000000"/>
                <w:sz w:val="20"/>
                <w:szCs w:val="20"/>
              </w:rPr>
            </w:pPr>
            <w:r>
              <w:rPr>
                <w:color w:val="000000"/>
                <w:sz w:val="20"/>
                <w:szCs w:val="20"/>
              </w:rPr>
              <w:t> </w:t>
            </w:r>
          </w:p>
        </w:tc>
      </w:tr>
      <w:tr w:rsidR="00954279" w14:paraId="6EFCA09B" w14:textId="77777777">
        <w:tc>
          <w:tcPr>
            <w:tcW w:w="0" w:type="auto"/>
            <w:tcMar>
              <w:top w:w="5" w:type="dxa"/>
              <w:left w:w="5" w:type="dxa"/>
              <w:bottom w:w="5" w:type="dxa"/>
              <w:right w:w="5" w:type="dxa"/>
            </w:tcMar>
            <w:vAlign w:val="bottom"/>
            <w:hideMark/>
          </w:tcPr>
          <w:p w14:paraId="275A158F" w14:textId="77777777" w:rsidR="00954279" w:rsidRDefault="00A66714">
            <w:pPr>
              <w:rPr>
                <w:color w:val="000000"/>
                <w:sz w:val="20"/>
                <w:szCs w:val="20"/>
              </w:rPr>
            </w:pPr>
            <w:r>
              <w:rPr>
                <w:color w:val="000000"/>
                <w:sz w:val="20"/>
                <w:szCs w:val="20"/>
              </w:rPr>
              <w:t>Decrease in cash</w:t>
            </w:r>
          </w:p>
        </w:tc>
        <w:tc>
          <w:tcPr>
            <w:tcW w:w="50" w:type="pct"/>
            <w:tcMar>
              <w:top w:w="5" w:type="dxa"/>
              <w:left w:w="5" w:type="dxa"/>
              <w:bottom w:w="5" w:type="dxa"/>
              <w:right w:w="5" w:type="dxa"/>
            </w:tcMar>
            <w:vAlign w:val="bottom"/>
            <w:hideMark/>
          </w:tcPr>
          <w:p w14:paraId="45F9CAA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AE0D30C"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E0D2D6E" w14:textId="77777777" w:rsidR="00954279" w:rsidRDefault="00A66714">
            <w:pPr>
              <w:jc w:val="right"/>
              <w:rPr>
                <w:color w:val="000000"/>
                <w:sz w:val="20"/>
                <w:szCs w:val="20"/>
              </w:rPr>
            </w:pPr>
            <w:r>
              <w:rPr>
                <w:b/>
                <w:bCs/>
                <w:color w:val="000000"/>
                <w:sz w:val="20"/>
                <w:szCs w:val="20"/>
              </w:rPr>
              <w:t>(56</w:t>
            </w:r>
          </w:p>
        </w:tc>
        <w:tc>
          <w:tcPr>
            <w:tcW w:w="50" w:type="pct"/>
            <w:noWrap/>
            <w:tcMar>
              <w:top w:w="5" w:type="dxa"/>
              <w:left w:w="5" w:type="dxa"/>
              <w:bottom w:w="5" w:type="dxa"/>
              <w:right w:w="5" w:type="dxa"/>
            </w:tcMar>
            <w:vAlign w:val="bottom"/>
            <w:hideMark/>
          </w:tcPr>
          <w:p w14:paraId="1A94A609"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53B26F46"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F63BF9F"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0BB25E2" w14:textId="77777777" w:rsidR="00954279" w:rsidRDefault="00A66714">
            <w:pPr>
              <w:jc w:val="right"/>
              <w:rPr>
                <w:color w:val="000000"/>
                <w:sz w:val="20"/>
                <w:szCs w:val="20"/>
              </w:rPr>
            </w:pPr>
            <w:r>
              <w:rPr>
                <w:color w:val="000000"/>
                <w:sz w:val="20"/>
                <w:szCs w:val="20"/>
              </w:rPr>
              <w:t>(11</w:t>
            </w:r>
          </w:p>
        </w:tc>
        <w:tc>
          <w:tcPr>
            <w:tcW w:w="50" w:type="pct"/>
            <w:noWrap/>
            <w:tcMar>
              <w:top w:w="5" w:type="dxa"/>
              <w:left w:w="5" w:type="dxa"/>
              <w:bottom w:w="5" w:type="dxa"/>
              <w:right w:w="5" w:type="dxa"/>
            </w:tcMar>
            <w:vAlign w:val="bottom"/>
            <w:hideMark/>
          </w:tcPr>
          <w:p w14:paraId="16A910F7" w14:textId="77777777" w:rsidR="00954279" w:rsidRDefault="00A66714">
            <w:pPr>
              <w:rPr>
                <w:color w:val="000000"/>
                <w:sz w:val="20"/>
                <w:szCs w:val="20"/>
              </w:rPr>
            </w:pPr>
            <w:r>
              <w:rPr>
                <w:color w:val="000000"/>
                <w:sz w:val="20"/>
                <w:szCs w:val="20"/>
              </w:rPr>
              <w:t>)</w:t>
            </w:r>
          </w:p>
        </w:tc>
      </w:tr>
      <w:tr w:rsidR="00954279" w14:paraId="0D717E62" w14:textId="77777777">
        <w:tc>
          <w:tcPr>
            <w:tcW w:w="0" w:type="auto"/>
            <w:tcMar>
              <w:top w:w="5" w:type="dxa"/>
              <w:left w:w="5" w:type="dxa"/>
              <w:bottom w:w="5" w:type="dxa"/>
              <w:right w:w="5" w:type="dxa"/>
            </w:tcMar>
            <w:vAlign w:val="bottom"/>
            <w:hideMark/>
          </w:tcPr>
          <w:p w14:paraId="6CAA4215" w14:textId="77777777" w:rsidR="00954279" w:rsidRDefault="00A66714">
            <w:pPr>
              <w:rPr>
                <w:color w:val="000000"/>
                <w:sz w:val="20"/>
                <w:szCs w:val="20"/>
              </w:rPr>
            </w:pPr>
            <w:r>
              <w:rPr>
                <w:color w:val="000000"/>
                <w:sz w:val="20"/>
                <w:szCs w:val="20"/>
              </w:rPr>
              <w:t>Effect of foreign exchange rate on cash</w:t>
            </w:r>
          </w:p>
        </w:tc>
        <w:tc>
          <w:tcPr>
            <w:tcW w:w="50" w:type="pct"/>
            <w:tcMar>
              <w:top w:w="5" w:type="dxa"/>
              <w:left w:w="5" w:type="dxa"/>
              <w:bottom w:w="5" w:type="dxa"/>
              <w:right w:w="5" w:type="dxa"/>
            </w:tcMar>
            <w:vAlign w:val="bottom"/>
            <w:hideMark/>
          </w:tcPr>
          <w:p w14:paraId="5AB60F7F"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57D5C52"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54B7FD2" w14:textId="77777777" w:rsidR="00954279" w:rsidRDefault="00A66714">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3C736073"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147E85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EA9B6F6"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FDCD548" w14:textId="77777777" w:rsidR="00954279" w:rsidRDefault="00A66714">
            <w:pPr>
              <w:jc w:val="right"/>
              <w:rPr>
                <w:color w:val="000000"/>
                <w:sz w:val="20"/>
                <w:szCs w:val="20"/>
              </w:rPr>
            </w:pPr>
            <w:r>
              <w:rPr>
                <w:color w:val="000000"/>
                <w:sz w:val="20"/>
                <w:szCs w:val="20"/>
              </w:rPr>
              <w:t>(2</w:t>
            </w:r>
          </w:p>
        </w:tc>
        <w:tc>
          <w:tcPr>
            <w:tcW w:w="50" w:type="pct"/>
            <w:noWrap/>
            <w:tcMar>
              <w:top w:w="5" w:type="dxa"/>
              <w:left w:w="5" w:type="dxa"/>
              <w:bottom w:w="5" w:type="dxa"/>
              <w:right w:w="5" w:type="dxa"/>
            </w:tcMar>
            <w:vAlign w:val="bottom"/>
            <w:hideMark/>
          </w:tcPr>
          <w:p w14:paraId="15EF03CD" w14:textId="77777777" w:rsidR="00954279" w:rsidRDefault="00A66714">
            <w:pPr>
              <w:rPr>
                <w:color w:val="000000"/>
                <w:sz w:val="20"/>
                <w:szCs w:val="20"/>
              </w:rPr>
            </w:pPr>
            <w:r>
              <w:rPr>
                <w:color w:val="000000"/>
                <w:sz w:val="20"/>
                <w:szCs w:val="20"/>
              </w:rPr>
              <w:t>)</w:t>
            </w:r>
          </w:p>
        </w:tc>
      </w:tr>
      <w:tr w:rsidR="00954279" w14:paraId="3D9033DF" w14:textId="77777777">
        <w:tc>
          <w:tcPr>
            <w:tcW w:w="0" w:type="auto"/>
            <w:tcMar>
              <w:top w:w="5" w:type="dxa"/>
              <w:left w:w="5" w:type="dxa"/>
              <w:bottom w:w="5" w:type="dxa"/>
              <w:right w:w="5" w:type="dxa"/>
            </w:tcMar>
            <w:vAlign w:val="bottom"/>
            <w:hideMark/>
          </w:tcPr>
          <w:p w14:paraId="560A1DD6" w14:textId="77777777" w:rsidR="00954279" w:rsidRDefault="00A66714">
            <w:pPr>
              <w:rPr>
                <w:color w:val="000000"/>
                <w:sz w:val="20"/>
                <w:szCs w:val="20"/>
              </w:rPr>
            </w:pPr>
            <w:r>
              <w:rPr>
                <w:color w:val="000000"/>
                <w:sz w:val="20"/>
                <w:szCs w:val="20"/>
              </w:rPr>
              <w:t>Cash -- beginning of period</w:t>
            </w:r>
          </w:p>
        </w:tc>
        <w:tc>
          <w:tcPr>
            <w:tcW w:w="50" w:type="pct"/>
            <w:tcMar>
              <w:top w:w="5" w:type="dxa"/>
              <w:left w:w="5" w:type="dxa"/>
              <w:bottom w:w="20" w:type="dxa"/>
              <w:right w:w="5" w:type="dxa"/>
            </w:tcMar>
            <w:vAlign w:val="bottom"/>
            <w:hideMark/>
          </w:tcPr>
          <w:p w14:paraId="5D278956"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0CC85FA" w14:textId="77777777" w:rsidR="00954279" w:rsidRDefault="00A66714">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13CAA93" w14:textId="77777777" w:rsidR="00954279" w:rsidRDefault="00A66714">
            <w:pPr>
              <w:jc w:val="right"/>
              <w:rPr>
                <w:color w:val="000000"/>
                <w:sz w:val="20"/>
                <w:szCs w:val="20"/>
              </w:rPr>
            </w:pPr>
            <w:r>
              <w:rPr>
                <w:b/>
                <w:bCs/>
                <w:color w:val="000000"/>
                <w:sz w:val="20"/>
                <w:szCs w:val="20"/>
              </w:rPr>
              <w:t>119</w:t>
            </w:r>
          </w:p>
        </w:tc>
        <w:tc>
          <w:tcPr>
            <w:tcW w:w="50" w:type="pct"/>
            <w:noWrap/>
            <w:tcMar>
              <w:top w:w="5" w:type="dxa"/>
              <w:left w:w="5" w:type="dxa"/>
              <w:bottom w:w="20" w:type="dxa"/>
              <w:right w:w="5" w:type="dxa"/>
            </w:tcMar>
            <w:vAlign w:val="bottom"/>
            <w:hideMark/>
          </w:tcPr>
          <w:p w14:paraId="1F68B2AE" w14:textId="77777777" w:rsidR="00954279" w:rsidRDefault="00A66714">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0E9B788F"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D6CB407" w14:textId="77777777" w:rsidR="00954279" w:rsidRDefault="00A66714">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E436595" w14:textId="77777777" w:rsidR="00954279" w:rsidRDefault="00A66714">
            <w:pPr>
              <w:jc w:val="right"/>
              <w:rPr>
                <w:color w:val="000000"/>
                <w:sz w:val="20"/>
                <w:szCs w:val="20"/>
              </w:rPr>
            </w:pPr>
            <w:r>
              <w:rPr>
                <w:color w:val="000000"/>
                <w:sz w:val="20"/>
                <w:szCs w:val="20"/>
              </w:rPr>
              <w:t>32</w:t>
            </w:r>
          </w:p>
        </w:tc>
        <w:tc>
          <w:tcPr>
            <w:tcW w:w="50" w:type="pct"/>
            <w:noWrap/>
            <w:tcMar>
              <w:top w:w="5" w:type="dxa"/>
              <w:left w:w="5" w:type="dxa"/>
              <w:bottom w:w="20" w:type="dxa"/>
              <w:right w:w="5" w:type="dxa"/>
            </w:tcMar>
            <w:vAlign w:val="bottom"/>
            <w:hideMark/>
          </w:tcPr>
          <w:p w14:paraId="0A9CD47B" w14:textId="77777777" w:rsidR="00954279" w:rsidRDefault="00A66714">
            <w:pPr>
              <w:rPr>
                <w:color w:val="000000"/>
                <w:sz w:val="20"/>
                <w:szCs w:val="20"/>
              </w:rPr>
            </w:pPr>
            <w:r>
              <w:rPr>
                <w:color w:val="000000"/>
                <w:sz w:val="20"/>
                <w:szCs w:val="20"/>
              </w:rPr>
              <w:t> </w:t>
            </w:r>
          </w:p>
        </w:tc>
      </w:tr>
      <w:tr w:rsidR="00954279" w14:paraId="6E087CD9" w14:textId="77777777">
        <w:tc>
          <w:tcPr>
            <w:tcW w:w="0" w:type="auto"/>
            <w:tcMar>
              <w:top w:w="5" w:type="dxa"/>
              <w:left w:w="5" w:type="dxa"/>
              <w:bottom w:w="5" w:type="dxa"/>
              <w:right w:w="5" w:type="dxa"/>
            </w:tcMar>
            <w:vAlign w:val="bottom"/>
            <w:hideMark/>
          </w:tcPr>
          <w:p w14:paraId="6022CCE6" w14:textId="77777777" w:rsidR="00954279" w:rsidRDefault="00A66714">
            <w:pPr>
              <w:rPr>
                <w:color w:val="000000"/>
                <w:sz w:val="20"/>
                <w:szCs w:val="20"/>
              </w:rPr>
            </w:pPr>
            <w:r>
              <w:rPr>
                <w:color w:val="000000"/>
                <w:sz w:val="20"/>
                <w:szCs w:val="20"/>
              </w:rPr>
              <w:t>Cash -- end of period</w:t>
            </w:r>
          </w:p>
        </w:tc>
        <w:tc>
          <w:tcPr>
            <w:tcW w:w="50" w:type="pct"/>
            <w:tcMar>
              <w:top w:w="5" w:type="dxa"/>
              <w:left w:w="5" w:type="dxa"/>
              <w:bottom w:w="5" w:type="dxa"/>
              <w:right w:w="5" w:type="dxa"/>
            </w:tcMar>
            <w:vAlign w:val="bottom"/>
            <w:hideMark/>
          </w:tcPr>
          <w:p w14:paraId="321B7A0F"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3265781" w14:textId="77777777" w:rsidR="00954279" w:rsidRDefault="00A66714">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50F7E9B2" w14:textId="77777777" w:rsidR="00954279" w:rsidRDefault="00A66714">
            <w:pPr>
              <w:jc w:val="right"/>
              <w:rPr>
                <w:color w:val="000000"/>
                <w:sz w:val="20"/>
                <w:szCs w:val="20"/>
              </w:rPr>
            </w:pPr>
            <w:r>
              <w:rPr>
                <w:b/>
                <w:bCs/>
                <w:color w:val="000000"/>
                <w:sz w:val="20"/>
                <w:szCs w:val="20"/>
              </w:rPr>
              <w:t>63</w:t>
            </w:r>
          </w:p>
        </w:tc>
        <w:tc>
          <w:tcPr>
            <w:tcW w:w="50" w:type="pct"/>
            <w:noWrap/>
            <w:tcMar>
              <w:top w:w="5" w:type="dxa"/>
              <w:left w:w="5" w:type="dxa"/>
              <w:bottom w:w="50" w:type="dxa"/>
              <w:right w:w="5" w:type="dxa"/>
            </w:tcMar>
            <w:vAlign w:val="bottom"/>
            <w:hideMark/>
          </w:tcPr>
          <w:p w14:paraId="51CD38D7"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90A6E84"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03E92B3" w14:textId="77777777" w:rsidR="00954279" w:rsidRDefault="00A66714">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6B8EA136" w14:textId="77777777" w:rsidR="00954279" w:rsidRDefault="00A66714">
            <w:pPr>
              <w:jc w:val="right"/>
              <w:rPr>
                <w:color w:val="000000"/>
                <w:sz w:val="20"/>
                <w:szCs w:val="20"/>
              </w:rPr>
            </w:pPr>
            <w:r>
              <w:rPr>
                <w:color w:val="000000"/>
                <w:sz w:val="20"/>
                <w:szCs w:val="20"/>
              </w:rPr>
              <w:t>19</w:t>
            </w:r>
          </w:p>
        </w:tc>
        <w:tc>
          <w:tcPr>
            <w:tcW w:w="50" w:type="pct"/>
            <w:noWrap/>
            <w:tcMar>
              <w:top w:w="5" w:type="dxa"/>
              <w:left w:w="5" w:type="dxa"/>
              <w:bottom w:w="50" w:type="dxa"/>
              <w:right w:w="5" w:type="dxa"/>
            </w:tcMar>
            <w:vAlign w:val="bottom"/>
            <w:hideMark/>
          </w:tcPr>
          <w:p w14:paraId="59CB79B2" w14:textId="77777777" w:rsidR="00954279" w:rsidRDefault="00A66714">
            <w:pPr>
              <w:rPr>
                <w:color w:val="000000"/>
                <w:sz w:val="20"/>
                <w:szCs w:val="20"/>
              </w:rPr>
            </w:pPr>
            <w:r>
              <w:rPr>
                <w:color w:val="000000"/>
                <w:sz w:val="20"/>
                <w:szCs w:val="20"/>
              </w:rPr>
              <w:t> </w:t>
            </w:r>
          </w:p>
        </w:tc>
      </w:tr>
      <w:tr w:rsidR="00954279" w14:paraId="351A7BA4" w14:textId="77777777">
        <w:tc>
          <w:tcPr>
            <w:tcW w:w="0" w:type="auto"/>
            <w:tcMar>
              <w:top w:w="5" w:type="dxa"/>
              <w:left w:w="5" w:type="dxa"/>
              <w:bottom w:w="5" w:type="dxa"/>
              <w:right w:w="5" w:type="dxa"/>
            </w:tcMar>
            <w:vAlign w:val="bottom"/>
            <w:hideMark/>
          </w:tcPr>
          <w:p w14:paraId="56AA933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8DE343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F8510C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EE12EA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FC7BBB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C7A6A9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F59469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EF6711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F5C5AF7" w14:textId="77777777" w:rsidR="00954279" w:rsidRDefault="00A66714">
            <w:pPr>
              <w:rPr>
                <w:color w:val="000000"/>
                <w:sz w:val="20"/>
                <w:szCs w:val="20"/>
              </w:rPr>
            </w:pPr>
            <w:r>
              <w:rPr>
                <w:color w:val="000000"/>
                <w:sz w:val="20"/>
                <w:szCs w:val="20"/>
              </w:rPr>
              <w:t> </w:t>
            </w:r>
          </w:p>
        </w:tc>
      </w:tr>
      <w:tr w:rsidR="00954279" w14:paraId="2DB8022E" w14:textId="77777777">
        <w:tc>
          <w:tcPr>
            <w:tcW w:w="0" w:type="auto"/>
            <w:tcMar>
              <w:top w:w="5" w:type="dxa"/>
              <w:left w:w="5" w:type="dxa"/>
              <w:bottom w:w="5" w:type="dxa"/>
              <w:right w:w="5" w:type="dxa"/>
            </w:tcMar>
            <w:vAlign w:val="bottom"/>
            <w:hideMark/>
          </w:tcPr>
          <w:p w14:paraId="5406081C" w14:textId="77777777" w:rsidR="00954279" w:rsidRDefault="00A66714">
            <w:pPr>
              <w:rPr>
                <w:color w:val="000000"/>
                <w:sz w:val="20"/>
                <w:szCs w:val="20"/>
              </w:rPr>
            </w:pPr>
            <w:r>
              <w:rPr>
                <w:color w:val="000000"/>
                <w:sz w:val="20"/>
                <w:szCs w:val="20"/>
              </w:rPr>
              <w:t>Supplemental disclosures of cash flow information:</w:t>
            </w:r>
          </w:p>
        </w:tc>
        <w:tc>
          <w:tcPr>
            <w:tcW w:w="0" w:type="auto"/>
            <w:tcMar>
              <w:top w:w="5" w:type="dxa"/>
              <w:left w:w="5" w:type="dxa"/>
              <w:bottom w:w="5" w:type="dxa"/>
              <w:right w:w="5" w:type="dxa"/>
            </w:tcMar>
            <w:vAlign w:val="bottom"/>
            <w:hideMark/>
          </w:tcPr>
          <w:p w14:paraId="0672099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FE6C38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2E77AB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55C920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B5C046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42254E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42058F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801F244" w14:textId="77777777" w:rsidR="00954279" w:rsidRDefault="00A66714">
            <w:pPr>
              <w:rPr>
                <w:color w:val="000000"/>
                <w:sz w:val="20"/>
                <w:szCs w:val="20"/>
              </w:rPr>
            </w:pPr>
            <w:r>
              <w:rPr>
                <w:color w:val="000000"/>
                <w:sz w:val="20"/>
                <w:szCs w:val="20"/>
              </w:rPr>
              <w:t> </w:t>
            </w:r>
          </w:p>
        </w:tc>
      </w:tr>
      <w:tr w:rsidR="00954279" w14:paraId="283FCFF8" w14:textId="77777777">
        <w:tc>
          <w:tcPr>
            <w:tcW w:w="0" w:type="auto"/>
            <w:tcMar>
              <w:top w:w="5" w:type="dxa"/>
              <w:left w:w="5" w:type="dxa"/>
              <w:bottom w:w="5" w:type="dxa"/>
              <w:right w:w="5" w:type="dxa"/>
            </w:tcMar>
            <w:vAlign w:val="bottom"/>
            <w:hideMark/>
          </w:tcPr>
          <w:p w14:paraId="073872A2" w14:textId="77777777" w:rsidR="00954279" w:rsidRDefault="00A66714">
            <w:pPr>
              <w:ind w:left="180"/>
              <w:rPr>
                <w:color w:val="000000"/>
                <w:sz w:val="20"/>
                <w:szCs w:val="20"/>
              </w:rPr>
            </w:pPr>
            <w:r>
              <w:rPr>
                <w:color w:val="000000"/>
                <w:sz w:val="20"/>
                <w:szCs w:val="20"/>
              </w:rPr>
              <w:t>Cash paid for interest</w:t>
            </w:r>
          </w:p>
        </w:tc>
        <w:tc>
          <w:tcPr>
            <w:tcW w:w="50" w:type="pct"/>
            <w:tcMar>
              <w:top w:w="5" w:type="dxa"/>
              <w:left w:w="5" w:type="dxa"/>
              <w:bottom w:w="5" w:type="dxa"/>
              <w:right w:w="5" w:type="dxa"/>
            </w:tcMar>
            <w:vAlign w:val="bottom"/>
            <w:hideMark/>
          </w:tcPr>
          <w:p w14:paraId="1B92751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CA39F38" w14:textId="77777777" w:rsidR="00954279" w:rsidRDefault="00A66714">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0C1FFE57" w14:textId="77777777" w:rsidR="00954279" w:rsidRDefault="00A66714">
            <w:pPr>
              <w:jc w:val="right"/>
              <w:rPr>
                <w:color w:val="000000"/>
                <w:sz w:val="20"/>
                <w:szCs w:val="20"/>
              </w:rPr>
            </w:pPr>
            <w:r>
              <w:rPr>
                <w:b/>
                <w:bCs/>
                <w:color w:val="000000"/>
                <w:sz w:val="20"/>
                <w:szCs w:val="20"/>
              </w:rPr>
              <w:t>11</w:t>
            </w:r>
          </w:p>
        </w:tc>
        <w:tc>
          <w:tcPr>
            <w:tcW w:w="50" w:type="pct"/>
            <w:noWrap/>
            <w:tcMar>
              <w:top w:w="5" w:type="dxa"/>
              <w:left w:w="5" w:type="dxa"/>
              <w:bottom w:w="5" w:type="dxa"/>
              <w:right w:w="5" w:type="dxa"/>
            </w:tcMar>
            <w:vAlign w:val="bottom"/>
            <w:hideMark/>
          </w:tcPr>
          <w:p w14:paraId="426CFEA9"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A7275EE"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42311D0" w14:textId="77777777" w:rsidR="00954279" w:rsidRDefault="00A66714">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106F370D" w14:textId="77777777" w:rsidR="00954279" w:rsidRDefault="00A66714">
            <w:pPr>
              <w:jc w:val="right"/>
              <w:rPr>
                <w:color w:val="000000"/>
                <w:sz w:val="20"/>
                <w:szCs w:val="20"/>
              </w:rPr>
            </w:pPr>
            <w:r>
              <w:rPr>
                <w:color w:val="000000"/>
                <w:sz w:val="20"/>
                <w:szCs w:val="20"/>
              </w:rPr>
              <w:t>15</w:t>
            </w:r>
          </w:p>
        </w:tc>
        <w:tc>
          <w:tcPr>
            <w:tcW w:w="50" w:type="pct"/>
            <w:noWrap/>
            <w:tcMar>
              <w:top w:w="5" w:type="dxa"/>
              <w:left w:w="5" w:type="dxa"/>
              <w:bottom w:w="5" w:type="dxa"/>
              <w:right w:w="5" w:type="dxa"/>
            </w:tcMar>
            <w:vAlign w:val="bottom"/>
            <w:hideMark/>
          </w:tcPr>
          <w:p w14:paraId="159FA313" w14:textId="77777777" w:rsidR="00954279" w:rsidRDefault="00A66714">
            <w:pPr>
              <w:rPr>
                <w:color w:val="000000"/>
                <w:sz w:val="20"/>
                <w:szCs w:val="20"/>
              </w:rPr>
            </w:pPr>
            <w:r>
              <w:rPr>
                <w:color w:val="000000"/>
                <w:sz w:val="20"/>
                <w:szCs w:val="20"/>
              </w:rPr>
              <w:t> </w:t>
            </w:r>
          </w:p>
        </w:tc>
      </w:tr>
      <w:tr w:rsidR="00954279" w14:paraId="7789E9A7" w14:textId="77777777">
        <w:tc>
          <w:tcPr>
            <w:tcW w:w="0" w:type="auto"/>
            <w:tcMar>
              <w:top w:w="5" w:type="dxa"/>
              <w:left w:w="5" w:type="dxa"/>
              <w:bottom w:w="5" w:type="dxa"/>
              <w:right w:w="5" w:type="dxa"/>
            </w:tcMar>
            <w:vAlign w:val="bottom"/>
            <w:hideMark/>
          </w:tcPr>
          <w:p w14:paraId="331A1C2F" w14:textId="77777777" w:rsidR="00954279" w:rsidRDefault="00A66714">
            <w:pPr>
              <w:ind w:left="180"/>
              <w:rPr>
                <w:color w:val="000000"/>
                <w:sz w:val="20"/>
                <w:szCs w:val="20"/>
              </w:rPr>
            </w:pPr>
            <w:r>
              <w:rPr>
                <w:color w:val="000000"/>
                <w:sz w:val="20"/>
                <w:szCs w:val="20"/>
              </w:rPr>
              <w:t>Cash paid for income taxes</w:t>
            </w:r>
          </w:p>
        </w:tc>
        <w:tc>
          <w:tcPr>
            <w:tcW w:w="50" w:type="pct"/>
            <w:tcMar>
              <w:top w:w="5" w:type="dxa"/>
              <w:left w:w="5" w:type="dxa"/>
              <w:bottom w:w="5" w:type="dxa"/>
              <w:right w:w="5" w:type="dxa"/>
            </w:tcMar>
            <w:vAlign w:val="bottom"/>
            <w:hideMark/>
          </w:tcPr>
          <w:p w14:paraId="0BB80EA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F177690" w14:textId="77777777" w:rsidR="00954279" w:rsidRDefault="00A66714">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322C2DE2" w14:textId="77777777" w:rsidR="00954279" w:rsidRDefault="00A66714">
            <w:pPr>
              <w:jc w:val="right"/>
              <w:rPr>
                <w:color w:val="000000"/>
                <w:sz w:val="20"/>
                <w:szCs w:val="20"/>
              </w:rPr>
            </w:pPr>
            <w:r>
              <w:rPr>
                <w:b/>
                <w:bCs/>
                <w:color w:val="000000"/>
                <w:sz w:val="20"/>
                <w:szCs w:val="20"/>
              </w:rPr>
              <w:t>12</w:t>
            </w:r>
          </w:p>
        </w:tc>
        <w:tc>
          <w:tcPr>
            <w:tcW w:w="50" w:type="pct"/>
            <w:noWrap/>
            <w:tcMar>
              <w:top w:w="5" w:type="dxa"/>
              <w:left w:w="5" w:type="dxa"/>
              <w:bottom w:w="5" w:type="dxa"/>
              <w:right w:w="5" w:type="dxa"/>
            </w:tcMar>
            <w:vAlign w:val="bottom"/>
            <w:hideMark/>
          </w:tcPr>
          <w:p w14:paraId="63E8FA16"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BCF06AA"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03F9E72" w14:textId="77777777" w:rsidR="00954279" w:rsidRDefault="00A66714">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33AE4A77" w14:textId="77777777" w:rsidR="00954279" w:rsidRDefault="00A66714">
            <w:pPr>
              <w:jc w:val="right"/>
              <w:rPr>
                <w:color w:val="000000"/>
                <w:sz w:val="20"/>
                <w:szCs w:val="20"/>
              </w:rPr>
            </w:pPr>
            <w:r>
              <w:rPr>
                <w:color w:val="000000"/>
                <w:sz w:val="20"/>
                <w:szCs w:val="20"/>
              </w:rPr>
              <w:t>2</w:t>
            </w:r>
          </w:p>
        </w:tc>
        <w:tc>
          <w:tcPr>
            <w:tcW w:w="50" w:type="pct"/>
            <w:noWrap/>
            <w:tcMar>
              <w:top w:w="5" w:type="dxa"/>
              <w:left w:w="5" w:type="dxa"/>
              <w:bottom w:w="5" w:type="dxa"/>
              <w:right w:w="5" w:type="dxa"/>
            </w:tcMar>
            <w:vAlign w:val="bottom"/>
            <w:hideMark/>
          </w:tcPr>
          <w:p w14:paraId="406B82E9" w14:textId="77777777" w:rsidR="00954279" w:rsidRDefault="00A66714">
            <w:pPr>
              <w:rPr>
                <w:color w:val="000000"/>
                <w:sz w:val="20"/>
                <w:szCs w:val="20"/>
              </w:rPr>
            </w:pPr>
            <w:r>
              <w:rPr>
                <w:color w:val="000000"/>
                <w:sz w:val="20"/>
                <w:szCs w:val="20"/>
              </w:rPr>
              <w:t> </w:t>
            </w:r>
          </w:p>
        </w:tc>
      </w:tr>
    </w:tbl>
    <w:p w14:paraId="00D590AD" w14:textId="77777777" w:rsidR="00954279" w:rsidRDefault="00A66714">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10800"/>
      </w:tblGrid>
      <w:tr w:rsidR="00954279" w14:paraId="7604FBA7" w14:textId="77777777">
        <w:tc>
          <w:tcPr>
            <w:tcW w:w="0" w:type="auto"/>
            <w:tcMar>
              <w:top w:w="5" w:type="dxa"/>
              <w:left w:w="5" w:type="dxa"/>
              <w:bottom w:w="5" w:type="dxa"/>
              <w:right w:w="5" w:type="dxa"/>
            </w:tcMar>
            <w:vAlign w:val="bottom"/>
            <w:hideMark/>
          </w:tcPr>
          <w:p w14:paraId="1C1BEAA2" w14:textId="77777777" w:rsidR="00954279" w:rsidRDefault="00A66714">
            <w:pPr>
              <w:rPr>
                <w:color w:val="000000"/>
                <w:sz w:val="20"/>
                <w:szCs w:val="20"/>
              </w:rPr>
            </w:pPr>
            <w:r>
              <w:rPr>
                <w:i/>
                <w:iCs/>
                <w:color w:val="000000"/>
                <w:sz w:val="20"/>
                <w:szCs w:val="20"/>
              </w:rPr>
              <w:t>See notes to condensed consolidated financial statements.</w:t>
            </w:r>
          </w:p>
        </w:tc>
      </w:tr>
    </w:tbl>
    <w:p w14:paraId="383720DB" w14:textId="77777777" w:rsidR="00954279" w:rsidRDefault="00A66714">
      <w:pPr>
        <w:ind w:left="144" w:right="144"/>
        <w:jc w:val="center"/>
        <w:rPr>
          <w:sz w:val="20"/>
          <w:szCs w:val="20"/>
        </w:rPr>
      </w:pPr>
      <w:r>
        <w:rPr>
          <w:sz w:val="20"/>
          <w:szCs w:val="20"/>
        </w:rPr>
        <w:t> </w:t>
      </w:r>
    </w:p>
    <w:p w14:paraId="35F43213" w14:textId="77777777" w:rsidR="00954279" w:rsidRDefault="00A66714">
      <w:pPr>
        <w:ind w:left="144" w:right="144"/>
        <w:jc w:val="center"/>
        <w:rPr>
          <w:sz w:val="20"/>
          <w:szCs w:val="20"/>
        </w:rPr>
      </w:pPr>
      <w:r>
        <w:rPr>
          <w:sz w:val="20"/>
          <w:szCs w:val="20"/>
        </w:rPr>
        <w:t>5</w:t>
      </w:r>
    </w:p>
    <w:p w14:paraId="7431C570" w14:textId="77777777" w:rsidR="00954279" w:rsidRDefault="00A66714">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34703EEB" w14:textId="77777777" w:rsidR="00954279" w:rsidRDefault="00A66714">
      <w:pPr>
        <w:ind w:left="144" w:right="144"/>
        <w:rPr>
          <w:sz w:val="20"/>
          <w:szCs w:val="20"/>
        </w:rPr>
      </w:pPr>
      <w:r>
        <w:rPr>
          <w:sz w:val="20"/>
          <w:szCs w:val="20"/>
        </w:rPr>
        <w:t> </w:t>
      </w:r>
    </w:p>
    <w:p w14:paraId="512A8022" w14:textId="77777777" w:rsidR="00954279" w:rsidRDefault="00A66714">
      <w:pPr>
        <w:ind w:left="144" w:right="144"/>
        <w:rPr>
          <w:sz w:val="20"/>
          <w:szCs w:val="20"/>
        </w:rPr>
      </w:pPr>
      <w:bookmarkStart w:id="7" w:name="Notes"/>
      <w:bookmarkEnd w:id="7"/>
      <w:r>
        <w:rPr>
          <w:sz w:val="20"/>
          <w:szCs w:val="20"/>
        </w:rPr>
        <w:t>NOTES TO THE CONDENSED CONSOLIDATED FINANCIAL STATEMENTS (UNAUDITED)</w:t>
      </w:r>
    </w:p>
    <w:p w14:paraId="66826C1F" w14:textId="77777777" w:rsidR="00954279" w:rsidRDefault="00A66714">
      <w:pPr>
        <w:ind w:left="144" w:right="144"/>
        <w:rPr>
          <w:sz w:val="20"/>
          <w:szCs w:val="20"/>
        </w:rPr>
      </w:pPr>
      <w:r>
        <w:rPr>
          <w:sz w:val="20"/>
          <w:szCs w:val="20"/>
        </w:rPr>
        <w:t>MRC GLOBAL INC.</w:t>
      </w:r>
    </w:p>
    <w:p w14:paraId="347ABDF3" w14:textId="77777777" w:rsidR="00954279" w:rsidRDefault="00A66714">
      <w:pPr>
        <w:ind w:left="144" w:right="144"/>
        <w:rPr>
          <w:sz w:val="20"/>
          <w:szCs w:val="20"/>
        </w:rPr>
      </w:pPr>
      <w:r>
        <w:rPr>
          <w:sz w:val="20"/>
          <w:szCs w:val="20"/>
        </w:rPr>
        <w:t> </w:t>
      </w:r>
    </w:p>
    <w:p w14:paraId="63D5E133" w14:textId="77777777" w:rsidR="00954279" w:rsidRDefault="00A66714">
      <w:pPr>
        <w:ind w:left="144" w:right="144"/>
        <w:rPr>
          <w:sz w:val="20"/>
          <w:szCs w:val="20"/>
        </w:rPr>
      </w:pPr>
      <w:r>
        <w:rPr>
          <w:sz w:val="20"/>
          <w:szCs w:val="20"/>
        </w:rPr>
        <w:t> </w:t>
      </w:r>
    </w:p>
    <w:p w14:paraId="1F2D5E23" w14:textId="77777777" w:rsidR="00954279" w:rsidRDefault="00A66714">
      <w:pPr>
        <w:ind w:left="144" w:right="144"/>
        <w:rPr>
          <w:sz w:val="20"/>
          <w:szCs w:val="20"/>
        </w:rPr>
      </w:pPr>
      <w:r>
        <w:rPr>
          <w:b/>
          <w:bCs/>
          <w:sz w:val="20"/>
          <w:szCs w:val="20"/>
          <w:u w:val="single"/>
        </w:rPr>
        <w:t>NOTE 1 – BACKGROUND AND BASIS OF PRESENTATION</w:t>
      </w:r>
    </w:p>
    <w:p w14:paraId="2A811AD1" w14:textId="77777777" w:rsidR="00954279" w:rsidRDefault="00A66714">
      <w:pPr>
        <w:ind w:left="144" w:right="144"/>
        <w:rPr>
          <w:sz w:val="20"/>
          <w:szCs w:val="20"/>
        </w:rPr>
      </w:pPr>
      <w:r>
        <w:rPr>
          <w:sz w:val="20"/>
          <w:szCs w:val="20"/>
        </w:rPr>
        <w:t> </w:t>
      </w:r>
    </w:p>
    <w:p w14:paraId="35EE7CF2" w14:textId="77777777" w:rsidR="00954279" w:rsidRDefault="00A66714">
      <w:pPr>
        <w:ind w:left="144" w:right="144"/>
        <w:rPr>
          <w:sz w:val="20"/>
          <w:szCs w:val="20"/>
        </w:rPr>
      </w:pPr>
      <w:r>
        <w:rPr>
          <w:b/>
          <w:bCs/>
          <w:sz w:val="20"/>
          <w:szCs w:val="20"/>
          <w:u w:val="single"/>
        </w:rPr>
        <w:t>Business Operations</w:t>
      </w:r>
      <w:r>
        <w:rPr>
          <w:b/>
          <w:bCs/>
          <w:sz w:val="20"/>
          <w:szCs w:val="20"/>
        </w:rPr>
        <w:t xml:space="preserve">: </w:t>
      </w:r>
      <w:r>
        <w:rPr>
          <w:sz w:val="20"/>
          <w:szCs w:val="20"/>
        </w:rPr>
        <w:t>MRC Global Inc. is a holding company headquartered in Houston, Texas. Our wholly owned subsidiaries are global distributors of pipe, valves, fittings (“PVF”) and related infrastructure products and services across each of the following sectors:</w:t>
      </w:r>
    </w:p>
    <w:p w14:paraId="193C3286" w14:textId="77777777" w:rsidR="00954279" w:rsidRDefault="00A66714">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08"/>
        <w:gridCol w:w="147"/>
        <w:gridCol w:w="10345"/>
      </w:tblGrid>
      <w:tr w:rsidR="00954279" w14:paraId="27617A70" w14:textId="77777777">
        <w:tc>
          <w:tcPr>
            <w:tcW w:w="465" w:type="dxa"/>
            <w:tcMar>
              <w:top w:w="5" w:type="dxa"/>
              <w:left w:w="5" w:type="dxa"/>
              <w:bottom w:w="5" w:type="dxa"/>
              <w:right w:w="5" w:type="dxa"/>
            </w:tcMar>
            <w:vAlign w:val="center"/>
            <w:hideMark/>
          </w:tcPr>
          <w:p w14:paraId="356AF3A8" w14:textId="77777777" w:rsidR="00954279" w:rsidRDefault="00A66714">
            <w:pPr>
              <w:jc w:val="right"/>
              <w:rPr>
                <w:color w:val="000000"/>
                <w:sz w:val="20"/>
                <w:szCs w:val="20"/>
              </w:rPr>
            </w:pPr>
            <w:r>
              <w:rPr>
                <w:color w:val="000000"/>
                <w:sz w:val="20"/>
                <w:szCs w:val="20"/>
              </w:rPr>
              <w:t>●</w:t>
            </w:r>
          </w:p>
        </w:tc>
        <w:tc>
          <w:tcPr>
            <w:tcW w:w="225" w:type="dxa"/>
            <w:tcMar>
              <w:top w:w="5" w:type="dxa"/>
              <w:left w:w="5" w:type="dxa"/>
              <w:bottom w:w="5" w:type="dxa"/>
              <w:right w:w="5" w:type="dxa"/>
            </w:tcMar>
            <w:vAlign w:val="center"/>
            <w:hideMark/>
          </w:tcPr>
          <w:p w14:paraId="6312379D" w14:textId="77777777" w:rsidR="00954279" w:rsidRDefault="00A66714">
            <w:pPr>
              <w:rPr>
                <w:color w:val="000000"/>
                <w:sz w:val="20"/>
                <w:szCs w:val="20"/>
              </w:rPr>
            </w:pPr>
            <w:r>
              <w:rPr>
                <w:color w:val="000000"/>
                <w:sz w:val="20"/>
                <w:szCs w:val="20"/>
              </w:rPr>
              <w:t> </w:t>
            </w:r>
          </w:p>
        </w:tc>
        <w:tc>
          <w:tcPr>
            <w:tcW w:w="18405" w:type="dxa"/>
            <w:tcMar>
              <w:top w:w="5" w:type="dxa"/>
              <w:left w:w="5" w:type="dxa"/>
              <w:bottom w:w="5" w:type="dxa"/>
              <w:right w:w="5" w:type="dxa"/>
            </w:tcMar>
            <w:vAlign w:val="center"/>
            <w:hideMark/>
          </w:tcPr>
          <w:p w14:paraId="4CEC7C18" w14:textId="77777777" w:rsidR="00954279" w:rsidRDefault="00A66714">
            <w:pPr>
              <w:rPr>
                <w:color w:val="000000"/>
                <w:sz w:val="20"/>
                <w:szCs w:val="20"/>
              </w:rPr>
            </w:pPr>
            <w:r>
              <w:rPr>
                <w:color w:val="000000"/>
                <w:sz w:val="20"/>
                <w:szCs w:val="20"/>
              </w:rPr>
              <w:t>gas utilities (storage and distribution of natural gas)</w:t>
            </w:r>
          </w:p>
        </w:tc>
      </w:tr>
      <w:tr w:rsidR="00954279" w14:paraId="15A9E527" w14:textId="77777777">
        <w:tc>
          <w:tcPr>
            <w:tcW w:w="465" w:type="dxa"/>
            <w:tcMar>
              <w:top w:w="5" w:type="dxa"/>
              <w:left w:w="5" w:type="dxa"/>
              <w:bottom w:w="5" w:type="dxa"/>
              <w:right w:w="5" w:type="dxa"/>
            </w:tcMar>
            <w:vAlign w:val="center"/>
            <w:hideMark/>
          </w:tcPr>
          <w:p w14:paraId="61A2ECBB" w14:textId="77777777" w:rsidR="00954279" w:rsidRDefault="00A66714">
            <w:pPr>
              <w:jc w:val="right"/>
              <w:rPr>
                <w:color w:val="000000"/>
                <w:sz w:val="20"/>
                <w:szCs w:val="20"/>
              </w:rPr>
            </w:pPr>
            <w:r>
              <w:rPr>
                <w:color w:val="000000"/>
                <w:sz w:val="20"/>
                <w:szCs w:val="20"/>
              </w:rPr>
              <w:t>●</w:t>
            </w:r>
          </w:p>
        </w:tc>
        <w:tc>
          <w:tcPr>
            <w:tcW w:w="225" w:type="dxa"/>
            <w:tcMar>
              <w:top w:w="5" w:type="dxa"/>
              <w:left w:w="5" w:type="dxa"/>
              <w:bottom w:w="5" w:type="dxa"/>
              <w:right w:w="5" w:type="dxa"/>
            </w:tcMar>
            <w:vAlign w:val="center"/>
            <w:hideMark/>
          </w:tcPr>
          <w:p w14:paraId="4260BE2A" w14:textId="77777777" w:rsidR="00954279" w:rsidRDefault="00A66714">
            <w:pPr>
              <w:rPr>
                <w:color w:val="000000"/>
                <w:sz w:val="20"/>
                <w:szCs w:val="20"/>
              </w:rPr>
            </w:pPr>
            <w:r>
              <w:rPr>
                <w:color w:val="000000"/>
                <w:sz w:val="20"/>
                <w:szCs w:val="20"/>
              </w:rPr>
              <w:t> </w:t>
            </w:r>
          </w:p>
        </w:tc>
        <w:tc>
          <w:tcPr>
            <w:tcW w:w="18405" w:type="dxa"/>
            <w:tcMar>
              <w:top w:w="5" w:type="dxa"/>
              <w:left w:w="5" w:type="dxa"/>
              <w:bottom w:w="5" w:type="dxa"/>
              <w:right w:w="5" w:type="dxa"/>
            </w:tcMar>
            <w:vAlign w:val="center"/>
            <w:hideMark/>
          </w:tcPr>
          <w:p w14:paraId="146C313E" w14:textId="77777777" w:rsidR="00954279" w:rsidRDefault="00A66714">
            <w:pPr>
              <w:rPr>
                <w:color w:val="000000"/>
                <w:sz w:val="20"/>
                <w:szCs w:val="20"/>
              </w:rPr>
            </w:pPr>
            <w:r>
              <w:rPr>
                <w:color w:val="000000"/>
                <w:sz w:val="20"/>
                <w:szCs w:val="20"/>
              </w:rPr>
              <w:t>downstream and industrial (crude oil refining and petrochemical and chemical processing and general industrials)</w:t>
            </w:r>
          </w:p>
        </w:tc>
      </w:tr>
      <w:tr w:rsidR="00954279" w14:paraId="09E5A58E" w14:textId="77777777">
        <w:tc>
          <w:tcPr>
            <w:tcW w:w="465" w:type="dxa"/>
            <w:tcMar>
              <w:top w:w="5" w:type="dxa"/>
              <w:left w:w="5" w:type="dxa"/>
              <w:bottom w:w="5" w:type="dxa"/>
              <w:right w:w="5" w:type="dxa"/>
            </w:tcMar>
            <w:vAlign w:val="center"/>
            <w:hideMark/>
          </w:tcPr>
          <w:p w14:paraId="31C8C38A" w14:textId="77777777" w:rsidR="00954279" w:rsidRDefault="00A66714">
            <w:pPr>
              <w:jc w:val="right"/>
              <w:rPr>
                <w:color w:val="000000"/>
                <w:sz w:val="20"/>
                <w:szCs w:val="20"/>
              </w:rPr>
            </w:pPr>
            <w:r>
              <w:rPr>
                <w:color w:val="000000"/>
                <w:sz w:val="20"/>
                <w:szCs w:val="20"/>
              </w:rPr>
              <w:t>●</w:t>
            </w:r>
          </w:p>
        </w:tc>
        <w:tc>
          <w:tcPr>
            <w:tcW w:w="225" w:type="dxa"/>
            <w:tcMar>
              <w:top w:w="5" w:type="dxa"/>
              <w:left w:w="5" w:type="dxa"/>
              <w:bottom w:w="5" w:type="dxa"/>
              <w:right w:w="5" w:type="dxa"/>
            </w:tcMar>
            <w:vAlign w:val="center"/>
            <w:hideMark/>
          </w:tcPr>
          <w:p w14:paraId="7E024BB6" w14:textId="77777777" w:rsidR="00954279" w:rsidRDefault="00A66714">
            <w:pPr>
              <w:rPr>
                <w:color w:val="000000"/>
                <w:sz w:val="20"/>
                <w:szCs w:val="20"/>
              </w:rPr>
            </w:pPr>
            <w:r>
              <w:rPr>
                <w:color w:val="000000"/>
                <w:sz w:val="20"/>
                <w:szCs w:val="20"/>
              </w:rPr>
              <w:t> </w:t>
            </w:r>
          </w:p>
        </w:tc>
        <w:tc>
          <w:tcPr>
            <w:tcW w:w="18405" w:type="dxa"/>
            <w:tcMar>
              <w:top w:w="5" w:type="dxa"/>
              <w:left w:w="5" w:type="dxa"/>
              <w:bottom w:w="5" w:type="dxa"/>
              <w:right w:w="5" w:type="dxa"/>
            </w:tcMar>
            <w:vAlign w:val="center"/>
            <w:hideMark/>
          </w:tcPr>
          <w:p w14:paraId="391F895E" w14:textId="77777777" w:rsidR="00954279" w:rsidRDefault="00A66714">
            <w:pPr>
              <w:rPr>
                <w:color w:val="000000"/>
                <w:sz w:val="20"/>
                <w:szCs w:val="20"/>
              </w:rPr>
            </w:pPr>
            <w:r>
              <w:rPr>
                <w:color w:val="000000"/>
                <w:sz w:val="20"/>
                <w:szCs w:val="20"/>
              </w:rPr>
              <w:t>upstream production (exploration, production and extraction of underground oil and gas)</w:t>
            </w:r>
          </w:p>
        </w:tc>
      </w:tr>
      <w:tr w:rsidR="00954279" w14:paraId="21618E63" w14:textId="77777777">
        <w:tc>
          <w:tcPr>
            <w:tcW w:w="465" w:type="dxa"/>
            <w:tcMar>
              <w:top w:w="5" w:type="dxa"/>
              <w:left w:w="5" w:type="dxa"/>
              <w:bottom w:w="5" w:type="dxa"/>
              <w:right w:w="5" w:type="dxa"/>
            </w:tcMar>
            <w:vAlign w:val="center"/>
            <w:hideMark/>
          </w:tcPr>
          <w:p w14:paraId="4A0CFA39" w14:textId="77777777" w:rsidR="00954279" w:rsidRDefault="00A66714">
            <w:pPr>
              <w:jc w:val="right"/>
              <w:rPr>
                <w:color w:val="000000"/>
                <w:sz w:val="20"/>
                <w:szCs w:val="20"/>
              </w:rPr>
            </w:pPr>
            <w:r>
              <w:rPr>
                <w:color w:val="000000"/>
                <w:sz w:val="20"/>
                <w:szCs w:val="20"/>
              </w:rPr>
              <w:t>●</w:t>
            </w:r>
          </w:p>
        </w:tc>
        <w:tc>
          <w:tcPr>
            <w:tcW w:w="225" w:type="dxa"/>
            <w:tcMar>
              <w:top w:w="5" w:type="dxa"/>
              <w:left w:w="5" w:type="dxa"/>
              <w:bottom w:w="5" w:type="dxa"/>
              <w:right w:w="5" w:type="dxa"/>
            </w:tcMar>
            <w:vAlign w:val="center"/>
            <w:hideMark/>
          </w:tcPr>
          <w:p w14:paraId="6EE83B0A" w14:textId="77777777" w:rsidR="00954279" w:rsidRDefault="00A66714">
            <w:pPr>
              <w:rPr>
                <w:color w:val="000000"/>
                <w:sz w:val="20"/>
                <w:szCs w:val="20"/>
              </w:rPr>
            </w:pPr>
            <w:r>
              <w:rPr>
                <w:color w:val="000000"/>
                <w:sz w:val="20"/>
                <w:szCs w:val="20"/>
              </w:rPr>
              <w:t> </w:t>
            </w:r>
          </w:p>
        </w:tc>
        <w:tc>
          <w:tcPr>
            <w:tcW w:w="18405" w:type="dxa"/>
            <w:tcMar>
              <w:top w:w="5" w:type="dxa"/>
              <w:left w:w="5" w:type="dxa"/>
              <w:bottom w:w="5" w:type="dxa"/>
              <w:right w:w="5" w:type="dxa"/>
            </w:tcMar>
            <w:vAlign w:val="center"/>
            <w:hideMark/>
          </w:tcPr>
          <w:p w14:paraId="5E2DE2C5" w14:textId="77777777" w:rsidR="00954279" w:rsidRDefault="00A66714">
            <w:pPr>
              <w:rPr>
                <w:color w:val="000000"/>
                <w:sz w:val="20"/>
                <w:szCs w:val="20"/>
              </w:rPr>
            </w:pPr>
            <w:r>
              <w:rPr>
                <w:color w:val="000000"/>
                <w:sz w:val="20"/>
                <w:szCs w:val="20"/>
              </w:rPr>
              <w:t>midstream pipeline (gathering, processing and transmission of oil and gas)</w:t>
            </w:r>
          </w:p>
        </w:tc>
      </w:tr>
    </w:tbl>
    <w:p w14:paraId="36A0383E" w14:textId="77777777" w:rsidR="00954279" w:rsidRDefault="00A66714">
      <w:pPr>
        <w:ind w:left="144" w:right="144"/>
        <w:rPr>
          <w:sz w:val="20"/>
          <w:szCs w:val="20"/>
        </w:rPr>
      </w:pPr>
      <w:r>
        <w:rPr>
          <w:sz w:val="20"/>
          <w:szCs w:val="20"/>
        </w:rPr>
        <w:t> </w:t>
      </w:r>
    </w:p>
    <w:p w14:paraId="3B9A78EB" w14:textId="77777777" w:rsidR="00954279" w:rsidRDefault="00A66714">
      <w:pPr>
        <w:ind w:left="144" w:right="144"/>
        <w:rPr>
          <w:sz w:val="20"/>
          <w:szCs w:val="20"/>
        </w:rPr>
      </w:pPr>
      <w:r>
        <w:rPr>
          <w:sz w:val="20"/>
          <w:szCs w:val="20"/>
        </w:rPr>
        <w:t>We have branches in principal industrial, hydrocarbon producing and refining areas throughout the United States, Canada, Europe, Asia, Australasia, the Middle East and the Caspian. We obtain products from a broad range of suppliers.</w:t>
      </w:r>
    </w:p>
    <w:p w14:paraId="301D9368" w14:textId="77777777" w:rsidR="00954279" w:rsidRDefault="00A66714">
      <w:pPr>
        <w:ind w:left="144" w:right="144"/>
        <w:rPr>
          <w:sz w:val="20"/>
          <w:szCs w:val="20"/>
        </w:rPr>
      </w:pPr>
      <w:r>
        <w:rPr>
          <w:sz w:val="20"/>
          <w:szCs w:val="20"/>
        </w:rPr>
        <w:t> </w:t>
      </w:r>
    </w:p>
    <w:p w14:paraId="79ACD3EB" w14:textId="77777777" w:rsidR="00954279" w:rsidRDefault="00A66714">
      <w:pPr>
        <w:ind w:left="144" w:right="144"/>
        <w:rPr>
          <w:sz w:val="20"/>
          <w:szCs w:val="20"/>
        </w:rPr>
      </w:pPr>
      <w:r>
        <w:rPr>
          <w:b/>
          <w:bCs/>
          <w:sz w:val="20"/>
          <w:szCs w:val="20"/>
          <w:u w:val="single"/>
        </w:rPr>
        <w:t>Basis of Presentation</w:t>
      </w:r>
      <w:r>
        <w:rPr>
          <w:b/>
          <w:bCs/>
          <w:sz w:val="20"/>
          <w:szCs w:val="20"/>
        </w:rPr>
        <w:t xml:space="preserve">: </w:t>
      </w:r>
      <w:r>
        <w:rPr>
          <w:sz w:val="20"/>
          <w:szCs w:val="20"/>
        </w:rPr>
        <w:t xml:space="preserve">We have prepared our unaudited condensed consolidated financial statements in accordance with Rule 10-01 of Regulation S-X for interim financial statements. These statements do not include all information and footnotes that generally accepted accounting principles require for complete annual financial statements. However, the information in these statements reflects all normal recurring adjustments which are, in our opinion, necessary for a fair presentation of the results for the interim periods. The results of operations for the </w:t>
      </w:r>
      <w:bookmarkStart w:id="8" w:name="led65141F20205251593120307656"/>
      <w:r>
        <w:rPr>
          <w:sz w:val="20"/>
          <w:szCs w:val="20"/>
        </w:rPr>
        <w:t>three and six months ended June 30, 2021</w:t>
      </w:r>
      <w:bookmarkEnd w:id="8"/>
      <w:r>
        <w:rPr>
          <w:sz w:val="20"/>
          <w:szCs w:val="20"/>
        </w:rPr>
        <w:t xml:space="preserve"> are not necessarily indicative of the results that will be realized for the fiscal year ending December 31, 2021. We have derived our condensed consolidated balance sheet as of </w:t>
      </w:r>
      <w:bookmarkStart w:id="9" w:name="led65141F20205221592862484178"/>
      <w:r>
        <w:rPr>
          <w:sz w:val="20"/>
          <w:szCs w:val="20"/>
        </w:rPr>
        <w:t>December 31, 2020 from the audited consolidated financial statements for the year ended December 31, 2020. You should read these condensed consolidated financial statements in conjunction with the audited consolidated financial statements and notes thereto for the year ended December 31, 2020.</w:t>
      </w:r>
    </w:p>
    <w:p w14:paraId="764AE816" w14:textId="77777777" w:rsidR="00954279" w:rsidRDefault="00A66714">
      <w:pPr>
        <w:ind w:left="144" w:right="144"/>
        <w:rPr>
          <w:sz w:val="20"/>
          <w:szCs w:val="20"/>
        </w:rPr>
      </w:pPr>
      <w:r>
        <w:rPr>
          <w:sz w:val="20"/>
          <w:szCs w:val="20"/>
        </w:rPr>
        <w:t> </w:t>
      </w:r>
    </w:p>
    <w:p w14:paraId="32B68ECD" w14:textId="77777777" w:rsidR="00954279" w:rsidRDefault="00A66714">
      <w:pPr>
        <w:ind w:left="144" w:right="144"/>
        <w:rPr>
          <w:sz w:val="20"/>
          <w:szCs w:val="20"/>
        </w:rPr>
      </w:pPr>
      <w:r>
        <w:rPr>
          <w:sz w:val="20"/>
          <w:szCs w:val="20"/>
        </w:rPr>
        <w:t>The consolidated financial statements include the accounts of MRC Global Inc. and its wholly owned and majority owned subsidiaries (collectively referred to as the “Company” or by such terms as “we,” “our” or “us”). All material intercompany balances and transactions have been eliminated in consolidation.</w:t>
      </w:r>
    </w:p>
    <w:p w14:paraId="20911D39" w14:textId="77777777" w:rsidR="00954279" w:rsidRDefault="00A66714">
      <w:pPr>
        <w:ind w:left="144" w:right="144"/>
        <w:jc w:val="both"/>
        <w:rPr>
          <w:sz w:val="20"/>
          <w:szCs w:val="20"/>
        </w:rPr>
      </w:pPr>
      <w:r>
        <w:rPr>
          <w:sz w:val="20"/>
          <w:szCs w:val="20"/>
        </w:rPr>
        <w:t> </w:t>
      </w:r>
    </w:p>
    <w:p w14:paraId="7A1AE9DF" w14:textId="77777777" w:rsidR="00954279" w:rsidRDefault="00A66714">
      <w:pPr>
        <w:ind w:left="144" w:right="144"/>
        <w:jc w:val="both"/>
        <w:rPr>
          <w:sz w:val="20"/>
          <w:szCs w:val="20"/>
        </w:rPr>
      </w:pPr>
      <w:r>
        <w:rPr>
          <w:b/>
          <w:bCs/>
          <w:sz w:val="20"/>
          <w:szCs w:val="20"/>
          <w:u w:val="single"/>
        </w:rPr>
        <w:t>Recently Issued Accounting Pronouncements</w:t>
      </w:r>
      <w:r>
        <w:rPr>
          <w:b/>
          <w:bCs/>
          <w:sz w:val="20"/>
          <w:szCs w:val="20"/>
        </w:rPr>
        <w:t>:</w:t>
      </w:r>
      <w:r>
        <w:rPr>
          <w:sz w:val="20"/>
          <w:szCs w:val="20"/>
        </w:rPr>
        <w:t> In August 2020, the Financial Accounting Standards Board (“FASB”) issued Accounting Standards Update (“ASU”) 2020-06, </w:t>
      </w:r>
      <w:r>
        <w:rPr>
          <w:i/>
          <w:iCs/>
          <w:sz w:val="20"/>
          <w:szCs w:val="20"/>
        </w:rPr>
        <w:t>Debt – Debt with Conversion and Other Options and Derivative Hedging – Contracts in Entity’s Own Equity (Subtopic 815-40)</w:t>
      </w:r>
      <w:r>
        <w:rPr>
          <w:sz w:val="20"/>
          <w:szCs w:val="20"/>
        </w:rPr>
        <w:t> ("ASU 2020-06"), which simplifies guidance on the topics of convertible instruments, derivative contracts and earnings per share ("EPS") calculations. This update will be effective for fiscal years beginning after December 15, 2021, and interim periods within those fiscal years. We are currently evaluating the impacts of the provisions of ASU 2020-06 on our consolidated financial statements.</w:t>
      </w:r>
    </w:p>
    <w:p w14:paraId="758B0BDE" w14:textId="77777777" w:rsidR="00954279" w:rsidRDefault="00A66714">
      <w:pPr>
        <w:ind w:left="144" w:right="144"/>
        <w:jc w:val="both"/>
        <w:rPr>
          <w:sz w:val="20"/>
          <w:szCs w:val="20"/>
        </w:rPr>
      </w:pPr>
      <w:r>
        <w:rPr>
          <w:sz w:val="20"/>
          <w:szCs w:val="20"/>
        </w:rPr>
        <w:t> </w:t>
      </w:r>
    </w:p>
    <w:p w14:paraId="7253273A" w14:textId="77777777" w:rsidR="00954279" w:rsidRDefault="00A66714">
      <w:pPr>
        <w:ind w:left="144" w:right="144"/>
        <w:jc w:val="both"/>
        <w:rPr>
          <w:sz w:val="20"/>
          <w:szCs w:val="20"/>
        </w:rPr>
      </w:pPr>
      <w:r>
        <w:rPr>
          <w:sz w:val="20"/>
          <w:szCs w:val="20"/>
        </w:rPr>
        <w:t xml:space="preserve">In March 2020, the FASB issued Accounting Standards Update ASU 2020-04, </w:t>
      </w:r>
      <w:r>
        <w:rPr>
          <w:i/>
          <w:iCs/>
          <w:sz w:val="20"/>
          <w:szCs w:val="20"/>
        </w:rPr>
        <w:t>Reference Rate Reform (Topic 848)</w:t>
      </w:r>
      <w:r>
        <w:rPr>
          <w:sz w:val="20"/>
          <w:szCs w:val="20"/>
        </w:rPr>
        <w:t xml:space="preserve"> ("ASU 2020-04"), which provides optional expedients and exceptions for applying U.S. GAAP to contracts, hedging relationships, and other transactions affected by the discontinuation of certain reference rates, including the London Interbank Offered Rate ("LIBOR"). The amendments are effective for all entities as of March 12, 2020 through December 31, 2022. We are currently evaluating the impacts of the provisions of ASU 2020-04 on our consolidated financial statements.</w:t>
      </w:r>
    </w:p>
    <w:p w14:paraId="7B14C557" w14:textId="77777777" w:rsidR="00954279" w:rsidRDefault="00A66714">
      <w:pPr>
        <w:ind w:left="144" w:right="144"/>
        <w:rPr>
          <w:sz w:val="20"/>
          <w:szCs w:val="20"/>
        </w:rPr>
      </w:pPr>
      <w:r>
        <w:rPr>
          <w:sz w:val="20"/>
          <w:szCs w:val="20"/>
        </w:rPr>
        <w:t> </w:t>
      </w:r>
    </w:p>
    <w:p w14:paraId="66E3A2C0" w14:textId="77777777" w:rsidR="00954279" w:rsidRDefault="00A66714">
      <w:pPr>
        <w:ind w:left="144" w:right="144"/>
        <w:rPr>
          <w:sz w:val="20"/>
          <w:szCs w:val="20"/>
        </w:rPr>
      </w:pPr>
      <w:r>
        <w:rPr>
          <w:b/>
          <w:bCs/>
          <w:sz w:val="20"/>
          <w:szCs w:val="20"/>
          <w:u w:val="single"/>
        </w:rPr>
        <w:t>Adoption of New Accounting Standards</w:t>
      </w:r>
      <w:r>
        <w:rPr>
          <w:b/>
          <w:bCs/>
          <w:sz w:val="20"/>
          <w:szCs w:val="20"/>
        </w:rPr>
        <w:t>: </w:t>
      </w:r>
      <w:r>
        <w:rPr>
          <w:sz w:val="20"/>
          <w:szCs w:val="20"/>
        </w:rPr>
        <w:t xml:space="preserve">In December 2019, the FASB issued ASU 2019-12, </w:t>
      </w:r>
      <w:r>
        <w:rPr>
          <w:i/>
          <w:iCs/>
          <w:sz w:val="20"/>
          <w:szCs w:val="20"/>
        </w:rPr>
        <w:t>Income Taxes (Topic 740): Simplifying the Accounting for Income Taxes</w:t>
      </w:r>
      <w:r>
        <w:rPr>
          <w:sz w:val="20"/>
          <w:szCs w:val="20"/>
        </w:rPr>
        <w:t>, an update intended to simplify various aspects related to accounting for income taxes. This guidance removes certain exceptions to the general principles in Topic 740 and clarifies and amends existing guidance to improve consistent application. This accounting standard update was adopted as of January 1, 2021 but did not have a material impact on our consolidated financial statements.</w:t>
      </w:r>
    </w:p>
    <w:p w14:paraId="45E77B3D" w14:textId="77777777" w:rsidR="00954279" w:rsidRDefault="00A66714">
      <w:pPr>
        <w:ind w:left="144" w:right="144"/>
        <w:rPr>
          <w:sz w:val="20"/>
          <w:szCs w:val="20"/>
        </w:rPr>
      </w:pPr>
      <w:r>
        <w:rPr>
          <w:sz w:val="20"/>
          <w:szCs w:val="20"/>
        </w:rPr>
        <w:t> </w:t>
      </w:r>
    </w:p>
    <w:p w14:paraId="5C6FA4AE" w14:textId="77777777" w:rsidR="00954279" w:rsidRDefault="00A66714">
      <w:pPr>
        <w:ind w:left="144" w:right="144"/>
        <w:rPr>
          <w:sz w:val="20"/>
          <w:szCs w:val="20"/>
        </w:rPr>
      </w:pPr>
      <w:r>
        <w:rPr>
          <w:sz w:val="20"/>
          <w:szCs w:val="20"/>
        </w:rPr>
        <w:t> </w:t>
      </w:r>
    </w:p>
    <w:p w14:paraId="420D9907" w14:textId="77777777" w:rsidR="00954279" w:rsidRDefault="00A66714">
      <w:pPr>
        <w:ind w:left="144" w:right="144"/>
        <w:jc w:val="center"/>
        <w:rPr>
          <w:sz w:val="20"/>
          <w:szCs w:val="20"/>
        </w:rPr>
      </w:pPr>
      <w:r>
        <w:rPr>
          <w:sz w:val="20"/>
          <w:szCs w:val="20"/>
        </w:rPr>
        <w:t>6</w:t>
      </w:r>
    </w:p>
    <w:p w14:paraId="1EB47803" w14:textId="77777777" w:rsidR="00954279" w:rsidRDefault="00A66714">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0C6CD619" w14:textId="77777777" w:rsidR="00954279" w:rsidRDefault="00A66714">
      <w:pPr>
        <w:ind w:left="144" w:right="144"/>
        <w:rPr>
          <w:sz w:val="20"/>
          <w:szCs w:val="20"/>
        </w:rPr>
      </w:pPr>
      <w:r>
        <w:rPr>
          <w:sz w:val="20"/>
          <w:szCs w:val="20"/>
        </w:rPr>
        <w:t> </w:t>
      </w:r>
    </w:p>
    <w:p w14:paraId="724B9C19" w14:textId="77777777" w:rsidR="00954279" w:rsidRDefault="00A66714">
      <w:pPr>
        <w:ind w:left="144" w:right="144"/>
        <w:rPr>
          <w:sz w:val="20"/>
          <w:szCs w:val="20"/>
        </w:rPr>
      </w:pPr>
      <w:r>
        <w:rPr>
          <w:b/>
          <w:bCs/>
          <w:sz w:val="20"/>
          <w:szCs w:val="20"/>
          <w:u w:val="single"/>
        </w:rPr>
        <w:t>NOTE 2 – REVENUE RECOGNITION</w:t>
      </w:r>
      <w:r>
        <w:rPr>
          <w:b/>
          <w:bCs/>
          <w:sz w:val="20"/>
          <w:szCs w:val="20"/>
        </w:rPr>
        <w:t xml:space="preserve"> </w:t>
      </w:r>
    </w:p>
    <w:p w14:paraId="59B063F1" w14:textId="77777777" w:rsidR="00954279" w:rsidRDefault="00A66714">
      <w:pPr>
        <w:ind w:left="144" w:right="144"/>
        <w:rPr>
          <w:sz w:val="20"/>
          <w:szCs w:val="20"/>
        </w:rPr>
      </w:pPr>
      <w:r>
        <w:rPr>
          <w:sz w:val="20"/>
          <w:szCs w:val="20"/>
        </w:rPr>
        <w:t> </w:t>
      </w:r>
    </w:p>
    <w:p w14:paraId="5EF6EDF0" w14:textId="77777777" w:rsidR="00954279" w:rsidRDefault="00A66714">
      <w:pPr>
        <w:ind w:left="144" w:right="144"/>
        <w:rPr>
          <w:sz w:val="20"/>
          <w:szCs w:val="20"/>
        </w:rPr>
      </w:pPr>
      <w:r>
        <w:rPr>
          <w:sz w:val="20"/>
          <w:szCs w:val="20"/>
        </w:rPr>
        <w:t>We recognize revenue when we transfer control of promised goods or services to our customers in an amount that reflects the consideration to which we expect to be entitled in exchange for those goods or services. We recognize substantially all of our revenue when products are shipped or delivered to our customers, and payment is due from our customers at the time of billing with a majority of our customers having 30-day terms. We estimate and record returns as a reduction of revenue. Amounts received in advance of shipment are deferred and recognized when the performance obligations are satisfied. Sales taxes collected from customers and remitted to governmental authorities are accounted for on a net basis and, therefore, are excluded from sales in the accompanying consolidated statements of operations. Cost of sales includes the cost of inventory sold and related items, such as vendor rebates, inventory allowances and reserves and shipping and handling costs associated with inbound and outbound freight, as well as depreciation and amortization and amortization of intangible assets. In some cases, particularly with third-party pipe shipments, shipping and handling costs are considered separate performance obligations, and as such, the revenue and cost of sales are recorded when the performance obligation is fulfilled.</w:t>
      </w:r>
    </w:p>
    <w:p w14:paraId="421304C7" w14:textId="77777777" w:rsidR="00954279" w:rsidRDefault="00A66714">
      <w:pPr>
        <w:ind w:left="144" w:right="144"/>
        <w:rPr>
          <w:sz w:val="20"/>
          <w:szCs w:val="20"/>
        </w:rPr>
      </w:pPr>
      <w:r>
        <w:rPr>
          <w:sz w:val="20"/>
          <w:szCs w:val="20"/>
        </w:rPr>
        <w:t> </w:t>
      </w:r>
    </w:p>
    <w:p w14:paraId="6EAB120B" w14:textId="77777777" w:rsidR="00954279" w:rsidRDefault="00A66714">
      <w:pPr>
        <w:ind w:left="144" w:right="144"/>
        <w:rPr>
          <w:sz w:val="20"/>
          <w:szCs w:val="20"/>
        </w:rPr>
      </w:pPr>
      <w:r>
        <w:rPr>
          <w:sz w:val="20"/>
          <w:szCs w:val="20"/>
        </w:rPr>
        <w:t>Our contracts with customers ordinarily involve performance obligations that are one year or less. Therefore, we have applied the optional exemption that permits the omission of information about our unfulfilled performance obligations as of the balance sheet dates.</w:t>
      </w:r>
    </w:p>
    <w:p w14:paraId="33E02256" w14:textId="77777777" w:rsidR="00954279" w:rsidRDefault="00A66714">
      <w:pPr>
        <w:ind w:left="144" w:right="144"/>
        <w:rPr>
          <w:sz w:val="20"/>
          <w:szCs w:val="20"/>
        </w:rPr>
      </w:pPr>
      <w:r>
        <w:rPr>
          <w:sz w:val="20"/>
          <w:szCs w:val="20"/>
        </w:rPr>
        <w:t> </w:t>
      </w:r>
    </w:p>
    <w:p w14:paraId="38921E46" w14:textId="77777777" w:rsidR="00954279" w:rsidRDefault="00A66714">
      <w:pPr>
        <w:ind w:left="144" w:right="144"/>
        <w:rPr>
          <w:sz w:val="20"/>
          <w:szCs w:val="20"/>
        </w:rPr>
      </w:pPr>
      <w:r>
        <w:rPr>
          <w:b/>
          <w:bCs/>
          <w:sz w:val="20"/>
          <w:szCs w:val="20"/>
          <w:u w:val="single"/>
        </w:rPr>
        <w:t>Contract Balances</w:t>
      </w:r>
      <w:r>
        <w:rPr>
          <w:b/>
          <w:bCs/>
          <w:sz w:val="20"/>
          <w:szCs w:val="20"/>
        </w:rPr>
        <w:t xml:space="preserve">: </w:t>
      </w:r>
      <w:r>
        <w:rPr>
          <w:sz w:val="20"/>
          <w:szCs w:val="20"/>
        </w:rPr>
        <w:t xml:space="preserve">Variations in the timing of revenue recognition, invoicing and receipt of payment result in categories of assets and liabilities that include invoiced accounts receivable, </w:t>
      </w:r>
      <w:proofErr w:type="spellStart"/>
      <w:r>
        <w:rPr>
          <w:sz w:val="20"/>
          <w:szCs w:val="20"/>
        </w:rPr>
        <w:t>uninvoiced</w:t>
      </w:r>
      <w:proofErr w:type="spellEnd"/>
      <w:r>
        <w:rPr>
          <w:sz w:val="20"/>
          <w:szCs w:val="20"/>
        </w:rPr>
        <w:t xml:space="preserve"> accounts receivable, contract assets and deferred revenue (contract liabilities) on the consolidated balance sheets.</w:t>
      </w:r>
    </w:p>
    <w:p w14:paraId="58A045E2" w14:textId="77777777" w:rsidR="00954279" w:rsidRDefault="00A66714">
      <w:pPr>
        <w:ind w:left="144" w:right="144"/>
        <w:rPr>
          <w:sz w:val="20"/>
          <w:szCs w:val="20"/>
        </w:rPr>
      </w:pPr>
      <w:r>
        <w:rPr>
          <w:sz w:val="20"/>
          <w:szCs w:val="20"/>
        </w:rPr>
        <w:t> </w:t>
      </w:r>
    </w:p>
    <w:p w14:paraId="17A5E2DE" w14:textId="77777777" w:rsidR="00954279" w:rsidRDefault="00A66714">
      <w:pPr>
        <w:ind w:left="144" w:right="144"/>
        <w:rPr>
          <w:sz w:val="20"/>
          <w:szCs w:val="20"/>
        </w:rPr>
      </w:pPr>
      <w:r>
        <w:rPr>
          <w:sz w:val="20"/>
          <w:szCs w:val="20"/>
        </w:rPr>
        <w:t>Generally, revenue recognition and invoicing occur simultaneously as we transfer control of promised goods or services to our customers. We consider contract assets to be accounts receivable when we have an unconditional right to consideration and only the passage of time is required before payment is due. In certain cases, particularly those involving customer-specific documentation requirements, invoicing is delayed until we are able to meet the documentation requirements. In these cases, we recognize a contract asset separate from accounts receivable until those requirements are met, and we are able to invoice the customer. Our contract asset balance associated with these requirements as of June 30, 2021 and December 31, 2020 was $12 million and $17 million, respectively. These contract asset balances are included within accounts receivable in the accompanying consolidated balance sheets.</w:t>
      </w:r>
    </w:p>
    <w:p w14:paraId="51FD2A7A" w14:textId="77777777" w:rsidR="00954279" w:rsidRDefault="00A66714">
      <w:pPr>
        <w:ind w:left="144" w:right="144"/>
        <w:rPr>
          <w:sz w:val="20"/>
          <w:szCs w:val="20"/>
        </w:rPr>
      </w:pPr>
      <w:r>
        <w:rPr>
          <w:sz w:val="20"/>
          <w:szCs w:val="20"/>
        </w:rPr>
        <w:t> </w:t>
      </w:r>
    </w:p>
    <w:p w14:paraId="78535D43" w14:textId="77777777" w:rsidR="00954279" w:rsidRDefault="00A66714">
      <w:pPr>
        <w:ind w:left="144" w:right="144"/>
        <w:rPr>
          <w:sz w:val="20"/>
          <w:szCs w:val="20"/>
        </w:rPr>
      </w:pPr>
      <w:r>
        <w:rPr>
          <w:sz w:val="20"/>
          <w:szCs w:val="20"/>
        </w:rPr>
        <w:t xml:space="preserve">We record contract liabilities, or deferred revenue, when we receive cash payments from customers in advance of our performance, including amounts which are refundable. The deferred revenue balance at June 30, 2021 and December 31, 2020 was $6 million, respectively. During the </w:t>
      </w:r>
      <w:bookmarkStart w:id="10" w:name="led65141F20206241595595720546"/>
      <w:r>
        <w:rPr>
          <w:sz w:val="20"/>
          <w:szCs w:val="20"/>
        </w:rPr>
        <w:t>three and six months ended June 30, 2021</w:t>
      </w:r>
      <w:bookmarkEnd w:id="10"/>
      <w:r>
        <w:rPr>
          <w:sz w:val="20"/>
          <w:szCs w:val="20"/>
        </w:rPr>
        <w:t>, we recognized $2 million and $5 million of revenue that was deferred as of December 31, 2020. During the three and six months ended June 30, 2020, we recognized $2 million and $4 million of revenue that was deferred as of December 31, 2019. Deferred revenue balances are included within accrued expenses and other current liabilities in the accompanying consolidated balance sheets.</w:t>
      </w:r>
    </w:p>
    <w:p w14:paraId="312DD677" w14:textId="77777777" w:rsidR="00954279" w:rsidRDefault="00A66714">
      <w:pPr>
        <w:ind w:left="144" w:right="144"/>
        <w:jc w:val="center"/>
        <w:rPr>
          <w:sz w:val="20"/>
          <w:szCs w:val="20"/>
        </w:rPr>
      </w:pPr>
      <w:r>
        <w:rPr>
          <w:sz w:val="20"/>
          <w:szCs w:val="20"/>
        </w:rPr>
        <w:t> </w:t>
      </w:r>
    </w:p>
    <w:p w14:paraId="46896846" w14:textId="77777777" w:rsidR="00954279" w:rsidRDefault="00A66714">
      <w:pPr>
        <w:ind w:left="144" w:right="144"/>
        <w:jc w:val="center"/>
        <w:rPr>
          <w:sz w:val="20"/>
          <w:szCs w:val="20"/>
        </w:rPr>
      </w:pPr>
      <w:r>
        <w:rPr>
          <w:sz w:val="20"/>
          <w:szCs w:val="20"/>
        </w:rPr>
        <w:t>7</w:t>
      </w:r>
    </w:p>
    <w:p w14:paraId="2072257D" w14:textId="584E45B3" w:rsidR="00954279" w:rsidRDefault="00A66714">
      <w:pPr>
        <w:ind w:left="144" w:right="144"/>
        <w:rPr>
          <w:sz w:val="20"/>
          <w:szCs w:val="20"/>
        </w:rPr>
      </w:pPr>
      <w:r>
        <w:rPr>
          <w:sz w:val="20"/>
          <w:szCs w:val="20"/>
        </w:rPr>
        <w:br w:type="page"/>
      </w:r>
    </w:p>
    <w:p w14:paraId="7ED45FF9" w14:textId="12EA7F3D" w:rsidR="00954279" w:rsidRDefault="00A66714">
      <w:pPr>
        <w:ind w:left="144" w:right="144"/>
        <w:rPr>
          <w:sz w:val="20"/>
          <w:szCs w:val="20"/>
        </w:rPr>
      </w:pPr>
      <w:r>
        <w:rPr>
          <w:b/>
          <w:bCs/>
          <w:sz w:val="20"/>
          <w:szCs w:val="20"/>
          <w:u w:val="single"/>
        </w:rPr>
        <w:lastRenderedPageBreak/>
        <w:t>Disaggregated Revenue</w:t>
      </w:r>
      <w:r>
        <w:rPr>
          <w:b/>
          <w:bCs/>
          <w:sz w:val="20"/>
          <w:szCs w:val="20"/>
        </w:rPr>
        <w:t xml:space="preserve">: </w:t>
      </w:r>
      <w:r>
        <w:rPr>
          <w:sz w:val="20"/>
          <w:szCs w:val="20"/>
        </w:rPr>
        <w:t>Our disaggregated revenue represents our business of selling PVF to companies that are predominantly in each of our four end-use sectors, including gas utilities, downstream and industrial, upstream production and midstream pipeline sectors, in each of our reportable segments. Each of our end markets and geographical reportable segments are impacted and influenced by varying factors, including macroeconomic environment, commodity prices, maintenance and capital spending and exploration and production activity. As such, we believe that this information is important in depicting the nature, amount, timing and uncertainty of our contracts with customers.</w:t>
      </w:r>
    </w:p>
    <w:p w14:paraId="3472C0C7" w14:textId="77777777" w:rsidR="00954279" w:rsidRDefault="00A66714">
      <w:pPr>
        <w:ind w:left="144" w:right="144"/>
        <w:rPr>
          <w:sz w:val="20"/>
          <w:szCs w:val="20"/>
        </w:rPr>
      </w:pPr>
      <w:r>
        <w:rPr>
          <w:sz w:val="20"/>
          <w:szCs w:val="20"/>
        </w:rPr>
        <w:t> </w:t>
      </w:r>
    </w:p>
    <w:p w14:paraId="315A6CBC" w14:textId="77777777" w:rsidR="00954279" w:rsidRDefault="00A66714">
      <w:pPr>
        <w:ind w:left="144" w:right="144"/>
        <w:rPr>
          <w:sz w:val="20"/>
          <w:szCs w:val="20"/>
        </w:rPr>
      </w:pPr>
      <w:r>
        <w:rPr>
          <w:sz w:val="20"/>
          <w:szCs w:val="20"/>
        </w:rPr>
        <w:t>The following table presents our revenue disaggregated by revenue source (in millions):</w:t>
      </w:r>
    </w:p>
    <w:tbl>
      <w:tblPr>
        <w:tblStyle w:val="finTable"/>
        <w:tblW w:w="5000" w:type="pct"/>
        <w:tblInd w:w="149" w:type="dxa"/>
        <w:tblCellMar>
          <w:left w:w="0" w:type="dxa"/>
          <w:right w:w="0" w:type="dxa"/>
        </w:tblCellMar>
        <w:tblLook w:val="05E0" w:firstRow="1" w:lastRow="1" w:firstColumn="1" w:lastColumn="1" w:noHBand="0" w:noVBand="1"/>
      </w:tblPr>
      <w:tblGrid>
        <w:gridCol w:w="5615"/>
        <w:gridCol w:w="101"/>
        <w:gridCol w:w="110"/>
        <w:gridCol w:w="965"/>
        <w:gridCol w:w="101"/>
        <w:gridCol w:w="101"/>
        <w:gridCol w:w="111"/>
        <w:gridCol w:w="965"/>
        <w:gridCol w:w="101"/>
        <w:gridCol w:w="102"/>
        <w:gridCol w:w="115"/>
        <w:gridCol w:w="1029"/>
        <w:gridCol w:w="102"/>
        <w:gridCol w:w="102"/>
        <w:gridCol w:w="110"/>
        <w:gridCol w:w="966"/>
        <w:gridCol w:w="104"/>
      </w:tblGrid>
      <w:tr w:rsidR="00954279" w14:paraId="46F1DF47" w14:textId="77777777">
        <w:tc>
          <w:tcPr>
            <w:tcW w:w="0" w:type="auto"/>
            <w:gridSpan w:val="16"/>
            <w:tcMar>
              <w:top w:w="5" w:type="dxa"/>
              <w:left w:w="5" w:type="dxa"/>
              <w:bottom w:w="5" w:type="dxa"/>
              <w:right w:w="5" w:type="dxa"/>
            </w:tcMar>
            <w:vAlign w:val="bottom"/>
            <w:hideMark/>
          </w:tcPr>
          <w:p w14:paraId="2139DCB2" w14:textId="491FF863" w:rsidR="00954279" w:rsidRDefault="00A66714">
            <w:pPr>
              <w:jc w:val="center"/>
              <w:rPr>
                <w:color w:val="000000"/>
                <w:sz w:val="20"/>
                <w:szCs w:val="20"/>
              </w:rPr>
            </w:pPr>
            <w:r>
              <w:rPr>
                <w:sz w:val="20"/>
                <w:szCs w:val="20"/>
              </w:rPr>
              <w:t> </w:t>
            </w:r>
            <w:r>
              <w:rPr>
                <w:b/>
                <w:bCs/>
                <w:color w:val="000000"/>
                <w:sz w:val="20"/>
                <w:szCs w:val="20"/>
              </w:rPr>
              <w:t>Three Months Ended</w:t>
            </w:r>
          </w:p>
        </w:tc>
        <w:tc>
          <w:tcPr>
            <w:tcW w:w="0" w:type="auto"/>
            <w:tcMar>
              <w:top w:w="5" w:type="dxa"/>
              <w:left w:w="5" w:type="dxa"/>
              <w:bottom w:w="5" w:type="dxa"/>
              <w:right w:w="5" w:type="dxa"/>
            </w:tcMar>
            <w:vAlign w:val="bottom"/>
            <w:hideMark/>
          </w:tcPr>
          <w:p w14:paraId="43D469F6" w14:textId="77777777" w:rsidR="00954279" w:rsidRDefault="00A66714">
            <w:pPr>
              <w:rPr>
                <w:color w:val="000000"/>
                <w:sz w:val="20"/>
                <w:szCs w:val="20"/>
              </w:rPr>
            </w:pPr>
            <w:r>
              <w:rPr>
                <w:color w:val="000000"/>
                <w:sz w:val="20"/>
                <w:szCs w:val="20"/>
              </w:rPr>
              <w:t> </w:t>
            </w:r>
          </w:p>
        </w:tc>
      </w:tr>
      <w:tr w:rsidR="00954279" w14:paraId="2FD7C8F3" w14:textId="77777777">
        <w:tc>
          <w:tcPr>
            <w:tcW w:w="0" w:type="auto"/>
            <w:gridSpan w:val="16"/>
            <w:tcBorders>
              <w:bottom w:val="single" w:sz="12" w:space="0" w:color="000000"/>
            </w:tcBorders>
            <w:tcMar>
              <w:top w:w="5" w:type="dxa"/>
              <w:left w:w="5" w:type="dxa"/>
              <w:bottom w:w="15" w:type="dxa"/>
              <w:right w:w="5" w:type="dxa"/>
            </w:tcMar>
            <w:vAlign w:val="bottom"/>
            <w:hideMark/>
          </w:tcPr>
          <w:p w14:paraId="480F89A0" w14:textId="77777777" w:rsidR="00954279" w:rsidRDefault="00A66714">
            <w:pPr>
              <w:jc w:val="center"/>
              <w:rPr>
                <w:color w:val="000000"/>
                <w:sz w:val="20"/>
                <w:szCs w:val="20"/>
              </w:rPr>
            </w:pPr>
            <w:r>
              <w:rPr>
                <w:b/>
                <w:bCs/>
                <w:color w:val="000000"/>
                <w:sz w:val="20"/>
                <w:szCs w:val="20"/>
              </w:rPr>
              <w:t>June 30,</w:t>
            </w:r>
          </w:p>
        </w:tc>
        <w:tc>
          <w:tcPr>
            <w:tcW w:w="0" w:type="auto"/>
            <w:tcMar>
              <w:top w:w="5" w:type="dxa"/>
              <w:left w:w="5" w:type="dxa"/>
              <w:bottom w:w="20" w:type="dxa"/>
              <w:right w:w="5" w:type="dxa"/>
            </w:tcMar>
            <w:vAlign w:val="bottom"/>
            <w:hideMark/>
          </w:tcPr>
          <w:p w14:paraId="171F8902" w14:textId="77777777" w:rsidR="00954279" w:rsidRDefault="00A66714">
            <w:pPr>
              <w:rPr>
                <w:color w:val="000000"/>
                <w:sz w:val="20"/>
                <w:szCs w:val="20"/>
              </w:rPr>
            </w:pPr>
            <w:r>
              <w:rPr>
                <w:color w:val="000000"/>
                <w:sz w:val="20"/>
                <w:szCs w:val="20"/>
              </w:rPr>
              <w:t> </w:t>
            </w:r>
          </w:p>
        </w:tc>
      </w:tr>
      <w:tr w:rsidR="00954279" w14:paraId="5CFCF9B6" w14:textId="77777777">
        <w:tc>
          <w:tcPr>
            <w:tcW w:w="0" w:type="auto"/>
            <w:tcMar>
              <w:top w:w="5" w:type="dxa"/>
              <w:left w:w="5" w:type="dxa"/>
              <w:bottom w:w="5" w:type="dxa"/>
              <w:right w:w="5" w:type="dxa"/>
            </w:tcMar>
            <w:vAlign w:val="bottom"/>
            <w:hideMark/>
          </w:tcPr>
          <w:p w14:paraId="0444E71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262753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6385FC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BBE4A9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E40C78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633F1F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1D776A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1F025F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4EE004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98E55F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4842C2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D9EF56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639B92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F80D83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CF4C2E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4E4EAF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D1796B3" w14:textId="77777777" w:rsidR="00954279" w:rsidRDefault="00A66714">
            <w:pPr>
              <w:rPr>
                <w:color w:val="000000"/>
                <w:sz w:val="20"/>
                <w:szCs w:val="20"/>
              </w:rPr>
            </w:pPr>
            <w:r>
              <w:rPr>
                <w:color w:val="000000"/>
                <w:sz w:val="20"/>
                <w:szCs w:val="20"/>
              </w:rPr>
              <w:t> </w:t>
            </w:r>
          </w:p>
        </w:tc>
      </w:tr>
      <w:tr w:rsidR="00954279" w14:paraId="738588FC" w14:textId="77777777">
        <w:tc>
          <w:tcPr>
            <w:tcW w:w="0" w:type="auto"/>
            <w:tcMar>
              <w:top w:w="5" w:type="dxa"/>
              <w:left w:w="5" w:type="dxa"/>
              <w:bottom w:w="5" w:type="dxa"/>
              <w:right w:w="5" w:type="dxa"/>
            </w:tcMar>
            <w:vAlign w:val="bottom"/>
            <w:hideMark/>
          </w:tcPr>
          <w:p w14:paraId="7004AD2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E73C2E6"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3A08FCFF" w14:textId="77777777" w:rsidR="00954279" w:rsidRDefault="00A66714">
            <w:pPr>
              <w:jc w:val="center"/>
              <w:rPr>
                <w:color w:val="000000"/>
                <w:sz w:val="20"/>
                <w:szCs w:val="20"/>
              </w:rPr>
            </w:pPr>
            <w:r>
              <w:rPr>
                <w:b/>
                <w:bCs/>
                <w:color w:val="000000"/>
                <w:sz w:val="20"/>
                <w:szCs w:val="20"/>
              </w:rPr>
              <w:t>U.S.</w:t>
            </w:r>
          </w:p>
        </w:tc>
        <w:tc>
          <w:tcPr>
            <w:tcW w:w="0" w:type="auto"/>
            <w:tcMar>
              <w:top w:w="5" w:type="dxa"/>
              <w:left w:w="5" w:type="dxa"/>
              <w:bottom w:w="20" w:type="dxa"/>
              <w:right w:w="5" w:type="dxa"/>
            </w:tcMar>
            <w:vAlign w:val="bottom"/>
            <w:hideMark/>
          </w:tcPr>
          <w:p w14:paraId="05DE9DD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85983AA"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2D1CECB2" w14:textId="77777777" w:rsidR="00954279" w:rsidRDefault="00A66714">
            <w:pPr>
              <w:jc w:val="center"/>
              <w:rPr>
                <w:color w:val="000000"/>
                <w:sz w:val="20"/>
                <w:szCs w:val="20"/>
              </w:rPr>
            </w:pPr>
            <w:r>
              <w:rPr>
                <w:b/>
                <w:bCs/>
                <w:color w:val="000000"/>
                <w:sz w:val="20"/>
                <w:szCs w:val="20"/>
              </w:rPr>
              <w:t>Canada</w:t>
            </w:r>
          </w:p>
        </w:tc>
        <w:tc>
          <w:tcPr>
            <w:tcW w:w="0" w:type="auto"/>
            <w:tcMar>
              <w:top w:w="5" w:type="dxa"/>
              <w:left w:w="5" w:type="dxa"/>
              <w:bottom w:w="20" w:type="dxa"/>
              <w:right w:w="5" w:type="dxa"/>
            </w:tcMar>
            <w:vAlign w:val="bottom"/>
            <w:hideMark/>
          </w:tcPr>
          <w:p w14:paraId="49B13DA2"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F9648F1"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33791E44" w14:textId="77777777" w:rsidR="00954279" w:rsidRDefault="00A66714">
            <w:pPr>
              <w:jc w:val="center"/>
              <w:rPr>
                <w:color w:val="000000"/>
                <w:sz w:val="20"/>
                <w:szCs w:val="20"/>
              </w:rPr>
            </w:pPr>
            <w:r>
              <w:rPr>
                <w:b/>
                <w:bCs/>
                <w:color w:val="000000"/>
                <w:sz w:val="20"/>
                <w:szCs w:val="20"/>
              </w:rPr>
              <w:t>International</w:t>
            </w:r>
          </w:p>
        </w:tc>
        <w:tc>
          <w:tcPr>
            <w:tcW w:w="0" w:type="auto"/>
            <w:tcMar>
              <w:top w:w="5" w:type="dxa"/>
              <w:left w:w="5" w:type="dxa"/>
              <w:bottom w:w="20" w:type="dxa"/>
              <w:right w:w="5" w:type="dxa"/>
            </w:tcMar>
            <w:vAlign w:val="bottom"/>
            <w:hideMark/>
          </w:tcPr>
          <w:p w14:paraId="488AF2F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596D208"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6044583" w14:textId="77777777" w:rsidR="00954279" w:rsidRDefault="00A66714">
            <w:pPr>
              <w:jc w:val="center"/>
              <w:rPr>
                <w:color w:val="000000"/>
                <w:sz w:val="20"/>
                <w:szCs w:val="20"/>
              </w:rPr>
            </w:pPr>
            <w:r>
              <w:rPr>
                <w:b/>
                <w:bCs/>
                <w:color w:val="000000"/>
                <w:sz w:val="20"/>
                <w:szCs w:val="20"/>
              </w:rPr>
              <w:t>Total</w:t>
            </w:r>
          </w:p>
        </w:tc>
        <w:tc>
          <w:tcPr>
            <w:tcW w:w="0" w:type="auto"/>
            <w:tcMar>
              <w:top w:w="5" w:type="dxa"/>
              <w:left w:w="5" w:type="dxa"/>
              <w:bottom w:w="20" w:type="dxa"/>
              <w:right w:w="5" w:type="dxa"/>
            </w:tcMar>
            <w:vAlign w:val="bottom"/>
            <w:hideMark/>
          </w:tcPr>
          <w:p w14:paraId="7CEB8CCD" w14:textId="77777777" w:rsidR="00954279" w:rsidRDefault="00A66714">
            <w:pPr>
              <w:rPr>
                <w:color w:val="000000"/>
                <w:sz w:val="20"/>
                <w:szCs w:val="20"/>
              </w:rPr>
            </w:pPr>
            <w:r>
              <w:rPr>
                <w:color w:val="000000"/>
                <w:sz w:val="20"/>
                <w:szCs w:val="20"/>
              </w:rPr>
              <w:t> </w:t>
            </w:r>
          </w:p>
        </w:tc>
      </w:tr>
      <w:tr w:rsidR="00954279" w14:paraId="44F32A7F" w14:textId="77777777" w:rsidTr="00717712">
        <w:tc>
          <w:tcPr>
            <w:tcW w:w="2599" w:type="pct"/>
            <w:tcMar>
              <w:top w:w="5" w:type="dxa"/>
              <w:left w:w="5" w:type="dxa"/>
              <w:bottom w:w="5" w:type="dxa"/>
              <w:right w:w="5" w:type="dxa"/>
            </w:tcMar>
            <w:vAlign w:val="bottom"/>
            <w:hideMark/>
          </w:tcPr>
          <w:p w14:paraId="64E516C4" w14:textId="77777777" w:rsidR="00954279" w:rsidRDefault="00A66714">
            <w:pPr>
              <w:rPr>
                <w:color w:val="000000"/>
                <w:sz w:val="20"/>
                <w:szCs w:val="20"/>
              </w:rPr>
            </w:pPr>
            <w:r>
              <w:rPr>
                <w:b/>
                <w:bCs/>
                <w:color w:val="000000"/>
                <w:sz w:val="20"/>
                <w:szCs w:val="20"/>
              </w:rPr>
              <w:t>2021:</w:t>
            </w:r>
          </w:p>
        </w:tc>
        <w:tc>
          <w:tcPr>
            <w:tcW w:w="0" w:type="auto"/>
            <w:tcMar>
              <w:top w:w="5" w:type="dxa"/>
              <w:left w:w="5" w:type="dxa"/>
              <w:bottom w:w="5" w:type="dxa"/>
              <w:right w:w="5" w:type="dxa"/>
            </w:tcMar>
            <w:vAlign w:val="bottom"/>
            <w:hideMark/>
          </w:tcPr>
          <w:p w14:paraId="43A75AB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64FB51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AE3C77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F680755" w14:textId="77777777" w:rsidR="00954279" w:rsidRDefault="00A66714">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4EE1F5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E3465A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B2CA1D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A499DB4" w14:textId="77777777" w:rsidR="00954279" w:rsidRDefault="00A66714">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5533F21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4DBEF5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479CE4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FEB1BF7" w14:textId="77777777" w:rsidR="00954279" w:rsidRDefault="00A66714">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499C7F9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3D87C4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325A71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688B0CC" w14:textId="77777777" w:rsidR="00954279" w:rsidRDefault="00A66714">
            <w:pPr>
              <w:rPr>
                <w:color w:val="000000"/>
                <w:sz w:val="20"/>
                <w:szCs w:val="20"/>
              </w:rPr>
            </w:pPr>
            <w:r>
              <w:rPr>
                <w:b/>
                <w:bCs/>
                <w:color w:val="000000"/>
                <w:sz w:val="20"/>
                <w:szCs w:val="20"/>
              </w:rPr>
              <w:t> </w:t>
            </w:r>
          </w:p>
        </w:tc>
      </w:tr>
      <w:tr w:rsidR="00954279" w14:paraId="7B373174" w14:textId="77777777" w:rsidTr="00717712">
        <w:tc>
          <w:tcPr>
            <w:tcW w:w="0" w:type="auto"/>
            <w:tcMar>
              <w:top w:w="5" w:type="dxa"/>
              <w:left w:w="5" w:type="dxa"/>
              <w:bottom w:w="5" w:type="dxa"/>
              <w:right w:w="5" w:type="dxa"/>
            </w:tcMar>
            <w:vAlign w:val="bottom"/>
            <w:hideMark/>
          </w:tcPr>
          <w:p w14:paraId="3FB2204E" w14:textId="77777777" w:rsidR="00954279" w:rsidRDefault="00A66714">
            <w:pPr>
              <w:rPr>
                <w:color w:val="000000"/>
                <w:sz w:val="20"/>
                <w:szCs w:val="20"/>
              </w:rPr>
            </w:pPr>
            <w:r>
              <w:rPr>
                <w:color w:val="000000"/>
                <w:sz w:val="20"/>
                <w:szCs w:val="20"/>
              </w:rPr>
              <w:t>Gas utilities</w:t>
            </w:r>
          </w:p>
        </w:tc>
        <w:tc>
          <w:tcPr>
            <w:tcW w:w="47" w:type="pct"/>
            <w:tcMar>
              <w:top w:w="5" w:type="dxa"/>
              <w:left w:w="5" w:type="dxa"/>
              <w:bottom w:w="5" w:type="dxa"/>
              <w:right w:w="5" w:type="dxa"/>
            </w:tcMar>
            <w:vAlign w:val="bottom"/>
            <w:hideMark/>
          </w:tcPr>
          <w:p w14:paraId="2F8E25D5"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7B4E1984" w14:textId="77777777" w:rsidR="00954279" w:rsidRDefault="00A66714">
            <w:pPr>
              <w:rPr>
                <w:color w:val="000000"/>
                <w:sz w:val="20"/>
                <w:szCs w:val="20"/>
              </w:rPr>
            </w:pPr>
            <w:r>
              <w:rPr>
                <w:color w:val="000000"/>
                <w:sz w:val="20"/>
                <w:szCs w:val="20"/>
              </w:rPr>
              <w:t>$</w:t>
            </w:r>
          </w:p>
        </w:tc>
        <w:tc>
          <w:tcPr>
            <w:tcW w:w="447" w:type="pct"/>
            <w:tcMar>
              <w:top w:w="5" w:type="dxa"/>
              <w:left w:w="5" w:type="dxa"/>
              <w:bottom w:w="5" w:type="dxa"/>
              <w:right w:w="5" w:type="dxa"/>
            </w:tcMar>
            <w:vAlign w:val="bottom"/>
            <w:hideMark/>
          </w:tcPr>
          <w:p w14:paraId="7E35E58B" w14:textId="77777777" w:rsidR="00954279" w:rsidRDefault="00A66714">
            <w:pPr>
              <w:jc w:val="right"/>
              <w:rPr>
                <w:color w:val="000000"/>
                <w:sz w:val="20"/>
                <w:szCs w:val="20"/>
              </w:rPr>
            </w:pPr>
            <w:r>
              <w:rPr>
                <w:b/>
                <w:bCs/>
                <w:color w:val="000000"/>
                <w:sz w:val="20"/>
                <w:szCs w:val="20"/>
              </w:rPr>
              <w:t>267</w:t>
            </w:r>
          </w:p>
        </w:tc>
        <w:tc>
          <w:tcPr>
            <w:tcW w:w="47" w:type="pct"/>
            <w:noWrap/>
            <w:tcMar>
              <w:top w:w="5" w:type="dxa"/>
              <w:left w:w="5" w:type="dxa"/>
              <w:bottom w:w="5" w:type="dxa"/>
              <w:right w:w="5" w:type="dxa"/>
            </w:tcMar>
            <w:vAlign w:val="bottom"/>
            <w:hideMark/>
          </w:tcPr>
          <w:p w14:paraId="74B40ACA"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3A0EECFB"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69A62DED" w14:textId="77777777" w:rsidR="00954279" w:rsidRDefault="00A66714">
            <w:pPr>
              <w:rPr>
                <w:color w:val="000000"/>
                <w:sz w:val="20"/>
                <w:szCs w:val="20"/>
              </w:rPr>
            </w:pPr>
            <w:r>
              <w:rPr>
                <w:color w:val="000000"/>
                <w:sz w:val="20"/>
                <w:szCs w:val="20"/>
              </w:rPr>
              <w:t>$</w:t>
            </w:r>
          </w:p>
        </w:tc>
        <w:tc>
          <w:tcPr>
            <w:tcW w:w="447" w:type="pct"/>
            <w:tcMar>
              <w:top w:w="5" w:type="dxa"/>
              <w:left w:w="5" w:type="dxa"/>
              <w:bottom w:w="5" w:type="dxa"/>
              <w:right w:w="5" w:type="dxa"/>
            </w:tcMar>
            <w:vAlign w:val="bottom"/>
            <w:hideMark/>
          </w:tcPr>
          <w:p w14:paraId="273CC7A6" w14:textId="77777777" w:rsidR="00954279" w:rsidRDefault="00A66714">
            <w:pPr>
              <w:jc w:val="right"/>
              <w:rPr>
                <w:color w:val="000000"/>
                <w:sz w:val="20"/>
                <w:szCs w:val="20"/>
              </w:rPr>
            </w:pPr>
            <w:r>
              <w:rPr>
                <w:b/>
                <w:bCs/>
                <w:color w:val="000000"/>
                <w:sz w:val="20"/>
                <w:szCs w:val="20"/>
              </w:rPr>
              <w:t>2</w:t>
            </w:r>
          </w:p>
        </w:tc>
        <w:tc>
          <w:tcPr>
            <w:tcW w:w="47" w:type="pct"/>
            <w:noWrap/>
            <w:tcMar>
              <w:top w:w="5" w:type="dxa"/>
              <w:left w:w="5" w:type="dxa"/>
              <w:bottom w:w="5" w:type="dxa"/>
              <w:right w:w="5" w:type="dxa"/>
            </w:tcMar>
            <w:vAlign w:val="bottom"/>
            <w:hideMark/>
          </w:tcPr>
          <w:p w14:paraId="61C3EA05"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33F59CEE" w14:textId="77777777" w:rsidR="00954279" w:rsidRDefault="00A66714">
            <w:pPr>
              <w:rPr>
                <w:color w:val="000000"/>
                <w:sz w:val="20"/>
                <w:szCs w:val="20"/>
              </w:rPr>
            </w:pPr>
            <w:r>
              <w:rPr>
                <w:color w:val="000000"/>
                <w:sz w:val="20"/>
                <w:szCs w:val="20"/>
              </w:rPr>
              <w:t> </w:t>
            </w:r>
          </w:p>
        </w:tc>
        <w:tc>
          <w:tcPr>
            <w:tcW w:w="53" w:type="pct"/>
            <w:tcMar>
              <w:top w:w="5" w:type="dxa"/>
              <w:left w:w="5" w:type="dxa"/>
              <w:bottom w:w="5" w:type="dxa"/>
              <w:right w:w="5" w:type="dxa"/>
            </w:tcMar>
            <w:vAlign w:val="bottom"/>
            <w:hideMark/>
          </w:tcPr>
          <w:p w14:paraId="70922B80" w14:textId="77777777" w:rsidR="00954279" w:rsidRDefault="00A66714">
            <w:pPr>
              <w:rPr>
                <w:color w:val="000000"/>
                <w:sz w:val="20"/>
                <w:szCs w:val="20"/>
              </w:rPr>
            </w:pPr>
            <w:r>
              <w:rPr>
                <w:color w:val="000000"/>
                <w:sz w:val="20"/>
                <w:szCs w:val="20"/>
              </w:rPr>
              <w:t>$</w:t>
            </w:r>
          </w:p>
        </w:tc>
        <w:tc>
          <w:tcPr>
            <w:tcW w:w="476" w:type="pct"/>
            <w:tcMar>
              <w:top w:w="5" w:type="dxa"/>
              <w:left w:w="5" w:type="dxa"/>
              <w:bottom w:w="5" w:type="dxa"/>
              <w:right w:w="5" w:type="dxa"/>
            </w:tcMar>
            <w:vAlign w:val="bottom"/>
            <w:hideMark/>
          </w:tcPr>
          <w:p w14:paraId="329BD3EC" w14:textId="77777777" w:rsidR="00954279" w:rsidRDefault="00A66714">
            <w:pPr>
              <w:jc w:val="right"/>
              <w:rPr>
                <w:color w:val="000000"/>
                <w:sz w:val="20"/>
                <w:szCs w:val="20"/>
              </w:rPr>
            </w:pPr>
            <w:r>
              <w:rPr>
                <w:b/>
                <w:bCs/>
                <w:color w:val="000000"/>
                <w:sz w:val="20"/>
                <w:szCs w:val="20"/>
              </w:rPr>
              <w:t>—</w:t>
            </w:r>
          </w:p>
        </w:tc>
        <w:tc>
          <w:tcPr>
            <w:tcW w:w="47" w:type="pct"/>
            <w:noWrap/>
            <w:tcMar>
              <w:top w:w="5" w:type="dxa"/>
              <w:left w:w="5" w:type="dxa"/>
              <w:bottom w:w="5" w:type="dxa"/>
              <w:right w:w="5" w:type="dxa"/>
            </w:tcMar>
            <w:vAlign w:val="bottom"/>
            <w:hideMark/>
          </w:tcPr>
          <w:p w14:paraId="1F1DD97B"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572D07DE"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7593B4B9" w14:textId="77777777" w:rsidR="00954279" w:rsidRDefault="00A66714">
            <w:pPr>
              <w:rPr>
                <w:color w:val="000000"/>
                <w:sz w:val="20"/>
                <w:szCs w:val="20"/>
              </w:rPr>
            </w:pPr>
            <w:r>
              <w:rPr>
                <w:color w:val="000000"/>
                <w:sz w:val="20"/>
                <w:szCs w:val="20"/>
              </w:rPr>
              <w:t>$</w:t>
            </w:r>
          </w:p>
        </w:tc>
        <w:tc>
          <w:tcPr>
            <w:tcW w:w="447" w:type="pct"/>
            <w:tcMar>
              <w:top w:w="5" w:type="dxa"/>
              <w:left w:w="5" w:type="dxa"/>
              <w:bottom w:w="5" w:type="dxa"/>
              <w:right w:w="5" w:type="dxa"/>
            </w:tcMar>
            <w:vAlign w:val="bottom"/>
            <w:hideMark/>
          </w:tcPr>
          <w:p w14:paraId="3E891EAF" w14:textId="77777777" w:rsidR="00954279" w:rsidRDefault="00A66714">
            <w:pPr>
              <w:jc w:val="right"/>
              <w:rPr>
                <w:color w:val="000000"/>
                <w:sz w:val="20"/>
                <w:szCs w:val="20"/>
              </w:rPr>
            </w:pPr>
            <w:r>
              <w:rPr>
                <w:b/>
                <w:bCs/>
                <w:color w:val="000000"/>
                <w:sz w:val="20"/>
                <w:szCs w:val="20"/>
              </w:rPr>
              <w:t>269</w:t>
            </w:r>
          </w:p>
        </w:tc>
        <w:tc>
          <w:tcPr>
            <w:tcW w:w="47" w:type="pct"/>
            <w:noWrap/>
            <w:tcMar>
              <w:top w:w="5" w:type="dxa"/>
              <w:left w:w="5" w:type="dxa"/>
              <w:bottom w:w="5" w:type="dxa"/>
              <w:right w:w="5" w:type="dxa"/>
            </w:tcMar>
            <w:vAlign w:val="bottom"/>
            <w:hideMark/>
          </w:tcPr>
          <w:p w14:paraId="2D6AF49F" w14:textId="77777777" w:rsidR="00954279" w:rsidRDefault="00A66714">
            <w:pPr>
              <w:rPr>
                <w:color w:val="000000"/>
                <w:sz w:val="20"/>
                <w:szCs w:val="20"/>
              </w:rPr>
            </w:pPr>
            <w:r>
              <w:rPr>
                <w:color w:val="000000"/>
                <w:sz w:val="20"/>
                <w:szCs w:val="20"/>
              </w:rPr>
              <w:t> </w:t>
            </w:r>
          </w:p>
        </w:tc>
      </w:tr>
      <w:tr w:rsidR="00954279" w14:paraId="56D32B02" w14:textId="77777777" w:rsidTr="00717712">
        <w:tc>
          <w:tcPr>
            <w:tcW w:w="0" w:type="auto"/>
            <w:tcMar>
              <w:top w:w="5" w:type="dxa"/>
              <w:left w:w="5" w:type="dxa"/>
              <w:bottom w:w="5" w:type="dxa"/>
              <w:right w:w="5" w:type="dxa"/>
            </w:tcMar>
            <w:vAlign w:val="bottom"/>
            <w:hideMark/>
          </w:tcPr>
          <w:p w14:paraId="0F712A1A" w14:textId="77777777" w:rsidR="00954279" w:rsidRDefault="00A66714">
            <w:pPr>
              <w:rPr>
                <w:color w:val="000000"/>
                <w:sz w:val="20"/>
                <w:szCs w:val="20"/>
              </w:rPr>
            </w:pPr>
            <w:r>
              <w:rPr>
                <w:color w:val="000000"/>
                <w:sz w:val="20"/>
                <w:szCs w:val="20"/>
              </w:rPr>
              <w:t>Downstream &amp; industrial</w:t>
            </w:r>
          </w:p>
        </w:tc>
        <w:tc>
          <w:tcPr>
            <w:tcW w:w="47" w:type="pct"/>
            <w:tcMar>
              <w:top w:w="5" w:type="dxa"/>
              <w:left w:w="5" w:type="dxa"/>
              <w:bottom w:w="5" w:type="dxa"/>
              <w:right w:w="5" w:type="dxa"/>
            </w:tcMar>
            <w:vAlign w:val="bottom"/>
            <w:hideMark/>
          </w:tcPr>
          <w:p w14:paraId="0368DDC6"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69109C7D" w14:textId="77777777" w:rsidR="00954279" w:rsidRDefault="00A66714">
            <w:pPr>
              <w:rPr>
                <w:color w:val="000000"/>
                <w:sz w:val="20"/>
                <w:szCs w:val="20"/>
              </w:rPr>
            </w:pPr>
            <w:r>
              <w:rPr>
                <w:color w:val="000000"/>
                <w:sz w:val="20"/>
                <w:szCs w:val="20"/>
              </w:rPr>
              <w:t> </w:t>
            </w:r>
          </w:p>
        </w:tc>
        <w:tc>
          <w:tcPr>
            <w:tcW w:w="447" w:type="pct"/>
            <w:tcMar>
              <w:top w:w="5" w:type="dxa"/>
              <w:left w:w="5" w:type="dxa"/>
              <w:bottom w:w="5" w:type="dxa"/>
              <w:right w:w="5" w:type="dxa"/>
            </w:tcMar>
            <w:vAlign w:val="bottom"/>
            <w:hideMark/>
          </w:tcPr>
          <w:p w14:paraId="3D506404" w14:textId="77777777" w:rsidR="00954279" w:rsidRDefault="00A66714">
            <w:pPr>
              <w:jc w:val="right"/>
              <w:rPr>
                <w:color w:val="000000"/>
                <w:sz w:val="20"/>
                <w:szCs w:val="20"/>
              </w:rPr>
            </w:pPr>
            <w:r>
              <w:rPr>
                <w:b/>
                <w:bCs/>
                <w:color w:val="000000"/>
                <w:sz w:val="20"/>
                <w:szCs w:val="20"/>
              </w:rPr>
              <w:t>136</w:t>
            </w:r>
          </w:p>
        </w:tc>
        <w:tc>
          <w:tcPr>
            <w:tcW w:w="47" w:type="pct"/>
            <w:noWrap/>
            <w:tcMar>
              <w:top w:w="5" w:type="dxa"/>
              <w:left w:w="5" w:type="dxa"/>
              <w:bottom w:w="5" w:type="dxa"/>
              <w:right w:w="5" w:type="dxa"/>
            </w:tcMar>
            <w:vAlign w:val="bottom"/>
            <w:hideMark/>
          </w:tcPr>
          <w:p w14:paraId="5019C9EA"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0863F565"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7DC9DFEE" w14:textId="77777777" w:rsidR="00954279" w:rsidRDefault="00A66714">
            <w:pPr>
              <w:rPr>
                <w:color w:val="000000"/>
                <w:sz w:val="20"/>
                <w:szCs w:val="20"/>
              </w:rPr>
            </w:pPr>
            <w:r>
              <w:rPr>
                <w:color w:val="000000"/>
                <w:sz w:val="20"/>
                <w:szCs w:val="20"/>
              </w:rPr>
              <w:t> </w:t>
            </w:r>
          </w:p>
        </w:tc>
        <w:tc>
          <w:tcPr>
            <w:tcW w:w="447" w:type="pct"/>
            <w:tcMar>
              <w:top w:w="5" w:type="dxa"/>
              <w:left w:w="5" w:type="dxa"/>
              <w:bottom w:w="5" w:type="dxa"/>
              <w:right w:w="5" w:type="dxa"/>
            </w:tcMar>
            <w:vAlign w:val="bottom"/>
            <w:hideMark/>
          </w:tcPr>
          <w:p w14:paraId="44A0AF29" w14:textId="77777777" w:rsidR="00954279" w:rsidRDefault="00A66714">
            <w:pPr>
              <w:jc w:val="right"/>
              <w:rPr>
                <w:color w:val="000000"/>
                <w:sz w:val="20"/>
                <w:szCs w:val="20"/>
              </w:rPr>
            </w:pPr>
            <w:r>
              <w:rPr>
                <w:b/>
                <w:bCs/>
                <w:color w:val="000000"/>
                <w:sz w:val="20"/>
                <w:szCs w:val="20"/>
              </w:rPr>
              <w:t>5</w:t>
            </w:r>
          </w:p>
        </w:tc>
        <w:tc>
          <w:tcPr>
            <w:tcW w:w="47" w:type="pct"/>
            <w:noWrap/>
            <w:tcMar>
              <w:top w:w="5" w:type="dxa"/>
              <w:left w:w="5" w:type="dxa"/>
              <w:bottom w:w="5" w:type="dxa"/>
              <w:right w:w="5" w:type="dxa"/>
            </w:tcMar>
            <w:vAlign w:val="bottom"/>
            <w:hideMark/>
          </w:tcPr>
          <w:p w14:paraId="636CA1EB"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598C8F08" w14:textId="77777777" w:rsidR="00954279" w:rsidRDefault="00A66714">
            <w:pPr>
              <w:rPr>
                <w:color w:val="000000"/>
                <w:sz w:val="20"/>
                <w:szCs w:val="20"/>
              </w:rPr>
            </w:pPr>
            <w:r>
              <w:rPr>
                <w:color w:val="000000"/>
                <w:sz w:val="20"/>
                <w:szCs w:val="20"/>
              </w:rPr>
              <w:t> </w:t>
            </w:r>
          </w:p>
        </w:tc>
        <w:tc>
          <w:tcPr>
            <w:tcW w:w="53" w:type="pct"/>
            <w:tcMar>
              <w:top w:w="5" w:type="dxa"/>
              <w:left w:w="5" w:type="dxa"/>
              <w:bottom w:w="5" w:type="dxa"/>
              <w:right w:w="5" w:type="dxa"/>
            </w:tcMar>
            <w:vAlign w:val="bottom"/>
            <w:hideMark/>
          </w:tcPr>
          <w:p w14:paraId="00581DDF" w14:textId="77777777" w:rsidR="00954279" w:rsidRDefault="00A66714">
            <w:pPr>
              <w:rPr>
                <w:color w:val="000000"/>
                <w:sz w:val="20"/>
                <w:szCs w:val="20"/>
              </w:rPr>
            </w:pPr>
            <w:r>
              <w:rPr>
                <w:color w:val="000000"/>
                <w:sz w:val="20"/>
                <w:szCs w:val="20"/>
              </w:rPr>
              <w:t> </w:t>
            </w:r>
          </w:p>
        </w:tc>
        <w:tc>
          <w:tcPr>
            <w:tcW w:w="476" w:type="pct"/>
            <w:tcMar>
              <w:top w:w="5" w:type="dxa"/>
              <w:left w:w="5" w:type="dxa"/>
              <w:bottom w:w="5" w:type="dxa"/>
              <w:right w:w="5" w:type="dxa"/>
            </w:tcMar>
            <w:vAlign w:val="bottom"/>
            <w:hideMark/>
          </w:tcPr>
          <w:p w14:paraId="4F7EA012" w14:textId="77777777" w:rsidR="00954279" w:rsidRDefault="00A66714">
            <w:pPr>
              <w:jc w:val="right"/>
              <w:rPr>
                <w:color w:val="000000"/>
                <w:sz w:val="20"/>
                <w:szCs w:val="20"/>
              </w:rPr>
            </w:pPr>
            <w:r>
              <w:rPr>
                <w:b/>
                <w:bCs/>
                <w:color w:val="000000"/>
                <w:sz w:val="20"/>
                <w:szCs w:val="20"/>
              </w:rPr>
              <w:t>50</w:t>
            </w:r>
          </w:p>
        </w:tc>
        <w:tc>
          <w:tcPr>
            <w:tcW w:w="47" w:type="pct"/>
            <w:noWrap/>
            <w:tcMar>
              <w:top w:w="5" w:type="dxa"/>
              <w:left w:w="5" w:type="dxa"/>
              <w:bottom w:w="5" w:type="dxa"/>
              <w:right w:w="5" w:type="dxa"/>
            </w:tcMar>
            <w:vAlign w:val="bottom"/>
            <w:hideMark/>
          </w:tcPr>
          <w:p w14:paraId="47CFA4E3"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03F5723C"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7A2C0C22" w14:textId="77777777" w:rsidR="00954279" w:rsidRDefault="00A66714">
            <w:pPr>
              <w:rPr>
                <w:color w:val="000000"/>
                <w:sz w:val="20"/>
                <w:szCs w:val="20"/>
              </w:rPr>
            </w:pPr>
            <w:r>
              <w:rPr>
                <w:color w:val="000000"/>
                <w:sz w:val="20"/>
                <w:szCs w:val="20"/>
              </w:rPr>
              <w:t> </w:t>
            </w:r>
          </w:p>
        </w:tc>
        <w:tc>
          <w:tcPr>
            <w:tcW w:w="447" w:type="pct"/>
            <w:tcMar>
              <w:top w:w="5" w:type="dxa"/>
              <w:left w:w="5" w:type="dxa"/>
              <w:bottom w:w="5" w:type="dxa"/>
              <w:right w:w="5" w:type="dxa"/>
            </w:tcMar>
            <w:vAlign w:val="bottom"/>
            <w:hideMark/>
          </w:tcPr>
          <w:p w14:paraId="06DA783B" w14:textId="77777777" w:rsidR="00954279" w:rsidRDefault="00A66714">
            <w:pPr>
              <w:jc w:val="right"/>
              <w:rPr>
                <w:color w:val="000000"/>
                <w:sz w:val="20"/>
                <w:szCs w:val="20"/>
              </w:rPr>
            </w:pPr>
            <w:r>
              <w:rPr>
                <w:b/>
                <w:bCs/>
                <w:color w:val="000000"/>
                <w:sz w:val="20"/>
                <w:szCs w:val="20"/>
              </w:rPr>
              <w:t>191</w:t>
            </w:r>
          </w:p>
        </w:tc>
        <w:tc>
          <w:tcPr>
            <w:tcW w:w="47" w:type="pct"/>
            <w:noWrap/>
            <w:tcMar>
              <w:top w:w="5" w:type="dxa"/>
              <w:left w:w="5" w:type="dxa"/>
              <w:bottom w:w="5" w:type="dxa"/>
              <w:right w:w="5" w:type="dxa"/>
            </w:tcMar>
            <w:vAlign w:val="bottom"/>
            <w:hideMark/>
          </w:tcPr>
          <w:p w14:paraId="064316ED" w14:textId="77777777" w:rsidR="00954279" w:rsidRDefault="00A66714">
            <w:pPr>
              <w:rPr>
                <w:color w:val="000000"/>
                <w:sz w:val="20"/>
                <w:szCs w:val="20"/>
              </w:rPr>
            </w:pPr>
            <w:r>
              <w:rPr>
                <w:color w:val="000000"/>
                <w:sz w:val="20"/>
                <w:szCs w:val="20"/>
              </w:rPr>
              <w:t> </w:t>
            </w:r>
          </w:p>
        </w:tc>
      </w:tr>
      <w:tr w:rsidR="00954279" w14:paraId="7FD58554" w14:textId="77777777" w:rsidTr="00717712">
        <w:tc>
          <w:tcPr>
            <w:tcW w:w="0" w:type="auto"/>
            <w:tcMar>
              <w:top w:w="5" w:type="dxa"/>
              <w:left w:w="5" w:type="dxa"/>
              <w:bottom w:w="5" w:type="dxa"/>
              <w:right w:w="5" w:type="dxa"/>
            </w:tcMar>
            <w:vAlign w:val="bottom"/>
            <w:hideMark/>
          </w:tcPr>
          <w:p w14:paraId="7E25CC4E" w14:textId="77777777" w:rsidR="00954279" w:rsidRDefault="00A66714">
            <w:pPr>
              <w:rPr>
                <w:color w:val="000000"/>
                <w:sz w:val="20"/>
                <w:szCs w:val="20"/>
              </w:rPr>
            </w:pPr>
            <w:r>
              <w:rPr>
                <w:color w:val="000000"/>
                <w:sz w:val="20"/>
                <w:szCs w:val="20"/>
              </w:rPr>
              <w:t>Upstream production</w:t>
            </w:r>
          </w:p>
        </w:tc>
        <w:tc>
          <w:tcPr>
            <w:tcW w:w="47" w:type="pct"/>
            <w:tcMar>
              <w:top w:w="5" w:type="dxa"/>
              <w:left w:w="5" w:type="dxa"/>
              <w:bottom w:w="5" w:type="dxa"/>
              <w:right w:w="5" w:type="dxa"/>
            </w:tcMar>
            <w:vAlign w:val="bottom"/>
            <w:hideMark/>
          </w:tcPr>
          <w:p w14:paraId="0B1BD1B6"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4548F2E2" w14:textId="77777777" w:rsidR="00954279" w:rsidRDefault="00A66714">
            <w:pPr>
              <w:rPr>
                <w:color w:val="000000"/>
                <w:sz w:val="20"/>
                <w:szCs w:val="20"/>
              </w:rPr>
            </w:pPr>
            <w:r>
              <w:rPr>
                <w:color w:val="000000"/>
                <w:sz w:val="20"/>
                <w:szCs w:val="20"/>
              </w:rPr>
              <w:t> </w:t>
            </w:r>
          </w:p>
        </w:tc>
        <w:tc>
          <w:tcPr>
            <w:tcW w:w="447" w:type="pct"/>
            <w:tcMar>
              <w:top w:w="5" w:type="dxa"/>
              <w:left w:w="5" w:type="dxa"/>
              <w:bottom w:w="5" w:type="dxa"/>
              <w:right w:w="5" w:type="dxa"/>
            </w:tcMar>
            <w:vAlign w:val="bottom"/>
            <w:hideMark/>
          </w:tcPr>
          <w:p w14:paraId="1A9A91AF" w14:textId="77777777" w:rsidR="00954279" w:rsidRDefault="00A66714">
            <w:pPr>
              <w:jc w:val="right"/>
              <w:rPr>
                <w:color w:val="000000"/>
                <w:sz w:val="20"/>
                <w:szCs w:val="20"/>
              </w:rPr>
            </w:pPr>
            <w:r>
              <w:rPr>
                <w:b/>
                <w:bCs/>
                <w:color w:val="000000"/>
                <w:sz w:val="20"/>
                <w:szCs w:val="20"/>
              </w:rPr>
              <w:t>81</w:t>
            </w:r>
          </w:p>
        </w:tc>
        <w:tc>
          <w:tcPr>
            <w:tcW w:w="47" w:type="pct"/>
            <w:noWrap/>
            <w:tcMar>
              <w:top w:w="5" w:type="dxa"/>
              <w:left w:w="5" w:type="dxa"/>
              <w:bottom w:w="5" w:type="dxa"/>
              <w:right w:w="5" w:type="dxa"/>
            </w:tcMar>
            <w:vAlign w:val="bottom"/>
            <w:hideMark/>
          </w:tcPr>
          <w:p w14:paraId="36D3A84A"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70EBDDD2"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23A9B14F" w14:textId="77777777" w:rsidR="00954279" w:rsidRDefault="00A66714">
            <w:pPr>
              <w:rPr>
                <w:color w:val="000000"/>
                <w:sz w:val="20"/>
                <w:szCs w:val="20"/>
              </w:rPr>
            </w:pPr>
            <w:r>
              <w:rPr>
                <w:color w:val="000000"/>
                <w:sz w:val="20"/>
                <w:szCs w:val="20"/>
              </w:rPr>
              <w:t> </w:t>
            </w:r>
          </w:p>
        </w:tc>
        <w:tc>
          <w:tcPr>
            <w:tcW w:w="447" w:type="pct"/>
            <w:tcMar>
              <w:top w:w="5" w:type="dxa"/>
              <w:left w:w="5" w:type="dxa"/>
              <w:bottom w:w="5" w:type="dxa"/>
              <w:right w:w="5" w:type="dxa"/>
            </w:tcMar>
            <w:vAlign w:val="bottom"/>
            <w:hideMark/>
          </w:tcPr>
          <w:p w14:paraId="4003EC74" w14:textId="77777777" w:rsidR="00954279" w:rsidRDefault="00A66714">
            <w:pPr>
              <w:jc w:val="right"/>
              <w:rPr>
                <w:color w:val="000000"/>
                <w:sz w:val="20"/>
                <w:szCs w:val="20"/>
              </w:rPr>
            </w:pPr>
            <w:r>
              <w:rPr>
                <w:b/>
                <w:bCs/>
                <w:color w:val="000000"/>
                <w:sz w:val="20"/>
                <w:szCs w:val="20"/>
              </w:rPr>
              <w:t>21</w:t>
            </w:r>
          </w:p>
        </w:tc>
        <w:tc>
          <w:tcPr>
            <w:tcW w:w="47" w:type="pct"/>
            <w:noWrap/>
            <w:tcMar>
              <w:top w:w="5" w:type="dxa"/>
              <w:left w:w="5" w:type="dxa"/>
              <w:bottom w:w="5" w:type="dxa"/>
              <w:right w:w="5" w:type="dxa"/>
            </w:tcMar>
            <w:vAlign w:val="bottom"/>
            <w:hideMark/>
          </w:tcPr>
          <w:p w14:paraId="7193064A"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30653128" w14:textId="77777777" w:rsidR="00954279" w:rsidRDefault="00A66714">
            <w:pPr>
              <w:rPr>
                <w:color w:val="000000"/>
                <w:sz w:val="20"/>
                <w:szCs w:val="20"/>
              </w:rPr>
            </w:pPr>
            <w:r>
              <w:rPr>
                <w:color w:val="000000"/>
                <w:sz w:val="20"/>
                <w:szCs w:val="20"/>
              </w:rPr>
              <w:t> </w:t>
            </w:r>
          </w:p>
        </w:tc>
        <w:tc>
          <w:tcPr>
            <w:tcW w:w="53" w:type="pct"/>
            <w:tcMar>
              <w:top w:w="5" w:type="dxa"/>
              <w:left w:w="5" w:type="dxa"/>
              <w:bottom w:w="5" w:type="dxa"/>
              <w:right w:w="5" w:type="dxa"/>
            </w:tcMar>
            <w:vAlign w:val="bottom"/>
            <w:hideMark/>
          </w:tcPr>
          <w:p w14:paraId="351B9124" w14:textId="77777777" w:rsidR="00954279" w:rsidRDefault="00A66714">
            <w:pPr>
              <w:rPr>
                <w:color w:val="000000"/>
                <w:sz w:val="20"/>
                <w:szCs w:val="20"/>
              </w:rPr>
            </w:pPr>
            <w:r>
              <w:rPr>
                <w:color w:val="000000"/>
                <w:sz w:val="20"/>
                <w:szCs w:val="20"/>
              </w:rPr>
              <w:t> </w:t>
            </w:r>
          </w:p>
        </w:tc>
        <w:tc>
          <w:tcPr>
            <w:tcW w:w="476" w:type="pct"/>
            <w:tcMar>
              <w:top w:w="5" w:type="dxa"/>
              <w:left w:w="5" w:type="dxa"/>
              <w:bottom w:w="5" w:type="dxa"/>
              <w:right w:w="5" w:type="dxa"/>
            </w:tcMar>
            <w:vAlign w:val="bottom"/>
            <w:hideMark/>
          </w:tcPr>
          <w:p w14:paraId="7D9BE219" w14:textId="77777777" w:rsidR="00954279" w:rsidRDefault="00A66714">
            <w:pPr>
              <w:jc w:val="right"/>
              <w:rPr>
                <w:color w:val="000000"/>
                <w:sz w:val="20"/>
                <w:szCs w:val="20"/>
              </w:rPr>
            </w:pPr>
            <w:r>
              <w:rPr>
                <w:b/>
                <w:bCs/>
                <w:color w:val="000000"/>
                <w:sz w:val="20"/>
                <w:szCs w:val="20"/>
              </w:rPr>
              <w:t>41</w:t>
            </w:r>
          </w:p>
        </w:tc>
        <w:tc>
          <w:tcPr>
            <w:tcW w:w="47" w:type="pct"/>
            <w:noWrap/>
            <w:tcMar>
              <w:top w:w="5" w:type="dxa"/>
              <w:left w:w="5" w:type="dxa"/>
              <w:bottom w:w="5" w:type="dxa"/>
              <w:right w:w="5" w:type="dxa"/>
            </w:tcMar>
            <w:vAlign w:val="bottom"/>
            <w:hideMark/>
          </w:tcPr>
          <w:p w14:paraId="603DD8FC"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3FBA17C9"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612F447F" w14:textId="77777777" w:rsidR="00954279" w:rsidRDefault="00A66714">
            <w:pPr>
              <w:rPr>
                <w:color w:val="000000"/>
                <w:sz w:val="20"/>
                <w:szCs w:val="20"/>
              </w:rPr>
            </w:pPr>
            <w:r>
              <w:rPr>
                <w:color w:val="000000"/>
                <w:sz w:val="20"/>
                <w:szCs w:val="20"/>
              </w:rPr>
              <w:t> </w:t>
            </w:r>
          </w:p>
        </w:tc>
        <w:tc>
          <w:tcPr>
            <w:tcW w:w="447" w:type="pct"/>
            <w:tcMar>
              <w:top w:w="5" w:type="dxa"/>
              <w:left w:w="5" w:type="dxa"/>
              <w:bottom w:w="5" w:type="dxa"/>
              <w:right w:w="5" w:type="dxa"/>
            </w:tcMar>
            <w:vAlign w:val="bottom"/>
            <w:hideMark/>
          </w:tcPr>
          <w:p w14:paraId="6D63AB1A" w14:textId="77777777" w:rsidR="00954279" w:rsidRDefault="00A66714">
            <w:pPr>
              <w:jc w:val="right"/>
              <w:rPr>
                <w:color w:val="000000"/>
                <w:sz w:val="20"/>
                <w:szCs w:val="20"/>
              </w:rPr>
            </w:pPr>
            <w:r>
              <w:rPr>
                <w:b/>
                <w:bCs/>
                <w:color w:val="000000"/>
                <w:sz w:val="20"/>
                <w:szCs w:val="20"/>
              </w:rPr>
              <w:t>143</w:t>
            </w:r>
          </w:p>
        </w:tc>
        <w:tc>
          <w:tcPr>
            <w:tcW w:w="47" w:type="pct"/>
            <w:noWrap/>
            <w:tcMar>
              <w:top w:w="5" w:type="dxa"/>
              <w:left w:w="5" w:type="dxa"/>
              <w:bottom w:w="5" w:type="dxa"/>
              <w:right w:w="5" w:type="dxa"/>
            </w:tcMar>
            <w:vAlign w:val="bottom"/>
            <w:hideMark/>
          </w:tcPr>
          <w:p w14:paraId="23A80506" w14:textId="77777777" w:rsidR="00954279" w:rsidRDefault="00A66714">
            <w:pPr>
              <w:rPr>
                <w:color w:val="000000"/>
                <w:sz w:val="20"/>
                <w:szCs w:val="20"/>
              </w:rPr>
            </w:pPr>
            <w:r>
              <w:rPr>
                <w:color w:val="000000"/>
                <w:sz w:val="20"/>
                <w:szCs w:val="20"/>
              </w:rPr>
              <w:t> </w:t>
            </w:r>
          </w:p>
        </w:tc>
      </w:tr>
      <w:tr w:rsidR="00954279" w14:paraId="73CA7C5F" w14:textId="77777777" w:rsidTr="00717712">
        <w:tc>
          <w:tcPr>
            <w:tcW w:w="0" w:type="auto"/>
            <w:tcMar>
              <w:top w:w="5" w:type="dxa"/>
              <w:left w:w="5" w:type="dxa"/>
              <w:bottom w:w="5" w:type="dxa"/>
              <w:right w:w="5" w:type="dxa"/>
            </w:tcMar>
            <w:vAlign w:val="bottom"/>
            <w:hideMark/>
          </w:tcPr>
          <w:p w14:paraId="3D68D2AA" w14:textId="77777777" w:rsidR="00954279" w:rsidRDefault="00A66714">
            <w:pPr>
              <w:rPr>
                <w:color w:val="000000"/>
                <w:sz w:val="20"/>
                <w:szCs w:val="20"/>
              </w:rPr>
            </w:pPr>
            <w:r>
              <w:rPr>
                <w:color w:val="000000"/>
                <w:sz w:val="20"/>
                <w:szCs w:val="20"/>
              </w:rPr>
              <w:t>Midstream pipeline</w:t>
            </w:r>
          </w:p>
        </w:tc>
        <w:tc>
          <w:tcPr>
            <w:tcW w:w="47" w:type="pct"/>
            <w:tcMar>
              <w:top w:w="5" w:type="dxa"/>
              <w:left w:w="5" w:type="dxa"/>
              <w:bottom w:w="5" w:type="dxa"/>
              <w:right w:w="5" w:type="dxa"/>
            </w:tcMar>
            <w:vAlign w:val="bottom"/>
            <w:hideMark/>
          </w:tcPr>
          <w:p w14:paraId="79669401" w14:textId="77777777" w:rsidR="00954279" w:rsidRDefault="00A66714">
            <w:pPr>
              <w:rPr>
                <w:color w:val="000000"/>
                <w:sz w:val="20"/>
                <w:szCs w:val="20"/>
              </w:rPr>
            </w:pPr>
            <w:r>
              <w:rPr>
                <w:color w:val="000000"/>
                <w:sz w:val="20"/>
                <w:szCs w:val="20"/>
              </w:rPr>
              <w:t> </w:t>
            </w:r>
          </w:p>
        </w:tc>
        <w:tc>
          <w:tcPr>
            <w:tcW w:w="51" w:type="pct"/>
            <w:tcBorders>
              <w:bottom w:val="single" w:sz="6" w:space="0" w:color="000000"/>
            </w:tcBorders>
            <w:tcMar>
              <w:top w:w="5" w:type="dxa"/>
              <w:left w:w="5" w:type="dxa"/>
              <w:bottom w:w="8" w:type="dxa"/>
              <w:right w:w="5" w:type="dxa"/>
            </w:tcMar>
            <w:vAlign w:val="bottom"/>
            <w:hideMark/>
          </w:tcPr>
          <w:p w14:paraId="6F48D8CE" w14:textId="77777777" w:rsidR="00954279" w:rsidRDefault="00A66714">
            <w:pPr>
              <w:rPr>
                <w:color w:val="000000"/>
                <w:sz w:val="20"/>
                <w:szCs w:val="20"/>
              </w:rPr>
            </w:pPr>
            <w:r>
              <w:rPr>
                <w:color w:val="000000"/>
                <w:sz w:val="20"/>
                <w:szCs w:val="20"/>
              </w:rPr>
              <w:t> </w:t>
            </w:r>
          </w:p>
        </w:tc>
        <w:tc>
          <w:tcPr>
            <w:tcW w:w="447" w:type="pct"/>
            <w:tcBorders>
              <w:bottom w:val="single" w:sz="6" w:space="0" w:color="000000"/>
            </w:tcBorders>
            <w:tcMar>
              <w:top w:w="5" w:type="dxa"/>
              <w:left w:w="5" w:type="dxa"/>
              <w:bottom w:w="8" w:type="dxa"/>
              <w:right w:w="5" w:type="dxa"/>
            </w:tcMar>
            <w:vAlign w:val="bottom"/>
            <w:hideMark/>
          </w:tcPr>
          <w:p w14:paraId="58B24D26" w14:textId="77777777" w:rsidR="00954279" w:rsidRDefault="00A66714">
            <w:pPr>
              <w:jc w:val="right"/>
              <w:rPr>
                <w:color w:val="000000"/>
                <w:sz w:val="20"/>
                <w:szCs w:val="20"/>
              </w:rPr>
            </w:pPr>
            <w:r>
              <w:rPr>
                <w:b/>
                <w:bCs/>
                <w:color w:val="000000"/>
                <w:sz w:val="20"/>
                <w:szCs w:val="20"/>
              </w:rPr>
              <w:t>74</w:t>
            </w:r>
          </w:p>
        </w:tc>
        <w:tc>
          <w:tcPr>
            <w:tcW w:w="47" w:type="pct"/>
            <w:noWrap/>
            <w:tcMar>
              <w:top w:w="5" w:type="dxa"/>
              <w:left w:w="5" w:type="dxa"/>
              <w:bottom w:w="20" w:type="dxa"/>
              <w:right w:w="5" w:type="dxa"/>
            </w:tcMar>
            <w:vAlign w:val="bottom"/>
            <w:hideMark/>
          </w:tcPr>
          <w:p w14:paraId="4B467D73"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6A478C07" w14:textId="77777777" w:rsidR="00954279" w:rsidRDefault="00A66714">
            <w:pPr>
              <w:rPr>
                <w:color w:val="000000"/>
                <w:sz w:val="20"/>
                <w:szCs w:val="20"/>
              </w:rPr>
            </w:pPr>
            <w:r>
              <w:rPr>
                <w:color w:val="000000"/>
                <w:sz w:val="20"/>
                <w:szCs w:val="20"/>
              </w:rPr>
              <w:t> </w:t>
            </w:r>
          </w:p>
        </w:tc>
        <w:tc>
          <w:tcPr>
            <w:tcW w:w="51" w:type="pct"/>
            <w:tcBorders>
              <w:bottom w:val="single" w:sz="6" w:space="0" w:color="000000"/>
            </w:tcBorders>
            <w:tcMar>
              <w:top w:w="5" w:type="dxa"/>
              <w:left w:w="5" w:type="dxa"/>
              <w:bottom w:w="8" w:type="dxa"/>
              <w:right w:w="5" w:type="dxa"/>
            </w:tcMar>
            <w:vAlign w:val="bottom"/>
            <w:hideMark/>
          </w:tcPr>
          <w:p w14:paraId="55D3CDEC" w14:textId="77777777" w:rsidR="00954279" w:rsidRDefault="00A66714">
            <w:pPr>
              <w:rPr>
                <w:color w:val="000000"/>
                <w:sz w:val="20"/>
                <w:szCs w:val="20"/>
              </w:rPr>
            </w:pPr>
            <w:r>
              <w:rPr>
                <w:color w:val="000000"/>
                <w:sz w:val="20"/>
                <w:szCs w:val="20"/>
              </w:rPr>
              <w:t> </w:t>
            </w:r>
          </w:p>
        </w:tc>
        <w:tc>
          <w:tcPr>
            <w:tcW w:w="447" w:type="pct"/>
            <w:tcBorders>
              <w:bottom w:val="single" w:sz="6" w:space="0" w:color="000000"/>
            </w:tcBorders>
            <w:tcMar>
              <w:top w:w="5" w:type="dxa"/>
              <w:left w:w="5" w:type="dxa"/>
              <w:bottom w:w="8" w:type="dxa"/>
              <w:right w:w="5" w:type="dxa"/>
            </w:tcMar>
            <w:vAlign w:val="bottom"/>
            <w:hideMark/>
          </w:tcPr>
          <w:p w14:paraId="398FA75C" w14:textId="77777777" w:rsidR="00954279" w:rsidRDefault="00A66714">
            <w:pPr>
              <w:jc w:val="right"/>
              <w:rPr>
                <w:color w:val="000000"/>
                <w:sz w:val="20"/>
                <w:szCs w:val="20"/>
              </w:rPr>
            </w:pPr>
            <w:r>
              <w:rPr>
                <w:b/>
                <w:bCs/>
                <w:color w:val="000000"/>
                <w:sz w:val="20"/>
                <w:szCs w:val="20"/>
              </w:rPr>
              <w:t>2</w:t>
            </w:r>
          </w:p>
        </w:tc>
        <w:tc>
          <w:tcPr>
            <w:tcW w:w="47" w:type="pct"/>
            <w:noWrap/>
            <w:tcMar>
              <w:top w:w="5" w:type="dxa"/>
              <w:left w:w="5" w:type="dxa"/>
              <w:bottom w:w="20" w:type="dxa"/>
              <w:right w:w="5" w:type="dxa"/>
            </w:tcMar>
            <w:vAlign w:val="bottom"/>
            <w:hideMark/>
          </w:tcPr>
          <w:p w14:paraId="571438FB"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3DDAD6BE" w14:textId="77777777" w:rsidR="00954279" w:rsidRDefault="00A66714">
            <w:pPr>
              <w:rPr>
                <w:color w:val="000000"/>
                <w:sz w:val="20"/>
                <w:szCs w:val="20"/>
              </w:rPr>
            </w:pPr>
            <w:r>
              <w:rPr>
                <w:color w:val="000000"/>
                <w:sz w:val="20"/>
                <w:szCs w:val="20"/>
              </w:rPr>
              <w:t> </w:t>
            </w:r>
          </w:p>
        </w:tc>
        <w:tc>
          <w:tcPr>
            <w:tcW w:w="53" w:type="pct"/>
            <w:tcBorders>
              <w:bottom w:val="single" w:sz="6" w:space="0" w:color="000000"/>
            </w:tcBorders>
            <w:tcMar>
              <w:top w:w="5" w:type="dxa"/>
              <w:left w:w="5" w:type="dxa"/>
              <w:bottom w:w="8" w:type="dxa"/>
              <w:right w:w="5" w:type="dxa"/>
            </w:tcMar>
            <w:vAlign w:val="bottom"/>
            <w:hideMark/>
          </w:tcPr>
          <w:p w14:paraId="0F6CFD89" w14:textId="77777777" w:rsidR="00954279" w:rsidRDefault="00A66714">
            <w:pPr>
              <w:rPr>
                <w:color w:val="000000"/>
                <w:sz w:val="20"/>
                <w:szCs w:val="20"/>
              </w:rPr>
            </w:pPr>
            <w:r>
              <w:rPr>
                <w:color w:val="000000"/>
                <w:sz w:val="20"/>
                <w:szCs w:val="20"/>
              </w:rPr>
              <w:t> </w:t>
            </w:r>
          </w:p>
        </w:tc>
        <w:tc>
          <w:tcPr>
            <w:tcW w:w="476" w:type="pct"/>
            <w:tcBorders>
              <w:bottom w:val="single" w:sz="6" w:space="0" w:color="000000"/>
            </w:tcBorders>
            <w:tcMar>
              <w:top w:w="5" w:type="dxa"/>
              <w:left w:w="5" w:type="dxa"/>
              <w:bottom w:w="8" w:type="dxa"/>
              <w:right w:w="5" w:type="dxa"/>
            </w:tcMar>
            <w:vAlign w:val="bottom"/>
            <w:hideMark/>
          </w:tcPr>
          <w:p w14:paraId="63472152" w14:textId="77777777" w:rsidR="00954279" w:rsidRDefault="00A66714">
            <w:pPr>
              <w:jc w:val="right"/>
              <w:rPr>
                <w:color w:val="000000"/>
                <w:sz w:val="20"/>
                <w:szCs w:val="20"/>
              </w:rPr>
            </w:pPr>
            <w:r>
              <w:rPr>
                <w:b/>
                <w:bCs/>
                <w:color w:val="000000"/>
                <w:sz w:val="20"/>
                <w:szCs w:val="20"/>
              </w:rPr>
              <w:t>7</w:t>
            </w:r>
          </w:p>
        </w:tc>
        <w:tc>
          <w:tcPr>
            <w:tcW w:w="47" w:type="pct"/>
            <w:noWrap/>
            <w:tcMar>
              <w:top w:w="5" w:type="dxa"/>
              <w:left w:w="5" w:type="dxa"/>
              <w:bottom w:w="20" w:type="dxa"/>
              <w:right w:w="5" w:type="dxa"/>
            </w:tcMar>
            <w:vAlign w:val="bottom"/>
            <w:hideMark/>
          </w:tcPr>
          <w:p w14:paraId="3AD63B9A"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47B9639A" w14:textId="77777777" w:rsidR="00954279" w:rsidRDefault="00A66714">
            <w:pPr>
              <w:rPr>
                <w:color w:val="000000"/>
                <w:sz w:val="20"/>
                <w:szCs w:val="20"/>
              </w:rPr>
            </w:pPr>
            <w:r>
              <w:rPr>
                <w:color w:val="000000"/>
                <w:sz w:val="20"/>
                <w:szCs w:val="20"/>
              </w:rPr>
              <w:t> </w:t>
            </w:r>
          </w:p>
        </w:tc>
        <w:tc>
          <w:tcPr>
            <w:tcW w:w="51" w:type="pct"/>
            <w:tcBorders>
              <w:bottom w:val="single" w:sz="6" w:space="0" w:color="000000"/>
            </w:tcBorders>
            <w:tcMar>
              <w:top w:w="5" w:type="dxa"/>
              <w:left w:w="5" w:type="dxa"/>
              <w:bottom w:w="8" w:type="dxa"/>
              <w:right w:w="5" w:type="dxa"/>
            </w:tcMar>
            <w:vAlign w:val="bottom"/>
            <w:hideMark/>
          </w:tcPr>
          <w:p w14:paraId="2E2EF0ED" w14:textId="77777777" w:rsidR="00954279" w:rsidRDefault="00A66714">
            <w:pPr>
              <w:rPr>
                <w:color w:val="000000"/>
                <w:sz w:val="20"/>
                <w:szCs w:val="20"/>
              </w:rPr>
            </w:pPr>
            <w:r>
              <w:rPr>
                <w:color w:val="000000"/>
                <w:sz w:val="20"/>
                <w:szCs w:val="20"/>
              </w:rPr>
              <w:t> </w:t>
            </w:r>
          </w:p>
        </w:tc>
        <w:tc>
          <w:tcPr>
            <w:tcW w:w="447" w:type="pct"/>
            <w:tcBorders>
              <w:bottom w:val="single" w:sz="6" w:space="0" w:color="000000"/>
            </w:tcBorders>
            <w:tcMar>
              <w:top w:w="5" w:type="dxa"/>
              <w:left w:w="5" w:type="dxa"/>
              <w:bottom w:w="8" w:type="dxa"/>
              <w:right w:w="5" w:type="dxa"/>
            </w:tcMar>
            <w:vAlign w:val="bottom"/>
            <w:hideMark/>
          </w:tcPr>
          <w:p w14:paraId="59DD6FBD" w14:textId="77777777" w:rsidR="00954279" w:rsidRDefault="00A66714">
            <w:pPr>
              <w:jc w:val="right"/>
              <w:rPr>
                <w:color w:val="000000"/>
                <w:sz w:val="20"/>
                <w:szCs w:val="20"/>
              </w:rPr>
            </w:pPr>
            <w:r>
              <w:rPr>
                <w:b/>
                <w:bCs/>
                <w:color w:val="000000"/>
                <w:sz w:val="20"/>
                <w:szCs w:val="20"/>
              </w:rPr>
              <w:t>83</w:t>
            </w:r>
          </w:p>
        </w:tc>
        <w:tc>
          <w:tcPr>
            <w:tcW w:w="47" w:type="pct"/>
            <w:noWrap/>
            <w:tcMar>
              <w:top w:w="5" w:type="dxa"/>
              <w:left w:w="5" w:type="dxa"/>
              <w:bottom w:w="20" w:type="dxa"/>
              <w:right w:w="5" w:type="dxa"/>
            </w:tcMar>
            <w:vAlign w:val="bottom"/>
            <w:hideMark/>
          </w:tcPr>
          <w:p w14:paraId="1F1495FB" w14:textId="77777777" w:rsidR="00954279" w:rsidRDefault="00A66714">
            <w:pPr>
              <w:rPr>
                <w:color w:val="000000"/>
                <w:sz w:val="20"/>
                <w:szCs w:val="20"/>
              </w:rPr>
            </w:pPr>
            <w:r>
              <w:rPr>
                <w:color w:val="000000"/>
                <w:sz w:val="20"/>
                <w:szCs w:val="20"/>
              </w:rPr>
              <w:t> </w:t>
            </w:r>
          </w:p>
        </w:tc>
      </w:tr>
      <w:tr w:rsidR="00954279" w14:paraId="4906D887" w14:textId="77777777" w:rsidTr="00717712">
        <w:tc>
          <w:tcPr>
            <w:tcW w:w="0" w:type="auto"/>
            <w:tcMar>
              <w:top w:w="5" w:type="dxa"/>
              <w:left w:w="5" w:type="dxa"/>
              <w:bottom w:w="5" w:type="dxa"/>
              <w:right w:w="5" w:type="dxa"/>
            </w:tcMar>
            <w:vAlign w:val="bottom"/>
            <w:hideMark/>
          </w:tcPr>
          <w:p w14:paraId="3A123F93"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691DB601" w14:textId="77777777" w:rsidR="00954279" w:rsidRDefault="00A66714">
            <w:pPr>
              <w:rPr>
                <w:color w:val="000000"/>
                <w:sz w:val="20"/>
                <w:szCs w:val="20"/>
              </w:rPr>
            </w:pPr>
            <w:r>
              <w:rPr>
                <w:color w:val="000000"/>
                <w:sz w:val="20"/>
                <w:szCs w:val="20"/>
              </w:rPr>
              <w:t> </w:t>
            </w:r>
          </w:p>
        </w:tc>
        <w:tc>
          <w:tcPr>
            <w:tcW w:w="51" w:type="pct"/>
            <w:tcBorders>
              <w:bottom w:val="double" w:sz="6" w:space="0" w:color="000000"/>
            </w:tcBorders>
            <w:tcMar>
              <w:top w:w="5" w:type="dxa"/>
              <w:left w:w="5" w:type="dxa"/>
              <w:bottom w:w="22" w:type="dxa"/>
              <w:right w:w="5" w:type="dxa"/>
            </w:tcMar>
            <w:vAlign w:val="bottom"/>
            <w:hideMark/>
          </w:tcPr>
          <w:p w14:paraId="33DC28C5" w14:textId="77777777" w:rsidR="00954279" w:rsidRDefault="00A66714">
            <w:pPr>
              <w:rPr>
                <w:color w:val="000000"/>
                <w:sz w:val="20"/>
                <w:szCs w:val="20"/>
              </w:rPr>
            </w:pPr>
            <w:r>
              <w:rPr>
                <w:color w:val="000000"/>
                <w:sz w:val="20"/>
                <w:szCs w:val="20"/>
              </w:rPr>
              <w:t>$</w:t>
            </w:r>
          </w:p>
        </w:tc>
        <w:tc>
          <w:tcPr>
            <w:tcW w:w="447" w:type="pct"/>
            <w:tcBorders>
              <w:bottom w:val="double" w:sz="6" w:space="0" w:color="000000"/>
            </w:tcBorders>
            <w:tcMar>
              <w:top w:w="5" w:type="dxa"/>
              <w:left w:w="5" w:type="dxa"/>
              <w:bottom w:w="22" w:type="dxa"/>
              <w:right w:w="5" w:type="dxa"/>
            </w:tcMar>
            <w:vAlign w:val="bottom"/>
            <w:hideMark/>
          </w:tcPr>
          <w:p w14:paraId="2014D054" w14:textId="77777777" w:rsidR="00954279" w:rsidRDefault="00A66714">
            <w:pPr>
              <w:jc w:val="right"/>
              <w:rPr>
                <w:color w:val="000000"/>
                <w:sz w:val="20"/>
                <w:szCs w:val="20"/>
              </w:rPr>
            </w:pPr>
            <w:r>
              <w:rPr>
                <w:b/>
                <w:bCs/>
                <w:color w:val="000000"/>
                <w:sz w:val="20"/>
                <w:szCs w:val="20"/>
              </w:rPr>
              <w:t>558</w:t>
            </w:r>
          </w:p>
        </w:tc>
        <w:tc>
          <w:tcPr>
            <w:tcW w:w="47" w:type="pct"/>
            <w:noWrap/>
            <w:tcMar>
              <w:top w:w="5" w:type="dxa"/>
              <w:left w:w="5" w:type="dxa"/>
              <w:bottom w:w="50" w:type="dxa"/>
              <w:right w:w="5" w:type="dxa"/>
            </w:tcMar>
            <w:vAlign w:val="bottom"/>
            <w:hideMark/>
          </w:tcPr>
          <w:p w14:paraId="5988FA49"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76F69F34" w14:textId="77777777" w:rsidR="00954279" w:rsidRDefault="00A66714">
            <w:pPr>
              <w:rPr>
                <w:color w:val="000000"/>
                <w:sz w:val="20"/>
                <w:szCs w:val="20"/>
              </w:rPr>
            </w:pPr>
            <w:r>
              <w:rPr>
                <w:color w:val="000000"/>
                <w:sz w:val="20"/>
                <w:szCs w:val="20"/>
              </w:rPr>
              <w:t> </w:t>
            </w:r>
          </w:p>
        </w:tc>
        <w:tc>
          <w:tcPr>
            <w:tcW w:w="51" w:type="pct"/>
            <w:tcBorders>
              <w:bottom w:val="double" w:sz="6" w:space="0" w:color="000000"/>
            </w:tcBorders>
            <w:tcMar>
              <w:top w:w="5" w:type="dxa"/>
              <w:left w:w="5" w:type="dxa"/>
              <w:bottom w:w="22" w:type="dxa"/>
              <w:right w:w="5" w:type="dxa"/>
            </w:tcMar>
            <w:vAlign w:val="bottom"/>
            <w:hideMark/>
          </w:tcPr>
          <w:p w14:paraId="6E46822D" w14:textId="77777777" w:rsidR="00954279" w:rsidRDefault="00A66714">
            <w:pPr>
              <w:rPr>
                <w:color w:val="000000"/>
                <w:sz w:val="20"/>
                <w:szCs w:val="20"/>
              </w:rPr>
            </w:pPr>
            <w:r>
              <w:rPr>
                <w:color w:val="000000"/>
                <w:sz w:val="20"/>
                <w:szCs w:val="20"/>
              </w:rPr>
              <w:t>$</w:t>
            </w:r>
          </w:p>
        </w:tc>
        <w:tc>
          <w:tcPr>
            <w:tcW w:w="447" w:type="pct"/>
            <w:tcBorders>
              <w:bottom w:val="double" w:sz="6" w:space="0" w:color="000000"/>
            </w:tcBorders>
            <w:tcMar>
              <w:top w:w="5" w:type="dxa"/>
              <w:left w:w="5" w:type="dxa"/>
              <w:bottom w:w="22" w:type="dxa"/>
              <w:right w:w="5" w:type="dxa"/>
            </w:tcMar>
            <w:vAlign w:val="bottom"/>
            <w:hideMark/>
          </w:tcPr>
          <w:p w14:paraId="21FCF4F5" w14:textId="77777777" w:rsidR="00954279" w:rsidRDefault="00A66714">
            <w:pPr>
              <w:jc w:val="right"/>
              <w:rPr>
                <w:color w:val="000000"/>
                <w:sz w:val="20"/>
                <w:szCs w:val="20"/>
              </w:rPr>
            </w:pPr>
            <w:r>
              <w:rPr>
                <w:b/>
                <w:bCs/>
                <w:color w:val="000000"/>
                <w:sz w:val="20"/>
                <w:szCs w:val="20"/>
              </w:rPr>
              <w:t>30</w:t>
            </w:r>
          </w:p>
        </w:tc>
        <w:tc>
          <w:tcPr>
            <w:tcW w:w="47" w:type="pct"/>
            <w:noWrap/>
            <w:tcMar>
              <w:top w:w="5" w:type="dxa"/>
              <w:left w:w="5" w:type="dxa"/>
              <w:bottom w:w="50" w:type="dxa"/>
              <w:right w:w="5" w:type="dxa"/>
            </w:tcMar>
            <w:vAlign w:val="bottom"/>
            <w:hideMark/>
          </w:tcPr>
          <w:p w14:paraId="004E112E"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4DF5D1B3" w14:textId="77777777" w:rsidR="00954279" w:rsidRDefault="00A66714">
            <w:pPr>
              <w:rPr>
                <w:color w:val="000000"/>
                <w:sz w:val="20"/>
                <w:szCs w:val="20"/>
              </w:rPr>
            </w:pPr>
            <w:r>
              <w:rPr>
                <w:color w:val="000000"/>
                <w:sz w:val="20"/>
                <w:szCs w:val="20"/>
              </w:rPr>
              <w:t> </w:t>
            </w:r>
          </w:p>
        </w:tc>
        <w:tc>
          <w:tcPr>
            <w:tcW w:w="53" w:type="pct"/>
            <w:tcBorders>
              <w:bottom w:val="double" w:sz="6" w:space="0" w:color="000000"/>
            </w:tcBorders>
            <w:tcMar>
              <w:top w:w="5" w:type="dxa"/>
              <w:left w:w="5" w:type="dxa"/>
              <w:bottom w:w="22" w:type="dxa"/>
              <w:right w:w="5" w:type="dxa"/>
            </w:tcMar>
            <w:vAlign w:val="bottom"/>
            <w:hideMark/>
          </w:tcPr>
          <w:p w14:paraId="6A7A9E83" w14:textId="77777777" w:rsidR="00954279" w:rsidRDefault="00A66714">
            <w:pPr>
              <w:rPr>
                <w:color w:val="000000"/>
                <w:sz w:val="20"/>
                <w:szCs w:val="20"/>
              </w:rPr>
            </w:pPr>
            <w:r>
              <w:rPr>
                <w:color w:val="000000"/>
                <w:sz w:val="20"/>
                <w:szCs w:val="20"/>
              </w:rPr>
              <w:t>$</w:t>
            </w:r>
          </w:p>
        </w:tc>
        <w:tc>
          <w:tcPr>
            <w:tcW w:w="476" w:type="pct"/>
            <w:tcBorders>
              <w:bottom w:val="double" w:sz="6" w:space="0" w:color="000000"/>
            </w:tcBorders>
            <w:tcMar>
              <w:top w:w="5" w:type="dxa"/>
              <w:left w:w="5" w:type="dxa"/>
              <w:bottom w:w="22" w:type="dxa"/>
              <w:right w:w="5" w:type="dxa"/>
            </w:tcMar>
            <w:vAlign w:val="bottom"/>
            <w:hideMark/>
          </w:tcPr>
          <w:p w14:paraId="7D1FF1AF" w14:textId="77777777" w:rsidR="00954279" w:rsidRDefault="00A66714">
            <w:pPr>
              <w:jc w:val="right"/>
              <w:rPr>
                <w:color w:val="000000"/>
                <w:sz w:val="20"/>
                <w:szCs w:val="20"/>
              </w:rPr>
            </w:pPr>
            <w:r>
              <w:rPr>
                <w:b/>
                <w:bCs/>
                <w:color w:val="000000"/>
                <w:sz w:val="20"/>
                <w:szCs w:val="20"/>
              </w:rPr>
              <w:t>98</w:t>
            </w:r>
          </w:p>
        </w:tc>
        <w:tc>
          <w:tcPr>
            <w:tcW w:w="47" w:type="pct"/>
            <w:noWrap/>
            <w:tcMar>
              <w:top w:w="5" w:type="dxa"/>
              <w:left w:w="5" w:type="dxa"/>
              <w:bottom w:w="50" w:type="dxa"/>
              <w:right w:w="5" w:type="dxa"/>
            </w:tcMar>
            <w:vAlign w:val="bottom"/>
            <w:hideMark/>
          </w:tcPr>
          <w:p w14:paraId="4D87CE92"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6E0C8496" w14:textId="77777777" w:rsidR="00954279" w:rsidRDefault="00A66714">
            <w:pPr>
              <w:rPr>
                <w:color w:val="000000"/>
                <w:sz w:val="20"/>
                <w:szCs w:val="20"/>
              </w:rPr>
            </w:pPr>
            <w:r>
              <w:rPr>
                <w:color w:val="000000"/>
                <w:sz w:val="20"/>
                <w:szCs w:val="20"/>
              </w:rPr>
              <w:t> </w:t>
            </w:r>
          </w:p>
        </w:tc>
        <w:tc>
          <w:tcPr>
            <w:tcW w:w="51" w:type="pct"/>
            <w:tcBorders>
              <w:bottom w:val="double" w:sz="6" w:space="0" w:color="000000"/>
            </w:tcBorders>
            <w:tcMar>
              <w:top w:w="5" w:type="dxa"/>
              <w:left w:w="5" w:type="dxa"/>
              <w:bottom w:w="22" w:type="dxa"/>
              <w:right w:w="5" w:type="dxa"/>
            </w:tcMar>
            <w:vAlign w:val="bottom"/>
            <w:hideMark/>
          </w:tcPr>
          <w:p w14:paraId="71476E9E" w14:textId="77777777" w:rsidR="00954279" w:rsidRDefault="00A66714">
            <w:pPr>
              <w:rPr>
                <w:color w:val="000000"/>
                <w:sz w:val="20"/>
                <w:szCs w:val="20"/>
              </w:rPr>
            </w:pPr>
            <w:r>
              <w:rPr>
                <w:color w:val="000000"/>
                <w:sz w:val="20"/>
                <w:szCs w:val="20"/>
              </w:rPr>
              <w:t>$</w:t>
            </w:r>
          </w:p>
        </w:tc>
        <w:tc>
          <w:tcPr>
            <w:tcW w:w="447" w:type="pct"/>
            <w:tcBorders>
              <w:bottom w:val="double" w:sz="6" w:space="0" w:color="000000"/>
            </w:tcBorders>
            <w:tcMar>
              <w:top w:w="5" w:type="dxa"/>
              <w:left w:w="5" w:type="dxa"/>
              <w:bottom w:w="22" w:type="dxa"/>
              <w:right w:w="5" w:type="dxa"/>
            </w:tcMar>
            <w:vAlign w:val="bottom"/>
            <w:hideMark/>
          </w:tcPr>
          <w:p w14:paraId="5C6B949D" w14:textId="77777777" w:rsidR="00954279" w:rsidRDefault="00A66714">
            <w:pPr>
              <w:jc w:val="right"/>
              <w:rPr>
                <w:color w:val="000000"/>
                <w:sz w:val="20"/>
                <w:szCs w:val="20"/>
              </w:rPr>
            </w:pPr>
            <w:r>
              <w:rPr>
                <w:b/>
                <w:bCs/>
                <w:color w:val="000000"/>
                <w:sz w:val="20"/>
                <w:szCs w:val="20"/>
              </w:rPr>
              <w:t>686</w:t>
            </w:r>
          </w:p>
        </w:tc>
        <w:tc>
          <w:tcPr>
            <w:tcW w:w="47" w:type="pct"/>
            <w:noWrap/>
            <w:tcMar>
              <w:top w:w="5" w:type="dxa"/>
              <w:left w:w="5" w:type="dxa"/>
              <w:bottom w:w="50" w:type="dxa"/>
              <w:right w:w="5" w:type="dxa"/>
            </w:tcMar>
            <w:vAlign w:val="bottom"/>
            <w:hideMark/>
          </w:tcPr>
          <w:p w14:paraId="2631368F" w14:textId="77777777" w:rsidR="00954279" w:rsidRDefault="00A66714">
            <w:pPr>
              <w:rPr>
                <w:color w:val="000000"/>
                <w:sz w:val="20"/>
                <w:szCs w:val="20"/>
              </w:rPr>
            </w:pPr>
            <w:r>
              <w:rPr>
                <w:color w:val="000000"/>
                <w:sz w:val="20"/>
                <w:szCs w:val="20"/>
              </w:rPr>
              <w:t> </w:t>
            </w:r>
          </w:p>
        </w:tc>
      </w:tr>
      <w:tr w:rsidR="00954279" w14:paraId="0562A6CB" w14:textId="77777777">
        <w:tc>
          <w:tcPr>
            <w:tcW w:w="0" w:type="auto"/>
            <w:tcMar>
              <w:top w:w="5" w:type="dxa"/>
              <w:left w:w="5" w:type="dxa"/>
              <w:bottom w:w="5" w:type="dxa"/>
              <w:right w:w="5" w:type="dxa"/>
            </w:tcMar>
            <w:vAlign w:val="bottom"/>
            <w:hideMark/>
          </w:tcPr>
          <w:p w14:paraId="26AD7EF2" w14:textId="77777777" w:rsidR="00954279" w:rsidRDefault="00A66714">
            <w:pPr>
              <w:rPr>
                <w:color w:val="000000"/>
                <w:sz w:val="20"/>
                <w:szCs w:val="20"/>
              </w:rPr>
            </w:pPr>
            <w:r>
              <w:rPr>
                <w:b/>
                <w:bCs/>
                <w:color w:val="000000"/>
                <w:sz w:val="20"/>
                <w:szCs w:val="20"/>
              </w:rPr>
              <w:t>2020:</w:t>
            </w:r>
          </w:p>
        </w:tc>
        <w:tc>
          <w:tcPr>
            <w:tcW w:w="0" w:type="auto"/>
            <w:tcMar>
              <w:top w:w="5" w:type="dxa"/>
              <w:left w:w="5" w:type="dxa"/>
              <w:bottom w:w="5" w:type="dxa"/>
              <w:right w:w="5" w:type="dxa"/>
            </w:tcMar>
            <w:vAlign w:val="bottom"/>
            <w:hideMark/>
          </w:tcPr>
          <w:p w14:paraId="68EBE3D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C9014A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E75464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416C692" w14:textId="77777777" w:rsidR="00954279" w:rsidRDefault="00A66714">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28CCBDB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196AD8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C8C200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6B4D241" w14:textId="77777777" w:rsidR="00954279" w:rsidRDefault="00A66714">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21F2E62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E7508A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ADA441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271FFA4" w14:textId="77777777" w:rsidR="00954279" w:rsidRDefault="00A66714">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7A690AB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ACD346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D5F005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09D1605" w14:textId="77777777" w:rsidR="00954279" w:rsidRDefault="00A66714">
            <w:pPr>
              <w:rPr>
                <w:color w:val="000000"/>
                <w:sz w:val="20"/>
                <w:szCs w:val="20"/>
              </w:rPr>
            </w:pPr>
            <w:r>
              <w:rPr>
                <w:b/>
                <w:bCs/>
                <w:color w:val="000000"/>
                <w:sz w:val="20"/>
                <w:szCs w:val="20"/>
              </w:rPr>
              <w:t> </w:t>
            </w:r>
          </w:p>
        </w:tc>
      </w:tr>
      <w:tr w:rsidR="00954279" w14:paraId="0988E154" w14:textId="77777777" w:rsidTr="00717712">
        <w:tc>
          <w:tcPr>
            <w:tcW w:w="0" w:type="auto"/>
            <w:tcMar>
              <w:top w:w="5" w:type="dxa"/>
              <w:left w:w="5" w:type="dxa"/>
              <w:bottom w:w="5" w:type="dxa"/>
              <w:right w:w="5" w:type="dxa"/>
            </w:tcMar>
            <w:vAlign w:val="bottom"/>
            <w:hideMark/>
          </w:tcPr>
          <w:p w14:paraId="34A57F95" w14:textId="77777777" w:rsidR="00954279" w:rsidRDefault="00A66714">
            <w:pPr>
              <w:rPr>
                <w:color w:val="000000"/>
                <w:sz w:val="20"/>
                <w:szCs w:val="20"/>
              </w:rPr>
            </w:pPr>
            <w:r>
              <w:rPr>
                <w:color w:val="000000"/>
                <w:sz w:val="20"/>
                <w:szCs w:val="20"/>
              </w:rPr>
              <w:t>Gas utilities</w:t>
            </w:r>
          </w:p>
        </w:tc>
        <w:tc>
          <w:tcPr>
            <w:tcW w:w="47" w:type="pct"/>
            <w:tcMar>
              <w:top w:w="5" w:type="dxa"/>
              <w:left w:w="5" w:type="dxa"/>
              <w:bottom w:w="5" w:type="dxa"/>
              <w:right w:w="5" w:type="dxa"/>
            </w:tcMar>
            <w:vAlign w:val="bottom"/>
            <w:hideMark/>
          </w:tcPr>
          <w:p w14:paraId="4C1C35B2"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7144BAD6" w14:textId="77777777" w:rsidR="00954279" w:rsidRDefault="00A66714">
            <w:pPr>
              <w:rPr>
                <w:color w:val="000000"/>
                <w:sz w:val="20"/>
                <w:szCs w:val="20"/>
              </w:rPr>
            </w:pPr>
            <w:r>
              <w:rPr>
                <w:color w:val="000000"/>
                <w:sz w:val="20"/>
                <w:szCs w:val="20"/>
              </w:rPr>
              <w:t>$</w:t>
            </w:r>
          </w:p>
        </w:tc>
        <w:tc>
          <w:tcPr>
            <w:tcW w:w="447" w:type="pct"/>
            <w:tcMar>
              <w:top w:w="5" w:type="dxa"/>
              <w:left w:w="5" w:type="dxa"/>
              <w:bottom w:w="5" w:type="dxa"/>
              <w:right w:w="5" w:type="dxa"/>
            </w:tcMar>
            <w:vAlign w:val="bottom"/>
            <w:hideMark/>
          </w:tcPr>
          <w:p w14:paraId="74C0A763" w14:textId="77777777" w:rsidR="00954279" w:rsidRDefault="00A66714">
            <w:pPr>
              <w:jc w:val="right"/>
              <w:rPr>
                <w:color w:val="000000"/>
                <w:sz w:val="20"/>
                <w:szCs w:val="20"/>
              </w:rPr>
            </w:pPr>
            <w:r>
              <w:rPr>
                <w:color w:val="000000"/>
                <w:sz w:val="20"/>
                <w:szCs w:val="20"/>
              </w:rPr>
              <w:t>200</w:t>
            </w:r>
          </w:p>
        </w:tc>
        <w:tc>
          <w:tcPr>
            <w:tcW w:w="47" w:type="pct"/>
            <w:noWrap/>
            <w:tcMar>
              <w:top w:w="5" w:type="dxa"/>
              <w:left w:w="5" w:type="dxa"/>
              <w:bottom w:w="5" w:type="dxa"/>
              <w:right w:w="5" w:type="dxa"/>
            </w:tcMar>
            <w:vAlign w:val="bottom"/>
            <w:hideMark/>
          </w:tcPr>
          <w:p w14:paraId="1DE286B7"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1656D6CD"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1C7B326B" w14:textId="77777777" w:rsidR="00954279" w:rsidRDefault="00A66714">
            <w:pPr>
              <w:rPr>
                <w:color w:val="000000"/>
                <w:sz w:val="20"/>
                <w:szCs w:val="20"/>
              </w:rPr>
            </w:pPr>
            <w:r>
              <w:rPr>
                <w:color w:val="000000"/>
                <w:sz w:val="20"/>
                <w:szCs w:val="20"/>
              </w:rPr>
              <w:t>$</w:t>
            </w:r>
          </w:p>
        </w:tc>
        <w:tc>
          <w:tcPr>
            <w:tcW w:w="447" w:type="pct"/>
            <w:tcMar>
              <w:top w:w="5" w:type="dxa"/>
              <w:left w:w="5" w:type="dxa"/>
              <w:bottom w:w="5" w:type="dxa"/>
              <w:right w:w="5" w:type="dxa"/>
            </w:tcMar>
            <w:vAlign w:val="bottom"/>
            <w:hideMark/>
          </w:tcPr>
          <w:p w14:paraId="3D49F256" w14:textId="77777777" w:rsidR="00954279" w:rsidRDefault="00A66714">
            <w:pPr>
              <w:jc w:val="right"/>
              <w:rPr>
                <w:color w:val="000000"/>
                <w:sz w:val="20"/>
                <w:szCs w:val="20"/>
              </w:rPr>
            </w:pPr>
            <w:r>
              <w:rPr>
                <w:color w:val="000000"/>
                <w:sz w:val="20"/>
                <w:szCs w:val="20"/>
              </w:rPr>
              <w:t>5</w:t>
            </w:r>
          </w:p>
        </w:tc>
        <w:tc>
          <w:tcPr>
            <w:tcW w:w="47" w:type="pct"/>
            <w:noWrap/>
            <w:tcMar>
              <w:top w:w="5" w:type="dxa"/>
              <w:left w:w="5" w:type="dxa"/>
              <w:bottom w:w="5" w:type="dxa"/>
              <w:right w:w="5" w:type="dxa"/>
            </w:tcMar>
            <w:vAlign w:val="bottom"/>
            <w:hideMark/>
          </w:tcPr>
          <w:p w14:paraId="58E2A14F"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09534C43" w14:textId="77777777" w:rsidR="00954279" w:rsidRDefault="00A66714">
            <w:pPr>
              <w:rPr>
                <w:color w:val="000000"/>
                <w:sz w:val="20"/>
                <w:szCs w:val="20"/>
              </w:rPr>
            </w:pPr>
            <w:r>
              <w:rPr>
                <w:color w:val="000000"/>
                <w:sz w:val="20"/>
                <w:szCs w:val="20"/>
              </w:rPr>
              <w:t> </w:t>
            </w:r>
          </w:p>
        </w:tc>
        <w:tc>
          <w:tcPr>
            <w:tcW w:w="53" w:type="pct"/>
            <w:tcMar>
              <w:top w:w="5" w:type="dxa"/>
              <w:left w:w="5" w:type="dxa"/>
              <w:bottom w:w="5" w:type="dxa"/>
              <w:right w:w="5" w:type="dxa"/>
            </w:tcMar>
            <w:vAlign w:val="bottom"/>
            <w:hideMark/>
          </w:tcPr>
          <w:p w14:paraId="5BA163C8" w14:textId="77777777" w:rsidR="00954279" w:rsidRDefault="00A66714">
            <w:pPr>
              <w:rPr>
                <w:color w:val="000000"/>
                <w:sz w:val="20"/>
                <w:szCs w:val="20"/>
              </w:rPr>
            </w:pPr>
            <w:r>
              <w:rPr>
                <w:color w:val="000000"/>
                <w:sz w:val="20"/>
                <w:szCs w:val="20"/>
              </w:rPr>
              <w:t>$</w:t>
            </w:r>
          </w:p>
        </w:tc>
        <w:tc>
          <w:tcPr>
            <w:tcW w:w="476" w:type="pct"/>
            <w:tcMar>
              <w:top w:w="5" w:type="dxa"/>
              <w:left w:w="5" w:type="dxa"/>
              <w:bottom w:w="5" w:type="dxa"/>
              <w:right w:w="5" w:type="dxa"/>
            </w:tcMar>
            <w:vAlign w:val="bottom"/>
            <w:hideMark/>
          </w:tcPr>
          <w:p w14:paraId="597DC765" w14:textId="77777777" w:rsidR="00954279" w:rsidRDefault="00A66714">
            <w:pPr>
              <w:jc w:val="right"/>
              <w:rPr>
                <w:color w:val="000000"/>
                <w:sz w:val="20"/>
                <w:szCs w:val="20"/>
              </w:rPr>
            </w:pPr>
            <w:r>
              <w:rPr>
                <w:color w:val="000000"/>
                <w:sz w:val="20"/>
                <w:szCs w:val="20"/>
              </w:rPr>
              <w:t>—</w:t>
            </w:r>
          </w:p>
        </w:tc>
        <w:tc>
          <w:tcPr>
            <w:tcW w:w="47" w:type="pct"/>
            <w:noWrap/>
            <w:tcMar>
              <w:top w:w="5" w:type="dxa"/>
              <w:left w:w="5" w:type="dxa"/>
              <w:bottom w:w="5" w:type="dxa"/>
              <w:right w:w="5" w:type="dxa"/>
            </w:tcMar>
            <w:vAlign w:val="bottom"/>
            <w:hideMark/>
          </w:tcPr>
          <w:p w14:paraId="4957626E"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3867EFA7"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06619D68" w14:textId="77777777" w:rsidR="00954279" w:rsidRDefault="00A66714">
            <w:pPr>
              <w:rPr>
                <w:color w:val="000000"/>
                <w:sz w:val="20"/>
                <w:szCs w:val="20"/>
              </w:rPr>
            </w:pPr>
            <w:r>
              <w:rPr>
                <w:color w:val="000000"/>
                <w:sz w:val="20"/>
                <w:szCs w:val="20"/>
              </w:rPr>
              <w:t>$</w:t>
            </w:r>
          </w:p>
        </w:tc>
        <w:tc>
          <w:tcPr>
            <w:tcW w:w="447" w:type="pct"/>
            <w:tcMar>
              <w:top w:w="5" w:type="dxa"/>
              <w:left w:w="5" w:type="dxa"/>
              <w:bottom w:w="5" w:type="dxa"/>
              <w:right w:w="5" w:type="dxa"/>
            </w:tcMar>
            <w:vAlign w:val="bottom"/>
            <w:hideMark/>
          </w:tcPr>
          <w:p w14:paraId="69E05A0C" w14:textId="77777777" w:rsidR="00954279" w:rsidRDefault="00A66714">
            <w:pPr>
              <w:jc w:val="right"/>
              <w:rPr>
                <w:color w:val="000000"/>
                <w:sz w:val="20"/>
                <w:szCs w:val="20"/>
              </w:rPr>
            </w:pPr>
            <w:r>
              <w:rPr>
                <w:color w:val="000000"/>
                <w:sz w:val="20"/>
                <w:szCs w:val="20"/>
              </w:rPr>
              <w:t>205</w:t>
            </w:r>
          </w:p>
        </w:tc>
        <w:tc>
          <w:tcPr>
            <w:tcW w:w="47" w:type="pct"/>
            <w:noWrap/>
            <w:tcMar>
              <w:top w:w="5" w:type="dxa"/>
              <w:left w:w="5" w:type="dxa"/>
              <w:bottom w:w="5" w:type="dxa"/>
              <w:right w:w="5" w:type="dxa"/>
            </w:tcMar>
            <w:vAlign w:val="bottom"/>
            <w:hideMark/>
          </w:tcPr>
          <w:p w14:paraId="5EEB7232" w14:textId="77777777" w:rsidR="00954279" w:rsidRDefault="00A66714">
            <w:pPr>
              <w:rPr>
                <w:color w:val="000000"/>
                <w:sz w:val="20"/>
                <w:szCs w:val="20"/>
              </w:rPr>
            </w:pPr>
            <w:r>
              <w:rPr>
                <w:color w:val="000000"/>
                <w:sz w:val="20"/>
                <w:szCs w:val="20"/>
              </w:rPr>
              <w:t> </w:t>
            </w:r>
          </w:p>
        </w:tc>
      </w:tr>
      <w:tr w:rsidR="00954279" w14:paraId="093F7907" w14:textId="77777777" w:rsidTr="00717712">
        <w:tc>
          <w:tcPr>
            <w:tcW w:w="0" w:type="auto"/>
            <w:tcMar>
              <w:top w:w="5" w:type="dxa"/>
              <w:left w:w="5" w:type="dxa"/>
              <w:bottom w:w="5" w:type="dxa"/>
              <w:right w:w="5" w:type="dxa"/>
            </w:tcMar>
            <w:vAlign w:val="bottom"/>
            <w:hideMark/>
          </w:tcPr>
          <w:p w14:paraId="6338FBFA" w14:textId="77777777" w:rsidR="00954279" w:rsidRDefault="00A66714">
            <w:pPr>
              <w:rPr>
                <w:color w:val="000000"/>
                <w:sz w:val="20"/>
                <w:szCs w:val="20"/>
              </w:rPr>
            </w:pPr>
            <w:r>
              <w:rPr>
                <w:color w:val="000000"/>
                <w:sz w:val="20"/>
                <w:szCs w:val="20"/>
              </w:rPr>
              <w:t>Downstream &amp; industrial</w:t>
            </w:r>
          </w:p>
        </w:tc>
        <w:tc>
          <w:tcPr>
            <w:tcW w:w="47" w:type="pct"/>
            <w:tcMar>
              <w:top w:w="5" w:type="dxa"/>
              <w:left w:w="5" w:type="dxa"/>
              <w:bottom w:w="5" w:type="dxa"/>
              <w:right w:w="5" w:type="dxa"/>
            </w:tcMar>
            <w:vAlign w:val="bottom"/>
            <w:hideMark/>
          </w:tcPr>
          <w:p w14:paraId="1C2782F5"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32D7C261" w14:textId="77777777" w:rsidR="00954279" w:rsidRDefault="00A66714">
            <w:pPr>
              <w:rPr>
                <w:color w:val="000000"/>
                <w:sz w:val="20"/>
                <w:szCs w:val="20"/>
              </w:rPr>
            </w:pPr>
            <w:r>
              <w:rPr>
                <w:color w:val="000000"/>
                <w:sz w:val="20"/>
                <w:szCs w:val="20"/>
              </w:rPr>
              <w:t> </w:t>
            </w:r>
          </w:p>
        </w:tc>
        <w:tc>
          <w:tcPr>
            <w:tcW w:w="447" w:type="pct"/>
            <w:tcMar>
              <w:top w:w="5" w:type="dxa"/>
              <w:left w:w="5" w:type="dxa"/>
              <w:bottom w:w="5" w:type="dxa"/>
              <w:right w:w="5" w:type="dxa"/>
            </w:tcMar>
            <w:vAlign w:val="bottom"/>
            <w:hideMark/>
          </w:tcPr>
          <w:p w14:paraId="1A48C0C2" w14:textId="77777777" w:rsidR="00954279" w:rsidRDefault="00A66714">
            <w:pPr>
              <w:jc w:val="right"/>
              <w:rPr>
                <w:color w:val="000000"/>
                <w:sz w:val="20"/>
                <w:szCs w:val="20"/>
              </w:rPr>
            </w:pPr>
            <w:r>
              <w:rPr>
                <w:color w:val="000000"/>
                <w:sz w:val="20"/>
                <w:szCs w:val="20"/>
              </w:rPr>
              <w:t>126</w:t>
            </w:r>
          </w:p>
        </w:tc>
        <w:tc>
          <w:tcPr>
            <w:tcW w:w="47" w:type="pct"/>
            <w:noWrap/>
            <w:tcMar>
              <w:top w:w="5" w:type="dxa"/>
              <w:left w:w="5" w:type="dxa"/>
              <w:bottom w:w="5" w:type="dxa"/>
              <w:right w:w="5" w:type="dxa"/>
            </w:tcMar>
            <w:vAlign w:val="bottom"/>
            <w:hideMark/>
          </w:tcPr>
          <w:p w14:paraId="74178AD2"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46358AE8"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0F1EC06C" w14:textId="77777777" w:rsidR="00954279" w:rsidRDefault="00A66714">
            <w:pPr>
              <w:rPr>
                <w:color w:val="000000"/>
                <w:sz w:val="20"/>
                <w:szCs w:val="20"/>
              </w:rPr>
            </w:pPr>
            <w:r>
              <w:rPr>
                <w:color w:val="000000"/>
                <w:sz w:val="20"/>
                <w:szCs w:val="20"/>
              </w:rPr>
              <w:t> </w:t>
            </w:r>
          </w:p>
        </w:tc>
        <w:tc>
          <w:tcPr>
            <w:tcW w:w="447" w:type="pct"/>
            <w:tcMar>
              <w:top w:w="5" w:type="dxa"/>
              <w:left w:w="5" w:type="dxa"/>
              <w:bottom w:w="5" w:type="dxa"/>
              <w:right w:w="5" w:type="dxa"/>
            </w:tcMar>
            <w:vAlign w:val="bottom"/>
            <w:hideMark/>
          </w:tcPr>
          <w:p w14:paraId="29C8B66B" w14:textId="77777777" w:rsidR="00954279" w:rsidRDefault="00A66714">
            <w:pPr>
              <w:jc w:val="right"/>
              <w:rPr>
                <w:color w:val="000000"/>
                <w:sz w:val="20"/>
                <w:szCs w:val="20"/>
              </w:rPr>
            </w:pPr>
            <w:r>
              <w:rPr>
                <w:color w:val="000000"/>
                <w:sz w:val="20"/>
                <w:szCs w:val="20"/>
              </w:rPr>
              <w:t>2</w:t>
            </w:r>
          </w:p>
        </w:tc>
        <w:tc>
          <w:tcPr>
            <w:tcW w:w="47" w:type="pct"/>
            <w:noWrap/>
            <w:tcMar>
              <w:top w:w="5" w:type="dxa"/>
              <w:left w:w="5" w:type="dxa"/>
              <w:bottom w:w="5" w:type="dxa"/>
              <w:right w:w="5" w:type="dxa"/>
            </w:tcMar>
            <w:vAlign w:val="bottom"/>
            <w:hideMark/>
          </w:tcPr>
          <w:p w14:paraId="140AEFC8"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029D7505" w14:textId="77777777" w:rsidR="00954279" w:rsidRDefault="00A66714">
            <w:pPr>
              <w:rPr>
                <w:color w:val="000000"/>
                <w:sz w:val="20"/>
                <w:szCs w:val="20"/>
              </w:rPr>
            </w:pPr>
            <w:r>
              <w:rPr>
                <w:color w:val="000000"/>
                <w:sz w:val="20"/>
                <w:szCs w:val="20"/>
              </w:rPr>
              <w:t> </w:t>
            </w:r>
          </w:p>
        </w:tc>
        <w:tc>
          <w:tcPr>
            <w:tcW w:w="53" w:type="pct"/>
            <w:tcMar>
              <w:top w:w="5" w:type="dxa"/>
              <w:left w:w="5" w:type="dxa"/>
              <w:bottom w:w="5" w:type="dxa"/>
              <w:right w:w="5" w:type="dxa"/>
            </w:tcMar>
            <w:vAlign w:val="bottom"/>
            <w:hideMark/>
          </w:tcPr>
          <w:p w14:paraId="6D9EFE7B" w14:textId="77777777" w:rsidR="00954279" w:rsidRDefault="00A66714">
            <w:pPr>
              <w:rPr>
                <w:color w:val="000000"/>
                <w:sz w:val="20"/>
                <w:szCs w:val="20"/>
              </w:rPr>
            </w:pPr>
            <w:r>
              <w:rPr>
                <w:color w:val="000000"/>
                <w:sz w:val="20"/>
                <w:szCs w:val="20"/>
              </w:rPr>
              <w:t> </w:t>
            </w:r>
          </w:p>
        </w:tc>
        <w:tc>
          <w:tcPr>
            <w:tcW w:w="476" w:type="pct"/>
            <w:tcMar>
              <w:top w:w="5" w:type="dxa"/>
              <w:left w:w="5" w:type="dxa"/>
              <w:bottom w:w="5" w:type="dxa"/>
              <w:right w:w="5" w:type="dxa"/>
            </w:tcMar>
            <w:vAlign w:val="bottom"/>
            <w:hideMark/>
          </w:tcPr>
          <w:p w14:paraId="0795A156" w14:textId="77777777" w:rsidR="00954279" w:rsidRDefault="00A66714">
            <w:pPr>
              <w:jc w:val="right"/>
              <w:rPr>
                <w:color w:val="000000"/>
                <w:sz w:val="20"/>
                <w:szCs w:val="20"/>
              </w:rPr>
            </w:pPr>
            <w:r>
              <w:rPr>
                <w:color w:val="000000"/>
                <w:sz w:val="20"/>
                <w:szCs w:val="20"/>
              </w:rPr>
              <w:t>48</w:t>
            </w:r>
          </w:p>
        </w:tc>
        <w:tc>
          <w:tcPr>
            <w:tcW w:w="47" w:type="pct"/>
            <w:noWrap/>
            <w:tcMar>
              <w:top w:w="5" w:type="dxa"/>
              <w:left w:w="5" w:type="dxa"/>
              <w:bottom w:w="5" w:type="dxa"/>
              <w:right w:w="5" w:type="dxa"/>
            </w:tcMar>
            <w:vAlign w:val="bottom"/>
            <w:hideMark/>
          </w:tcPr>
          <w:p w14:paraId="125B12F9"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4AF38CCF"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7C6DBD6F" w14:textId="77777777" w:rsidR="00954279" w:rsidRDefault="00A66714">
            <w:pPr>
              <w:rPr>
                <w:color w:val="000000"/>
                <w:sz w:val="20"/>
                <w:szCs w:val="20"/>
              </w:rPr>
            </w:pPr>
            <w:r>
              <w:rPr>
                <w:color w:val="000000"/>
                <w:sz w:val="20"/>
                <w:szCs w:val="20"/>
              </w:rPr>
              <w:t> </w:t>
            </w:r>
          </w:p>
        </w:tc>
        <w:tc>
          <w:tcPr>
            <w:tcW w:w="447" w:type="pct"/>
            <w:tcMar>
              <w:top w:w="5" w:type="dxa"/>
              <w:left w:w="5" w:type="dxa"/>
              <w:bottom w:w="5" w:type="dxa"/>
              <w:right w:w="5" w:type="dxa"/>
            </w:tcMar>
            <w:vAlign w:val="bottom"/>
            <w:hideMark/>
          </w:tcPr>
          <w:p w14:paraId="19093C2B" w14:textId="77777777" w:rsidR="00954279" w:rsidRDefault="00A66714">
            <w:pPr>
              <w:jc w:val="right"/>
              <w:rPr>
                <w:color w:val="000000"/>
                <w:sz w:val="20"/>
                <w:szCs w:val="20"/>
              </w:rPr>
            </w:pPr>
            <w:r>
              <w:rPr>
                <w:color w:val="000000"/>
                <w:sz w:val="20"/>
                <w:szCs w:val="20"/>
              </w:rPr>
              <w:t>176</w:t>
            </w:r>
          </w:p>
        </w:tc>
        <w:tc>
          <w:tcPr>
            <w:tcW w:w="47" w:type="pct"/>
            <w:noWrap/>
            <w:tcMar>
              <w:top w:w="5" w:type="dxa"/>
              <w:left w:w="5" w:type="dxa"/>
              <w:bottom w:w="5" w:type="dxa"/>
              <w:right w:w="5" w:type="dxa"/>
            </w:tcMar>
            <w:vAlign w:val="bottom"/>
            <w:hideMark/>
          </w:tcPr>
          <w:p w14:paraId="12560661" w14:textId="77777777" w:rsidR="00954279" w:rsidRDefault="00A66714">
            <w:pPr>
              <w:rPr>
                <w:color w:val="000000"/>
                <w:sz w:val="20"/>
                <w:szCs w:val="20"/>
              </w:rPr>
            </w:pPr>
            <w:r>
              <w:rPr>
                <w:color w:val="000000"/>
                <w:sz w:val="20"/>
                <w:szCs w:val="20"/>
              </w:rPr>
              <w:t> </w:t>
            </w:r>
          </w:p>
        </w:tc>
      </w:tr>
      <w:tr w:rsidR="00954279" w14:paraId="1D2460AD" w14:textId="77777777" w:rsidTr="00717712">
        <w:tc>
          <w:tcPr>
            <w:tcW w:w="0" w:type="auto"/>
            <w:tcMar>
              <w:top w:w="5" w:type="dxa"/>
              <w:left w:w="5" w:type="dxa"/>
              <w:bottom w:w="5" w:type="dxa"/>
              <w:right w:w="5" w:type="dxa"/>
            </w:tcMar>
            <w:vAlign w:val="bottom"/>
            <w:hideMark/>
          </w:tcPr>
          <w:p w14:paraId="6312C773" w14:textId="77777777" w:rsidR="00954279" w:rsidRDefault="00A66714">
            <w:pPr>
              <w:rPr>
                <w:color w:val="000000"/>
                <w:sz w:val="20"/>
                <w:szCs w:val="20"/>
              </w:rPr>
            </w:pPr>
            <w:r>
              <w:rPr>
                <w:color w:val="000000"/>
                <w:sz w:val="20"/>
                <w:szCs w:val="20"/>
              </w:rPr>
              <w:t>Upstream production</w:t>
            </w:r>
          </w:p>
        </w:tc>
        <w:tc>
          <w:tcPr>
            <w:tcW w:w="47" w:type="pct"/>
            <w:tcMar>
              <w:top w:w="5" w:type="dxa"/>
              <w:left w:w="5" w:type="dxa"/>
              <w:bottom w:w="5" w:type="dxa"/>
              <w:right w:w="5" w:type="dxa"/>
            </w:tcMar>
            <w:vAlign w:val="bottom"/>
            <w:hideMark/>
          </w:tcPr>
          <w:p w14:paraId="627A72AC"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0E8E1FE8" w14:textId="77777777" w:rsidR="00954279" w:rsidRDefault="00A66714">
            <w:pPr>
              <w:rPr>
                <w:color w:val="000000"/>
                <w:sz w:val="20"/>
                <w:szCs w:val="20"/>
              </w:rPr>
            </w:pPr>
            <w:r>
              <w:rPr>
                <w:color w:val="000000"/>
                <w:sz w:val="20"/>
                <w:szCs w:val="20"/>
              </w:rPr>
              <w:t> </w:t>
            </w:r>
          </w:p>
        </w:tc>
        <w:tc>
          <w:tcPr>
            <w:tcW w:w="447" w:type="pct"/>
            <w:tcMar>
              <w:top w:w="5" w:type="dxa"/>
              <w:left w:w="5" w:type="dxa"/>
              <w:bottom w:w="5" w:type="dxa"/>
              <w:right w:w="5" w:type="dxa"/>
            </w:tcMar>
            <w:vAlign w:val="bottom"/>
            <w:hideMark/>
          </w:tcPr>
          <w:p w14:paraId="7D6ABE93" w14:textId="77777777" w:rsidR="00954279" w:rsidRDefault="00A66714">
            <w:pPr>
              <w:jc w:val="right"/>
              <w:rPr>
                <w:color w:val="000000"/>
                <w:sz w:val="20"/>
                <w:szCs w:val="20"/>
              </w:rPr>
            </w:pPr>
            <w:r>
              <w:rPr>
                <w:color w:val="000000"/>
                <w:sz w:val="20"/>
                <w:szCs w:val="20"/>
              </w:rPr>
              <w:t>66</w:t>
            </w:r>
          </w:p>
        </w:tc>
        <w:tc>
          <w:tcPr>
            <w:tcW w:w="47" w:type="pct"/>
            <w:noWrap/>
            <w:tcMar>
              <w:top w:w="5" w:type="dxa"/>
              <w:left w:w="5" w:type="dxa"/>
              <w:bottom w:w="5" w:type="dxa"/>
              <w:right w:w="5" w:type="dxa"/>
            </w:tcMar>
            <w:vAlign w:val="bottom"/>
            <w:hideMark/>
          </w:tcPr>
          <w:p w14:paraId="031E0F8F"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334781B2"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59474B9A" w14:textId="77777777" w:rsidR="00954279" w:rsidRDefault="00A66714">
            <w:pPr>
              <w:rPr>
                <w:color w:val="000000"/>
                <w:sz w:val="20"/>
                <w:szCs w:val="20"/>
              </w:rPr>
            </w:pPr>
            <w:r>
              <w:rPr>
                <w:color w:val="000000"/>
                <w:sz w:val="20"/>
                <w:szCs w:val="20"/>
              </w:rPr>
              <w:t> </w:t>
            </w:r>
          </w:p>
        </w:tc>
        <w:tc>
          <w:tcPr>
            <w:tcW w:w="447" w:type="pct"/>
            <w:tcMar>
              <w:top w:w="5" w:type="dxa"/>
              <w:left w:w="5" w:type="dxa"/>
              <w:bottom w:w="5" w:type="dxa"/>
              <w:right w:w="5" w:type="dxa"/>
            </w:tcMar>
            <w:vAlign w:val="bottom"/>
            <w:hideMark/>
          </w:tcPr>
          <w:p w14:paraId="1F2C3DCC" w14:textId="77777777" w:rsidR="00954279" w:rsidRDefault="00A66714">
            <w:pPr>
              <w:jc w:val="right"/>
              <w:rPr>
                <w:color w:val="000000"/>
                <w:sz w:val="20"/>
                <w:szCs w:val="20"/>
              </w:rPr>
            </w:pPr>
            <w:r>
              <w:rPr>
                <w:color w:val="000000"/>
                <w:sz w:val="20"/>
                <w:szCs w:val="20"/>
              </w:rPr>
              <w:t>18</w:t>
            </w:r>
          </w:p>
        </w:tc>
        <w:tc>
          <w:tcPr>
            <w:tcW w:w="47" w:type="pct"/>
            <w:noWrap/>
            <w:tcMar>
              <w:top w:w="5" w:type="dxa"/>
              <w:left w:w="5" w:type="dxa"/>
              <w:bottom w:w="5" w:type="dxa"/>
              <w:right w:w="5" w:type="dxa"/>
            </w:tcMar>
            <w:vAlign w:val="bottom"/>
            <w:hideMark/>
          </w:tcPr>
          <w:p w14:paraId="7F4B6F55"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0BFB00E0" w14:textId="77777777" w:rsidR="00954279" w:rsidRDefault="00A66714">
            <w:pPr>
              <w:rPr>
                <w:color w:val="000000"/>
                <w:sz w:val="20"/>
                <w:szCs w:val="20"/>
              </w:rPr>
            </w:pPr>
            <w:r>
              <w:rPr>
                <w:color w:val="000000"/>
                <w:sz w:val="20"/>
                <w:szCs w:val="20"/>
              </w:rPr>
              <w:t> </w:t>
            </w:r>
          </w:p>
        </w:tc>
        <w:tc>
          <w:tcPr>
            <w:tcW w:w="53" w:type="pct"/>
            <w:tcMar>
              <w:top w:w="5" w:type="dxa"/>
              <w:left w:w="5" w:type="dxa"/>
              <w:bottom w:w="5" w:type="dxa"/>
              <w:right w:w="5" w:type="dxa"/>
            </w:tcMar>
            <w:vAlign w:val="bottom"/>
            <w:hideMark/>
          </w:tcPr>
          <w:p w14:paraId="375D418E" w14:textId="77777777" w:rsidR="00954279" w:rsidRDefault="00A66714">
            <w:pPr>
              <w:rPr>
                <w:color w:val="000000"/>
                <w:sz w:val="20"/>
                <w:szCs w:val="20"/>
              </w:rPr>
            </w:pPr>
            <w:r>
              <w:rPr>
                <w:color w:val="000000"/>
                <w:sz w:val="20"/>
                <w:szCs w:val="20"/>
              </w:rPr>
              <w:t> </w:t>
            </w:r>
          </w:p>
        </w:tc>
        <w:tc>
          <w:tcPr>
            <w:tcW w:w="476" w:type="pct"/>
            <w:tcMar>
              <w:top w:w="5" w:type="dxa"/>
              <w:left w:w="5" w:type="dxa"/>
              <w:bottom w:w="5" w:type="dxa"/>
              <w:right w:w="5" w:type="dxa"/>
            </w:tcMar>
            <w:vAlign w:val="bottom"/>
            <w:hideMark/>
          </w:tcPr>
          <w:p w14:paraId="0FA8B690" w14:textId="77777777" w:rsidR="00954279" w:rsidRDefault="00A66714">
            <w:pPr>
              <w:jc w:val="right"/>
              <w:rPr>
                <w:color w:val="000000"/>
                <w:sz w:val="20"/>
                <w:szCs w:val="20"/>
              </w:rPr>
            </w:pPr>
            <w:r>
              <w:rPr>
                <w:color w:val="000000"/>
                <w:sz w:val="20"/>
                <w:szCs w:val="20"/>
              </w:rPr>
              <w:t>50</w:t>
            </w:r>
          </w:p>
        </w:tc>
        <w:tc>
          <w:tcPr>
            <w:tcW w:w="47" w:type="pct"/>
            <w:noWrap/>
            <w:tcMar>
              <w:top w:w="5" w:type="dxa"/>
              <w:left w:w="5" w:type="dxa"/>
              <w:bottom w:w="5" w:type="dxa"/>
              <w:right w:w="5" w:type="dxa"/>
            </w:tcMar>
            <w:vAlign w:val="bottom"/>
            <w:hideMark/>
          </w:tcPr>
          <w:p w14:paraId="56705AD9"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2F5A1AF0"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2EC83671" w14:textId="77777777" w:rsidR="00954279" w:rsidRDefault="00A66714">
            <w:pPr>
              <w:rPr>
                <w:color w:val="000000"/>
                <w:sz w:val="20"/>
                <w:szCs w:val="20"/>
              </w:rPr>
            </w:pPr>
            <w:r>
              <w:rPr>
                <w:color w:val="000000"/>
                <w:sz w:val="20"/>
                <w:szCs w:val="20"/>
              </w:rPr>
              <w:t> </w:t>
            </w:r>
          </w:p>
        </w:tc>
        <w:tc>
          <w:tcPr>
            <w:tcW w:w="447" w:type="pct"/>
            <w:tcMar>
              <w:top w:w="5" w:type="dxa"/>
              <w:left w:w="5" w:type="dxa"/>
              <w:bottom w:w="5" w:type="dxa"/>
              <w:right w:w="5" w:type="dxa"/>
            </w:tcMar>
            <w:vAlign w:val="bottom"/>
            <w:hideMark/>
          </w:tcPr>
          <w:p w14:paraId="51DD4AF1" w14:textId="77777777" w:rsidR="00954279" w:rsidRDefault="00A66714">
            <w:pPr>
              <w:jc w:val="right"/>
              <w:rPr>
                <w:color w:val="000000"/>
                <w:sz w:val="20"/>
                <w:szCs w:val="20"/>
              </w:rPr>
            </w:pPr>
            <w:r>
              <w:rPr>
                <w:color w:val="000000"/>
                <w:sz w:val="20"/>
                <w:szCs w:val="20"/>
              </w:rPr>
              <w:t>134</w:t>
            </w:r>
          </w:p>
        </w:tc>
        <w:tc>
          <w:tcPr>
            <w:tcW w:w="47" w:type="pct"/>
            <w:noWrap/>
            <w:tcMar>
              <w:top w:w="5" w:type="dxa"/>
              <w:left w:w="5" w:type="dxa"/>
              <w:bottom w:w="5" w:type="dxa"/>
              <w:right w:w="5" w:type="dxa"/>
            </w:tcMar>
            <w:vAlign w:val="bottom"/>
            <w:hideMark/>
          </w:tcPr>
          <w:p w14:paraId="3190DABD" w14:textId="77777777" w:rsidR="00954279" w:rsidRDefault="00A66714">
            <w:pPr>
              <w:rPr>
                <w:color w:val="000000"/>
                <w:sz w:val="20"/>
                <w:szCs w:val="20"/>
              </w:rPr>
            </w:pPr>
            <w:r>
              <w:rPr>
                <w:color w:val="000000"/>
                <w:sz w:val="20"/>
                <w:szCs w:val="20"/>
              </w:rPr>
              <w:t> </w:t>
            </w:r>
          </w:p>
        </w:tc>
      </w:tr>
      <w:tr w:rsidR="00954279" w14:paraId="03384CC5" w14:textId="77777777" w:rsidTr="00717712">
        <w:tc>
          <w:tcPr>
            <w:tcW w:w="0" w:type="auto"/>
            <w:tcMar>
              <w:top w:w="5" w:type="dxa"/>
              <w:left w:w="5" w:type="dxa"/>
              <w:bottom w:w="5" w:type="dxa"/>
              <w:right w:w="5" w:type="dxa"/>
            </w:tcMar>
            <w:vAlign w:val="bottom"/>
            <w:hideMark/>
          </w:tcPr>
          <w:p w14:paraId="179D826D" w14:textId="77777777" w:rsidR="00954279" w:rsidRDefault="00A66714">
            <w:pPr>
              <w:rPr>
                <w:color w:val="000000"/>
                <w:sz w:val="20"/>
                <w:szCs w:val="20"/>
              </w:rPr>
            </w:pPr>
            <w:r>
              <w:rPr>
                <w:color w:val="000000"/>
                <w:sz w:val="20"/>
                <w:szCs w:val="20"/>
              </w:rPr>
              <w:t>Midstream pipeline</w:t>
            </w:r>
          </w:p>
        </w:tc>
        <w:tc>
          <w:tcPr>
            <w:tcW w:w="47" w:type="pct"/>
            <w:tcMar>
              <w:top w:w="5" w:type="dxa"/>
              <w:left w:w="5" w:type="dxa"/>
              <w:bottom w:w="5" w:type="dxa"/>
              <w:right w:w="5" w:type="dxa"/>
            </w:tcMar>
            <w:vAlign w:val="bottom"/>
            <w:hideMark/>
          </w:tcPr>
          <w:p w14:paraId="10A13E35" w14:textId="77777777" w:rsidR="00954279" w:rsidRDefault="00A66714">
            <w:pPr>
              <w:rPr>
                <w:color w:val="000000"/>
                <w:sz w:val="20"/>
                <w:szCs w:val="20"/>
              </w:rPr>
            </w:pPr>
            <w:r>
              <w:rPr>
                <w:color w:val="000000"/>
                <w:sz w:val="20"/>
                <w:szCs w:val="20"/>
              </w:rPr>
              <w:t> </w:t>
            </w:r>
          </w:p>
        </w:tc>
        <w:tc>
          <w:tcPr>
            <w:tcW w:w="51" w:type="pct"/>
            <w:tcBorders>
              <w:bottom w:val="single" w:sz="6" w:space="0" w:color="000000"/>
            </w:tcBorders>
            <w:tcMar>
              <w:top w:w="5" w:type="dxa"/>
              <w:left w:w="5" w:type="dxa"/>
              <w:bottom w:w="8" w:type="dxa"/>
              <w:right w:w="5" w:type="dxa"/>
            </w:tcMar>
            <w:vAlign w:val="bottom"/>
            <w:hideMark/>
          </w:tcPr>
          <w:p w14:paraId="14DC29FC" w14:textId="77777777" w:rsidR="00954279" w:rsidRDefault="00A66714">
            <w:pPr>
              <w:rPr>
                <w:color w:val="000000"/>
                <w:sz w:val="20"/>
                <w:szCs w:val="20"/>
              </w:rPr>
            </w:pPr>
            <w:r>
              <w:rPr>
                <w:color w:val="000000"/>
                <w:sz w:val="20"/>
                <w:szCs w:val="20"/>
              </w:rPr>
              <w:t> </w:t>
            </w:r>
          </w:p>
        </w:tc>
        <w:tc>
          <w:tcPr>
            <w:tcW w:w="447" w:type="pct"/>
            <w:tcBorders>
              <w:bottom w:val="single" w:sz="6" w:space="0" w:color="000000"/>
            </w:tcBorders>
            <w:tcMar>
              <w:top w:w="5" w:type="dxa"/>
              <w:left w:w="5" w:type="dxa"/>
              <w:bottom w:w="8" w:type="dxa"/>
              <w:right w:w="5" w:type="dxa"/>
            </w:tcMar>
            <w:vAlign w:val="bottom"/>
            <w:hideMark/>
          </w:tcPr>
          <w:p w14:paraId="5D435AE6" w14:textId="77777777" w:rsidR="00954279" w:rsidRDefault="00A66714">
            <w:pPr>
              <w:jc w:val="right"/>
              <w:rPr>
                <w:color w:val="000000"/>
                <w:sz w:val="20"/>
                <w:szCs w:val="20"/>
              </w:rPr>
            </w:pPr>
            <w:r>
              <w:rPr>
                <w:color w:val="000000"/>
                <w:sz w:val="20"/>
                <w:szCs w:val="20"/>
              </w:rPr>
              <w:t>82</w:t>
            </w:r>
          </w:p>
        </w:tc>
        <w:tc>
          <w:tcPr>
            <w:tcW w:w="47" w:type="pct"/>
            <w:noWrap/>
            <w:tcMar>
              <w:top w:w="5" w:type="dxa"/>
              <w:left w:w="5" w:type="dxa"/>
              <w:bottom w:w="20" w:type="dxa"/>
              <w:right w:w="5" w:type="dxa"/>
            </w:tcMar>
            <w:vAlign w:val="bottom"/>
            <w:hideMark/>
          </w:tcPr>
          <w:p w14:paraId="7C0305CA"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1B02073A" w14:textId="77777777" w:rsidR="00954279" w:rsidRDefault="00A66714">
            <w:pPr>
              <w:rPr>
                <w:color w:val="000000"/>
                <w:sz w:val="20"/>
                <w:szCs w:val="20"/>
              </w:rPr>
            </w:pPr>
            <w:r>
              <w:rPr>
                <w:color w:val="000000"/>
                <w:sz w:val="20"/>
                <w:szCs w:val="20"/>
              </w:rPr>
              <w:t> </w:t>
            </w:r>
          </w:p>
        </w:tc>
        <w:tc>
          <w:tcPr>
            <w:tcW w:w="51" w:type="pct"/>
            <w:tcBorders>
              <w:bottom w:val="single" w:sz="6" w:space="0" w:color="000000"/>
            </w:tcBorders>
            <w:tcMar>
              <w:top w:w="5" w:type="dxa"/>
              <w:left w:w="5" w:type="dxa"/>
              <w:bottom w:w="8" w:type="dxa"/>
              <w:right w:w="5" w:type="dxa"/>
            </w:tcMar>
            <w:vAlign w:val="bottom"/>
            <w:hideMark/>
          </w:tcPr>
          <w:p w14:paraId="37DC04D4" w14:textId="77777777" w:rsidR="00954279" w:rsidRDefault="00A66714">
            <w:pPr>
              <w:rPr>
                <w:color w:val="000000"/>
                <w:sz w:val="20"/>
                <w:szCs w:val="20"/>
              </w:rPr>
            </w:pPr>
            <w:r>
              <w:rPr>
                <w:color w:val="000000"/>
                <w:sz w:val="20"/>
                <w:szCs w:val="20"/>
              </w:rPr>
              <w:t> </w:t>
            </w:r>
          </w:p>
        </w:tc>
        <w:tc>
          <w:tcPr>
            <w:tcW w:w="447" w:type="pct"/>
            <w:tcBorders>
              <w:bottom w:val="single" w:sz="6" w:space="0" w:color="000000"/>
            </w:tcBorders>
            <w:tcMar>
              <w:top w:w="5" w:type="dxa"/>
              <w:left w:w="5" w:type="dxa"/>
              <w:bottom w:w="8" w:type="dxa"/>
              <w:right w:w="5" w:type="dxa"/>
            </w:tcMar>
            <w:vAlign w:val="bottom"/>
            <w:hideMark/>
          </w:tcPr>
          <w:p w14:paraId="0EB1FACE" w14:textId="77777777" w:rsidR="00954279" w:rsidRDefault="00A66714">
            <w:pPr>
              <w:jc w:val="right"/>
              <w:rPr>
                <w:color w:val="000000"/>
                <w:sz w:val="20"/>
                <w:szCs w:val="20"/>
              </w:rPr>
            </w:pPr>
            <w:r>
              <w:rPr>
                <w:color w:val="000000"/>
                <w:sz w:val="20"/>
                <w:szCs w:val="20"/>
              </w:rPr>
              <w:t>3</w:t>
            </w:r>
          </w:p>
        </w:tc>
        <w:tc>
          <w:tcPr>
            <w:tcW w:w="47" w:type="pct"/>
            <w:noWrap/>
            <w:tcMar>
              <w:top w:w="5" w:type="dxa"/>
              <w:left w:w="5" w:type="dxa"/>
              <w:bottom w:w="20" w:type="dxa"/>
              <w:right w:w="5" w:type="dxa"/>
            </w:tcMar>
            <w:vAlign w:val="bottom"/>
            <w:hideMark/>
          </w:tcPr>
          <w:p w14:paraId="5CEF76BE"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69AB42EB" w14:textId="77777777" w:rsidR="00954279" w:rsidRDefault="00A66714">
            <w:pPr>
              <w:rPr>
                <w:color w:val="000000"/>
                <w:sz w:val="20"/>
                <w:szCs w:val="20"/>
              </w:rPr>
            </w:pPr>
            <w:r>
              <w:rPr>
                <w:color w:val="000000"/>
                <w:sz w:val="20"/>
                <w:szCs w:val="20"/>
              </w:rPr>
              <w:t> </w:t>
            </w:r>
          </w:p>
        </w:tc>
        <w:tc>
          <w:tcPr>
            <w:tcW w:w="53" w:type="pct"/>
            <w:tcBorders>
              <w:bottom w:val="single" w:sz="6" w:space="0" w:color="000000"/>
            </w:tcBorders>
            <w:tcMar>
              <w:top w:w="5" w:type="dxa"/>
              <w:left w:w="5" w:type="dxa"/>
              <w:bottom w:w="8" w:type="dxa"/>
              <w:right w:w="5" w:type="dxa"/>
            </w:tcMar>
            <w:vAlign w:val="bottom"/>
            <w:hideMark/>
          </w:tcPr>
          <w:p w14:paraId="6A3320CA" w14:textId="77777777" w:rsidR="00954279" w:rsidRDefault="00A66714">
            <w:pPr>
              <w:rPr>
                <w:color w:val="000000"/>
                <w:sz w:val="20"/>
                <w:szCs w:val="20"/>
              </w:rPr>
            </w:pPr>
            <w:r>
              <w:rPr>
                <w:color w:val="000000"/>
                <w:sz w:val="20"/>
                <w:szCs w:val="20"/>
              </w:rPr>
              <w:t> </w:t>
            </w:r>
          </w:p>
        </w:tc>
        <w:tc>
          <w:tcPr>
            <w:tcW w:w="476" w:type="pct"/>
            <w:tcBorders>
              <w:bottom w:val="single" w:sz="6" w:space="0" w:color="000000"/>
            </w:tcBorders>
            <w:tcMar>
              <w:top w:w="5" w:type="dxa"/>
              <w:left w:w="5" w:type="dxa"/>
              <w:bottom w:w="8" w:type="dxa"/>
              <w:right w:w="5" w:type="dxa"/>
            </w:tcMar>
            <w:vAlign w:val="bottom"/>
            <w:hideMark/>
          </w:tcPr>
          <w:p w14:paraId="467DC30B" w14:textId="77777777" w:rsidR="00954279" w:rsidRDefault="00A66714">
            <w:pPr>
              <w:jc w:val="right"/>
              <w:rPr>
                <w:color w:val="000000"/>
                <w:sz w:val="20"/>
                <w:szCs w:val="20"/>
              </w:rPr>
            </w:pPr>
            <w:r>
              <w:rPr>
                <w:color w:val="000000"/>
                <w:sz w:val="20"/>
                <w:szCs w:val="20"/>
              </w:rPr>
              <w:t>2</w:t>
            </w:r>
          </w:p>
        </w:tc>
        <w:tc>
          <w:tcPr>
            <w:tcW w:w="47" w:type="pct"/>
            <w:noWrap/>
            <w:tcMar>
              <w:top w:w="5" w:type="dxa"/>
              <w:left w:w="5" w:type="dxa"/>
              <w:bottom w:w="20" w:type="dxa"/>
              <w:right w:w="5" w:type="dxa"/>
            </w:tcMar>
            <w:vAlign w:val="bottom"/>
            <w:hideMark/>
          </w:tcPr>
          <w:p w14:paraId="61B058C8"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454ADE0D" w14:textId="77777777" w:rsidR="00954279" w:rsidRDefault="00A66714">
            <w:pPr>
              <w:rPr>
                <w:color w:val="000000"/>
                <w:sz w:val="20"/>
                <w:szCs w:val="20"/>
              </w:rPr>
            </w:pPr>
            <w:r>
              <w:rPr>
                <w:color w:val="000000"/>
                <w:sz w:val="20"/>
                <w:szCs w:val="20"/>
              </w:rPr>
              <w:t> </w:t>
            </w:r>
          </w:p>
        </w:tc>
        <w:tc>
          <w:tcPr>
            <w:tcW w:w="51" w:type="pct"/>
            <w:tcBorders>
              <w:bottom w:val="single" w:sz="6" w:space="0" w:color="000000"/>
            </w:tcBorders>
            <w:tcMar>
              <w:top w:w="5" w:type="dxa"/>
              <w:left w:w="5" w:type="dxa"/>
              <w:bottom w:w="8" w:type="dxa"/>
              <w:right w:w="5" w:type="dxa"/>
            </w:tcMar>
            <w:vAlign w:val="bottom"/>
            <w:hideMark/>
          </w:tcPr>
          <w:p w14:paraId="64357A0D" w14:textId="77777777" w:rsidR="00954279" w:rsidRDefault="00A66714">
            <w:pPr>
              <w:rPr>
                <w:color w:val="000000"/>
                <w:sz w:val="20"/>
                <w:szCs w:val="20"/>
              </w:rPr>
            </w:pPr>
            <w:r>
              <w:rPr>
                <w:color w:val="000000"/>
                <w:sz w:val="20"/>
                <w:szCs w:val="20"/>
              </w:rPr>
              <w:t> </w:t>
            </w:r>
          </w:p>
        </w:tc>
        <w:tc>
          <w:tcPr>
            <w:tcW w:w="447" w:type="pct"/>
            <w:tcBorders>
              <w:bottom w:val="single" w:sz="6" w:space="0" w:color="000000"/>
            </w:tcBorders>
            <w:tcMar>
              <w:top w:w="5" w:type="dxa"/>
              <w:left w:w="5" w:type="dxa"/>
              <w:bottom w:w="8" w:type="dxa"/>
              <w:right w:w="5" w:type="dxa"/>
            </w:tcMar>
            <w:vAlign w:val="bottom"/>
            <w:hideMark/>
          </w:tcPr>
          <w:p w14:paraId="7298430D" w14:textId="77777777" w:rsidR="00954279" w:rsidRDefault="00A66714">
            <w:pPr>
              <w:jc w:val="right"/>
              <w:rPr>
                <w:color w:val="000000"/>
                <w:sz w:val="20"/>
                <w:szCs w:val="20"/>
              </w:rPr>
            </w:pPr>
            <w:r>
              <w:rPr>
                <w:color w:val="000000"/>
                <w:sz w:val="20"/>
                <w:szCs w:val="20"/>
              </w:rPr>
              <w:t>87</w:t>
            </w:r>
          </w:p>
        </w:tc>
        <w:tc>
          <w:tcPr>
            <w:tcW w:w="47" w:type="pct"/>
            <w:noWrap/>
            <w:tcMar>
              <w:top w:w="5" w:type="dxa"/>
              <w:left w:w="5" w:type="dxa"/>
              <w:bottom w:w="20" w:type="dxa"/>
              <w:right w:w="5" w:type="dxa"/>
            </w:tcMar>
            <w:vAlign w:val="bottom"/>
            <w:hideMark/>
          </w:tcPr>
          <w:p w14:paraId="56512D00" w14:textId="77777777" w:rsidR="00954279" w:rsidRDefault="00A66714">
            <w:pPr>
              <w:rPr>
                <w:color w:val="000000"/>
                <w:sz w:val="20"/>
                <w:szCs w:val="20"/>
              </w:rPr>
            </w:pPr>
            <w:r>
              <w:rPr>
                <w:color w:val="000000"/>
                <w:sz w:val="20"/>
                <w:szCs w:val="20"/>
              </w:rPr>
              <w:t> </w:t>
            </w:r>
          </w:p>
        </w:tc>
      </w:tr>
      <w:tr w:rsidR="00954279" w14:paraId="22261764" w14:textId="77777777" w:rsidTr="00717712">
        <w:tc>
          <w:tcPr>
            <w:tcW w:w="0" w:type="auto"/>
            <w:tcMar>
              <w:top w:w="5" w:type="dxa"/>
              <w:left w:w="5" w:type="dxa"/>
              <w:bottom w:w="5" w:type="dxa"/>
              <w:right w:w="5" w:type="dxa"/>
            </w:tcMar>
            <w:vAlign w:val="bottom"/>
            <w:hideMark/>
          </w:tcPr>
          <w:p w14:paraId="21E5C708"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071150DC" w14:textId="77777777" w:rsidR="00954279" w:rsidRDefault="00A66714">
            <w:pPr>
              <w:rPr>
                <w:color w:val="000000"/>
                <w:sz w:val="20"/>
                <w:szCs w:val="20"/>
              </w:rPr>
            </w:pPr>
            <w:r>
              <w:rPr>
                <w:color w:val="000000"/>
                <w:sz w:val="20"/>
                <w:szCs w:val="20"/>
              </w:rPr>
              <w:t> </w:t>
            </w:r>
          </w:p>
        </w:tc>
        <w:tc>
          <w:tcPr>
            <w:tcW w:w="51" w:type="pct"/>
            <w:tcBorders>
              <w:bottom w:val="double" w:sz="6" w:space="0" w:color="000000"/>
            </w:tcBorders>
            <w:tcMar>
              <w:top w:w="5" w:type="dxa"/>
              <w:left w:w="5" w:type="dxa"/>
              <w:bottom w:w="22" w:type="dxa"/>
              <w:right w:w="5" w:type="dxa"/>
            </w:tcMar>
            <w:vAlign w:val="bottom"/>
            <w:hideMark/>
          </w:tcPr>
          <w:p w14:paraId="3E57AEF6" w14:textId="77777777" w:rsidR="00954279" w:rsidRDefault="00A66714">
            <w:pPr>
              <w:rPr>
                <w:color w:val="000000"/>
                <w:sz w:val="20"/>
                <w:szCs w:val="20"/>
              </w:rPr>
            </w:pPr>
            <w:r>
              <w:rPr>
                <w:color w:val="000000"/>
                <w:sz w:val="20"/>
                <w:szCs w:val="20"/>
              </w:rPr>
              <w:t>$</w:t>
            </w:r>
          </w:p>
        </w:tc>
        <w:tc>
          <w:tcPr>
            <w:tcW w:w="447" w:type="pct"/>
            <w:tcBorders>
              <w:bottom w:val="double" w:sz="6" w:space="0" w:color="000000"/>
            </w:tcBorders>
            <w:tcMar>
              <w:top w:w="5" w:type="dxa"/>
              <w:left w:w="5" w:type="dxa"/>
              <w:bottom w:w="22" w:type="dxa"/>
              <w:right w:w="5" w:type="dxa"/>
            </w:tcMar>
            <w:vAlign w:val="bottom"/>
            <w:hideMark/>
          </w:tcPr>
          <w:p w14:paraId="44DFDF32" w14:textId="77777777" w:rsidR="00954279" w:rsidRDefault="00A66714">
            <w:pPr>
              <w:jc w:val="right"/>
              <w:rPr>
                <w:color w:val="000000"/>
                <w:sz w:val="20"/>
                <w:szCs w:val="20"/>
              </w:rPr>
            </w:pPr>
            <w:r>
              <w:rPr>
                <w:color w:val="000000"/>
                <w:sz w:val="20"/>
                <w:szCs w:val="20"/>
              </w:rPr>
              <w:t>474</w:t>
            </w:r>
          </w:p>
        </w:tc>
        <w:tc>
          <w:tcPr>
            <w:tcW w:w="47" w:type="pct"/>
            <w:noWrap/>
            <w:tcMar>
              <w:top w:w="5" w:type="dxa"/>
              <w:left w:w="5" w:type="dxa"/>
              <w:bottom w:w="50" w:type="dxa"/>
              <w:right w:w="5" w:type="dxa"/>
            </w:tcMar>
            <w:vAlign w:val="bottom"/>
            <w:hideMark/>
          </w:tcPr>
          <w:p w14:paraId="5B82541C"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31E192EF" w14:textId="77777777" w:rsidR="00954279" w:rsidRDefault="00A66714">
            <w:pPr>
              <w:rPr>
                <w:color w:val="000000"/>
                <w:sz w:val="20"/>
                <w:szCs w:val="20"/>
              </w:rPr>
            </w:pPr>
            <w:r>
              <w:rPr>
                <w:color w:val="000000"/>
                <w:sz w:val="20"/>
                <w:szCs w:val="20"/>
              </w:rPr>
              <w:t> </w:t>
            </w:r>
          </w:p>
        </w:tc>
        <w:tc>
          <w:tcPr>
            <w:tcW w:w="51" w:type="pct"/>
            <w:tcBorders>
              <w:bottom w:val="double" w:sz="6" w:space="0" w:color="000000"/>
            </w:tcBorders>
            <w:tcMar>
              <w:top w:w="5" w:type="dxa"/>
              <w:left w:w="5" w:type="dxa"/>
              <w:bottom w:w="22" w:type="dxa"/>
              <w:right w:w="5" w:type="dxa"/>
            </w:tcMar>
            <w:vAlign w:val="bottom"/>
            <w:hideMark/>
          </w:tcPr>
          <w:p w14:paraId="35CEAFB8" w14:textId="77777777" w:rsidR="00954279" w:rsidRDefault="00A66714">
            <w:pPr>
              <w:rPr>
                <w:color w:val="000000"/>
                <w:sz w:val="20"/>
                <w:szCs w:val="20"/>
              </w:rPr>
            </w:pPr>
            <w:r>
              <w:rPr>
                <w:color w:val="000000"/>
                <w:sz w:val="20"/>
                <w:szCs w:val="20"/>
              </w:rPr>
              <w:t>$</w:t>
            </w:r>
          </w:p>
        </w:tc>
        <w:tc>
          <w:tcPr>
            <w:tcW w:w="447" w:type="pct"/>
            <w:tcBorders>
              <w:bottom w:val="double" w:sz="6" w:space="0" w:color="000000"/>
            </w:tcBorders>
            <w:tcMar>
              <w:top w:w="5" w:type="dxa"/>
              <w:left w:w="5" w:type="dxa"/>
              <w:bottom w:w="22" w:type="dxa"/>
              <w:right w:w="5" w:type="dxa"/>
            </w:tcMar>
            <w:vAlign w:val="bottom"/>
            <w:hideMark/>
          </w:tcPr>
          <w:p w14:paraId="5537F7F7" w14:textId="77777777" w:rsidR="00954279" w:rsidRDefault="00A66714">
            <w:pPr>
              <w:jc w:val="right"/>
              <w:rPr>
                <w:color w:val="000000"/>
                <w:sz w:val="20"/>
                <w:szCs w:val="20"/>
              </w:rPr>
            </w:pPr>
            <w:r>
              <w:rPr>
                <w:color w:val="000000"/>
                <w:sz w:val="20"/>
                <w:szCs w:val="20"/>
              </w:rPr>
              <w:t>28</w:t>
            </w:r>
          </w:p>
        </w:tc>
        <w:tc>
          <w:tcPr>
            <w:tcW w:w="47" w:type="pct"/>
            <w:noWrap/>
            <w:tcMar>
              <w:top w:w="5" w:type="dxa"/>
              <w:left w:w="5" w:type="dxa"/>
              <w:bottom w:w="50" w:type="dxa"/>
              <w:right w:w="5" w:type="dxa"/>
            </w:tcMar>
            <w:vAlign w:val="bottom"/>
            <w:hideMark/>
          </w:tcPr>
          <w:p w14:paraId="5F309B91"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66CCE589" w14:textId="77777777" w:rsidR="00954279" w:rsidRDefault="00A66714">
            <w:pPr>
              <w:rPr>
                <w:color w:val="000000"/>
                <w:sz w:val="20"/>
                <w:szCs w:val="20"/>
              </w:rPr>
            </w:pPr>
            <w:r>
              <w:rPr>
                <w:color w:val="000000"/>
                <w:sz w:val="20"/>
                <w:szCs w:val="20"/>
              </w:rPr>
              <w:t> </w:t>
            </w:r>
          </w:p>
        </w:tc>
        <w:tc>
          <w:tcPr>
            <w:tcW w:w="53" w:type="pct"/>
            <w:tcBorders>
              <w:bottom w:val="double" w:sz="6" w:space="0" w:color="000000"/>
            </w:tcBorders>
            <w:tcMar>
              <w:top w:w="5" w:type="dxa"/>
              <w:left w:w="5" w:type="dxa"/>
              <w:bottom w:w="22" w:type="dxa"/>
              <w:right w:w="5" w:type="dxa"/>
            </w:tcMar>
            <w:vAlign w:val="bottom"/>
            <w:hideMark/>
          </w:tcPr>
          <w:p w14:paraId="5D8EAD22" w14:textId="77777777" w:rsidR="00954279" w:rsidRDefault="00A66714">
            <w:pPr>
              <w:rPr>
                <w:color w:val="000000"/>
                <w:sz w:val="20"/>
                <w:szCs w:val="20"/>
              </w:rPr>
            </w:pPr>
            <w:r>
              <w:rPr>
                <w:color w:val="000000"/>
                <w:sz w:val="20"/>
                <w:szCs w:val="20"/>
              </w:rPr>
              <w:t>$</w:t>
            </w:r>
          </w:p>
        </w:tc>
        <w:tc>
          <w:tcPr>
            <w:tcW w:w="476" w:type="pct"/>
            <w:tcBorders>
              <w:bottom w:val="double" w:sz="6" w:space="0" w:color="000000"/>
            </w:tcBorders>
            <w:tcMar>
              <w:top w:w="5" w:type="dxa"/>
              <w:left w:w="5" w:type="dxa"/>
              <w:bottom w:w="22" w:type="dxa"/>
              <w:right w:w="5" w:type="dxa"/>
            </w:tcMar>
            <w:vAlign w:val="bottom"/>
            <w:hideMark/>
          </w:tcPr>
          <w:p w14:paraId="4594CE90" w14:textId="77777777" w:rsidR="00954279" w:rsidRDefault="00A66714">
            <w:pPr>
              <w:jc w:val="right"/>
              <w:rPr>
                <w:color w:val="000000"/>
                <w:sz w:val="20"/>
                <w:szCs w:val="20"/>
              </w:rPr>
            </w:pPr>
            <w:r>
              <w:rPr>
                <w:color w:val="000000"/>
                <w:sz w:val="20"/>
                <w:szCs w:val="20"/>
              </w:rPr>
              <w:t>100</w:t>
            </w:r>
          </w:p>
        </w:tc>
        <w:tc>
          <w:tcPr>
            <w:tcW w:w="47" w:type="pct"/>
            <w:noWrap/>
            <w:tcMar>
              <w:top w:w="5" w:type="dxa"/>
              <w:left w:w="5" w:type="dxa"/>
              <w:bottom w:w="50" w:type="dxa"/>
              <w:right w:w="5" w:type="dxa"/>
            </w:tcMar>
            <w:vAlign w:val="bottom"/>
            <w:hideMark/>
          </w:tcPr>
          <w:p w14:paraId="78C542A6"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429AE06D" w14:textId="77777777" w:rsidR="00954279" w:rsidRDefault="00A66714">
            <w:pPr>
              <w:rPr>
                <w:color w:val="000000"/>
                <w:sz w:val="20"/>
                <w:szCs w:val="20"/>
              </w:rPr>
            </w:pPr>
            <w:r>
              <w:rPr>
                <w:color w:val="000000"/>
                <w:sz w:val="20"/>
                <w:szCs w:val="20"/>
              </w:rPr>
              <w:t> </w:t>
            </w:r>
          </w:p>
        </w:tc>
        <w:tc>
          <w:tcPr>
            <w:tcW w:w="51" w:type="pct"/>
            <w:tcBorders>
              <w:bottom w:val="double" w:sz="6" w:space="0" w:color="000000"/>
            </w:tcBorders>
            <w:tcMar>
              <w:top w:w="5" w:type="dxa"/>
              <w:left w:w="5" w:type="dxa"/>
              <w:bottom w:w="22" w:type="dxa"/>
              <w:right w:w="5" w:type="dxa"/>
            </w:tcMar>
            <w:vAlign w:val="bottom"/>
            <w:hideMark/>
          </w:tcPr>
          <w:p w14:paraId="4AA094D5" w14:textId="77777777" w:rsidR="00954279" w:rsidRDefault="00A66714">
            <w:pPr>
              <w:rPr>
                <w:color w:val="000000"/>
                <w:sz w:val="20"/>
                <w:szCs w:val="20"/>
              </w:rPr>
            </w:pPr>
            <w:r>
              <w:rPr>
                <w:color w:val="000000"/>
                <w:sz w:val="20"/>
                <w:szCs w:val="20"/>
              </w:rPr>
              <w:t>$</w:t>
            </w:r>
          </w:p>
        </w:tc>
        <w:tc>
          <w:tcPr>
            <w:tcW w:w="447" w:type="pct"/>
            <w:tcBorders>
              <w:bottom w:val="double" w:sz="6" w:space="0" w:color="000000"/>
            </w:tcBorders>
            <w:tcMar>
              <w:top w:w="5" w:type="dxa"/>
              <w:left w:w="5" w:type="dxa"/>
              <w:bottom w:w="22" w:type="dxa"/>
              <w:right w:w="5" w:type="dxa"/>
            </w:tcMar>
            <w:vAlign w:val="bottom"/>
            <w:hideMark/>
          </w:tcPr>
          <w:p w14:paraId="0D7A840D" w14:textId="77777777" w:rsidR="00954279" w:rsidRDefault="00A66714">
            <w:pPr>
              <w:jc w:val="right"/>
              <w:rPr>
                <w:color w:val="000000"/>
                <w:sz w:val="20"/>
                <w:szCs w:val="20"/>
              </w:rPr>
            </w:pPr>
            <w:r>
              <w:rPr>
                <w:color w:val="000000"/>
                <w:sz w:val="20"/>
                <w:szCs w:val="20"/>
              </w:rPr>
              <w:t>602</w:t>
            </w:r>
          </w:p>
        </w:tc>
        <w:tc>
          <w:tcPr>
            <w:tcW w:w="47" w:type="pct"/>
            <w:noWrap/>
            <w:tcMar>
              <w:top w:w="5" w:type="dxa"/>
              <w:left w:w="5" w:type="dxa"/>
              <w:bottom w:w="50" w:type="dxa"/>
              <w:right w:w="5" w:type="dxa"/>
            </w:tcMar>
            <w:vAlign w:val="bottom"/>
            <w:hideMark/>
          </w:tcPr>
          <w:p w14:paraId="3028A3F1" w14:textId="77777777" w:rsidR="00954279" w:rsidRDefault="00A66714">
            <w:pPr>
              <w:rPr>
                <w:color w:val="000000"/>
                <w:sz w:val="20"/>
                <w:szCs w:val="20"/>
              </w:rPr>
            </w:pPr>
            <w:r>
              <w:rPr>
                <w:color w:val="000000"/>
                <w:sz w:val="20"/>
                <w:szCs w:val="20"/>
              </w:rPr>
              <w:t> </w:t>
            </w:r>
          </w:p>
        </w:tc>
      </w:tr>
      <w:tr w:rsidR="00954279" w14:paraId="49C8240E" w14:textId="77777777">
        <w:tc>
          <w:tcPr>
            <w:tcW w:w="0" w:type="auto"/>
            <w:gridSpan w:val="16"/>
            <w:tcMar>
              <w:top w:w="5" w:type="dxa"/>
              <w:left w:w="5" w:type="dxa"/>
              <w:bottom w:w="5" w:type="dxa"/>
              <w:right w:w="5" w:type="dxa"/>
            </w:tcMar>
            <w:vAlign w:val="bottom"/>
            <w:hideMark/>
          </w:tcPr>
          <w:p w14:paraId="2839D0F5" w14:textId="667177BF" w:rsidR="00954279" w:rsidRDefault="00A66714">
            <w:pPr>
              <w:jc w:val="center"/>
              <w:rPr>
                <w:color w:val="000000"/>
                <w:sz w:val="20"/>
                <w:szCs w:val="20"/>
              </w:rPr>
            </w:pPr>
            <w:r>
              <w:rPr>
                <w:sz w:val="20"/>
                <w:szCs w:val="20"/>
              </w:rPr>
              <w:t> </w:t>
            </w:r>
            <w:r>
              <w:rPr>
                <w:b/>
                <w:bCs/>
                <w:color w:val="000000"/>
                <w:sz w:val="20"/>
                <w:szCs w:val="20"/>
              </w:rPr>
              <w:t>Six Months Ended</w:t>
            </w:r>
          </w:p>
        </w:tc>
        <w:tc>
          <w:tcPr>
            <w:tcW w:w="0" w:type="auto"/>
            <w:tcMar>
              <w:top w:w="5" w:type="dxa"/>
              <w:left w:w="5" w:type="dxa"/>
              <w:bottom w:w="5" w:type="dxa"/>
              <w:right w:w="5" w:type="dxa"/>
            </w:tcMar>
            <w:vAlign w:val="bottom"/>
            <w:hideMark/>
          </w:tcPr>
          <w:p w14:paraId="4D12154E" w14:textId="77777777" w:rsidR="00954279" w:rsidRDefault="00A66714">
            <w:pPr>
              <w:rPr>
                <w:color w:val="000000"/>
                <w:sz w:val="20"/>
                <w:szCs w:val="20"/>
              </w:rPr>
            </w:pPr>
            <w:r>
              <w:rPr>
                <w:color w:val="000000"/>
                <w:sz w:val="20"/>
                <w:szCs w:val="20"/>
              </w:rPr>
              <w:t> </w:t>
            </w:r>
          </w:p>
        </w:tc>
      </w:tr>
      <w:tr w:rsidR="00954279" w14:paraId="21967838" w14:textId="77777777">
        <w:tc>
          <w:tcPr>
            <w:tcW w:w="0" w:type="auto"/>
            <w:gridSpan w:val="16"/>
            <w:tcBorders>
              <w:bottom w:val="single" w:sz="12" w:space="0" w:color="000000"/>
            </w:tcBorders>
            <w:tcMar>
              <w:top w:w="5" w:type="dxa"/>
              <w:left w:w="5" w:type="dxa"/>
              <w:bottom w:w="15" w:type="dxa"/>
              <w:right w:w="5" w:type="dxa"/>
            </w:tcMar>
            <w:vAlign w:val="bottom"/>
            <w:hideMark/>
          </w:tcPr>
          <w:p w14:paraId="1E1C1B4F" w14:textId="77777777" w:rsidR="00954279" w:rsidRDefault="00A66714">
            <w:pPr>
              <w:jc w:val="center"/>
              <w:rPr>
                <w:color w:val="000000"/>
                <w:sz w:val="20"/>
                <w:szCs w:val="20"/>
              </w:rPr>
            </w:pPr>
            <w:r>
              <w:rPr>
                <w:b/>
                <w:bCs/>
                <w:color w:val="000000"/>
                <w:sz w:val="20"/>
                <w:szCs w:val="20"/>
              </w:rPr>
              <w:t>June 30,</w:t>
            </w:r>
          </w:p>
        </w:tc>
        <w:tc>
          <w:tcPr>
            <w:tcW w:w="0" w:type="auto"/>
            <w:tcMar>
              <w:top w:w="5" w:type="dxa"/>
              <w:left w:w="5" w:type="dxa"/>
              <w:bottom w:w="20" w:type="dxa"/>
              <w:right w:w="5" w:type="dxa"/>
            </w:tcMar>
            <w:vAlign w:val="bottom"/>
            <w:hideMark/>
          </w:tcPr>
          <w:p w14:paraId="37506098" w14:textId="77777777" w:rsidR="00954279" w:rsidRDefault="00A66714">
            <w:pPr>
              <w:rPr>
                <w:color w:val="000000"/>
                <w:sz w:val="20"/>
                <w:szCs w:val="20"/>
              </w:rPr>
            </w:pPr>
            <w:r>
              <w:rPr>
                <w:color w:val="000000"/>
                <w:sz w:val="20"/>
                <w:szCs w:val="20"/>
              </w:rPr>
              <w:t> </w:t>
            </w:r>
          </w:p>
        </w:tc>
      </w:tr>
      <w:tr w:rsidR="00954279" w14:paraId="423386AA" w14:textId="77777777">
        <w:tc>
          <w:tcPr>
            <w:tcW w:w="0" w:type="auto"/>
            <w:tcMar>
              <w:top w:w="5" w:type="dxa"/>
              <w:left w:w="5" w:type="dxa"/>
              <w:bottom w:w="5" w:type="dxa"/>
              <w:right w:w="5" w:type="dxa"/>
            </w:tcMar>
            <w:vAlign w:val="bottom"/>
            <w:hideMark/>
          </w:tcPr>
          <w:p w14:paraId="248EBD62"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304258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12180F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D5D6F6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4879CE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19C407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262AFB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EFBAAB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7D10C5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9D43C8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E23D53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FB7CA0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8CED5D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1EEB52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DA98D5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C9FFE1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0E3E778" w14:textId="77777777" w:rsidR="00954279" w:rsidRDefault="00A66714">
            <w:pPr>
              <w:rPr>
                <w:color w:val="000000"/>
                <w:sz w:val="20"/>
                <w:szCs w:val="20"/>
              </w:rPr>
            </w:pPr>
            <w:r>
              <w:rPr>
                <w:color w:val="000000"/>
                <w:sz w:val="20"/>
                <w:szCs w:val="20"/>
              </w:rPr>
              <w:t> </w:t>
            </w:r>
          </w:p>
        </w:tc>
      </w:tr>
      <w:tr w:rsidR="00954279" w14:paraId="48F3DA38" w14:textId="77777777">
        <w:tc>
          <w:tcPr>
            <w:tcW w:w="0" w:type="auto"/>
            <w:tcMar>
              <w:top w:w="5" w:type="dxa"/>
              <w:left w:w="5" w:type="dxa"/>
              <w:bottom w:w="5" w:type="dxa"/>
              <w:right w:w="5" w:type="dxa"/>
            </w:tcMar>
            <w:vAlign w:val="bottom"/>
            <w:hideMark/>
          </w:tcPr>
          <w:p w14:paraId="4DC1F7B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548B8CA"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71E5F5A5" w14:textId="77777777" w:rsidR="00954279" w:rsidRDefault="00A66714">
            <w:pPr>
              <w:jc w:val="center"/>
              <w:rPr>
                <w:color w:val="000000"/>
                <w:sz w:val="20"/>
                <w:szCs w:val="20"/>
              </w:rPr>
            </w:pPr>
            <w:r>
              <w:rPr>
                <w:b/>
                <w:bCs/>
                <w:color w:val="000000"/>
                <w:sz w:val="20"/>
                <w:szCs w:val="20"/>
              </w:rPr>
              <w:t>U.S.</w:t>
            </w:r>
          </w:p>
        </w:tc>
        <w:tc>
          <w:tcPr>
            <w:tcW w:w="0" w:type="auto"/>
            <w:tcMar>
              <w:top w:w="5" w:type="dxa"/>
              <w:left w:w="5" w:type="dxa"/>
              <w:bottom w:w="20" w:type="dxa"/>
              <w:right w:w="5" w:type="dxa"/>
            </w:tcMar>
            <w:vAlign w:val="bottom"/>
            <w:hideMark/>
          </w:tcPr>
          <w:p w14:paraId="1E0DBA1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FA90E01"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38AE353" w14:textId="77777777" w:rsidR="00954279" w:rsidRDefault="00A66714">
            <w:pPr>
              <w:jc w:val="center"/>
              <w:rPr>
                <w:color w:val="000000"/>
                <w:sz w:val="20"/>
                <w:szCs w:val="20"/>
              </w:rPr>
            </w:pPr>
            <w:r>
              <w:rPr>
                <w:b/>
                <w:bCs/>
                <w:color w:val="000000"/>
                <w:sz w:val="20"/>
                <w:szCs w:val="20"/>
              </w:rPr>
              <w:t>Canada</w:t>
            </w:r>
          </w:p>
        </w:tc>
        <w:tc>
          <w:tcPr>
            <w:tcW w:w="0" w:type="auto"/>
            <w:tcMar>
              <w:top w:w="5" w:type="dxa"/>
              <w:left w:w="5" w:type="dxa"/>
              <w:bottom w:w="20" w:type="dxa"/>
              <w:right w:w="5" w:type="dxa"/>
            </w:tcMar>
            <w:vAlign w:val="bottom"/>
            <w:hideMark/>
          </w:tcPr>
          <w:p w14:paraId="623FD25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57683F1"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EB090EF" w14:textId="77777777" w:rsidR="00954279" w:rsidRDefault="00A66714">
            <w:pPr>
              <w:jc w:val="center"/>
              <w:rPr>
                <w:color w:val="000000"/>
                <w:sz w:val="20"/>
                <w:szCs w:val="20"/>
              </w:rPr>
            </w:pPr>
            <w:r>
              <w:rPr>
                <w:b/>
                <w:bCs/>
                <w:color w:val="000000"/>
                <w:sz w:val="20"/>
                <w:szCs w:val="20"/>
              </w:rPr>
              <w:t>International</w:t>
            </w:r>
          </w:p>
        </w:tc>
        <w:tc>
          <w:tcPr>
            <w:tcW w:w="0" w:type="auto"/>
            <w:tcMar>
              <w:top w:w="5" w:type="dxa"/>
              <w:left w:w="5" w:type="dxa"/>
              <w:bottom w:w="20" w:type="dxa"/>
              <w:right w:w="5" w:type="dxa"/>
            </w:tcMar>
            <w:vAlign w:val="bottom"/>
            <w:hideMark/>
          </w:tcPr>
          <w:p w14:paraId="06B51F9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D8A3DAB"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B6CCA72" w14:textId="77777777" w:rsidR="00954279" w:rsidRDefault="00A66714">
            <w:pPr>
              <w:jc w:val="center"/>
              <w:rPr>
                <w:color w:val="000000"/>
                <w:sz w:val="20"/>
                <w:szCs w:val="20"/>
              </w:rPr>
            </w:pPr>
            <w:r>
              <w:rPr>
                <w:b/>
                <w:bCs/>
                <w:color w:val="000000"/>
                <w:sz w:val="20"/>
                <w:szCs w:val="20"/>
              </w:rPr>
              <w:t>Total</w:t>
            </w:r>
          </w:p>
        </w:tc>
        <w:tc>
          <w:tcPr>
            <w:tcW w:w="0" w:type="auto"/>
            <w:tcMar>
              <w:top w:w="5" w:type="dxa"/>
              <w:left w:w="5" w:type="dxa"/>
              <w:bottom w:w="20" w:type="dxa"/>
              <w:right w:w="5" w:type="dxa"/>
            </w:tcMar>
            <w:vAlign w:val="bottom"/>
            <w:hideMark/>
          </w:tcPr>
          <w:p w14:paraId="479F6509" w14:textId="77777777" w:rsidR="00954279" w:rsidRDefault="00A66714">
            <w:pPr>
              <w:rPr>
                <w:color w:val="000000"/>
                <w:sz w:val="20"/>
                <w:szCs w:val="20"/>
              </w:rPr>
            </w:pPr>
            <w:r>
              <w:rPr>
                <w:color w:val="000000"/>
                <w:sz w:val="20"/>
                <w:szCs w:val="20"/>
              </w:rPr>
              <w:t> </w:t>
            </w:r>
          </w:p>
        </w:tc>
      </w:tr>
      <w:tr w:rsidR="00954279" w14:paraId="3054541F" w14:textId="77777777">
        <w:tc>
          <w:tcPr>
            <w:tcW w:w="0" w:type="auto"/>
            <w:tcMar>
              <w:top w:w="5" w:type="dxa"/>
              <w:left w:w="5" w:type="dxa"/>
              <w:bottom w:w="5" w:type="dxa"/>
              <w:right w:w="5" w:type="dxa"/>
            </w:tcMar>
            <w:vAlign w:val="bottom"/>
            <w:hideMark/>
          </w:tcPr>
          <w:p w14:paraId="4E0768EA" w14:textId="77777777" w:rsidR="00954279" w:rsidRDefault="00A66714">
            <w:pPr>
              <w:rPr>
                <w:color w:val="000000"/>
                <w:sz w:val="20"/>
                <w:szCs w:val="20"/>
              </w:rPr>
            </w:pPr>
            <w:r>
              <w:rPr>
                <w:b/>
                <w:bCs/>
                <w:color w:val="000000"/>
                <w:sz w:val="20"/>
                <w:szCs w:val="20"/>
              </w:rPr>
              <w:t>2021:</w:t>
            </w:r>
          </w:p>
        </w:tc>
        <w:tc>
          <w:tcPr>
            <w:tcW w:w="0" w:type="auto"/>
            <w:tcMar>
              <w:top w:w="5" w:type="dxa"/>
              <w:left w:w="5" w:type="dxa"/>
              <w:bottom w:w="5" w:type="dxa"/>
              <w:right w:w="5" w:type="dxa"/>
            </w:tcMar>
            <w:vAlign w:val="bottom"/>
            <w:hideMark/>
          </w:tcPr>
          <w:p w14:paraId="0D50B94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CE1356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6C9C0D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4F8335A" w14:textId="77777777" w:rsidR="00954279" w:rsidRDefault="00A66714">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50D6DA7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D87C7B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D06ACE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424BEF6" w14:textId="77777777" w:rsidR="00954279" w:rsidRDefault="00A66714">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50BECC6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2B4F1A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2A8344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9EAEECB" w14:textId="77777777" w:rsidR="00954279" w:rsidRDefault="00A66714">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44D7E1E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901193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A31B18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F7400ED" w14:textId="77777777" w:rsidR="00954279" w:rsidRDefault="00A66714">
            <w:pPr>
              <w:rPr>
                <w:color w:val="000000"/>
                <w:sz w:val="20"/>
                <w:szCs w:val="20"/>
              </w:rPr>
            </w:pPr>
            <w:r>
              <w:rPr>
                <w:b/>
                <w:bCs/>
                <w:color w:val="000000"/>
                <w:sz w:val="20"/>
                <w:szCs w:val="20"/>
              </w:rPr>
              <w:t> </w:t>
            </w:r>
          </w:p>
        </w:tc>
      </w:tr>
      <w:tr w:rsidR="00954279" w14:paraId="2ABC2829" w14:textId="77777777" w:rsidTr="00717712">
        <w:tc>
          <w:tcPr>
            <w:tcW w:w="0" w:type="auto"/>
            <w:tcMar>
              <w:top w:w="5" w:type="dxa"/>
              <w:left w:w="5" w:type="dxa"/>
              <w:bottom w:w="5" w:type="dxa"/>
              <w:right w:w="5" w:type="dxa"/>
            </w:tcMar>
            <w:vAlign w:val="bottom"/>
            <w:hideMark/>
          </w:tcPr>
          <w:p w14:paraId="2E2C02CD" w14:textId="77777777" w:rsidR="00954279" w:rsidRDefault="00A66714">
            <w:pPr>
              <w:rPr>
                <w:color w:val="000000"/>
                <w:sz w:val="20"/>
                <w:szCs w:val="20"/>
              </w:rPr>
            </w:pPr>
            <w:r>
              <w:rPr>
                <w:color w:val="000000"/>
                <w:sz w:val="20"/>
                <w:szCs w:val="20"/>
              </w:rPr>
              <w:t>Gas utilities</w:t>
            </w:r>
          </w:p>
        </w:tc>
        <w:tc>
          <w:tcPr>
            <w:tcW w:w="47" w:type="pct"/>
            <w:tcMar>
              <w:top w:w="5" w:type="dxa"/>
              <w:left w:w="5" w:type="dxa"/>
              <w:bottom w:w="5" w:type="dxa"/>
              <w:right w:w="5" w:type="dxa"/>
            </w:tcMar>
            <w:vAlign w:val="bottom"/>
            <w:hideMark/>
          </w:tcPr>
          <w:p w14:paraId="69744EA2"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2DF986BA" w14:textId="77777777" w:rsidR="00954279" w:rsidRDefault="00A66714">
            <w:pPr>
              <w:rPr>
                <w:color w:val="000000"/>
                <w:sz w:val="20"/>
                <w:szCs w:val="20"/>
              </w:rPr>
            </w:pPr>
            <w:r>
              <w:rPr>
                <w:color w:val="000000"/>
                <w:sz w:val="20"/>
                <w:szCs w:val="20"/>
              </w:rPr>
              <w:t>$</w:t>
            </w:r>
          </w:p>
        </w:tc>
        <w:tc>
          <w:tcPr>
            <w:tcW w:w="447" w:type="pct"/>
            <w:tcMar>
              <w:top w:w="5" w:type="dxa"/>
              <w:left w:w="5" w:type="dxa"/>
              <w:bottom w:w="5" w:type="dxa"/>
              <w:right w:w="5" w:type="dxa"/>
            </w:tcMar>
            <w:vAlign w:val="bottom"/>
            <w:hideMark/>
          </w:tcPr>
          <w:p w14:paraId="58B25A4C" w14:textId="77777777" w:rsidR="00954279" w:rsidRDefault="00A66714">
            <w:pPr>
              <w:jc w:val="right"/>
              <w:rPr>
                <w:color w:val="000000"/>
                <w:sz w:val="20"/>
                <w:szCs w:val="20"/>
              </w:rPr>
            </w:pPr>
            <w:r>
              <w:rPr>
                <w:b/>
                <w:bCs/>
                <w:color w:val="000000"/>
                <w:sz w:val="20"/>
                <w:szCs w:val="20"/>
              </w:rPr>
              <w:t>476</w:t>
            </w:r>
          </w:p>
        </w:tc>
        <w:tc>
          <w:tcPr>
            <w:tcW w:w="47" w:type="pct"/>
            <w:noWrap/>
            <w:tcMar>
              <w:top w:w="5" w:type="dxa"/>
              <w:left w:w="5" w:type="dxa"/>
              <w:bottom w:w="5" w:type="dxa"/>
              <w:right w:w="5" w:type="dxa"/>
            </w:tcMar>
            <w:vAlign w:val="bottom"/>
            <w:hideMark/>
          </w:tcPr>
          <w:p w14:paraId="4D3EEF73"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0274E074"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58D3752A" w14:textId="77777777" w:rsidR="00954279" w:rsidRDefault="00A66714">
            <w:pPr>
              <w:rPr>
                <w:color w:val="000000"/>
                <w:sz w:val="20"/>
                <w:szCs w:val="20"/>
              </w:rPr>
            </w:pPr>
            <w:r>
              <w:rPr>
                <w:color w:val="000000"/>
                <w:sz w:val="20"/>
                <w:szCs w:val="20"/>
              </w:rPr>
              <w:t>$</w:t>
            </w:r>
          </w:p>
        </w:tc>
        <w:tc>
          <w:tcPr>
            <w:tcW w:w="447" w:type="pct"/>
            <w:tcMar>
              <w:top w:w="5" w:type="dxa"/>
              <w:left w:w="5" w:type="dxa"/>
              <w:bottom w:w="5" w:type="dxa"/>
              <w:right w:w="5" w:type="dxa"/>
            </w:tcMar>
            <w:vAlign w:val="bottom"/>
            <w:hideMark/>
          </w:tcPr>
          <w:p w14:paraId="4342C0D9" w14:textId="77777777" w:rsidR="00954279" w:rsidRDefault="00A66714">
            <w:pPr>
              <w:jc w:val="right"/>
              <w:rPr>
                <w:color w:val="000000"/>
                <w:sz w:val="20"/>
                <w:szCs w:val="20"/>
              </w:rPr>
            </w:pPr>
            <w:r>
              <w:rPr>
                <w:b/>
                <w:bCs/>
                <w:color w:val="000000"/>
                <w:sz w:val="20"/>
                <w:szCs w:val="20"/>
              </w:rPr>
              <w:t>3</w:t>
            </w:r>
          </w:p>
        </w:tc>
        <w:tc>
          <w:tcPr>
            <w:tcW w:w="47" w:type="pct"/>
            <w:noWrap/>
            <w:tcMar>
              <w:top w:w="5" w:type="dxa"/>
              <w:left w:w="5" w:type="dxa"/>
              <w:bottom w:w="5" w:type="dxa"/>
              <w:right w:w="5" w:type="dxa"/>
            </w:tcMar>
            <w:vAlign w:val="bottom"/>
            <w:hideMark/>
          </w:tcPr>
          <w:p w14:paraId="72ED2796"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0F148EC5" w14:textId="77777777" w:rsidR="00954279" w:rsidRDefault="00A66714">
            <w:pPr>
              <w:rPr>
                <w:color w:val="000000"/>
                <w:sz w:val="20"/>
                <w:szCs w:val="20"/>
              </w:rPr>
            </w:pPr>
            <w:r>
              <w:rPr>
                <w:color w:val="000000"/>
                <w:sz w:val="20"/>
                <w:szCs w:val="20"/>
              </w:rPr>
              <w:t> </w:t>
            </w:r>
          </w:p>
        </w:tc>
        <w:tc>
          <w:tcPr>
            <w:tcW w:w="53" w:type="pct"/>
            <w:tcMar>
              <w:top w:w="5" w:type="dxa"/>
              <w:left w:w="5" w:type="dxa"/>
              <w:bottom w:w="5" w:type="dxa"/>
              <w:right w:w="5" w:type="dxa"/>
            </w:tcMar>
            <w:vAlign w:val="bottom"/>
            <w:hideMark/>
          </w:tcPr>
          <w:p w14:paraId="22B5D6FD" w14:textId="77777777" w:rsidR="00954279" w:rsidRDefault="00A66714">
            <w:pPr>
              <w:rPr>
                <w:color w:val="000000"/>
                <w:sz w:val="20"/>
                <w:szCs w:val="20"/>
              </w:rPr>
            </w:pPr>
            <w:r>
              <w:rPr>
                <w:color w:val="000000"/>
                <w:sz w:val="20"/>
                <w:szCs w:val="20"/>
              </w:rPr>
              <w:t>$</w:t>
            </w:r>
          </w:p>
        </w:tc>
        <w:tc>
          <w:tcPr>
            <w:tcW w:w="476" w:type="pct"/>
            <w:tcMar>
              <w:top w:w="5" w:type="dxa"/>
              <w:left w:w="5" w:type="dxa"/>
              <w:bottom w:w="5" w:type="dxa"/>
              <w:right w:w="5" w:type="dxa"/>
            </w:tcMar>
            <w:vAlign w:val="bottom"/>
            <w:hideMark/>
          </w:tcPr>
          <w:p w14:paraId="35055CF6" w14:textId="77777777" w:rsidR="00954279" w:rsidRDefault="00A66714">
            <w:pPr>
              <w:jc w:val="right"/>
              <w:rPr>
                <w:color w:val="000000"/>
                <w:sz w:val="20"/>
                <w:szCs w:val="20"/>
              </w:rPr>
            </w:pPr>
            <w:r>
              <w:rPr>
                <w:b/>
                <w:bCs/>
                <w:color w:val="000000"/>
                <w:sz w:val="20"/>
                <w:szCs w:val="20"/>
              </w:rPr>
              <w:t>—</w:t>
            </w:r>
          </w:p>
        </w:tc>
        <w:tc>
          <w:tcPr>
            <w:tcW w:w="47" w:type="pct"/>
            <w:noWrap/>
            <w:tcMar>
              <w:top w:w="5" w:type="dxa"/>
              <w:left w:w="5" w:type="dxa"/>
              <w:bottom w:w="5" w:type="dxa"/>
              <w:right w:w="5" w:type="dxa"/>
            </w:tcMar>
            <w:vAlign w:val="bottom"/>
            <w:hideMark/>
          </w:tcPr>
          <w:p w14:paraId="29CC13EC"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15251450"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4A88F0CB" w14:textId="77777777" w:rsidR="00954279" w:rsidRDefault="00A66714">
            <w:pPr>
              <w:rPr>
                <w:color w:val="000000"/>
                <w:sz w:val="20"/>
                <w:szCs w:val="20"/>
              </w:rPr>
            </w:pPr>
            <w:r>
              <w:rPr>
                <w:color w:val="000000"/>
                <w:sz w:val="20"/>
                <w:szCs w:val="20"/>
              </w:rPr>
              <w:t>$</w:t>
            </w:r>
          </w:p>
        </w:tc>
        <w:tc>
          <w:tcPr>
            <w:tcW w:w="447" w:type="pct"/>
            <w:tcMar>
              <w:top w:w="5" w:type="dxa"/>
              <w:left w:w="5" w:type="dxa"/>
              <w:bottom w:w="5" w:type="dxa"/>
              <w:right w:w="5" w:type="dxa"/>
            </w:tcMar>
            <w:vAlign w:val="bottom"/>
            <w:hideMark/>
          </w:tcPr>
          <w:p w14:paraId="028A6A46" w14:textId="77777777" w:rsidR="00954279" w:rsidRDefault="00A66714">
            <w:pPr>
              <w:jc w:val="right"/>
              <w:rPr>
                <w:color w:val="000000"/>
                <w:sz w:val="20"/>
                <w:szCs w:val="20"/>
              </w:rPr>
            </w:pPr>
            <w:r>
              <w:rPr>
                <w:b/>
                <w:bCs/>
                <w:color w:val="000000"/>
                <w:sz w:val="20"/>
                <w:szCs w:val="20"/>
              </w:rPr>
              <w:t>479</w:t>
            </w:r>
          </w:p>
        </w:tc>
        <w:tc>
          <w:tcPr>
            <w:tcW w:w="48" w:type="pct"/>
            <w:noWrap/>
            <w:tcMar>
              <w:top w:w="5" w:type="dxa"/>
              <w:left w:w="5" w:type="dxa"/>
              <w:bottom w:w="5" w:type="dxa"/>
              <w:right w:w="5" w:type="dxa"/>
            </w:tcMar>
            <w:vAlign w:val="bottom"/>
            <w:hideMark/>
          </w:tcPr>
          <w:p w14:paraId="131BC0B2" w14:textId="77777777" w:rsidR="00954279" w:rsidRDefault="00A66714">
            <w:pPr>
              <w:rPr>
                <w:color w:val="000000"/>
                <w:sz w:val="20"/>
                <w:szCs w:val="20"/>
              </w:rPr>
            </w:pPr>
            <w:r>
              <w:rPr>
                <w:color w:val="000000"/>
                <w:sz w:val="20"/>
                <w:szCs w:val="20"/>
              </w:rPr>
              <w:t> </w:t>
            </w:r>
          </w:p>
        </w:tc>
      </w:tr>
      <w:tr w:rsidR="00954279" w14:paraId="270A465F" w14:textId="77777777" w:rsidTr="00717712">
        <w:tc>
          <w:tcPr>
            <w:tcW w:w="0" w:type="auto"/>
            <w:tcMar>
              <w:top w:w="5" w:type="dxa"/>
              <w:left w:w="5" w:type="dxa"/>
              <w:bottom w:w="5" w:type="dxa"/>
              <w:right w:w="5" w:type="dxa"/>
            </w:tcMar>
            <w:vAlign w:val="bottom"/>
            <w:hideMark/>
          </w:tcPr>
          <w:p w14:paraId="0F5D7FEB" w14:textId="77777777" w:rsidR="00954279" w:rsidRDefault="00A66714">
            <w:pPr>
              <w:rPr>
                <w:color w:val="000000"/>
                <w:sz w:val="20"/>
                <w:szCs w:val="20"/>
              </w:rPr>
            </w:pPr>
            <w:r>
              <w:rPr>
                <w:color w:val="000000"/>
                <w:sz w:val="20"/>
                <w:szCs w:val="20"/>
              </w:rPr>
              <w:t>Downstream &amp; industrial</w:t>
            </w:r>
          </w:p>
        </w:tc>
        <w:tc>
          <w:tcPr>
            <w:tcW w:w="47" w:type="pct"/>
            <w:tcMar>
              <w:top w:w="5" w:type="dxa"/>
              <w:left w:w="5" w:type="dxa"/>
              <w:bottom w:w="5" w:type="dxa"/>
              <w:right w:w="5" w:type="dxa"/>
            </w:tcMar>
            <w:vAlign w:val="bottom"/>
            <w:hideMark/>
          </w:tcPr>
          <w:p w14:paraId="110117BE"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71F87E6E" w14:textId="77777777" w:rsidR="00954279" w:rsidRDefault="00A66714">
            <w:pPr>
              <w:rPr>
                <w:color w:val="000000"/>
                <w:sz w:val="20"/>
                <w:szCs w:val="20"/>
              </w:rPr>
            </w:pPr>
            <w:r>
              <w:rPr>
                <w:color w:val="000000"/>
                <w:sz w:val="20"/>
                <w:szCs w:val="20"/>
              </w:rPr>
              <w:t> </w:t>
            </w:r>
          </w:p>
        </w:tc>
        <w:tc>
          <w:tcPr>
            <w:tcW w:w="447" w:type="pct"/>
            <w:tcMar>
              <w:top w:w="5" w:type="dxa"/>
              <w:left w:w="5" w:type="dxa"/>
              <w:bottom w:w="5" w:type="dxa"/>
              <w:right w:w="5" w:type="dxa"/>
            </w:tcMar>
            <w:vAlign w:val="bottom"/>
            <w:hideMark/>
          </w:tcPr>
          <w:p w14:paraId="65173AD1" w14:textId="77777777" w:rsidR="00954279" w:rsidRDefault="00A66714">
            <w:pPr>
              <w:jc w:val="right"/>
              <w:rPr>
                <w:color w:val="000000"/>
                <w:sz w:val="20"/>
                <w:szCs w:val="20"/>
              </w:rPr>
            </w:pPr>
            <w:r>
              <w:rPr>
                <w:b/>
                <w:bCs/>
                <w:color w:val="000000"/>
                <w:sz w:val="20"/>
                <w:szCs w:val="20"/>
              </w:rPr>
              <w:t>274</w:t>
            </w:r>
          </w:p>
        </w:tc>
        <w:tc>
          <w:tcPr>
            <w:tcW w:w="47" w:type="pct"/>
            <w:noWrap/>
            <w:tcMar>
              <w:top w:w="5" w:type="dxa"/>
              <w:left w:w="5" w:type="dxa"/>
              <w:bottom w:w="5" w:type="dxa"/>
              <w:right w:w="5" w:type="dxa"/>
            </w:tcMar>
            <w:vAlign w:val="bottom"/>
            <w:hideMark/>
          </w:tcPr>
          <w:p w14:paraId="473863AE"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5954D86F"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27000C71" w14:textId="77777777" w:rsidR="00954279" w:rsidRDefault="00A66714">
            <w:pPr>
              <w:rPr>
                <w:color w:val="000000"/>
                <w:sz w:val="20"/>
                <w:szCs w:val="20"/>
              </w:rPr>
            </w:pPr>
            <w:r>
              <w:rPr>
                <w:color w:val="000000"/>
                <w:sz w:val="20"/>
                <w:szCs w:val="20"/>
              </w:rPr>
              <w:t> </w:t>
            </w:r>
          </w:p>
        </w:tc>
        <w:tc>
          <w:tcPr>
            <w:tcW w:w="447" w:type="pct"/>
            <w:tcMar>
              <w:top w:w="5" w:type="dxa"/>
              <w:left w:w="5" w:type="dxa"/>
              <w:bottom w:w="5" w:type="dxa"/>
              <w:right w:w="5" w:type="dxa"/>
            </w:tcMar>
            <w:vAlign w:val="bottom"/>
            <w:hideMark/>
          </w:tcPr>
          <w:p w14:paraId="47EA1707" w14:textId="77777777" w:rsidR="00954279" w:rsidRDefault="00A66714">
            <w:pPr>
              <w:jc w:val="right"/>
              <w:rPr>
                <w:color w:val="000000"/>
                <w:sz w:val="20"/>
                <w:szCs w:val="20"/>
              </w:rPr>
            </w:pPr>
            <w:r>
              <w:rPr>
                <w:b/>
                <w:bCs/>
                <w:color w:val="000000"/>
                <w:sz w:val="20"/>
                <w:szCs w:val="20"/>
              </w:rPr>
              <w:t>9</w:t>
            </w:r>
          </w:p>
        </w:tc>
        <w:tc>
          <w:tcPr>
            <w:tcW w:w="47" w:type="pct"/>
            <w:noWrap/>
            <w:tcMar>
              <w:top w:w="5" w:type="dxa"/>
              <w:left w:w="5" w:type="dxa"/>
              <w:bottom w:w="5" w:type="dxa"/>
              <w:right w:w="5" w:type="dxa"/>
            </w:tcMar>
            <w:vAlign w:val="bottom"/>
            <w:hideMark/>
          </w:tcPr>
          <w:p w14:paraId="7A82486C"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7321521D" w14:textId="77777777" w:rsidR="00954279" w:rsidRDefault="00A66714">
            <w:pPr>
              <w:rPr>
                <w:color w:val="000000"/>
                <w:sz w:val="20"/>
                <w:szCs w:val="20"/>
              </w:rPr>
            </w:pPr>
            <w:r>
              <w:rPr>
                <w:color w:val="000000"/>
                <w:sz w:val="20"/>
                <w:szCs w:val="20"/>
              </w:rPr>
              <w:t> </w:t>
            </w:r>
          </w:p>
        </w:tc>
        <w:tc>
          <w:tcPr>
            <w:tcW w:w="53" w:type="pct"/>
            <w:tcMar>
              <w:top w:w="5" w:type="dxa"/>
              <w:left w:w="5" w:type="dxa"/>
              <w:bottom w:w="5" w:type="dxa"/>
              <w:right w:w="5" w:type="dxa"/>
            </w:tcMar>
            <w:vAlign w:val="bottom"/>
            <w:hideMark/>
          </w:tcPr>
          <w:p w14:paraId="60581E8A" w14:textId="77777777" w:rsidR="00954279" w:rsidRDefault="00A66714">
            <w:pPr>
              <w:rPr>
                <w:color w:val="000000"/>
                <w:sz w:val="20"/>
                <w:szCs w:val="20"/>
              </w:rPr>
            </w:pPr>
            <w:r>
              <w:rPr>
                <w:color w:val="000000"/>
                <w:sz w:val="20"/>
                <w:szCs w:val="20"/>
              </w:rPr>
              <w:t> </w:t>
            </w:r>
          </w:p>
        </w:tc>
        <w:tc>
          <w:tcPr>
            <w:tcW w:w="476" w:type="pct"/>
            <w:tcMar>
              <w:top w:w="5" w:type="dxa"/>
              <w:left w:w="5" w:type="dxa"/>
              <w:bottom w:w="5" w:type="dxa"/>
              <w:right w:w="5" w:type="dxa"/>
            </w:tcMar>
            <w:vAlign w:val="bottom"/>
            <w:hideMark/>
          </w:tcPr>
          <w:p w14:paraId="2F9885A7" w14:textId="77777777" w:rsidR="00954279" w:rsidRDefault="00A66714">
            <w:pPr>
              <w:jc w:val="right"/>
              <w:rPr>
                <w:color w:val="000000"/>
                <w:sz w:val="20"/>
                <w:szCs w:val="20"/>
              </w:rPr>
            </w:pPr>
            <w:r>
              <w:rPr>
                <w:b/>
                <w:bCs/>
                <w:color w:val="000000"/>
                <w:sz w:val="20"/>
                <w:szCs w:val="20"/>
              </w:rPr>
              <w:t>102</w:t>
            </w:r>
          </w:p>
        </w:tc>
        <w:tc>
          <w:tcPr>
            <w:tcW w:w="47" w:type="pct"/>
            <w:noWrap/>
            <w:tcMar>
              <w:top w:w="5" w:type="dxa"/>
              <w:left w:w="5" w:type="dxa"/>
              <w:bottom w:w="5" w:type="dxa"/>
              <w:right w:w="5" w:type="dxa"/>
            </w:tcMar>
            <w:vAlign w:val="bottom"/>
            <w:hideMark/>
          </w:tcPr>
          <w:p w14:paraId="094C1244"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46656FD4"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3C7FE98A" w14:textId="77777777" w:rsidR="00954279" w:rsidRDefault="00A66714">
            <w:pPr>
              <w:rPr>
                <w:color w:val="000000"/>
                <w:sz w:val="20"/>
                <w:szCs w:val="20"/>
              </w:rPr>
            </w:pPr>
            <w:r>
              <w:rPr>
                <w:color w:val="000000"/>
                <w:sz w:val="20"/>
                <w:szCs w:val="20"/>
              </w:rPr>
              <w:t> </w:t>
            </w:r>
          </w:p>
        </w:tc>
        <w:tc>
          <w:tcPr>
            <w:tcW w:w="447" w:type="pct"/>
            <w:tcMar>
              <w:top w:w="5" w:type="dxa"/>
              <w:left w:w="5" w:type="dxa"/>
              <w:bottom w:w="5" w:type="dxa"/>
              <w:right w:w="5" w:type="dxa"/>
            </w:tcMar>
            <w:vAlign w:val="bottom"/>
            <w:hideMark/>
          </w:tcPr>
          <w:p w14:paraId="122F1E97" w14:textId="77777777" w:rsidR="00954279" w:rsidRDefault="00A66714">
            <w:pPr>
              <w:jc w:val="right"/>
              <w:rPr>
                <w:color w:val="000000"/>
                <w:sz w:val="20"/>
                <w:szCs w:val="20"/>
              </w:rPr>
            </w:pPr>
            <w:r>
              <w:rPr>
                <w:b/>
                <w:bCs/>
                <w:color w:val="000000"/>
                <w:sz w:val="20"/>
                <w:szCs w:val="20"/>
              </w:rPr>
              <w:t>385</w:t>
            </w:r>
          </w:p>
        </w:tc>
        <w:tc>
          <w:tcPr>
            <w:tcW w:w="48" w:type="pct"/>
            <w:noWrap/>
            <w:tcMar>
              <w:top w:w="5" w:type="dxa"/>
              <w:left w:w="5" w:type="dxa"/>
              <w:bottom w:w="5" w:type="dxa"/>
              <w:right w:w="5" w:type="dxa"/>
            </w:tcMar>
            <w:vAlign w:val="bottom"/>
            <w:hideMark/>
          </w:tcPr>
          <w:p w14:paraId="34B536F6" w14:textId="77777777" w:rsidR="00954279" w:rsidRDefault="00A66714">
            <w:pPr>
              <w:rPr>
                <w:color w:val="000000"/>
                <w:sz w:val="20"/>
                <w:szCs w:val="20"/>
              </w:rPr>
            </w:pPr>
            <w:r>
              <w:rPr>
                <w:color w:val="000000"/>
                <w:sz w:val="20"/>
                <w:szCs w:val="20"/>
              </w:rPr>
              <w:t> </w:t>
            </w:r>
          </w:p>
        </w:tc>
      </w:tr>
      <w:tr w:rsidR="00954279" w14:paraId="0779FC1F" w14:textId="77777777" w:rsidTr="00717712">
        <w:tc>
          <w:tcPr>
            <w:tcW w:w="0" w:type="auto"/>
            <w:tcMar>
              <w:top w:w="5" w:type="dxa"/>
              <w:left w:w="5" w:type="dxa"/>
              <w:bottom w:w="5" w:type="dxa"/>
              <w:right w:w="5" w:type="dxa"/>
            </w:tcMar>
            <w:vAlign w:val="bottom"/>
            <w:hideMark/>
          </w:tcPr>
          <w:p w14:paraId="503A7D88" w14:textId="77777777" w:rsidR="00954279" w:rsidRDefault="00A66714">
            <w:pPr>
              <w:rPr>
                <w:color w:val="000000"/>
                <w:sz w:val="20"/>
                <w:szCs w:val="20"/>
              </w:rPr>
            </w:pPr>
            <w:r>
              <w:rPr>
                <w:color w:val="000000"/>
                <w:sz w:val="20"/>
                <w:szCs w:val="20"/>
              </w:rPr>
              <w:t>Upstream production</w:t>
            </w:r>
          </w:p>
        </w:tc>
        <w:tc>
          <w:tcPr>
            <w:tcW w:w="47" w:type="pct"/>
            <w:tcMar>
              <w:top w:w="5" w:type="dxa"/>
              <w:left w:w="5" w:type="dxa"/>
              <w:bottom w:w="5" w:type="dxa"/>
              <w:right w:w="5" w:type="dxa"/>
            </w:tcMar>
            <w:vAlign w:val="bottom"/>
            <w:hideMark/>
          </w:tcPr>
          <w:p w14:paraId="6EEEAE22"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559B457D" w14:textId="77777777" w:rsidR="00954279" w:rsidRDefault="00A66714">
            <w:pPr>
              <w:rPr>
                <w:color w:val="000000"/>
                <w:sz w:val="20"/>
                <w:szCs w:val="20"/>
              </w:rPr>
            </w:pPr>
            <w:r>
              <w:rPr>
                <w:color w:val="000000"/>
                <w:sz w:val="20"/>
                <w:szCs w:val="20"/>
              </w:rPr>
              <w:t> </w:t>
            </w:r>
          </w:p>
        </w:tc>
        <w:tc>
          <w:tcPr>
            <w:tcW w:w="447" w:type="pct"/>
            <w:tcMar>
              <w:top w:w="5" w:type="dxa"/>
              <w:left w:w="5" w:type="dxa"/>
              <w:bottom w:w="5" w:type="dxa"/>
              <w:right w:w="5" w:type="dxa"/>
            </w:tcMar>
            <w:vAlign w:val="bottom"/>
            <w:hideMark/>
          </w:tcPr>
          <w:p w14:paraId="40C59F0E" w14:textId="77777777" w:rsidR="00954279" w:rsidRDefault="00A66714">
            <w:pPr>
              <w:jc w:val="right"/>
              <w:rPr>
                <w:color w:val="000000"/>
                <w:sz w:val="20"/>
                <w:szCs w:val="20"/>
              </w:rPr>
            </w:pPr>
            <w:r>
              <w:rPr>
                <w:b/>
                <w:bCs/>
                <w:color w:val="000000"/>
                <w:sz w:val="20"/>
                <w:szCs w:val="20"/>
              </w:rPr>
              <w:t>149</w:t>
            </w:r>
          </w:p>
        </w:tc>
        <w:tc>
          <w:tcPr>
            <w:tcW w:w="47" w:type="pct"/>
            <w:noWrap/>
            <w:tcMar>
              <w:top w:w="5" w:type="dxa"/>
              <w:left w:w="5" w:type="dxa"/>
              <w:bottom w:w="5" w:type="dxa"/>
              <w:right w:w="5" w:type="dxa"/>
            </w:tcMar>
            <w:vAlign w:val="bottom"/>
            <w:hideMark/>
          </w:tcPr>
          <w:p w14:paraId="7873C356"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0C199FA0"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4E0D6775" w14:textId="77777777" w:rsidR="00954279" w:rsidRDefault="00A66714">
            <w:pPr>
              <w:rPr>
                <w:color w:val="000000"/>
                <w:sz w:val="20"/>
                <w:szCs w:val="20"/>
              </w:rPr>
            </w:pPr>
            <w:r>
              <w:rPr>
                <w:color w:val="000000"/>
                <w:sz w:val="20"/>
                <w:szCs w:val="20"/>
              </w:rPr>
              <w:t> </w:t>
            </w:r>
          </w:p>
        </w:tc>
        <w:tc>
          <w:tcPr>
            <w:tcW w:w="447" w:type="pct"/>
            <w:tcMar>
              <w:top w:w="5" w:type="dxa"/>
              <w:left w:w="5" w:type="dxa"/>
              <w:bottom w:w="5" w:type="dxa"/>
              <w:right w:w="5" w:type="dxa"/>
            </w:tcMar>
            <w:vAlign w:val="bottom"/>
            <w:hideMark/>
          </w:tcPr>
          <w:p w14:paraId="7346E564" w14:textId="77777777" w:rsidR="00954279" w:rsidRDefault="00A66714">
            <w:pPr>
              <w:jc w:val="right"/>
              <w:rPr>
                <w:color w:val="000000"/>
                <w:sz w:val="20"/>
                <w:szCs w:val="20"/>
              </w:rPr>
            </w:pPr>
            <w:r>
              <w:rPr>
                <w:b/>
                <w:bCs/>
                <w:color w:val="000000"/>
                <w:sz w:val="20"/>
                <w:szCs w:val="20"/>
              </w:rPr>
              <w:t>44</w:t>
            </w:r>
          </w:p>
        </w:tc>
        <w:tc>
          <w:tcPr>
            <w:tcW w:w="47" w:type="pct"/>
            <w:noWrap/>
            <w:tcMar>
              <w:top w:w="5" w:type="dxa"/>
              <w:left w:w="5" w:type="dxa"/>
              <w:bottom w:w="5" w:type="dxa"/>
              <w:right w:w="5" w:type="dxa"/>
            </w:tcMar>
            <w:vAlign w:val="bottom"/>
            <w:hideMark/>
          </w:tcPr>
          <w:p w14:paraId="01DB3122"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50F885F2" w14:textId="77777777" w:rsidR="00954279" w:rsidRDefault="00A66714">
            <w:pPr>
              <w:rPr>
                <w:color w:val="000000"/>
                <w:sz w:val="20"/>
                <w:szCs w:val="20"/>
              </w:rPr>
            </w:pPr>
            <w:r>
              <w:rPr>
                <w:color w:val="000000"/>
                <w:sz w:val="20"/>
                <w:szCs w:val="20"/>
              </w:rPr>
              <w:t> </w:t>
            </w:r>
          </w:p>
        </w:tc>
        <w:tc>
          <w:tcPr>
            <w:tcW w:w="53" w:type="pct"/>
            <w:tcMar>
              <w:top w:w="5" w:type="dxa"/>
              <w:left w:w="5" w:type="dxa"/>
              <w:bottom w:w="5" w:type="dxa"/>
              <w:right w:w="5" w:type="dxa"/>
            </w:tcMar>
            <w:vAlign w:val="bottom"/>
            <w:hideMark/>
          </w:tcPr>
          <w:p w14:paraId="69376F47" w14:textId="77777777" w:rsidR="00954279" w:rsidRDefault="00A66714">
            <w:pPr>
              <w:rPr>
                <w:color w:val="000000"/>
                <w:sz w:val="20"/>
                <w:szCs w:val="20"/>
              </w:rPr>
            </w:pPr>
            <w:r>
              <w:rPr>
                <w:color w:val="000000"/>
                <w:sz w:val="20"/>
                <w:szCs w:val="20"/>
              </w:rPr>
              <w:t> </w:t>
            </w:r>
          </w:p>
        </w:tc>
        <w:tc>
          <w:tcPr>
            <w:tcW w:w="476" w:type="pct"/>
            <w:tcMar>
              <w:top w:w="5" w:type="dxa"/>
              <w:left w:w="5" w:type="dxa"/>
              <w:bottom w:w="5" w:type="dxa"/>
              <w:right w:w="5" w:type="dxa"/>
            </w:tcMar>
            <w:vAlign w:val="bottom"/>
            <w:hideMark/>
          </w:tcPr>
          <w:p w14:paraId="0EB4E9E3" w14:textId="77777777" w:rsidR="00954279" w:rsidRDefault="00A66714">
            <w:pPr>
              <w:jc w:val="right"/>
              <w:rPr>
                <w:color w:val="000000"/>
                <w:sz w:val="20"/>
                <w:szCs w:val="20"/>
              </w:rPr>
            </w:pPr>
            <w:r>
              <w:rPr>
                <w:b/>
                <w:bCs/>
                <w:color w:val="000000"/>
                <w:sz w:val="20"/>
                <w:szCs w:val="20"/>
              </w:rPr>
              <w:t>77</w:t>
            </w:r>
          </w:p>
        </w:tc>
        <w:tc>
          <w:tcPr>
            <w:tcW w:w="47" w:type="pct"/>
            <w:noWrap/>
            <w:tcMar>
              <w:top w:w="5" w:type="dxa"/>
              <w:left w:w="5" w:type="dxa"/>
              <w:bottom w:w="5" w:type="dxa"/>
              <w:right w:w="5" w:type="dxa"/>
            </w:tcMar>
            <w:vAlign w:val="bottom"/>
            <w:hideMark/>
          </w:tcPr>
          <w:p w14:paraId="4D7D5CF1"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5D635B39"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47AF7319" w14:textId="77777777" w:rsidR="00954279" w:rsidRDefault="00A66714">
            <w:pPr>
              <w:rPr>
                <w:color w:val="000000"/>
                <w:sz w:val="20"/>
                <w:szCs w:val="20"/>
              </w:rPr>
            </w:pPr>
            <w:r>
              <w:rPr>
                <w:color w:val="000000"/>
                <w:sz w:val="20"/>
                <w:szCs w:val="20"/>
              </w:rPr>
              <w:t> </w:t>
            </w:r>
          </w:p>
        </w:tc>
        <w:tc>
          <w:tcPr>
            <w:tcW w:w="447" w:type="pct"/>
            <w:tcMar>
              <w:top w:w="5" w:type="dxa"/>
              <w:left w:w="5" w:type="dxa"/>
              <w:bottom w:w="5" w:type="dxa"/>
              <w:right w:w="5" w:type="dxa"/>
            </w:tcMar>
            <w:vAlign w:val="bottom"/>
            <w:hideMark/>
          </w:tcPr>
          <w:p w14:paraId="30DF544F" w14:textId="77777777" w:rsidR="00954279" w:rsidRDefault="00A66714">
            <w:pPr>
              <w:jc w:val="right"/>
              <w:rPr>
                <w:color w:val="000000"/>
                <w:sz w:val="20"/>
                <w:szCs w:val="20"/>
              </w:rPr>
            </w:pPr>
            <w:r>
              <w:rPr>
                <w:b/>
                <w:bCs/>
                <w:color w:val="000000"/>
                <w:sz w:val="20"/>
                <w:szCs w:val="20"/>
              </w:rPr>
              <w:t>270</w:t>
            </w:r>
          </w:p>
        </w:tc>
        <w:tc>
          <w:tcPr>
            <w:tcW w:w="48" w:type="pct"/>
            <w:noWrap/>
            <w:tcMar>
              <w:top w:w="5" w:type="dxa"/>
              <w:left w:w="5" w:type="dxa"/>
              <w:bottom w:w="5" w:type="dxa"/>
              <w:right w:w="5" w:type="dxa"/>
            </w:tcMar>
            <w:vAlign w:val="bottom"/>
            <w:hideMark/>
          </w:tcPr>
          <w:p w14:paraId="02B22675" w14:textId="77777777" w:rsidR="00954279" w:rsidRDefault="00A66714">
            <w:pPr>
              <w:rPr>
                <w:color w:val="000000"/>
                <w:sz w:val="20"/>
                <w:szCs w:val="20"/>
              </w:rPr>
            </w:pPr>
            <w:r>
              <w:rPr>
                <w:color w:val="000000"/>
                <w:sz w:val="20"/>
                <w:szCs w:val="20"/>
              </w:rPr>
              <w:t> </w:t>
            </w:r>
          </w:p>
        </w:tc>
      </w:tr>
      <w:tr w:rsidR="00954279" w14:paraId="60D51097" w14:textId="77777777" w:rsidTr="00717712">
        <w:tc>
          <w:tcPr>
            <w:tcW w:w="0" w:type="auto"/>
            <w:tcMar>
              <w:top w:w="5" w:type="dxa"/>
              <w:left w:w="5" w:type="dxa"/>
              <w:bottom w:w="5" w:type="dxa"/>
              <w:right w:w="5" w:type="dxa"/>
            </w:tcMar>
            <w:vAlign w:val="bottom"/>
            <w:hideMark/>
          </w:tcPr>
          <w:p w14:paraId="6DC9EBC8" w14:textId="77777777" w:rsidR="00954279" w:rsidRDefault="00A66714">
            <w:pPr>
              <w:rPr>
                <w:color w:val="000000"/>
                <w:sz w:val="20"/>
                <w:szCs w:val="20"/>
              </w:rPr>
            </w:pPr>
            <w:r>
              <w:rPr>
                <w:color w:val="000000"/>
                <w:sz w:val="20"/>
                <w:szCs w:val="20"/>
              </w:rPr>
              <w:t>Midstream pipeline</w:t>
            </w:r>
          </w:p>
        </w:tc>
        <w:tc>
          <w:tcPr>
            <w:tcW w:w="47" w:type="pct"/>
            <w:tcMar>
              <w:top w:w="5" w:type="dxa"/>
              <w:left w:w="5" w:type="dxa"/>
              <w:bottom w:w="20" w:type="dxa"/>
              <w:right w:w="5" w:type="dxa"/>
            </w:tcMar>
            <w:vAlign w:val="bottom"/>
            <w:hideMark/>
          </w:tcPr>
          <w:p w14:paraId="7667432A" w14:textId="77777777" w:rsidR="00954279" w:rsidRDefault="00A66714">
            <w:pPr>
              <w:rPr>
                <w:color w:val="000000"/>
                <w:sz w:val="20"/>
                <w:szCs w:val="20"/>
              </w:rPr>
            </w:pPr>
            <w:r>
              <w:rPr>
                <w:color w:val="000000"/>
                <w:sz w:val="20"/>
                <w:szCs w:val="20"/>
              </w:rPr>
              <w:t> </w:t>
            </w:r>
          </w:p>
        </w:tc>
        <w:tc>
          <w:tcPr>
            <w:tcW w:w="51" w:type="pct"/>
            <w:tcBorders>
              <w:bottom w:val="single" w:sz="6" w:space="0" w:color="000000"/>
            </w:tcBorders>
            <w:tcMar>
              <w:top w:w="5" w:type="dxa"/>
              <w:left w:w="5" w:type="dxa"/>
              <w:bottom w:w="8" w:type="dxa"/>
              <w:right w:w="5" w:type="dxa"/>
            </w:tcMar>
            <w:vAlign w:val="bottom"/>
            <w:hideMark/>
          </w:tcPr>
          <w:p w14:paraId="7288AC59" w14:textId="77777777" w:rsidR="00954279" w:rsidRDefault="00A66714">
            <w:pPr>
              <w:rPr>
                <w:color w:val="000000"/>
                <w:sz w:val="20"/>
                <w:szCs w:val="20"/>
              </w:rPr>
            </w:pPr>
            <w:r>
              <w:rPr>
                <w:color w:val="000000"/>
                <w:sz w:val="20"/>
                <w:szCs w:val="20"/>
              </w:rPr>
              <w:t> </w:t>
            </w:r>
          </w:p>
        </w:tc>
        <w:tc>
          <w:tcPr>
            <w:tcW w:w="447" w:type="pct"/>
            <w:tcBorders>
              <w:bottom w:val="single" w:sz="6" w:space="0" w:color="000000"/>
            </w:tcBorders>
            <w:tcMar>
              <w:top w:w="5" w:type="dxa"/>
              <w:left w:w="5" w:type="dxa"/>
              <w:bottom w:w="8" w:type="dxa"/>
              <w:right w:w="5" w:type="dxa"/>
            </w:tcMar>
            <w:vAlign w:val="bottom"/>
            <w:hideMark/>
          </w:tcPr>
          <w:p w14:paraId="0048C98C" w14:textId="77777777" w:rsidR="00954279" w:rsidRDefault="00A66714">
            <w:pPr>
              <w:jc w:val="right"/>
              <w:rPr>
                <w:color w:val="000000"/>
                <w:sz w:val="20"/>
                <w:szCs w:val="20"/>
              </w:rPr>
            </w:pPr>
            <w:r>
              <w:rPr>
                <w:b/>
                <w:bCs/>
                <w:color w:val="000000"/>
                <w:sz w:val="20"/>
                <w:szCs w:val="20"/>
              </w:rPr>
              <w:t>143</w:t>
            </w:r>
          </w:p>
        </w:tc>
        <w:tc>
          <w:tcPr>
            <w:tcW w:w="47" w:type="pct"/>
            <w:noWrap/>
            <w:tcMar>
              <w:top w:w="5" w:type="dxa"/>
              <w:left w:w="5" w:type="dxa"/>
              <w:bottom w:w="20" w:type="dxa"/>
              <w:right w:w="5" w:type="dxa"/>
            </w:tcMar>
            <w:vAlign w:val="bottom"/>
            <w:hideMark/>
          </w:tcPr>
          <w:p w14:paraId="0368B30A" w14:textId="77777777" w:rsidR="00954279" w:rsidRDefault="00A66714">
            <w:pPr>
              <w:rPr>
                <w:color w:val="000000"/>
                <w:sz w:val="20"/>
                <w:szCs w:val="20"/>
              </w:rPr>
            </w:pPr>
            <w:r>
              <w:rPr>
                <w:color w:val="000000"/>
                <w:sz w:val="20"/>
                <w:szCs w:val="20"/>
              </w:rPr>
              <w:t> </w:t>
            </w:r>
          </w:p>
        </w:tc>
        <w:tc>
          <w:tcPr>
            <w:tcW w:w="47" w:type="pct"/>
            <w:tcMar>
              <w:top w:w="5" w:type="dxa"/>
              <w:left w:w="5" w:type="dxa"/>
              <w:bottom w:w="20" w:type="dxa"/>
              <w:right w:w="5" w:type="dxa"/>
            </w:tcMar>
            <w:vAlign w:val="bottom"/>
            <w:hideMark/>
          </w:tcPr>
          <w:p w14:paraId="62A93C6E" w14:textId="77777777" w:rsidR="00954279" w:rsidRDefault="00A66714">
            <w:pPr>
              <w:rPr>
                <w:color w:val="000000"/>
                <w:sz w:val="20"/>
                <w:szCs w:val="20"/>
              </w:rPr>
            </w:pPr>
            <w:r>
              <w:rPr>
                <w:color w:val="000000"/>
                <w:sz w:val="20"/>
                <w:szCs w:val="20"/>
              </w:rPr>
              <w:t> </w:t>
            </w:r>
          </w:p>
        </w:tc>
        <w:tc>
          <w:tcPr>
            <w:tcW w:w="51" w:type="pct"/>
            <w:tcBorders>
              <w:bottom w:val="single" w:sz="6" w:space="0" w:color="000000"/>
            </w:tcBorders>
            <w:tcMar>
              <w:top w:w="5" w:type="dxa"/>
              <w:left w:w="5" w:type="dxa"/>
              <w:bottom w:w="8" w:type="dxa"/>
              <w:right w:w="5" w:type="dxa"/>
            </w:tcMar>
            <w:vAlign w:val="bottom"/>
            <w:hideMark/>
          </w:tcPr>
          <w:p w14:paraId="11804036" w14:textId="77777777" w:rsidR="00954279" w:rsidRDefault="00A66714">
            <w:pPr>
              <w:rPr>
                <w:color w:val="000000"/>
                <w:sz w:val="20"/>
                <w:szCs w:val="20"/>
              </w:rPr>
            </w:pPr>
            <w:r>
              <w:rPr>
                <w:color w:val="000000"/>
                <w:sz w:val="20"/>
                <w:szCs w:val="20"/>
              </w:rPr>
              <w:t> </w:t>
            </w:r>
          </w:p>
        </w:tc>
        <w:tc>
          <w:tcPr>
            <w:tcW w:w="447" w:type="pct"/>
            <w:tcBorders>
              <w:bottom w:val="single" w:sz="6" w:space="0" w:color="000000"/>
            </w:tcBorders>
            <w:tcMar>
              <w:top w:w="5" w:type="dxa"/>
              <w:left w:w="5" w:type="dxa"/>
              <w:bottom w:w="8" w:type="dxa"/>
              <w:right w:w="5" w:type="dxa"/>
            </w:tcMar>
            <w:vAlign w:val="bottom"/>
            <w:hideMark/>
          </w:tcPr>
          <w:p w14:paraId="002C08B3" w14:textId="77777777" w:rsidR="00954279" w:rsidRDefault="00A66714">
            <w:pPr>
              <w:jc w:val="right"/>
              <w:rPr>
                <w:color w:val="000000"/>
                <w:sz w:val="20"/>
                <w:szCs w:val="20"/>
              </w:rPr>
            </w:pPr>
            <w:r>
              <w:rPr>
                <w:b/>
                <w:bCs/>
                <w:color w:val="000000"/>
                <w:sz w:val="20"/>
                <w:szCs w:val="20"/>
              </w:rPr>
              <w:t>6</w:t>
            </w:r>
          </w:p>
        </w:tc>
        <w:tc>
          <w:tcPr>
            <w:tcW w:w="47" w:type="pct"/>
            <w:noWrap/>
            <w:tcMar>
              <w:top w:w="5" w:type="dxa"/>
              <w:left w:w="5" w:type="dxa"/>
              <w:bottom w:w="20" w:type="dxa"/>
              <w:right w:w="5" w:type="dxa"/>
            </w:tcMar>
            <w:vAlign w:val="bottom"/>
            <w:hideMark/>
          </w:tcPr>
          <w:p w14:paraId="34566D88" w14:textId="77777777" w:rsidR="00954279" w:rsidRDefault="00A66714">
            <w:pPr>
              <w:rPr>
                <w:color w:val="000000"/>
                <w:sz w:val="20"/>
                <w:szCs w:val="20"/>
              </w:rPr>
            </w:pPr>
            <w:r>
              <w:rPr>
                <w:color w:val="000000"/>
                <w:sz w:val="20"/>
                <w:szCs w:val="20"/>
              </w:rPr>
              <w:t> </w:t>
            </w:r>
          </w:p>
        </w:tc>
        <w:tc>
          <w:tcPr>
            <w:tcW w:w="47" w:type="pct"/>
            <w:tcMar>
              <w:top w:w="5" w:type="dxa"/>
              <w:left w:w="5" w:type="dxa"/>
              <w:bottom w:w="20" w:type="dxa"/>
              <w:right w:w="5" w:type="dxa"/>
            </w:tcMar>
            <w:vAlign w:val="bottom"/>
            <w:hideMark/>
          </w:tcPr>
          <w:p w14:paraId="72B4BE37" w14:textId="77777777" w:rsidR="00954279" w:rsidRDefault="00A66714">
            <w:pPr>
              <w:rPr>
                <w:color w:val="000000"/>
                <w:sz w:val="20"/>
                <w:szCs w:val="20"/>
              </w:rPr>
            </w:pPr>
            <w:r>
              <w:rPr>
                <w:color w:val="000000"/>
                <w:sz w:val="20"/>
                <w:szCs w:val="20"/>
              </w:rPr>
              <w:t> </w:t>
            </w:r>
          </w:p>
        </w:tc>
        <w:tc>
          <w:tcPr>
            <w:tcW w:w="53" w:type="pct"/>
            <w:tcBorders>
              <w:bottom w:val="single" w:sz="6" w:space="0" w:color="000000"/>
            </w:tcBorders>
            <w:tcMar>
              <w:top w:w="5" w:type="dxa"/>
              <w:left w:w="5" w:type="dxa"/>
              <w:bottom w:w="8" w:type="dxa"/>
              <w:right w:w="5" w:type="dxa"/>
            </w:tcMar>
            <w:vAlign w:val="bottom"/>
            <w:hideMark/>
          </w:tcPr>
          <w:p w14:paraId="1AF23AF8" w14:textId="77777777" w:rsidR="00954279" w:rsidRDefault="00A66714">
            <w:pPr>
              <w:rPr>
                <w:color w:val="000000"/>
                <w:sz w:val="20"/>
                <w:szCs w:val="20"/>
              </w:rPr>
            </w:pPr>
            <w:r>
              <w:rPr>
                <w:color w:val="000000"/>
                <w:sz w:val="20"/>
                <w:szCs w:val="20"/>
              </w:rPr>
              <w:t> </w:t>
            </w:r>
          </w:p>
        </w:tc>
        <w:tc>
          <w:tcPr>
            <w:tcW w:w="476" w:type="pct"/>
            <w:tcBorders>
              <w:bottom w:val="single" w:sz="6" w:space="0" w:color="000000"/>
            </w:tcBorders>
            <w:tcMar>
              <w:top w:w="5" w:type="dxa"/>
              <w:left w:w="5" w:type="dxa"/>
              <w:bottom w:w="8" w:type="dxa"/>
              <w:right w:w="5" w:type="dxa"/>
            </w:tcMar>
            <w:vAlign w:val="bottom"/>
            <w:hideMark/>
          </w:tcPr>
          <w:p w14:paraId="59CD00A7" w14:textId="77777777" w:rsidR="00954279" w:rsidRDefault="00A66714">
            <w:pPr>
              <w:jc w:val="right"/>
              <w:rPr>
                <w:color w:val="000000"/>
                <w:sz w:val="20"/>
                <w:szCs w:val="20"/>
              </w:rPr>
            </w:pPr>
            <w:r>
              <w:rPr>
                <w:b/>
                <w:bCs/>
                <w:color w:val="000000"/>
                <w:sz w:val="20"/>
                <w:szCs w:val="20"/>
              </w:rPr>
              <w:t>12</w:t>
            </w:r>
          </w:p>
        </w:tc>
        <w:tc>
          <w:tcPr>
            <w:tcW w:w="47" w:type="pct"/>
            <w:noWrap/>
            <w:tcMar>
              <w:top w:w="5" w:type="dxa"/>
              <w:left w:w="5" w:type="dxa"/>
              <w:bottom w:w="20" w:type="dxa"/>
              <w:right w:w="5" w:type="dxa"/>
            </w:tcMar>
            <w:vAlign w:val="bottom"/>
            <w:hideMark/>
          </w:tcPr>
          <w:p w14:paraId="289EE83A" w14:textId="77777777" w:rsidR="00954279" w:rsidRDefault="00A66714">
            <w:pPr>
              <w:rPr>
                <w:color w:val="000000"/>
                <w:sz w:val="20"/>
                <w:szCs w:val="20"/>
              </w:rPr>
            </w:pPr>
            <w:r>
              <w:rPr>
                <w:color w:val="000000"/>
                <w:sz w:val="20"/>
                <w:szCs w:val="20"/>
              </w:rPr>
              <w:t> </w:t>
            </w:r>
          </w:p>
        </w:tc>
        <w:tc>
          <w:tcPr>
            <w:tcW w:w="47" w:type="pct"/>
            <w:tcMar>
              <w:top w:w="5" w:type="dxa"/>
              <w:left w:w="5" w:type="dxa"/>
              <w:bottom w:w="20" w:type="dxa"/>
              <w:right w:w="5" w:type="dxa"/>
            </w:tcMar>
            <w:vAlign w:val="bottom"/>
            <w:hideMark/>
          </w:tcPr>
          <w:p w14:paraId="733FBF93" w14:textId="77777777" w:rsidR="00954279" w:rsidRDefault="00A66714">
            <w:pPr>
              <w:rPr>
                <w:color w:val="000000"/>
                <w:sz w:val="20"/>
                <w:szCs w:val="20"/>
              </w:rPr>
            </w:pPr>
            <w:r>
              <w:rPr>
                <w:color w:val="000000"/>
                <w:sz w:val="20"/>
                <w:szCs w:val="20"/>
              </w:rPr>
              <w:t> </w:t>
            </w:r>
          </w:p>
        </w:tc>
        <w:tc>
          <w:tcPr>
            <w:tcW w:w="51" w:type="pct"/>
            <w:tcBorders>
              <w:bottom w:val="single" w:sz="6" w:space="0" w:color="000000"/>
            </w:tcBorders>
            <w:tcMar>
              <w:top w:w="5" w:type="dxa"/>
              <w:left w:w="5" w:type="dxa"/>
              <w:bottom w:w="8" w:type="dxa"/>
              <w:right w:w="5" w:type="dxa"/>
            </w:tcMar>
            <w:vAlign w:val="bottom"/>
            <w:hideMark/>
          </w:tcPr>
          <w:p w14:paraId="6FA567AE" w14:textId="77777777" w:rsidR="00954279" w:rsidRDefault="00A66714">
            <w:pPr>
              <w:rPr>
                <w:color w:val="000000"/>
                <w:sz w:val="20"/>
                <w:szCs w:val="20"/>
              </w:rPr>
            </w:pPr>
            <w:r>
              <w:rPr>
                <w:color w:val="000000"/>
                <w:sz w:val="20"/>
                <w:szCs w:val="20"/>
              </w:rPr>
              <w:t> </w:t>
            </w:r>
          </w:p>
        </w:tc>
        <w:tc>
          <w:tcPr>
            <w:tcW w:w="447" w:type="pct"/>
            <w:tcBorders>
              <w:bottom w:val="single" w:sz="6" w:space="0" w:color="000000"/>
            </w:tcBorders>
            <w:tcMar>
              <w:top w:w="5" w:type="dxa"/>
              <w:left w:w="5" w:type="dxa"/>
              <w:bottom w:w="8" w:type="dxa"/>
              <w:right w:w="5" w:type="dxa"/>
            </w:tcMar>
            <w:vAlign w:val="bottom"/>
            <w:hideMark/>
          </w:tcPr>
          <w:p w14:paraId="37877306" w14:textId="77777777" w:rsidR="00954279" w:rsidRDefault="00A66714">
            <w:pPr>
              <w:jc w:val="right"/>
              <w:rPr>
                <w:color w:val="000000"/>
                <w:sz w:val="20"/>
                <w:szCs w:val="20"/>
              </w:rPr>
            </w:pPr>
            <w:r>
              <w:rPr>
                <w:b/>
                <w:bCs/>
                <w:color w:val="000000"/>
                <w:sz w:val="20"/>
                <w:szCs w:val="20"/>
              </w:rPr>
              <w:t>161</w:t>
            </w:r>
          </w:p>
        </w:tc>
        <w:tc>
          <w:tcPr>
            <w:tcW w:w="48" w:type="pct"/>
            <w:noWrap/>
            <w:tcMar>
              <w:top w:w="5" w:type="dxa"/>
              <w:left w:w="5" w:type="dxa"/>
              <w:bottom w:w="20" w:type="dxa"/>
              <w:right w:w="5" w:type="dxa"/>
            </w:tcMar>
            <w:vAlign w:val="bottom"/>
            <w:hideMark/>
          </w:tcPr>
          <w:p w14:paraId="62548DE9" w14:textId="77777777" w:rsidR="00954279" w:rsidRDefault="00A66714">
            <w:pPr>
              <w:rPr>
                <w:color w:val="000000"/>
                <w:sz w:val="20"/>
                <w:szCs w:val="20"/>
              </w:rPr>
            </w:pPr>
            <w:r>
              <w:rPr>
                <w:color w:val="000000"/>
                <w:sz w:val="20"/>
                <w:szCs w:val="20"/>
              </w:rPr>
              <w:t> </w:t>
            </w:r>
          </w:p>
        </w:tc>
      </w:tr>
      <w:tr w:rsidR="00954279" w14:paraId="7F378623" w14:textId="77777777" w:rsidTr="00717712">
        <w:tc>
          <w:tcPr>
            <w:tcW w:w="0" w:type="auto"/>
            <w:tcMar>
              <w:top w:w="5" w:type="dxa"/>
              <w:left w:w="5" w:type="dxa"/>
              <w:bottom w:w="5" w:type="dxa"/>
              <w:right w:w="5" w:type="dxa"/>
            </w:tcMar>
            <w:vAlign w:val="bottom"/>
            <w:hideMark/>
          </w:tcPr>
          <w:p w14:paraId="68EA4EBD"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7FDB9959" w14:textId="77777777" w:rsidR="00954279" w:rsidRDefault="00A66714">
            <w:pPr>
              <w:rPr>
                <w:color w:val="000000"/>
                <w:sz w:val="20"/>
                <w:szCs w:val="20"/>
              </w:rPr>
            </w:pPr>
            <w:r>
              <w:rPr>
                <w:color w:val="000000"/>
                <w:sz w:val="20"/>
                <w:szCs w:val="20"/>
              </w:rPr>
              <w:t> </w:t>
            </w:r>
          </w:p>
        </w:tc>
        <w:tc>
          <w:tcPr>
            <w:tcW w:w="51" w:type="pct"/>
            <w:tcBorders>
              <w:bottom w:val="double" w:sz="6" w:space="0" w:color="000000"/>
            </w:tcBorders>
            <w:tcMar>
              <w:top w:w="5" w:type="dxa"/>
              <w:left w:w="5" w:type="dxa"/>
              <w:bottom w:w="22" w:type="dxa"/>
              <w:right w:w="5" w:type="dxa"/>
            </w:tcMar>
            <w:vAlign w:val="bottom"/>
            <w:hideMark/>
          </w:tcPr>
          <w:p w14:paraId="2696F2BB" w14:textId="77777777" w:rsidR="00954279" w:rsidRDefault="00A66714">
            <w:pPr>
              <w:rPr>
                <w:color w:val="000000"/>
                <w:sz w:val="20"/>
                <w:szCs w:val="20"/>
              </w:rPr>
            </w:pPr>
            <w:r>
              <w:rPr>
                <w:color w:val="000000"/>
                <w:sz w:val="20"/>
                <w:szCs w:val="20"/>
              </w:rPr>
              <w:t>$</w:t>
            </w:r>
          </w:p>
        </w:tc>
        <w:tc>
          <w:tcPr>
            <w:tcW w:w="447" w:type="pct"/>
            <w:tcBorders>
              <w:bottom w:val="double" w:sz="6" w:space="0" w:color="000000"/>
            </w:tcBorders>
            <w:tcMar>
              <w:top w:w="5" w:type="dxa"/>
              <w:left w:w="5" w:type="dxa"/>
              <w:bottom w:w="22" w:type="dxa"/>
              <w:right w:w="5" w:type="dxa"/>
            </w:tcMar>
            <w:vAlign w:val="bottom"/>
            <w:hideMark/>
          </w:tcPr>
          <w:p w14:paraId="07EAAC1B" w14:textId="77777777" w:rsidR="00954279" w:rsidRDefault="00A66714">
            <w:pPr>
              <w:jc w:val="right"/>
              <w:rPr>
                <w:color w:val="000000"/>
                <w:sz w:val="20"/>
                <w:szCs w:val="20"/>
              </w:rPr>
            </w:pPr>
            <w:r>
              <w:rPr>
                <w:b/>
                <w:bCs/>
                <w:color w:val="000000"/>
                <w:sz w:val="20"/>
                <w:szCs w:val="20"/>
              </w:rPr>
              <w:t>1,042</w:t>
            </w:r>
          </w:p>
        </w:tc>
        <w:tc>
          <w:tcPr>
            <w:tcW w:w="47" w:type="pct"/>
            <w:noWrap/>
            <w:tcMar>
              <w:top w:w="5" w:type="dxa"/>
              <w:left w:w="5" w:type="dxa"/>
              <w:bottom w:w="50" w:type="dxa"/>
              <w:right w:w="5" w:type="dxa"/>
            </w:tcMar>
            <w:vAlign w:val="bottom"/>
            <w:hideMark/>
          </w:tcPr>
          <w:p w14:paraId="50D935D0"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37F25AA2" w14:textId="77777777" w:rsidR="00954279" w:rsidRDefault="00A66714">
            <w:pPr>
              <w:rPr>
                <w:color w:val="000000"/>
                <w:sz w:val="20"/>
                <w:szCs w:val="20"/>
              </w:rPr>
            </w:pPr>
            <w:r>
              <w:rPr>
                <w:color w:val="000000"/>
                <w:sz w:val="20"/>
                <w:szCs w:val="20"/>
              </w:rPr>
              <w:t> </w:t>
            </w:r>
          </w:p>
        </w:tc>
        <w:tc>
          <w:tcPr>
            <w:tcW w:w="51" w:type="pct"/>
            <w:tcBorders>
              <w:bottom w:val="double" w:sz="6" w:space="0" w:color="000000"/>
            </w:tcBorders>
            <w:tcMar>
              <w:top w:w="5" w:type="dxa"/>
              <w:left w:w="5" w:type="dxa"/>
              <w:bottom w:w="22" w:type="dxa"/>
              <w:right w:w="5" w:type="dxa"/>
            </w:tcMar>
            <w:vAlign w:val="bottom"/>
            <w:hideMark/>
          </w:tcPr>
          <w:p w14:paraId="678BCC2B" w14:textId="77777777" w:rsidR="00954279" w:rsidRDefault="00A66714">
            <w:pPr>
              <w:rPr>
                <w:color w:val="000000"/>
                <w:sz w:val="20"/>
                <w:szCs w:val="20"/>
              </w:rPr>
            </w:pPr>
            <w:r>
              <w:rPr>
                <w:color w:val="000000"/>
                <w:sz w:val="20"/>
                <w:szCs w:val="20"/>
              </w:rPr>
              <w:t>$</w:t>
            </w:r>
          </w:p>
        </w:tc>
        <w:tc>
          <w:tcPr>
            <w:tcW w:w="447" w:type="pct"/>
            <w:tcBorders>
              <w:bottom w:val="double" w:sz="6" w:space="0" w:color="000000"/>
            </w:tcBorders>
            <w:tcMar>
              <w:top w:w="5" w:type="dxa"/>
              <w:left w:w="5" w:type="dxa"/>
              <w:bottom w:w="22" w:type="dxa"/>
              <w:right w:w="5" w:type="dxa"/>
            </w:tcMar>
            <w:vAlign w:val="bottom"/>
            <w:hideMark/>
          </w:tcPr>
          <w:p w14:paraId="79248D39" w14:textId="77777777" w:rsidR="00954279" w:rsidRDefault="00A66714">
            <w:pPr>
              <w:jc w:val="right"/>
              <w:rPr>
                <w:color w:val="000000"/>
                <w:sz w:val="20"/>
                <w:szCs w:val="20"/>
              </w:rPr>
            </w:pPr>
            <w:r>
              <w:rPr>
                <w:b/>
                <w:bCs/>
                <w:color w:val="000000"/>
                <w:sz w:val="20"/>
                <w:szCs w:val="20"/>
              </w:rPr>
              <w:t>62</w:t>
            </w:r>
          </w:p>
        </w:tc>
        <w:tc>
          <w:tcPr>
            <w:tcW w:w="47" w:type="pct"/>
            <w:noWrap/>
            <w:tcMar>
              <w:top w:w="5" w:type="dxa"/>
              <w:left w:w="5" w:type="dxa"/>
              <w:bottom w:w="50" w:type="dxa"/>
              <w:right w:w="5" w:type="dxa"/>
            </w:tcMar>
            <w:vAlign w:val="bottom"/>
            <w:hideMark/>
          </w:tcPr>
          <w:p w14:paraId="0A4AAA5D"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6D765F90" w14:textId="77777777" w:rsidR="00954279" w:rsidRDefault="00A66714">
            <w:pPr>
              <w:rPr>
                <w:color w:val="000000"/>
                <w:sz w:val="20"/>
                <w:szCs w:val="20"/>
              </w:rPr>
            </w:pPr>
            <w:r>
              <w:rPr>
                <w:color w:val="000000"/>
                <w:sz w:val="20"/>
                <w:szCs w:val="20"/>
              </w:rPr>
              <w:t> </w:t>
            </w:r>
          </w:p>
        </w:tc>
        <w:tc>
          <w:tcPr>
            <w:tcW w:w="53" w:type="pct"/>
            <w:tcBorders>
              <w:bottom w:val="double" w:sz="6" w:space="0" w:color="000000"/>
            </w:tcBorders>
            <w:tcMar>
              <w:top w:w="5" w:type="dxa"/>
              <w:left w:w="5" w:type="dxa"/>
              <w:bottom w:w="22" w:type="dxa"/>
              <w:right w:w="5" w:type="dxa"/>
            </w:tcMar>
            <w:vAlign w:val="bottom"/>
            <w:hideMark/>
          </w:tcPr>
          <w:p w14:paraId="713D16D6" w14:textId="77777777" w:rsidR="00954279" w:rsidRDefault="00A66714">
            <w:pPr>
              <w:rPr>
                <w:color w:val="000000"/>
                <w:sz w:val="20"/>
                <w:szCs w:val="20"/>
              </w:rPr>
            </w:pPr>
            <w:r>
              <w:rPr>
                <w:color w:val="000000"/>
                <w:sz w:val="20"/>
                <w:szCs w:val="20"/>
              </w:rPr>
              <w:t>$</w:t>
            </w:r>
          </w:p>
        </w:tc>
        <w:tc>
          <w:tcPr>
            <w:tcW w:w="476" w:type="pct"/>
            <w:tcBorders>
              <w:bottom w:val="double" w:sz="6" w:space="0" w:color="000000"/>
            </w:tcBorders>
            <w:tcMar>
              <w:top w:w="5" w:type="dxa"/>
              <w:left w:w="5" w:type="dxa"/>
              <w:bottom w:w="22" w:type="dxa"/>
              <w:right w:w="5" w:type="dxa"/>
            </w:tcMar>
            <w:vAlign w:val="bottom"/>
            <w:hideMark/>
          </w:tcPr>
          <w:p w14:paraId="4FA215F0" w14:textId="77777777" w:rsidR="00954279" w:rsidRDefault="00A66714">
            <w:pPr>
              <w:jc w:val="right"/>
              <w:rPr>
                <w:color w:val="000000"/>
                <w:sz w:val="20"/>
                <w:szCs w:val="20"/>
              </w:rPr>
            </w:pPr>
            <w:r>
              <w:rPr>
                <w:b/>
                <w:bCs/>
                <w:color w:val="000000"/>
                <w:sz w:val="20"/>
                <w:szCs w:val="20"/>
              </w:rPr>
              <w:t>191</w:t>
            </w:r>
          </w:p>
        </w:tc>
        <w:tc>
          <w:tcPr>
            <w:tcW w:w="47" w:type="pct"/>
            <w:noWrap/>
            <w:tcMar>
              <w:top w:w="5" w:type="dxa"/>
              <w:left w:w="5" w:type="dxa"/>
              <w:bottom w:w="50" w:type="dxa"/>
              <w:right w:w="5" w:type="dxa"/>
            </w:tcMar>
            <w:vAlign w:val="bottom"/>
            <w:hideMark/>
          </w:tcPr>
          <w:p w14:paraId="18307E51"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176AB302" w14:textId="77777777" w:rsidR="00954279" w:rsidRDefault="00A66714">
            <w:pPr>
              <w:rPr>
                <w:color w:val="000000"/>
                <w:sz w:val="20"/>
                <w:szCs w:val="20"/>
              </w:rPr>
            </w:pPr>
            <w:r>
              <w:rPr>
                <w:color w:val="000000"/>
                <w:sz w:val="20"/>
                <w:szCs w:val="20"/>
              </w:rPr>
              <w:t> </w:t>
            </w:r>
          </w:p>
        </w:tc>
        <w:tc>
          <w:tcPr>
            <w:tcW w:w="51" w:type="pct"/>
            <w:tcBorders>
              <w:bottom w:val="double" w:sz="6" w:space="0" w:color="000000"/>
            </w:tcBorders>
            <w:tcMar>
              <w:top w:w="5" w:type="dxa"/>
              <w:left w:w="5" w:type="dxa"/>
              <w:bottom w:w="22" w:type="dxa"/>
              <w:right w:w="5" w:type="dxa"/>
            </w:tcMar>
            <w:vAlign w:val="bottom"/>
            <w:hideMark/>
          </w:tcPr>
          <w:p w14:paraId="73621570" w14:textId="77777777" w:rsidR="00954279" w:rsidRDefault="00A66714">
            <w:pPr>
              <w:rPr>
                <w:color w:val="000000"/>
                <w:sz w:val="20"/>
                <w:szCs w:val="20"/>
              </w:rPr>
            </w:pPr>
            <w:r>
              <w:rPr>
                <w:color w:val="000000"/>
                <w:sz w:val="20"/>
                <w:szCs w:val="20"/>
              </w:rPr>
              <w:t>$</w:t>
            </w:r>
          </w:p>
        </w:tc>
        <w:tc>
          <w:tcPr>
            <w:tcW w:w="447" w:type="pct"/>
            <w:tcBorders>
              <w:bottom w:val="double" w:sz="6" w:space="0" w:color="000000"/>
            </w:tcBorders>
            <w:tcMar>
              <w:top w:w="5" w:type="dxa"/>
              <w:left w:w="5" w:type="dxa"/>
              <w:bottom w:w="22" w:type="dxa"/>
              <w:right w:w="5" w:type="dxa"/>
            </w:tcMar>
            <w:vAlign w:val="bottom"/>
            <w:hideMark/>
          </w:tcPr>
          <w:p w14:paraId="14DD4EFE" w14:textId="77777777" w:rsidR="00954279" w:rsidRDefault="00A66714">
            <w:pPr>
              <w:jc w:val="right"/>
              <w:rPr>
                <w:color w:val="000000"/>
                <w:sz w:val="20"/>
                <w:szCs w:val="20"/>
              </w:rPr>
            </w:pPr>
            <w:r>
              <w:rPr>
                <w:b/>
                <w:bCs/>
                <w:color w:val="000000"/>
                <w:sz w:val="20"/>
                <w:szCs w:val="20"/>
              </w:rPr>
              <w:t>1,295</w:t>
            </w:r>
          </w:p>
        </w:tc>
        <w:tc>
          <w:tcPr>
            <w:tcW w:w="48" w:type="pct"/>
            <w:noWrap/>
            <w:tcMar>
              <w:top w:w="5" w:type="dxa"/>
              <w:left w:w="5" w:type="dxa"/>
              <w:bottom w:w="50" w:type="dxa"/>
              <w:right w:w="5" w:type="dxa"/>
            </w:tcMar>
            <w:vAlign w:val="bottom"/>
            <w:hideMark/>
          </w:tcPr>
          <w:p w14:paraId="092C2FEE" w14:textId="77777777" w:rsidR="00954279" w:rsidRDefault="00A66714">
            <w:pPr>
              <w:rPr>
                <w:color w:val="000000"/>
                <w:sz w:val="20"/>
                <w:szCs w:val="20"/>
              </w:rPr>
            </w:pPr>
            <w:r>
              <w:rPr>
                <w:color w:val="000000"/>
                <w:sz w:val="20"/>
                <w:szCs w:val="20"/>
              </w:rPr>
              <w:t> </w:t>
            </w:r>
          </w:p>
        </w:tc>
      </w:tr>
      <w:tr w:rsidR="00954279" w14:paraId="11988F17" w14:textId="77777777" w:rsidTr="00717712">
        <w:tc>
          <w:tcPr>
            <w:tcW w:w="2597" w:type="pct"/>
            <w:tcMar>
              <w:top w:w="5" w:type="dxa"/>
              <w:left w:w="5" w:type="dxa"/>
              <w:bottom w:w="5" w:type="dxa"/>
              <w:right w:w="5" w:type="dxa"/>
            </w:tcMar>
            <w:vAlign w:val="bottom"/>
            <w:hideMark/>
          </w:tcPr>
          <w:p w14:paraId="1021F443" w14:textId="77777777" w:rsidR="00954279" w:rsidRDefault="00A66714">
            <w:pPr>
              <w:rPr>
                <w:color w:val="000000"/>
                <w:sz w:val="20"/>
                <w:szCs w:val="20"/>
              </w:rPr>
            </w:pPr>
            <w:r>
              <w:rPr>
                <w:b/>
                <w:bCs/>
                <w:color w:val="000000"/>
                <w:sz w:val="20"/>
                <w:szCs w:val="20"/>
              </w:rPr>
              <w:t>2020:</w:t>
            </w:r>
          </w:p>
        </w:tc>
        <w:tc>
          <w:tcPr>
            <w:tcW w:w="0" w:type="auto"/>
            <w:tcMar>
              <w:top w:w="5" w:type="dxa"/>
              <w:left w:w="5" w:type="dxa"/>
              <w:bottom w:w="5" w:type="dxa"/>
              <w:right w:w="5" w:type="dxa"/>
            </w:tcMar>
            <w:vAlign w:val="bottom"/>
            <w:hideMark/>
          </w:tcPr>
          <w:p w14:paraId="01A4787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DAD798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31C91F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A18156C" w14:textId="77777777" w:rsidR="00954279" w:rsidRDefault="00A66714">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28FA8EE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F496B7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EAC2B6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E0AD479" w14:textId="77777777" w:rsidR="00954279" w:rsidRDefault="00A66714">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2085D5F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96D9F02"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D79FC1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BC9A161" w14:textId="77777777" w:rsidR="00954279" w:rsidRDefault="00A66714">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2140CC9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DF5D29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A9BB50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27BC745" w14:textId="77777777" w:rsidR="00954279" w:rsidRDefault="00A66714">
            <w:pPr>
              <w:rPr>
                <w:color w:val="000000"/>
                <w:sz w:val="20"/>
                <w:szCs w:val="20"/>
              </w:rPr>
            </w:pPr>
            <w:r>
              <w:rPr>
                <w:b/>
                <w:bCs/>
                <w:color w:val="000000"/>
                <w:sz w:val="20"/>
                <w:szCs w:val="20"/>
              </w:rPr>
              <w:t> </w:t>
            </w:r>
          </w:p>
        </w:tc>
      </w:tr>
      <w:tr w:rsidR="00954279" w14:paraId="288273D9" w14:textId="77777777" w:rsidTr="00717712">
        <w:tc>
          <w:tcPr>
            <w:tcW w:w="0" w:type="auto"/>
            <w:tcMar>
              <w:top w:w="5" w:type="dxa"/>
              <w:left w:w="5" w:type="dxa"/>
              <w:bottom w:w="5" w:type="dxa"/>
              <w:right w:w="5" w:type="dxa"/>
            </w:tcMar>
            <w:vAlign w:val="bottom"/>
            <w:hideMark/>
          </w:tcPr>
          <w:p w14:paraId="24B623EC" w14:textId="77777777" w:rsidR="00954279" w:rsidRDefault="00A66714">
            <w:pPr>
              <w:rPr>
                <w:color w:val="000000"/>
                <w:sz w:val="20"/>
                <w:szCs w:val="20"/>
              </w:rPr>
            </w:pPr>
            <w:r>
              <w:rPr>
                <w:color w:val="000000"/>
                <w:sz w:val="20"/>
                <w:szCs w:val="20"/>
              </w:rPr>
              <w:t>Gas utilities</w:t>
            </w:r>
          </w:p>
        </w:tc>
        <w:tc>
          <w:tcPr>
            <w:tcW w:w="47" w:type="pct"/>
            <w:tcMar>
              <w:top w:w="5" w:type="dxa"/>
              <w:left w:w="5" w:type="dxa"/>
              <w:bottom w:w="5" w:type="dxa"/>
              <w:right w:w="5" w:type="dxa"/>
            </w:tcMar>
            <w:vAlign w:val="bottom"/>
            <w:hideMark/>
          </w:tcPr>
          <w:p w14:paraId="7A8CE1E8"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09C384EF" w14:textId="77777777" w:rsidR="00954279" w:rsidRDefault="00A66714">
            <w:pPr>
              <w:rPr>
                <w:color w:val="000000"/>
                <w:sz w:val="20"/>
                <w:szCs w:val="20"/>
              </w:rPr>
            </w:pPr>
            <w:r>
              <w:rPr>
                <w:color w:val="000000"/>
                <w:sz w:val="20"/>
                <w:szCs w:val="20"/>
              </w:rPr>
              <w:t>$</w:t>
            </w:r>
          </w:p>
        </w:tc>
        <w:tc>
          <w:tcPr>
            <w:tcW w:w="447" w:type="pct"/>
            <w:tcMar>
              <w:top w:w="5" w:type="dxa"/>
              <w:left w:w="5" w:type="dxa"/>
              <w:bottom w:w="5" w:type="dxa"/>
              <w:right w:w="5" w:type="dxa"/>
            </w:tcMar>
            <w:vAlign w:val="bottom"/>
            <w:hideMark/>
          </w:tcPr>
          <w:p w14:paraId="2CCF7DD9" w14:textId="77777777" w:rsidR="00954279" w:rsidRDefault="00A66714">
            <w:pPr>
              <w:jc w:val="right"/>
              <w:rPr>
                <w:color w:val="000000"/>
                <w:sz w:val="20"/>
                <w:szCs w:val="20"/>
              </w:rPr>
            </w:pPr>
            <w:r>
              <w:rPr>
                <w:color w:val="000000"/>
                <w:sz w:val="20"/>
                <w:szCs w:val="20"/>
              </w:rPr>
              <w:t>399</w:t>
            </w:r>
          </w:p>
        </w:tc>
        <w:tc>
          <w:tcPr>
            <w:tcW w:w="47" w:type="pct"/>
            <w:noWrap/>
            <w:tcMar>
              <w:top w:w="5" w:type="dxa"/>
              <w:left w:w="5" w:type="dxa"/>
              <w:bottom w:w="5" w:type="dxa"/>
              <w:right w:w="5" w:type="dxa"/>
            </w:tcMar>
            <w:vAlign w:val="bottom"/>
            <w:hideMark/>
          </w:tcPr>
          <w:p w14:paraId="2F1BAA13"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5358763D"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03BCEC1D" w14:textId="77777777" w:rsidR="00954279" w:rsidRDefault="00A66714">
            <w:pPr>
              <w:rPr>
                <w:color w:val="000000"/>
                <w:sz w:val="20"/>
                <w:szCs w:val="20"/>
              </w:rPr>
            </w:pPr>
            <w:r>
              <w:rPr>
                <w:color w:val="000000"/>
                <w:sz w:val="20"/>
                <w:szCs w:val="20"/>
              </w:rPr>
              <w:t>$</w:t>
            </w:r>
          </w:p>
        </w:tc>
        <w:tc>
          <w:tcPr>
            <w:tcW w:w="447" w:type="pct"/>
            <w:tcMar>
              <w:top w:w="5" w:type="dxa"/>
              <w:left w:w="5" w:type="dxa"/>
              <w:bottom w:w="5" w:type="dxa"/>
              <w:right w:w="5" w:type="dxa"/>
            </w:tcMar>
            <w:vAlign w:val="bottom"/>
            <w:hideMark/>
          </w:tcPr>
          <w:p w14:paraId="01BAC1DF" w14:textId="77777777" w:rsidR="00954279" w:rsidRDefault="00A66714">
            <w:pPr>
              <w:jc w:val="right"/>
              <w:rPr>
                <w:color w:val="000000"/>
                <w:sz w:val="20"/>
                <w:szCs w:val="20"/>
              </w:rPr>
            </w:pPr>
            <w:r>
              <w:rPr>
                <w:color w:val="000000"/>
                <w:sz w:val="20"/>
                <w:szCs w:val="20"/>
              </w:rPr>
              <w:t>8</w:t>
            </w:r>
          </w:p>
        </w:tc>
        <w:tc>
          <w:tcPr>
            <w:tcW w:w="47" w:type="pct"/>
            <w:noWrap/>
            <w:tcMar>
              <w:top w:w="5" w:type="dxa"/>
              <w:left w:w="5" w:type="dxa"/>
              <w:bottom w:w="5" w:type="dxa"/>
              <w:right w:w="5" w:type="dxa"/>
            </w:tcMar>
            <w:vAlign w:val="bottom"/>
            <w:hideMark/>
          </w:tcPr>
          <w:p w14:paraId="74AC375D"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0DD4E333" w14:textId="77777777" w:rsidR="00954279" w:rsidRDefault="00A66714">
            <w:pPr>
              <w:rPr>
                <w:color w:val="000000"/>
                <w:sz w:val="20"/>
                <w:szCs w:val="20"/>
              </w:rPr>
            </w:pPr>
            <w:r>
              <w:rPr>
                <w:color w:val="000000"/>
                <w:sz w:val="20"/>
                <w:szCs w:val="20"/>
              </w:rPr>
              <w:t> </w:t>
            </w:r>
          </w:p>
        </w:tc>
        <w:tc>
          <w:tcPr>
            <w:tcW w:w="53" w:type="pct"/>
            <w:tcMar>
              <w:top w:w="5" w:type="dxa"/>
              <w:left w:w="5" w:type="dxa"/>
              <w:bottom w:w="5" w:type="dxa"/>
              <w:right w:w="5" w:type="dxa"/>
            </w:tcMar>
            <w:vAlign w:val="bottom"/>
            <w:hideMark/>
          </w:tcPr>
          <w:p w14:paraId="3B1CE209" w14:textId="77777777" w:rsidR="00954279" w:rsidRDefault="00A66714">
            <w:pPr>
              <w:rPr>
                <w:color w:val="000000"/>
                <w:sz w:val="20"/>
                <w:szCs w:val="20"/>
              </w:rPr>
            </w:pPr>
            <w:r>
              <w:rPr>
                <w:color w:val="000000"/>
                <w:sz w:val="20"/>
                <w:szCs w:val="20"/>
              </w:rPr>
              <w:t>$</w:t>
            </w:r>
          </w:p>
        </w:tc>
        <w:tc>
          <w:tcPr>
            <w:tcW w:w="476" w:type="pct"/>
            <w:tcMar>
              <w:top w:w="5" w:type="dxa"/>
              <w:left w:w="5" w:type="dxa"/>
              <w:bottom w:w="5" w:type="dxa"/>
              <w:right w:w="5" w:type="dxa"/>
            </w:tcMar>
            <w:vAlign w:val="bottom"/>
            <w:hideMark/>
          </w:tcPr>
          <w:p w14:paraId="5E184A2F" w14:textId="77777777" w:rsidR="00954279" w:rsidRDefault="00A66714">
            <w:pPr>
              <w:jc w:val="right"/>
              <w:rPr>
                <w:color w:val="000000"/>
                <w:sz w:val="20"/>
                <w:szCs w:val="20"/>
              </w:rPr>
            </w:pPr>
            <w:r>
              <w:rPr>
                <w:color w:val="000000"/>
                <w:sz w:val="20"/>
                <w:szCs w:val="20"/>
              </w:rPr>
              <w:t>—</w:t>
            </w:r>
          </w:p>
        </w:tc>
        <w:tc>
          <w:tcPr>
            <w:tcW w:w="47" w:type="pct"/>
            <w:noWrap/>
            <w:tcMar>
              <w:top w:w="5" w:type="dxa"/>
              <w:left w:w="5" w:type="dxa"/>
              <w:bottom w:w="5" w:type="dxa"/>
              <w:right w:w="5" w:type="dxa"/>
            </w:tcMar>
            <w:vAlign w:val="bottom"/>
            <w:hideMark/>
          </w:tcPr>
          <w:p w14:paraId="64E2E1E3"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6F00A21F"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0658653E" w14:textId="77777777" w:rsidR="00954279" w:rsidRDefault="00A66714">
            <w:pPr>
              <w:rPr>
                <w:color w:val="000000"/>
                <w:sz w:val="20"/>
                <w:szCs w:val="20"/>
              </w:rPr>
            </w:pPr>
            <w:r>
              <w:rPr>
                <w:color w:val="000000"/>
                <w:sz w:val="20"/>
                <w:szCs w:val="20"/>
              </w:rPr>
              <w:t>$</w:t>
            </w:r>
          </w:p>
        </w:tc>
        <w:tc>
          <w:tcPr>
            <w:tcW w:w="447" w:type="pct"/>
            <w:tcMar>
              <w:top w:w="5" w:type="dxa"/>
              <w:left w:w="5" w:type="dxa"/>
              <w:bottom w:w="5" w:type="dxa"/>
              <w:right w:w="5" w:type="dxa"/>
            </w:tcMar>
            <w:vAlign w:val="bottom"/>
            <w:hideMark/>
          </w:tcPr>
          <w:p w14:paraId="0830B73F" w14:textId="77777777" w:rsidR="00954279" w:rsidRDefault="00A66714">
            <w:pPr>
              <w:jc w:val="right"/>
              <w:rPr>
                <w:color w:val="000000"/>
                <w:sz w:val="20"/>
                <w:szCs w:val="20"/>
              </w:rPr>
            </w:pPr>
            <w:r>
              <w:rPr>
                <w:color w:val="000000"/>
                <w:sz w:val="20"/>
                <w:szCs w:val="20"/>
              </w:rPr>
              <w:t>407</w:t>
            </w:r>
          </w:p>
        </w:tc>
        <w:tc>
          <w:tcPr>
            <w:tcW w:w="48" w:type="pct"/>
            <w:noWrap/>
            <w:tcMar>
              <w:top w:w="5" w:type="dxa"/>
              <w:left w:w="5" w:type="dxa"/>
              <w:bottom w:w="5" w:type="dxa"/>
              <w:right w:w="5" w:type="dxa"/>
            </w:tcMar>
            <w:vAlign w:val="bottom"/>
            <w:hideMark/>
          </w:tcPr>
          <w:p w14:paraId="4FF29672" w14:textId="77777777" w:rsidR="00954279" w:rsidRDefault="00A66714">
            <w:pPr>
              <w:rPr>
                <w:color w:val="000000"/>
                <w:sz w:val="20"/>
                <w:szCs w:val="20"/>
              </w:rPr>
            </w:pPr>
            <w:r>
              <w:rPr>
                <w:color w:val="000000"/>
                <w:sz w:val="20"/>
                <w:szCs w:val="20"/>
              </w:rPr>
              <w:t> </w:t>
            </w:r>
          </w:p>
        </w:tc>
      </w:tr>
      <w:tr w:rsidR="00954279" w14:paraId="0D6075A3" w14:textId="77777777" w:rsidTr="00717712">
        <w:tc>
          <w:tcPr>
            <w:tcW w:w="0" w:type="auto"/>
            <w:tcMar>
              <w:top w:w="5" w:type="dxa"/>
              <w:left w:w="5" w:type="dxa"/>
              <w:bottom w:w="5" w:type="dxa"/>
              <w:right w:w="5" w:type="dxa"/>
            </w:tcMar>
            <w:vAlign w:val="bottom"/>
            <w:hideMark/>
          </w:tcPr>
          <w:p w14:paraId="2FA31CE8" w14:textId="77777777" w:rsidR="00954279" w:rsidRDefault="00A66714">
            <w:pPr>
              <w:rPr>
                <w:color w:val="000000"/>
                <w:sz w:val="20"/>
                <w:szCs w:val="20"/>
              </w:rPr>
            </w:pPr>
            <w:r>
              <w:rPr>
                <w:color w:val="000000"/>
                <w:sz w:val="20"/>
                <w:szCs w:val="20"/>
              </w:rPr>
              <w:t>Downstream &amp; industrial</w:t>
            </w:r>
          </w:p>
        </w:tc>
        <w:tc>
          <w:tcPr>
            <w:tcW w:w="47" w:type="pct"/>
            <w:tcMar>
              <w:top w:w="5" w:type="dxa"/>
              <w:left w:w="5" w:type="dxa"/>
              <w:bottom w:w="5" w:type="dxa"/>
              <w:right w:w="5" w:type="dxa"/>
            </w:tcMar>
            <w:vAlign w:val="bottom"/>
            <w:hideMark/>
          </w:tcPr>
          <w:p w14:paraId="1F98B84A"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40E2B7B7" w14:textId="77777777" w:rsidR="00954279" w:rsidRDefault="00A66714">
            <w:pPr>
              <w:rPr>
                <w:color w:val="000000"/>
                <w:sz w:val="20"/>
                <w:szCs w:val="20"/>
              </w:rPr>
            </w:pPr>
            <w:r>
              <w:rPr>
                <w:color w:val="000000"/>
                <w:sz w:val="20"/>
                <w:szCs w:val="20"/>
              </w:rPr>
              <w:t> </w:t>
            </w:r>
          </w:p>
        </w:tc>
        <w:tc>
          <w:tcPr>
            <w:tcW w:w="447" w:type="pct"/>
            <w:tcMar>
              <w:top w:w="5" w:type="dxa"/>
              <w:left w:w="5" w:type="dxa"/>
              <w:bottom w:w="5" w:type="dxa"/>
              <w:right w:w="5" w:type="dxa"/>
            </w:tcMar>
            <w:vAlign w:val="bottom"/>
            <w:hideMark/>
          </w:tcPr>
          <w:p w14:paraId="54AEB03C" w14:textId="77777777" w:rsidR="00954279" w:rsidRDefault="00A66714">
            <w:pPr>
              <w:jc w:val="right"/>
              <w:rPr>
                <w:color w:val="000000"/>
                <w:sz w:val="20"/>
                <w:szCs w:val="20"/>
              </w:rPr>
            </w:pPr>
            <w:r>
              <w:rPr>
                <w:color w:val="000000"/>
                <w:sz w:val="20"/>
                <w:szCs w:val="20"/>
              </w:rPr>
              <w:t>316</w:t>
            </w:r>
          </w:p>
        </w:tc>
        <w:tc>
          <w:tcPr>
            <w:tcW w:w="47" w:type="pct"/>
            <w:noWrap/>
            <w:tcMar>
              <w:top w:w="5" w:type="dxa"/>
              <w:left w:w="5" w:type="dxa"/>
              <w:bottom w:w="5" w:type="dxa"/>
              <w:right w:w="5" w:type="dxa"/>
            </w:tcMar>
            <w:vAlign w:val="bottom"/>
            <w:hideMark/>
          </w:tcPr>
          <w:p w14:paraId="4CABD5F2"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773B912F"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433DA3F9" w14:textId="77777777" w:rsidR="00954279" w:rsidRDefault="00A66714">
            <w:pPr>
              <w:rPr>
                <w:color w:val="000000"/>
                <w:sz w:val="20"/>
                <w:szCs w:val="20"/>
              </w:rPr>
            </w:pPr>
            <w:r>
              <w:rPr>
                <w:color w:val="000000"/>
                <w:sz w:val="20"/>
                <w:szCs w:val="20"/>
              </w:rPr>
              <w:t> </w:t>
            </w:r>
          </w:p>
        </w:tc>
        <w:tc>
          <w:tcPr>
            <w:tcW w:w="447" w:type="pct"/>
            <w:tcMar>
              <w:top w:w="5" w:type="dxa"/>
              <w:left w:w="5" w:type="dxa"/>
              <w:bottom w:w="5" w:type="dxa"/>
              <w:right w:w="5" w:type="dxa"/>
            </w:tcMar>
            <w:vAlign w:val="bottom"/>
            <w:hideMark/>
          </w:tcPr>
          <w:p w14:paraId="2EC85083" w14:textId="77777777" w:rsidR="00954279" w:rsidRDefault="00A66714">
            <w:pPr>
              <w:jc w:val="right"/>
              <w:rPr>
                <w:color w:val="000000"/>
                <w:sz w:val="20"/>
                <w:szCs w:val="20"/>
              </w:rPr>
            </w:pPr>
            <w:r>
              <w:rPr>
                <w:color w:val="000000"/>
                <w:sz w:val="20"/>
                <w:szCs w:val="20"/>
              </w:rPr>
              <w:t>8</w:t>
            </w:r>
          </w:p>
        </w:tc>
        <w:tc>
          <w:tcPr>
            <w:tcW w:w="47" w:type="pct"/>
            <w:noWrap/>
            <w:tcMar>
              <w:top w:w="5" w:type="dxa"/>
              <w:left w:w="5" w:type="dxa"/>
              <w:bottom w:w="5" w:type="dxa"/>
              <w:right w:w="5" w:type="dxa"/>
            </w:tcMar>
            <w:vAlign w:val="bottom"/>
            <w:hideMark/>
          </w:tcPr>
          <w:p w14:paraId="55C58F40"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1715660A" w14:textId="77777777" w:rsidR="00954279" w:rsidRDefault="00A66714">
            <w:pPr>
              <w:rPr>
                <w:color w:val="000000"/>
                <w:sz w:val="20"/>
                <w:szCs w:val="20"/>
              </w:rPr>
            </w:pPr>
            <w:r>
              <w:rPr>
                <w:color w:val="000000"/>
                <w:sz w:val="20"/>
                <w:szCs w:val="20"/>
              </w:rPr>
              <w:t> </w:t>
            </w:r>
          </w:p>
        </w:tc>
        <w:tc>
          <w:tcPr>
            <w:tcW w:w="53" w:type="pct"/>
            <w:tcMar>
              <w:top w:w="5" w:type="dxa"/>
              <w:left w:w="5" w:type="dxa"/>
              <w:bottom w:w="5" w:type="dxa"/>
              <w:right w:w="5" w:type="dxa"/>
            </w:tcMar>
            <w:vAlign w:val="bottom"/>
            <w:hideMark/>
          </w:tcPr>
          <w:p w14:paraId="2AF854AB" w14:textId="77777777" w:rsidR="00954279" w:rsidRDefault="00A66714">
            <w:pPr>
              <w:rPr>
                <w:color w:val="000000"/>
                <w:sz w:val="20"/>
                <w:szCs w:val="20"/>
              </w:rPr>
            </w:pPr>
            <w:r>
              <w:rPr>
                <w:color w:val="000000"/>
                <w:sz w:val="20"/>
                <w:szCs w:val="20"/>
              </w:rPr>
              <w:t> </w:t>
            </w:r>
          </w:p>
        </w:tc>
        <w:tc>
          <w:tcPr>
            <w:tcW w:w="476" w:type="pct"/>
            <w:tcMar>
              <w:top w:w="5" w:type="dxa"/>
              <w:left w:w="5" w:type="dxa"/>
              <w:bottom w:w="5" w:type="dxa"/>
              <w:right w:w="5" w:type="dxa"/>
            </w:tcMar>
            <w:vAlign w:val="bottom"/>
            <w:hideMark/>
          </w:tcPr>
          <w:p w14:paraId="13D4DF18" w14:textId="77777777" w:rsidR="00954279" w:rsidRDefault="00A66714">
            <w:pPr>
              <w:jc w:val="right"/>
              <w:rPr>
                <w:color w:val="000000"/>
                <w:sz w:val="20"/>
                <w:szCs w:val="20"/>
              </w:rPr>
            </w:pPr>
            <w:r>
              <w:rPr>
                <w:color w:val="000000"/>
                <w:sz w:val="20"/>
                <w:szCs w:val="20"/>
              </w:rPr>
              <w:t>103</w:t>
            </w:r>
          </w:p>
        </w:tc>
        <w:tc>
          <w:tcPr>
            <w:tcW w:w="47" w:type="pct"/>
            <w:noWrap/>
            <w:tcMar>
              <w:top w:w="5" w:type="dxa"/>
              <w:left w:w="5" w:type="dxa"/>
              <w:bottom w:w="5" w:type="dxa"/>
              <w:right w:w="5" w:type="dxa"/>
            </w:tcMar>
            <w:vAlign w:val="bottom"/>
            <w:hideMark/>
          </w:tcPr>
          <w:p w14:paraId="687F4D52"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76C62611"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2AAF4DDE" w14:textId="77777777" w:rsidR="00954279" w:rsidRDefault="00A66714">
            <w:pPr>
              <w:rPr>
                <w:color w:val="000000"/>
                <w:sz w:val="20"/>
                <w:szCs w:val="20"/>
              </w:rPr>
            </w:pPr>
            <w:r>
              <w:rPr>
                <w:color w:val="000000"/>
                <w:sz w:val="20"/>
                <w:szCs w:val="20"/>
              </w:rPr>
              <w:t> </w:t>
            </w:r>
          </w:p>
        </w:tc>
        <w:tc>
          <w:tcPr>
            <w:tcW w:w="447" w:type="pct"/>
            <w:tcMar>
              <w:top w:w="5" w:type="dxa"/>
              <w:left w:w="5" w:type="dxa"/>
              <w:bottom w:w="5" w:type="dxa"/>
              <w:right w:w="5" w:type="dxa"/>
            </w:tcMar>
            <w:vAlign w:val="bottom"/>
            <w:hideMark/>
          </w:tcPr>
          <w:p w14:paraId="224B0282" w14:textId="77777777" w:rsidR="00954279" w:rsidRDefault="00A66714">
            <w:pPr>
              <w:jc w:val="right"/>
              <w:rPr>
                <w:color w:val="000000"/>
                <w:sz w:val="20"/>
                <w:szCs w:val="20"/>
              </w:rPr>
            </w:pPr>
            <w:r>
              <w:rPr>
                <w:color w:val="000000"/>
                <w:sz w:val="20"/>
                <w:szCs w:val="20"/>
              </w:rPr>
              <w:t>427</w:t>
            </w:r>
          </w:p>
        </w:tc>
        <w:tc>
          <w:tcPr>
            <w:tcW w:w="48" w:type="pct"/>
            <w:noWrap/>
            <w:tcMar>
              <w:top w:w="5" w:type="dxa"/>
              <w:left w:w="5" w:type="dxa"/>
              <w:bottom w:w="5" w:type="dxa"/>
              <w:right w:w="5" w:type="dxa"/>
            </w:tcMar>
            <w:vAlign w:val="bottom"/>
            <w:hideMark/>
          </w:tcPr>
          <w:p w14:paraId="32AC0C4B" w14:textId="77777777" w:rsidR="00954279" w:rsidRDefault="00A66714">
            <w:pPr>
              <w:rPr>
                <w:color w:val="000000"/>
                <w:sz w:val="20"/>
                <w:szCs w:val="20"/>
              </w:rPr>
            </w:pPr>
            <w:r>
              <w:rPr>
                <w:color w:val="000000"/>
                <w:sz w:val="20"/>
                <w:szCs w:val="20"/>
              </w:rPr>
              <w:t> </w:t>
            </w:r>
          </w:p>
        </w:tc>
      </w:tr>
      <w:tr w:rsidR="00954279" w14:paraId="31AEF1CD" w14:textId="77777777" w:rsidTr="00717712">
        <w:tc>
          <w:tcPr>
            <w:tcW w:w="0" w:type="auto"/>
            <w:tcMar>
              <w:top w:w="5" w:type="dxa"/>
              <w:left w:w="5" w:type="dxa"/>
              <w:bottom w:w="5" w:type="dxa"/>
              <w:right w:w="5" w:type="dxa"/>
            </w:tcMar>
            <w:vAlign w:val="bottom"/>
            <w:hideMark/>
          </w:tcPr>
          <w:p w14:paraId="488DA044" w14:textId="77777777" w:rsidR="00954279" w:rsidRDefault="00A66714">
            <w:pPr>
              <w:rPr>
                <w:color w:val="000000"/>
                <w:sz w:val="20"/>
                <w:szCs w:val="20"/>
              </w:rPr>
            </w:pPr>
            <w:r>
              <w:rPr>
                <w:color w:val="000000"/>
                <w:sz w:val="20"/>
                <w:szCs w:val="20"/>
              </w:rPr>
              <w:t>Upstream production</w:t>
            </w:r>
          </w:p>
        </w:tc>
        <w:tc>
          <w:tcPr>
            <w:tcW w:w="47" w:type="pct"/>
            <w:tcMar>
              <w:top w:w="5" w:type="dxa"/>
              <w:left w:w="5" w:type="dxa"/>
              <w:bottom w:w="5" w:type="dxa"/>
              <w:right w:w="5" w:type="dxa"/>
            </w:tcMar>
            <w:vAlign w:val="bottom"/>
            <w:hideMark/>
          </w:tcPr>
          <w:p w14:paraId="7C4A376D"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463D51ED" w14:textId="77777777" w:rsidR="00954279" w:rsidRDefault="00A66714">
            <w:pPr>
              <w:rPr>
                <w:color w:val="000000"/>
                <w:sz w:val="20"/>
                <w:szCs w:val="20"/>
              </w:rPr>
            </w:pPr>
            <w:r>
              <w:rPr>
                <w:color w:val="000000"/>
                <w:sz w:val="20"/>
                <w:szCs w:val="20"/>
              </w:rPr>
              <w:t> </w:t>
            </w:r>
          </w:p>
        </w:tc>
        <w:tc>
          <w:tcPr>
            <w:tcW w:w="447" w:type="pct"/>
            <w:tcMar>
              <w:top w:w="5" w:type="dxa"/>
              <w:left w:w="5" w:type="dxa"/>
              <w:bottom w:w="5" w:type="dxa"/>
              <w:right w:w="5" w:type="dxa"/>
            </w:tcMar>
            <w:vAlign w:val="bottom"/>
            <w:hideMark/>
          </w:tcPr>
          <w:p w14:paraId="397CB85B" w14:textId="77777777" w:rsidR="00954279" w:rsidRDefault="00A66714">
            <w:pPr>
              <w:jc w:val="right"/>
              <w:rPr>
                <w:color w:val="000000"/>
                <w:sz w:val="20"/>
                <w:szCs w:val="20"/>
              </w:rPr>
            </w:pPr>
            <w:r>
              <w:rPr>
                <w:color w:val="000000"/>
                <w:sz w:val="20"/>
                <w:szCs w:val="20"/>
              </w:rPr>
              <w:t>205</w:t>
            </w:r>
          </w:p>
        </w:tc>
        <w:tc>
          <w:tcPr>
            <w:tcW w:w="47" w:type="pct"/>
            <w:noWrap/>
            <w:tcMar>
              <w:top w:w="5" w:type="dxa"/>
              <w:left w:w="5" w:type="dxa"/>
              <w:bottom w:w="20" w:type="dxa"/>
              <w:right w:w="5" w:type="dxa"/>
            </w:tcMar>
            <w:vAlign w:val="bottom"/>
            <w:hideMark/>
          </w:tcPr>
          <w:p w14:paraId="00B94AF0"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5F7C7E6D"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460B0001" w14:textId="77777777" w:rsidR="00954279" w:rsidRDefault="00A66714">
            <w:pPr>
              <w:rPr>
                <w:color w:val="000000"/>
                <w:sz w:val="20"/>
                <w:szCs w:val="20"/>
              </w:rPr>
            </w:pPr>
            <w:r>
              <w:rPr>
                <w:color w:val="000000"/>
                <w:sz w:val="20"/>
                <w:szCs w:val="20"/>
              </w:rPr>
              <w:t> </w:t>
            </w:r>
          </w:p>
        </w:tc>
        <w:tc>
          <w:tcPr>
            <w:tcW w:w="447" w:type="pct"/>
            <w:tcMar>
              <w:top w:w="5" w:type="dxa"/>
              <w:left w:w="5" w:type="dxa"/>
              <w:bottom w:w="5" w:type="dxa"/>
              <w:right w:w="5" w:type="dxa"/>
            </w:tcMar>
            <w:vAlign w:val="bottom"/>
            <w:hideMark/>
          </w:tcPr>
          <w:p w14:paraId="2F0BF497" w14:textId="77777777" w:rsidR="00954279" w:rsidRDefault="00A66714">
            <w:pPr>
              <w:jc w:val="right"/>
              <w:rPr>
                <w:color w:val="000000"/>
                <w:sz w:val="20"/>
                <w:szCs w:val="20"/>
              </w:rPr>
            </w:pPr>
            <w:r>
              <w:rPr>
                <w:color w:val="000000"/>
                <w:sz w:val="20"/>
                <w:szCs w:val="20"/>
              </w:rPr>
              <w:t>55</w:t>
            </w:r>
          </w:p>
        </w:tc>
        <w:tc>
          <w:tcPr>
            <w:tcW w:w="47" w:type="pct"/>
            <w:noWrap/>
            <w:tcMar>
              <w:top w:w="5" w:type="dxa"/>
              <w:left w:w="5" w:type="dxa"/>
              <w:bottom w:w="20" w:type="dxa"/>
              <w:right w:w="5" w:type="dxa"/>
            </w:tcMar>
            <w:vAlign w:val="bottom"/>
            <w:hideMark/>
          </w:tcPr>
          <w:p w14:paraId="78B3109B"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0890FCA7" w14:textId="77777777" w:rsidR="00954279" w:rsidRDefault="00A66714">
            <w:pPr>
              <w:rPr>
                <w:color w:val="000000"/>
                <w:sz w:val="20"/>
                <w:szCs w:val="20"/>
              </w:rPr>
            </w:pPr>
            <w:r>
              <w:rPr>
                <w:color w:val="000000"/>
                <w:sz w:val="20"/>
                <w:szCs w:val="20"/>
              </w:rPr>
              <w:t> </w:t>
            </w:r>
          </w:p>
        </w:tc>
        <w:tc>
          <w:tcPr>
            <w:tcW w:w="53" w:type="pct"/>
            <w:tcMar>
              <w:top w:w="5" w:type="dxa"/>
              <w:left w:w="5" w:type="dxa"/>
              <w:bottom w:w="5" w:type="dxa"/>
              <w:right w:w="5" w:type="dxa"/>
            </w:tcMar>
            <w:vAlign w:val="bottom"/>
            <w:hideMark/>
          </w:tcPr>
          <w:p w14:paraId="3D394D56" w14:textId="77777777" w:rsidR="00954279" w:rsidRDefault="00A66714">
            <w:pPr>
              <w:rPr>
                <w:color w:val="000000"/>
                <w:sz w:val="20"/>
                <w:szCs w:val="20"/>
              </w:rPr>
            </w:pPr>
            <w:r>
              <w:rPr>
                <w:color w:val="000000"/>
                <w:sz w:val="20"/>
                <w:szCs w:val="20"/>
              </w:rPr>
              <w:t> </w:t>
            </w:r>
          </w:p>
        </w:tc>
        <w:tc>
          <w:tcPr>
            <w:tcW w:w="476" w:type="pct"/>
            <w:tcMar>
              <w:top w:w="5" w:type="dxa"/>
              <w:left w:w="5" w:type="dxa"/>
              <w:bottom w:w="5" w:type="dxa"/>
              <w:right w:w="5" w:type="dxa"/>
            </w:tcMar>
            <w:vAlign w:val="bottom"/>
            <w:hideMark/>
          </w:tcPr>
          <w:p w14:paraId="5A58BEB2" w14:textId="77777777" w:rsidR="00954279" w:rsidRDefault="00A66714">
            <w:pPr>
              <w:jc w:val="right"/>
              <w:rPr>
                <w:color w:val="000000"/>
                <w:sz w:val="20"/>
                <w:szCs w:val="20"/>
              </w:rPr>
            </w:pPr>
            <w:r>
              <w:rPr>
                <w:color w:val="000000"/>
                <w:sz w:val="20"/>
                <w:szCs w:val="20"/>
              </w:rPr>
              <w:t>96</w:t>
            </w:r>
          </w:p>
        </w:tc>
        <w:tc>
          <w:tcPr>
            <w:tcW w:w="47" w:type="pct"/>
            <w:noWrap/>
            <w:tcMar>
              <w:top w:w="5" w:type="dxa"/>
              <w:left w:w="5" w:type="dxa"/>
              <w:bottom w:w="20" w:type="dxa"/>
              <w:right w:w="5" w:type="dxa"/>
            </w:tcMar>
            <w:vAlign w:val="bottom"/>
            <w:hideMark/>
          </w:tcPr>
          <w:p w14:paraId="1998A66E"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103595CB"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72C03953" w14:textId="77777777" w:rsidR="00954279" w:rsidRDefault="00A66714">
            <w:pPr>
              <w:rPr>
                <w:color w:val="000000"/>
                <w:sz w:val="20"/>
                <w:szCs w:val="20"/>
              </w:rPr>
            </w:pPr>
            <w:r>
              <w:rPr>
                <w:color w:val="000000"/>
                <w:sz w:val="20"/>
                <w:szCs w:val="20"/>
              </w:rPr>
              <w:t> </w:t>
            </w:r>
          </w:p>
        </w:tc>
        <w:tc>
          <w:tcPr>
            <w:tcW w:w="447" w:type="pct"/>
            <w:tcMar>
              <w:top w:w="5" w:type="dxa"/>
              <w:left w:w="5" w:type="dxa"/>
              <w:bottom w:w="5" w:type="dxa"/>
              <w:right w:w="5" w:type="dxa"/>
            </w:tcMar>
            <w:vAlign w:val="bottom"/>
            <w:hideMark/>
          </w:tcPr>
          <w:p w14:paraId="53642847" w14:textId="77777777" w:rsidR="00954279" w:rsidRDefault="00A66714">
            <w:pPr>
              <w:jc w:val="right"/>
              <w:rPr>
                <w:color w:val="000000"/>
                <w:sz w:val="20"/>
                <w:szCs w:val="20"/>
              </w:rPr>
            </w:pPr>
            <w:r>
              <w:rPr>
                <w:color w:val="000000"/>
                <w:sz w:val="20"/>
                <w:szCs w:val="20"/>
              </w:rPr>
              <w:t>356</w:t>
            </w:r>
          </w:p>
        </w:tc>
        <w:tc>
          <w:tcPr>
            <w:tcW w:w="48" w:type="pct"/>
            <w:noWrap/>
            <w:tcMar>
              <w:top w:w="5" w:type="dxa"/>
              <w:left w:w="5" w:type="dxa"/>
              <w:bottom w:w="20" w:type="dxa"/>
              <w:right w:w="5" w:type="dxa"/>
            </w:tcMar>
            <w:vAlign w:val="bottom"/>
            <w:hideMark/>
          </w:tcPr>
          <w:p w14:paraId="446A00D6" w14:textId="77777777" w:rsidR="00954279" w:rsidRDefault="00A66714">
            <w:pPr>
              <w:rPr>
                <w:color w:val="000000"/>
                <w:sz w:val="20"/>
                <w:szCs w:val="20"/>
              </w:rPr>
            </w:pPr>
            <w:r>
              <w:rPr>
                <w:color w:val="000000"/>
                <w:sz w:val="20"/>
                <w:szCs w:val="20"/>
              </w:rPr>
              <w:t> </w:t>
            </w:r>
          </w:p>
        </w:tc>
      </w:tr>
      <w:tr w:rsidR="00954279" w14:paraId="4638EDCD" w14:textId="77777777" w:rsidTr="00717712">
        <w:tc>
          <w:tcPr>
            <w:tcW w:w="0" w:type="auto"/>
            <w:tcMar>
              <w:top w:w="5" w:type="dxa"/>
              <w:left w:w="5" w:type="dxa"/>
              <w:bottom w:w="5" w:type="dxa"/>
              <w:right w:w="5" w:type="dxa"/>
            </w:tcMar>
            <w:vAlign w:val="bottom"/>
            <w:hideMark/>
          </w:tcPr>
          <w:p w14:paraId="1F7F1A12" w14:textId="77777777" w:rsidR="00954279" w:rsidRDefault="00A66714">
            <w:pPr>
              <w:rPr>
                <w:color w:val="000000"/>
                <w:sz w:val="20"/>
                <w:szCs w:val="20"/>
              </w:rPr>
            </w:pPr>
            <w:r>
              <w:rPr>
                <w:color w:val="000000"/>
                <w:sz w:val="20"/>
                <w:szCs w:val="20"/>
              </w:rPr>
              <w:t>Midstream pipeline</w:t>
            </w:r>
          </w:p>
        </w:tc>
        <w:tc>
          <w:tcPr>
            <w:tcW w:w="47" w:type="pct"/>
            <w:tcMar>
              <w:top w:w="5" w:type="dxa"/>
              <w:left w:w="5" w:type="dxa"/>
              <w:bottom w:w="20" w:type="dxa"/>
              <w:right w:w="5" w:type="dxa"/>
            </w:tcMar>
            <w:vAlign w:val="bottom"/>
            <w:hideMark/>
          </w:tcPr>
          <w:p w14:paraId="6A17DAC9" w14:textId="77777777" w:rsidR="00954279" w:rsidRDefault="00A66714">
            <w:pPr>
              <w:rPr>
                <w:color w:val="000000"/>
                <w:sz w:val="20"/>
                <w:szCs w:val="20"/>
              </w:rPr>
            </w:pPr>
            <w:r>
              <w:rPr>
                <w:color w:val="000000"/>
                <w:sz w:val="20"/>
                <w:szCs w:val="20"/>
              </w:rPr>
              <w:t> </w:t>
            </w:r>
          </w:p>
        </w:tc>
        <w:tc>
          <w:tcPr>
            <w:tcW w:w="51" w:type="pct"/>
            <w:tcBorders>
              <w:bottom w:val="single" w:sz="6" w:space="0" w:color="000000"/>
            </w:tcBorders>
            <w:tcMar>
              <w:top w:w="5" w:type="dxa"/>
              <w:left w:w="5" w:type="dxa"/>
              <w:bottom w:w="8" w:type="dxa"/>
              <w:right w:w="5" w:type="dxa"/>
            </w:tcMar>
            <w:vAlign w:val="bottom"/>
            <w:hideMark/>
          </w:tcPr>
          <w:p w14:paraId="30313E57" w14:textId="77777777" w:rsidR="00954279" w:rsidRDefault="00A66714">
            <w:pPr>
              <w:rPr>
                <w:color w:val="000000"/>
                <w:sz w:val="20"/>
                <w:szCs w:val="20"/>
              </w:rPr>
            </w:pPr>
            <w:r>
              <w:rPr>
                <w:color w:val="000000"/>
                <w:sz w:val="20"/>
                <w:szCs w:val="20"/>
              </w:rPr>
              <w:t> </w:t>
            </w:r>
          </w:p>
        </w:tc>
        <w:tc>
          <w:tcPr>
            <w:tcW w:w="447" w:type="pct"/>
            <w:tcBorders>
              <w:bottom w:val="single" w:sz="6" w:space="0" w:color="000000"/>
            </w:tcBorders>
            <w:tcMar>
              <w:top w:w="5" w:type="dxa"/>
              <w:left w:w="5" w:type="dxa"/>
              <w:bottom w:w="8" w:type="dxa"/>
              <w:right w:w="5" w:type="dxa"/>
            </w:tcMar>
            <w:vAlign w:val="bottom"/>
            <w:hideMark/>
          </w:tcPr>
          <w:p w14:paraId="6C3169F7" w14:textId="77777777" w:rsidR="00954279" w:rsidRDefault="00A66714">
            <w:pPr>
              <w:jc w:val="right"/>
              <w:rPr>
                <w:color w:val="000000"/>
                <w:sz w:val="20"/>
                <w:szCs w:val="20"/>
              </w:rPr>
            </w:pPr>
            <w:r>
              <w:rPr>
                <w:color w:val="000000"/>
                <w:sz w:val="20"/>
                <w:szCs w:val="20"/>
              </w:rPr>
              <w:t>192</w:t>
            </w:r>
          </w:p>
        </w:tc>
        <w:tc>
          <w:tcPr>
            <w:tcW w:w="47" w:type="pct"/>
            <w:noWrap/>
            <w:tcMar>
              <w:top w:w="5" w:type="dxa"/>
              <w:left w:w="5" w:type="dxa"/>
              <w:bottom w:w="20" w:type="dxa"/>
              <w:right w:w="5" w:type="dxa"/>
            </w:tcMar>
            <w:vAlign w:val="bottom"/>
            <w:hideMark/>
          </w:tcPr>
          <w:p w14:paraId="3EBB2B2E" w14:textId="77777777" w:rsidR="00954279" w:rsidRDefault="00A66714">
            <w:pPr>
              <w:rPr>
                <w:color w:val="000000"/>
                <w:sz w:val="20"/>
                <w:szCs w:val="20"/>
              </w:rPr>
            </w:pPr>
            <w:r>
              <w:rPr>
                <w:color w:val="000000"/>
                <w:sz w:val="20"/>
                <w:szCs w:val="20"/>
              </w:rPr>
              <w:t> </w:t>
            </w:r>
          </w:p>
        </w:tc>
        <w:tc>
          <w:tcPr>
            <w:tcW w:w="47" w:type="pct"/>
            <w:tcMar>
              <w:top w:w="5" w:type="dxa"/>
              <w:left w:w="5" w:type="dxa"/>
              <w:bottom w:w="20" w:type="dxa"/>
              <w:right w:w="5" w:type="dxa"/>
            </w:tcMar>
            <w:vAlign w:val="bottom"/>
            <w:hideMark/>
          </w:tcPr>
          <w:p w14:paraId="2D7466B1" w14:textId="77777777" w:rsidR="00954279" w:rsidRDefault="00A66714">
            <w:pPr>
              <w:rPr>
                <w:color w:val="000000"/>
                <w:sz w:val="20"/>
                <w:szCs w:val="20"/>
              </w:rPr>
            </w:pPr>
            <w:r>
              <w:rPr>
                <w:color w:val="000000"/>
                <w:sz w:val="20"/>
                <w:szCs w:val="20"/>
              </w:rPr>
              <w:t> </w:t>
            </w:r>
          </w:p>
        </w:tc>
        <w:tc>
          <w:tcPr>
            <w:tcW w:w="51" w:type="pct"/>
            <w:tcBorders>
              <w:bottom w:val="single" w:sz="6" w:space="0" w:color="000000"/>
            </w:tcBorders>
            <w:tcMar>
              <w:top w:w="5" w:type="dxa"/>
              <w:left w:w="5" w:type="dxa"/>
              <w:bottom w:w="8" w:type="dxa"/>
              <w:right w:w="5" w:type="dxa"/>
            </w:tcMar>
            <w:vAlign w:val="bottom"/>
            <w:hideMark/>
          </w:tcPr>
          <w:p w14:paraId="65946C1D" w14:textId="77777777" w:rsidR="00954279" w:rsidRDefault="00A66714">
            <w:pPr>
              <w:rPr>
                <w:color w:val="000000"/>
                <w:sz w:val="20"/>
                <w:szCs w:val="20"/>
              </w:rPr>
            </w:pPr>
            <w:r>
              <w:rPr>
                <w:color w:val="000000"/>
                <w:sz w:val="20"/>
                <w:szCs w:val="20"/>
              </w:rPr>
              <w:t> </w:t>
            </w:r>
          </w:p>
        </w:tc>
        <w:tc>
          <w:tcPr>
            <w:tcW w:w="447" w:type="pct"/>
            <w:tcBorders>
              <w:bottom w:val="single" w:sz="6" w:space="0" w:color="000000"/>
            </w:tcBorders>
            <w:tcMar>
              <w:top w:w="5" w:type="dxa"/>
              <w:left w:w="5" w:type="dxa"/>
              <w:bottom w:w="8" w:type="dxa"/>
              <w:right w:w="5" w:type="dxa"/>
            </w:tcMar>
            <w:vAlign w:val="bottom"/>
            <w:hideMark/>
          </w:tcPr>
          <w:p w14:paraId="0A04903F" w14:textId="77777777" w:rsidR="00954279" w:rsidRDefault="00A66714">
            <w:pPr>
              <w:jc w:val="right"/>
              <w:rPr>
                <w:color w:val="000000"/>
                <w:sz w:val="20"/>
                <w:szCs w:val="20"/>
              </w:rPr>
            </w:pPr>
            <w:r>
              <w:rPr>
                <w:color w:val="000000"/>
                <w:sz w:val="20"/>
                <w:szCs w:val="20"/>
              </w:rPr>
              <w:t>7</w:t>
            </w:r>
          </w:p>
        </w:tc>
        <w:tc>
          <w:tcPr>
            <w:tcW w:w="47" w:type="pct"/>
            <w:noWrap/>
            <w:tcMar>
              <w:top w:w="5" w:type="dxa"/>
              <w:left w:w="5" w:type="dxa"/>
              <w:bottom w:w="20" w:type="dxa"/>
              <w:right w:w="5" w:type="dxa"/>
            </w:tcMar>
            <w:vAlign w:val="bottom"/>
            <w:hideMark/>
          </w:tcPr>
          <w:p w14:paraId="6C1E7017" w14:textId="77777777" w:rsidR="00954279" w:rsidRDefault="00A66714">
            <w:pPr>
              <w:rPr>
                <w:color w:val="000000"/>
                <w:sz w:val="20"/>
                <w:szCs w:val="20"/>
              </w:rPr>
            </w:pPr>
            <w:r>
              <w:rPr>
                <w:color w:val="000000"/>
                <w:sz w:val="20"/>
                <w:szCs w:val="20"/>
              </w:rPr>
              <w:t> </w:t>
            </w:r>
          </w:p>
        </w:tc>
        <w:tc>
          <w:tcPr>
            <w:tcW w:w="47" w:type="pct"/>
            <w:tcMar>
              <w:top w:w="5" w:type="dxa"/>
              <w:left w:w="5" w:type="dxa"/>
              <w:bottom w:w="20" w:type="dxa"/>
              <w:right w:w="5" w:type="dxa"/>
            </w:tcMar>
            <w:vAlign w:val="bottom"/>
            <w:hideMark/>
          </w:tcPr>
          <w:p w14:paraId="66BF0CD4" w14:textId="77777777" w:rsidR="00954279" w:rsidRDefault="00A66714">
            <w:pPr>
              <w:rPr>
                <w:color w:val="000000"/>
                <w:sz w:val="20"/>
                <w:szCs w:val="20"/>
              </w:rPr>
            </w:pPr>
            <w:r>
              <w:rPr>
                <w:color w:val="000000"/>
                <w:sz w:val="20"/>
                <w:szCs w:val="20"/>
              </w:rPr>
              <w:t> </w:t>
            </w:r>
          </w:p>
        </w:tc>
        <w:tc>
          <w:tcPr>
            <w:tcW w:w="53" w:type="pct"/>
            <w:tcBorders>
              <w:bottom w:val="single" w:sz="6" w:space="0" w:color="000000"/>
            </w:tcBorders>
            <w:tcMar>
              <w:top w:w="5" w:type="dxa"/>
              <w:left w:w="5" w:type="dxa"/>
              <w:bottom w:w="8" w:type="dxa"/>
              <w:right w:w="5" w:type="dxa"/>
            </w:tcMar>
            <w:vAlign w:val="bottom"/>
            <w:hideMark/>
          </w:tcPr>
          <w:p w14:paraId="4A5BFF33" w14:textId="77777777" w:rsidR="00954279" w:rsidRDefault="00A66714">
            <w:pPr>
              <w:rPr>
                <w:color w:val="000000"/>
                <w:sz w:val="20"/>
                <w:szCs w:val="20"/>
              </w:rPr>
            </w:pPr>
            <w:r>
              <w:rPr>
                <w:color w:val="000000"/>
                <w:sz w:val="20"/>
                <w:szCs w:val="20"/>
              </w:rPr>
              <w:t> </w:t>
            </w:r>
          </w:p>
        </w:tc>
        <w:tc>
          <w:tcPr>
            <w:tcW w:w="476" w:type="pct"/>
            <w:tcBorders>
              <w:bottom w:val="single" w:sz="6" w:space="0" w:color="000000"/>
            </w:tcBorders>
            <w:tcMar>
              <w:top w:w="5" w:type="dxa"/>
              <w:left w:w="5" w:type="dxa"/>
              <w:bottom w:w="8" w:type="dxa"/>
              <w:right w:w="5" w:type="dxa"/>
            </w:tcMar>
            <w:vAlign w:val="bottom"/>
            <w:hideMark/>
          </w:tcPr>
          <w:p w14:paraId="465A2DBB" w14:textId="77777777" w:rsidR="00954279" w:rsidRDefault="00A66714">
            <w:pPr>
              <w:jc w:val="right"/>
              <w:rPr>
                <w:color w:val="000000"/>
                <w:sz w:val="20"/>
                <w:szCs w:val="20"/>
              </w:rPr>
            </w:pPr>
            <w:r>
              <w:rPr>
                <w:color w:val="000000"/>
                <w:sz w:val="20"/>
                <w:szCs w:val="20"/>
              </w:rPr>
              <w:t>7</w:t>
            </w:r>
          </w:p>
        </w:tc>
        <w:tc>
          <w:tcPr>
            <w:tcW w:w="47" w:type="pct"/>
            <w:noWrap/>
            <w:tcMar>
              <w:top w:w="5" w:type="dxa"/>
              <w:left w:w="5" w:type="dxa"/>
              <w:bottom w:w="20" w:type="dxa"/>
              <w:right w:w="5" w:type="dxa"/>
            </w:tcMar>
            <w:vAlign w:val="bottom"/>
            <w:hideMark/>
          </w:tcPr>
          <w:p w14:paraId="0C992F7C" w14:textId="77777777" w:rsidR="00954279" w:rsidRDefault="00A66714">
            <w:pPr>
              <w:rPr>
                <w:color w:val="000000"/>
                <w:sz w:val="20"/>
                <w:szCs w:val="20"/>
              </w:rPr>
            </w:pPr>
            <w:r>
              <w:rPr>
                <w:color w:val="000000"/>
                <w:sz w:val="20"/>
                <w:szCs w:val="20"/>
              </w:rPr>
              <w:t> </w:t>
            </w:r>
          </w:p>
        </w:tc>
        <w:tc>
          <w:tcPr>
            <w:tcW w:w="47" w:type="pct"/>
            <w:tcMar>
              <w:top w:w="5" w:type="dxa"/>
              <w:left w:w="5" w:type="dxa"/>
              <w:bottom w:w="20" w:type="dxa"/>
              <w:right w:w="5" w:type="dxa"/>
            </w:tcMar>
            <w:vAlign w:val="bottom"/>
            <w:hideMark/>
          </w:tcPr>
          <w:p w14:paraId="6BBF65A3" w14:textId="77777777" w:rsidR="00954279" w:rsidRDefault="00A66714">
            <w:pPr>
              <w:rPr>
                <w:color w:val="000000"/>
                <w:sz w:val="20"/>
                <w:szCs w:val="20"/>
              </w:rPr>
            </w:pPr>
            <w:r>
              <w:rPr>
                <w:color w:val="000000"/>
                <w:sz w:val="20"/>
                <w:szCs w:val="20"/>
              </w:rPr>
              <w:t> </w:t>
            </w:r>
          </w:p>
        </w:tc>
        <w:tc>
          <w:tcPr>
            <w:tcW w:w="51" w:type="pct"/>
            <w:tcBorders>
              <w:bottom w:val="single" w:sz="6" w:space="0" w:color="000000"/>
            </w:tcBorders>
            <w:tcMar>
              <w:top w:w="5" w:type="dxa"/>
              <w:left w:w="5" w:type="dxa"/>
              <w:bottom w:w="8" w:type="dxa"/>
              <w:right w:w="5" w:type="dxa"/>
            </w:tcMar>
            <w:vAlign w:val="bottom"/>
            <w:hideMark/>
          </w:tcPr>
          <w:p w14:paraId="28AB03E5" w14:textId="77777777" w:rsidR="00954279" w:rsidRDefault="00A66714">
            <w:pPr>
              <w:rPr>
                <w:color w:val="000000"/>
                <w:sz w:val="20"/>
                <w:szCs w:val="20"/>
              </w:rPr>
            </w:pPr>
            <w:r>
              <w:rPr>
                <w:color w:val="000000"/>
                <w:sz w:val="20"/>
                <w:szCs w:val="20"/>
              </w:rPr>
              <w:t> </w:t>
            </w:r>
          </w:p>
        </w:tc>
        <w:tc>
          <w:tcPr>
            <w:tcW w:w="447" w:type="pct"/>
            <w:tcBorders>
              <w:bottom w:val="single" w:sz="6" w:space="0" w:color="000000"/>
            </w:tcBorders>
            <w:tcMar>
              <w:top w:w="5" w:type="dxa"/>
              <w:left w:w="5" w:type="dxa"/>
              <w:bottom w:w="8" w:type="dxa"/>
              <w:right w:w="5" w:type="dxa"/>
            </w:tcMar>
            <w:vAlign w:val="bottom"/>
            <w:hideMark/>
          </w:tcPr>
          <w:p w14:paraId="43C12E66" w14:textId="77777777" w:rsidR="00954279" w:rsidRDefault="00A66714">
            <w:pPr>
              <w:jc w:val="right"/>
              <w:rPr>
                <w:color w:val="000000"/>
                <w:sz w:val="20"/>
                <w:szCs w:val="20"/>
              </w:rPr>
            </w:pPr>
            <w:r>
              <w:rPr>
                <w:color w:val="000000"/>
                <w:sz w:val="20"/>
                <w:szCs w:val="20"/>
              </w:rPr>
              <w:t>206</w:t>
            </w:r>
          </w:p>
        </w:tc>
        <w:tc>
          <w:tcPr>
            <w:tcW w:w="48" w:type="pct"/>
            <w:noWrap/>
            <w:tcMar>
              <w:top w:w="5" w:type="dxa"/>
              <w:left w:w="5" w:type="dxa"/>
              <w:bottom w:w="20" w:type="dxa"/>
              <w:right w:w="5" w:type="dxa"/>
            </w:tcMar>
            <w:vAlign w:val="bottom"/>
            <w:hideMark/>
          </w:tcPr>
          <w:p w14:paraId="651DE076" w14:textId="77777777" w:rsidR="00954279" w:rsidRDefault="00A66714">
            <w:pPr>
              <w:rPr>
                <w:color w:val="000000"/>
                <w:sz w:val="20"/>
                <w:szCs w:val="20"/>
              </w:rPr>
            </w:pPr>
            <w:r>
              <w:rPr>
                <w:color w:val="000000"/>
                <w:sz w:val="20"/>
                <w:szCs w:val="20"/>
              </w:rPr>
              <w:t> </w:t>
            </w:r>
          </w:p>
        </w:tc>
      </w:tr>
      <w:tr w:rsidR="00954279" w14:paraId="6EA94B38" w14:textId="77777777" w:rsidTr="00717712">
        <w:tc>
          <w:tcPr>
            <w:tcW w:w="0" w:type="auto"/>
            <w:tcMar>
              <w:top w:w="5" w:type="dxa"/>
              <w:left w:w="5" w:type="dxa"/>
              <w:bottom w:w="5" w:type="dxa"/>
              <w:right w:w="5" w:type="dxa"/>
            </w:tcMar>
            <w:vAlign w:val="bottom"/>
            <w:hideMark/>
          </w:tcPr>
          <w:p w14:paraId="1107B0A3"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6F10048D" w14:textId="77777777" w:rsidR="00954279" w:rsidRDefault="00A66714">
            <w:pPr>
              <w:rPr>
                <w:color w:val="000000"/>
                <w:sz w:val="20"/>
                <w:szCs w:val="20"/>
              </w:rPr>
            </w:pPr>
            <w:r>
              <w:rPr>
                <w:color w:val="000000"/>
                <w:sz w:val="20"/>
                <w:szCs w:val="20"/>
              </w:rPr>
              <w:t> </w:t>
            </w:r>
          </w:p>
        </w:tc>
        <w:tc>
          <w:tcPr>
            <w:tcW w:w="51" w:type="pct"/>
            <w:tcBorders>
              <w:bottom w:val="double" w:sz="6" w:space="0" w:color="000000"/>
            </w:tcBorders>
            <w:tcMar>
              <w:top w:w="5" w:type="dxa"/>
              <w:left w:w="5" w:type="dxa"/>
              <w:bottom w:w="22" w:type="dxa"/>
              <w:right w:w="5" w:type="dxa"/>
            </w:tcMar>
            <w:vAlign w:val="bottom"/>
            <w:hideMark/>
          </w:tcPr>
          <w:p w14:paraId="548B7CEC" w14:textId="77777777" w:rsidR="00954279" w:rsidRDefault="00A66714">
            <w:pPr>
              <w:rPr>
                <w:color w:val="000000"/>
                <w:sz w:val="20"/>
                <w:szCs w:val="20"/>
              </w:rPr>
            </w:pPr>
            <w:r>
              <w:rPr>
                <w:color w:val="000000"/>
                <w:sz w:val="20"/>
                <w:szCs w:val="20"/>
              </w:rPr>
              <w:t>$</w:t>
            </w:r>
          </w:p>
        </w:tc>
        <w:tc>
          <w:tcPr>
            <w:tcW w:w="447" w:type="pct"/>
            <w:tcBorders>
              <w:bottom w:val="double" w:sz="6" w:space="0" w:color="000000"/>
            </w:tcBorders>
            <w:tcMar>
              <w:top w:w="5" w:type="dxa"/>
              <w:left w:w="5" w:type="dxa"/>
              <w:bottom w:w="22" w:type="dxa"/>
              <w:right w:w="5" w:type="dxa"/>
            </w:tcMar>
            <w:vAlign w:val="bottom"/>
            <w:hideMark/>
          </w:tcPr>
          <w:p w14:paraId="06445290" w14:textId="77777777" w:rsidR="00954279" w:rsidRDefault="00A66714">
            <w:pPr>
              <w:jc w:val="right"/>
              <w:rPr>
                <w:color w:val="000000"/>
                <w:sz w:val="20"/>
                <w:szCs w:val="20"/>
              </w:rPr>
            </w:pPr>
            <w:r>
              <w:rPr>
                <w:color w:val="000000"/>
                <w:sz w:val="20"/>
                <w:szCs w:val="20"/>
              </w:rPr>
              <w:t>1,112</w:t>
            </w:r>
          </w:p>
        </w:tc>
        <w:tc>
          <w:tcPr>
            <w:tcW w:w="47" w:type="pct"/>
            <w:noWrap/>
            <w:tcMar>
              <w:top w:w="5" w:type="dxa"/>
              <w:left w:w="5" w:type="dxa"/>
              <w:bottom w:w="50" w:type="dxa"/>
              <w:right w:w="5" w:type="dxa"/>
            </w:tcMar>
            <w:vAlign w:val="bottom"/>
            <w:hideMark/>
          </w:tcPr>
          <w:p w14:paraId="06201636"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1800DC6D" w14:textId="77777777" w:rsidR="00954279" w:rsidRDefault="00A66714">
            <w:pPr>
              <w:rPr>
                <w:color w:val="000000"/>
                <w:sz w:val="20"/>
                <w:szCs w:val="20"/>
              </w:rPr>
            </w:pPr>
            <w:r>
              <w:rPr>
                <w:color w:val="000000"/>
                <w:sz w:val="20"/>
                <w:szCs w:val="20"/>
              </w:rPr>
              <w:t> </w:t>
            </w:r>
          </w:p>
        </w:tc>
        <w:tc>
          <w:tcPr>
            <w:tcW w:w="51" w:type="pct"/>
            <w:tcBorders>
              <w:bottom w:val="double" w:sz="6" w:space="0" w:color="000000"/>
            </w:tcBorders>
            <w:tcMar>
              <w:top w:w="5" w:type="dxa"/>
              <w:left w:w="5" w:type="dxa"/>
              <w:bottom w:w="22" w:type="dxa"/>
              <w:right w:w="5" w:type="dxa"/>
            </w:tcMar>
            <w:vAlign w:val="bottom"/>
            <w:hideMark/>
          </w:tcPr>
          <w:p w14:paraId="74150E06" w14:textId="77777777" w:rsidR="00954279" w:rsidRDefault="00A66714">
            <w:pPr>
              <w:rPr>
                <w:color w:val="000000"/>
                <w:sz w:val="20"/>
                <w:szCs w:val="20"/>
              </w:rPr>
            </w:pPr>
            <w:r>
              <w:rPr>
                <w:color w:val="000000"/>
                <w:sz w:val="20"/>
                <w:szCs w:val="20"/>
              </w:rPr>
              <w:t>$</w:t>
            </w:r>
          </w:p>
        </w:tc>
        <w:tc>
          <w:tcPr>
            <w:tcW w:w="447" w:type="pct"/>
            <w:tcBorders>
              <w:bottom w:val="double" w:sz="6" w:space="0" w:color="000000"/>
            </w:tcBorders>
            <w:tcMar>
              <w:top w:w="5" w:type="dxa"/>
              <w:left w:w="5" w:type="dxa"/>
              <w:bottom w:w="22" w:type="dxa"/>
              <w:right w:w="5" w:type="dxa"/>
            </w:tcMar>
            <w:vAlign w:val="bottom"/>
            <w:hideMark/>
          </w:tcPr>
          <w:p w14:paraId="66C7E082" w14:textId="77777777" w:rsidR="00954279" w:rsidRDefault="00A66714">
            <w:pPr>
              <w:jc w:val="right"/>
              <w:rPr>
                <w:color w:val="000000"/>
                <w:sz w:val="20"/>
                <w:szCs w:val="20"/>
              </w:rPr>
            </w:pPr>
            <w:r>
              <w:rPr>
                <w:color w:val="000000"/>
                <w:sz w:val="20"/>
                <w:szCs w:val="20"/>
              </w:rPr>
              <w:t>78</w:t>
            </w:r>
          </w:p>
        </w:tc>
        <w:tc>
          <w:tcPr>
            <w:tcW w:w="47" w:type="pct"/>
            <w:noWrap/>
            <w:tcMar>
              <w:top w:w="5" w:type="dxa"/>
              <w:left w:w="5" w:type="dxa"/>
              <w:bottom w:w="50" w:type="dxa"/>
              <w:right w:w="5" w:type="dxa"/>
            </w:tcMar>
            <w:vAlign w:val="bottom"/>
            <w:hideMark/>
          </w:tcPr>
          <w:p w14:paraId="1CFCBD76"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26FD105D" w14:textId="77777777" w:rsidR="00954279" w:rsidRDefault="00A66714">
            <w:pPr>
              <w:rPr>
                <w:color w:val="000000"/>
                <w:sz w:val="20"/>
                <w:szCs w:val="20"/>
              </w:rPr>
            </w:pPr>
            <w:r>
              <w:rPr>
                <w:color w:val="000000"/>
                <w:sz w:val="20"/>
                <w:szCs w:val="20"/>
              </w:rPr>
              <w:t> </w:t>
            </w:r>
          </w:p>
        </w:tc>
        <w:tc>
          <w:tcPr>
            <w:tcW w:w="53" w:type="pct"/>
            <w:tcBorders>
              <w:bottom w:val="double" w:sz="6" w:space="0" w:color="000000"/>
            </w:tcBorders>
            <w:tcMar>
              <w:top w:w="5" w:type="dxa"/>
              <w:left w:w="5" w:type="dxa"/>
              <w:bottom w:w="22" w:type="dxa"/>
              <w:right w:w="5" w:type="dxa"/>
            </w:tcMar>
            <w:vAlign w:val="bottom"/>
            <w:hideMark/>
          </w:tcPr>
          <w:p w14:paraId="556997FA" w14:textId="77777777" w:rsidR="00954279" w:rsidRDefault="00A66714">
            <w:pPr>
              <w:rPr>
                <w:color w:val="000000"/>
                <w:sz w:val="20"/>
                <w:szCs w:val="20"/>
              </w:rPr>
            </w:pPr>
            <w:r>
              <w:rPr>
                <w:color w:val="000000"/>
                <w:sz w:val="20"/>
                <w:szCs w:val="20"/>
              </w:rPr>
              <w:t>$</w:t>
            </w:r>
          </w:p>
        </w:tc>
        <w:tc>
          <w:tcPr>
            <w:tcW w:w="476" w:type="pct"/>
            <w:tcBorders>
              <w:bottom w:val="double" w:sz="6" w:space="0" w:color="000000"/>
            </w:tcBorders>
            <w:tcMar>
              <w:top w:w="5" w:type="dxa"/>
              <w:left w:w="5" w:type="dxa"/>
              <w:bottom w:w="22" w:type="dxa"/>
              <w:right w:w="5" w:type="dxa"/>
            </w:tcMar>
            <w:vAlign w:val="bottom"/>
            <w:hideMark/>
          </w:tcPr>
          <w:p w14:paraId="4EF823A4" w14:textId="77777777" w:rsidR="00954279" w:rsidRDefault="00A66714">
            <w:pPr>
              <w:jc w:val="right"/>
              <w:rPr>
                <w:color w:val="000000"/>
                <w:sz w:val="20"/>
                <w:szCs w:val="20"/>
              </w:rPr>
            </w:pPr>
            <w:r>
              <w:rPr>
                <w:color w:val="000000"/>
                <w:sz w:val="20"/>
                <w:szCs w:val="20"/>
              </w:rPr>
              <w:t>206</w:t>
            </w:r>
          </w:p>
        </w:tc>
        <w:tc>
          <w:tcPr>
            <w:tcW w:w="47" w:type="pct"/>
            <w:noWrap/>
            <w:tcMar>
              <w:top w:w="5" w:type="dxa"/>
              <w:left w:w="5" w:type="dxa"/>
              <w:bottom w:w="50" w:type="dxa"/>
              <w:right w:w="5" w:type="dxa"/>
            </w:tcMar>
            <w:vAlign w:val="bottom"/>
            <w:hideMark/>
          </w:tcPr>
          <w:p w14:paraId="207C31E8" w14:textId="77777777" w:rsidR="00954279" w:rsidRDefault="00A66714">
            <w:pPr>
              <w:rPr>
                <w:color w:val="000000"/>
                <w:sz w:val="20"/>
                <w:szCs w:val="20"/>
              </w:rPr>
            </w:pPr>
            <w:r>
              <w:rPr>
                <w:color w:val="000000"/>
                <w:sz w:val="20"/>
                <w:szCs w:val="20"/>
              </w:rPr>
              <w:t> </w:t>
            </w:r>
          </w:p>
        </w:tc>
        <w:tc>
          <w:tcPr>
            <w:tcW w:w="47" w:type="pct"/>
            <w:tcMar>
              <w:top w:w="5" w:type="dxa"/>
              <w:left w:w="5" w:type="dxa"/>
              <w:bottom w:w="5" w:type="dxa"/>
              <w:right w:w="5" w:type="dxa"/>
            </w:tcMar>
            <w:vAlign w:val="bottom"/>
            <w:hideMark/>
          </w:tcPr>
          <w:p w14:paraId="57935743" w14:textId="77777777" w:rsidR="00954279" w:rsidRDefault="00A66714">
            <w:pPr>
              <w:rPr>
                <w:color w:val="000000"/>
                <w:sz w:val="20"/>
                <w:szCs w:val="20"/>
              </w:rPr>
            </w:pPr>
            <w:r>
              <w:rPr>
                <w:color w:val="000000"/>
                <w:sz w:val="20"/>
                <w:szCs w:val="20"/>
              </w:rPr>
              <w:t> </w:t>
            </w:r>
          </w:p>
        </w:tc>
        <w:tc>
          <w:tcPr>
            <w:tcW w:w="51" w:type="pct"/>
            <w:tcBorders>
              <w:bottom w:val="double" w:sz="6" w:space="0" w:color="000000"/>
            </w:tcBorders>
            <w:tcMar>
              <w:top w:w="5" w:type="dxa"/>
              <w:left w:w="5" w:type="dxa"/>
              <w:bottom w:w="22" w:type="dxa"/>
              <w:right w:w="5" w:type="dxa"/>
            </w:tcMar>
            <w:vAlign w:val="bottom"/>
            <w:hideMark/>
          </w:tcPr>
          <w:p w14:paraId="4A879834" w14:textId="77777777" w:rsidR="00954279" w:rsidRDefault="00A66714">
            <w:pPr>
              <w:rPr>
                <w:color w:val="000000"/>
                <w:sz w:val="20"/>
                <w:szCs w:val="20"/>
              </w:rPr>
            </w:pPr>
            <w:r>
              <w:rPr>
                <w:color w:val="000000"/>
                <w:sz w:val="20"/>
                <w:szCs w:val="20"/>
              </w:rPr>
              <w:t>$</w:t>
            </w:r>
          </w:p>
        </w:tc>
        <w:tc>
          <w:tcPr>
            <w:tcW w:w="447" w:type="pct"/>
            <w:tcBorders>
              <w:bottom w:val="double" w:sz="6" w:space="0" w:color="000000"/>
            </w:tcBorders>
            <w:tcMar>
              <w:top w:w="5" w:type="dxa"/>
              <w:left w:w="5" w:type="dxa"/>
              <w:bottom w:w="22" w:type="dxa"/>
              <w:right w:w="5" w:type="dxa"/>
            </w:tcMar>
            <w:vAlign w:val="bottom"/>
            <w:hideMark/>
          </w:tcPr>
          <w:p w14:paraId="4EE6EE30" w14:textId="77777777" w:rsidR="00954279" w:rsidRDefault="00A66714">
            <w:pPr>
              <w:jc w:val="right"/>
              <w:rPr>
                <w:color w:val="000000"/>
                <w:sz w:val="20"/>
                <w:szCs w:val="20"/>
              </w:rPr>
            </w:pPr>
            <w:r>
              <w:rPr>
                <w:color w:val="000000"/>
                <w:sz w:val="20"/>
                <w:szCs w:val="20"/>
              </w:rPr>
              <w:t>1,396</w:t>
            </w:r>
          </w:p>
        </w:tc>
        <w:tc>
          <w:tcPr>
            <w:tcW w:w="48" w:type="pct"/>
            <w:noWrap/>
            <w:tcMar>
              <w:top w:w="5" w:type="dxa"/>
              <w:left w:w="5" w:type="dxa"/>
              <w:bottom w:w="50" w:type="dxa"/>
              <w:right w:w="5" w:type="dxa"/>
            </w:tcMar>
            <w:vAlign w:val="bottom"/>
            <w:hideMark/>
          </w:tcPr>
          <w:p w14:paraId="0C4C857A" w14:textId="77777777" w:rsidR="00954279" w:rsidRDefault="00A66714">
            <w:pPr>
              <w:rPr>
                <w:color w:val="000000"/>
                <w:sz w:val="20"/>
                <w:szCs w:val="20"/>
              </w:rPr>
            </w:pPr>
            <w:r>
              <w:rPr>
                <w:color w:val="000000"/>
                <w:sz w:val="20"/>
                <w:szCs w:val="20"/>
              </w:rPr>
              <w:t> </w:t>
            </w:r>
          </w:p>
        </w:tc>
      </w:tr>
    </w:tbl>
    <w:p w14:paraId="6FB7A27F" w14:textId="77777777" w:rsidR="00954279" w:rsidRDefault="00A66714">
      <w:pPr>
        <w:ind w:left="144" w:right="144"/>
        <w:rPr>
          <w:sz w:val="20"/>
          <w:szCs w:val="20"/>
        </w:rPr>
      </w:pPr>
      <w:r>
        <w:rPr>
          <w:sz w:val="20"/>
          <w:szCs w:val="20"/>
        </w:rPr>
        <w:t> </w:t>
      </w:r>
    </w:p>
    <w:p w14:paraId="5A5F6745" w14:textId="24C07038" w:rsidR="00954279" w:rsidRDefault="00A66714">
      <w:pPr>
        <w:ind w:left="144" w:right="144"/>
        <w:rPr>
          <w:sz w:val="20"/>
          <w:szCs w:val="20"/>
        </w:rPr>
      </w:pPr>
      <w:r>
        <w:rPr>
          <w:sz w:val="20"/>
          <w:szCs w:val="20"/>
        </w:rPr>
        <w:t> </w:t>
      </w:r>
      <w:r>
        <w:rPr>
          <w:b/>
          <w:bCs/>
          <w:sz w:val="20"/>
          <w:szCs w:val="20"/>
          <w:u w:val="single"/>
        </w:rPr>
        <w:t>NOTE 3 – INVENTORIES</w:t>
      </w:r>
      <w:r>
        <w:rPr>
          <w:b/>
          <w:bCs/>
          <w:sz w:val="20"/>
          <w:szCs w:val="20"/>
        </w:rPr>
        <w:t xml:space="preserve"> </w:t>
      </w:r>
    </w:p>
    <w:p w14:paraId="2457FACB" w14:textId="228E92E2" w:rsidR="00954279" w:rsidRDefault="00A66714">
      <w:pPr>
        <w:ind w:left="144" w:right="144"/>
        <w:rPr>
          <w:sz w:val="20"/>
          <w:szCs w:val="20"/>
        </w:rPr>
      </w:pPr>
      <w:r>
        <w:rPr>
          <w:sz w:val="20"/>
          <w:szCs w:val="20"/>
        </w:rPr>
        <w:t> The composition of our inventory is as follows (in millions):</w:t>
      </w:r>
    </w:p>
    <w:tbl>
      <w:tblPr>
        <w:tblStyle w:val="finTable"/>
        <w:tblW w:w="5000" w:type="pct"/>
        <w:tblInd w:w="149" w:type="dxa"/>
        <w:tblCellMar>
          <w:left w:w="0" w:type="dxa"/>
          <w:right w:w="0" w:type="dxa"/>
        </w:tblCellMar>
        <w:tblLook w:val="05E0" w:firstRow="1" w:lastRow="1" w:firstColumn="1" w:lastColumn="1" w:noHBand="0" w:noVBand="1"/>
      </w:tblPr>
      <w:tblGrid>
        <w:gridCol w:w="7559"/>
        <w:gridCol w:w="108"/>
        <w:gridCol w:w="110"/>
        <w:gridCol w:w="1296"/>
        <w:gridCol w:w="108"/>
        <w:gridCol w:w="108"/>
        <w:gridCol w:w="111"/>
        <w:gridCol w:w="1296"/>
        <w:gridCol w:w="104"/>
      </w:tblGrid>
      <w:tr w:rsidR="00954279" w14:paraId="15B4CCFF" w14:textId="77777777">
        <w:tc>
          <w:tcPr>
            <w:tcW w:w="0" w:type="auto"/>
            <w:tcMar>
              <w:top w:w="5" w:type="dxa"/>
              <w:left w:w="5" w:type="dxa"/>
              <w:bottom w:w="5" w:type="dxa"/>
              <w:right w:w="5" w:type="dxa"/>
            </w:tcMar>
            <w:vAlign w:val="bottom"/>
            <w:hideMark/>
          </w:tcPr>
          <w:p w14:paraId="6890A93B" w14:textId="6A88D4C4" w:rsidR="00954279" w:rsidRDefault="00A66714">
            <w:pPr>
              <w:rPr>
                <w:color w:val="000000"/>
                <w:sz w:val="20"/>
                <w:szCs w:val="20"/>
              </w:rPr>
            </w:pPr>
            <w:r>
              <w:rPr>
                <w:sz w:val="20"/>
                <w:szCs w:val="20"/>
              </w:rPr>
              <w:t> </w:t>
            </w:r>
            <w:r>
              <w:rPr>
                <w:color w:val="000000"/>
                <w:sz w:val="20"/>
                <w:szCs w:val="20"/>
              </w:rPr>
              <w:t> </w:t>
            </w:r>
          </w:p>
        </w:tc>
        <w:tc>
          <w:tcPr>
            <w:tcW w:w="0" w:type="auto"/>
            <w:tcMar>
              <w:top w:w="5" w:type="dxa"/>
              <w:left w:w="5" w:type="dxa"/>
              <w:bottom w:w="5" w:type="dxa"/>
              <w:right w:w="5" w:type="dxa"/>
            </w:tcMar>
            <w:vAlign w:val="bottom"/>
            <w:hideMark/>
          </w:tcPr>
          <w:p w14:paraId="10B93166"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2BA8DE4A" w14:textId="77777777" w:rsidR="00954279" w:rsidRDefault="00A66714">
            <w:pPr>
              <w:jc w:val="center"/>
              <w:rPr>
                <w:color w:val="000000"/>
                <w:sz w:val="20"/>
                <w:szCs w:val="20"/>
              </w:rPr>
            </w:pPr>
            <w:r>
              <w:rPr>
                <w:b/>
                <w:bCs/>
                <w:color w:val="000000"/>
                <w:sz w:val="20"/>
                <w:szCs w:val="20"/>
              </w:rPr>
              <w:t>June 30,</w:t>
            </w:r>
          </w:p>
        </w:tc>
        <w:tc>
          <w:tcPr>
            <w:tcW w:w="0" w:type="auto"/>
            <w:tcMar>
              <w:top w:w="5" w:type="dxa"/>
              <w:left w:w="5" w:type="dxa"/>
              <w:bottom w:w="5" w:type="dxa"/>
              <w:right w:w="5" w:type="dxa"/>
            </w:tcMar>
            <w:vAlign w:val="bottom"/>
            <w:hideMark/>
          </w:tcPr>
          <w:p w14:paraId="08647442"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0CCC45F"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1A96336D" w14:textId="77777777" w:rsidR="00954279" w:rsidRDefault="00A66714">
            <w:pPr>
              <w:jc w:val="center"/>
              <w:rPr>
                <w:color w:val="000000"/>
                <w:sz w:val="20"/>
                <w:szCs w:val="20"/>
              </w:rPr>
            </w:pPr>
            <w:r>
              <w:rPr>
                <w:b/>
                <w:bCs/>
                <w:color w:val="000000"/>
                <w:sz w:val="20"/>
                <w:szCs w:val="20"/>
              </w:rPr>
              <w:t>December 31,</w:t>
            </w:r>
          </w:p>
        </w:tc>
        <w:tc>
          <w:tcPr>
            <w:tcW w:w="0" w:type="auto"/>
            <w:tcMar>
              <w:top w:w="5" w:type="dxa"/>
              <w:left w:w="5" w:type="dxa"/>
              <w:bottom w:w="5" w:type="dxa"/>
              <w:right w:w="5" w:type="dxa"/>
            </w:tcMar>
            <w:vAlign w:val="bottom"/>
            <w:hideMark/>
          </w:tcPr>
          <w:p w14:paraId="0F3F97F2" w14:textId="77777777" w:rsidR="00954279" w:rsidRDefault="00A66714">
            <w:pPr>
              <w:rPr>
                <w:color w:val="000000"/>
                <w:sz w:val="20"/>
                <w:szCs w:val="20"/>
              </w:rPr>
            </w:pPr>
            <w:r>
              <w:rPr>
                <w:color w:val="000000"/>
                <w:sz w:val="20"/>
                <w:szCs w:val="20"/>
              </w:rPr>
              <w:t> </w:t>
            </w:r>
          </w:p>
        </w:tc>
      </w:tr>
      <w:tr w:rsidR="00954279" w14:paraId="0CEAD3E0" w14:textId="77777777">
        <w:tc>
          <w:tcPr>
            <w:tcW w:w="0" w:type="auto"/>
            <w:tcMar>
              <w:top w:w="5" w:type="dxa"/>
              <w:left w:w="5" w:type="dxa"/>
              <w:bottom w:w="5" w:type="dxa"/>
              <w:right w:w="5" w:type="dxa"/>
            </w:tcMar>
            <w:vAlign w:val="bottom"/>
            <w:hideMark/>
          </w:tcPr>
          <w:p w14:paraId="5429214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8EFC943"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3208E8F5" w14:textId="77777777" w:rsidR="00954279" w:rsidRDefault="00A66714">
            <w:pPr>
              <w:jc w:val="center"/>
              <w:rPr>
                <w:color w:val="000000"/>
                <w:sz w:val="20"/>
                <w:szCs w:val="20"/>
              </w:rPr>
            </w:pPr>
            <w:r>
              <w:rPr>
                <w:b/>
                <w:bCs/>
                <w:color w:val="000000"/>
                <w:sz w:val="20"/>
                <w:szCs w:val="20"/>
              </w:rPr>
              <w:t>2021</w:t>
            </w:r>
          </w:p>
        </w:tc>
        <w:tc>
          <w:tcPr>
            <w:tcW w:w="0" w:type="auto"/>
            <w:tcMar>
              <w:top w:w="5" w:type="dxa"/>
              <w:left w:w="5" w:type="dxa"/>
              <w:bottom w:w="20" w:type="dxa"/>
              <w:right w:w="5" w:type="dxa"/>
            </w:tcMar>
            <w:vAlign w:val="bottom"/>
            <w:hideMark/>
          </w:tcPr>
          <w:p w14:paraId="1ADDBBC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7795A52"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158AC8E5" w14:textId="77777777" w:rsidR="00954279" w:rsidRDefault="00A66714">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0849A926" w14:textId="77777777" w:rsidR="00954279" w:rsidRDefault="00A66714">
            <w:pPr>
              <w:rPr>
                <w:color w:val="000000"/>
                <w:sz w:val="20"/>
                <w:szCs w:val="20"/>
              </w:rPr>
            </w:pPr>
            <w:r>
              <w:rPr>
                <w:color w:val="000000"/>
                <w:sz w:val="20"/>
                <w:szCs w:val="20"/>
              </w:rPr>
              <w:t> </w:t>
            </w:r>
          </w:p>
        </w:tc>
      </w:tr>
      <w:tr w:rsidR="00954279" w14:paraId="335F1B28" w14:textId="77777777">
        <w:tc>
          <w:tcPr>
            <w:tcW w:w="3500" w:type="pct"/>
            <w:tcMar>
              <w:top w:w="5" w:type="dxa"/>
              <w:left w:w="5" w:type="dxa"/>
              <w:bottom w:w="5" w:type="dxa"/>
              <w:right w:w="5" w:type="dxa"/>
            </w:tcMar>
            <w:vAlign w:val="bottom"/>
            <w:hideMark/>
          </w:tcPr>
          <w:p w14:paraId="27CEED47" w14:textId="77777777" w:rsidR="00954279" w:rsidRDefault="00A66714">
            <w:pPr>
              <w:rPr>
                <w:color w:val="000000"/>
                <w:sz w:val="20"/>
                <w:szCs w:val="20"/>
              </w:rPr>
            </w:pPr>
            <w:r>
              <w:rPr>
                <w:color w:val="000000"/>
                <w:sz w:val="20"/>
                <w:szCs w:val="20"/>
              </w:rPr>
              <w:t>Finished goods inventory at average cost:</w:t>
            </w:r>
          </w:p>
        </w:tc>
        <w:tc>
          <w:tcPr>
            <w:tcW w:w="0" w:type="auto"/>
            <w:tcMar>
              <w:top w:w="5" w:type="dxa"/>
              <w:left w:w="5" w:type="dxa"/>
              <w:bottom w:w="5" w:type="dxa"/>
              <w:right w:w="5" w:type="dxa"/>
            </w:tcMar>
            <w:vAlign w:val="bottom"/>
            <w:hideMark/>
          </w:tcPr>
          <w:p w14:paraId="4871796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44B88F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0D21AB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7578DB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4E35D0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175737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1DBA1D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1DC16AF" w14:textId="77777777" w:rsidR="00954279" w:rsidRDefault="00A66714">
            <w:pPr>
              <w:rPr>
                <w:color w:val="000000"/>
                <w:sz w:val="20"/>
                <w:szCs w:val="20"/>
              </w:rPr>
            </w:pPr>
            <w:r>
              <w:rPr>
                <w:color w:val="000000"/>
                <w:sz w:val="20"/>
                <w:szCs w:val="20"/>
              </w:rPr>
              <w:t> </w:t>
            </w:r>
          </w:p>
        </w:tc>
      </w:tr>
      <w:tr w:rsidR="00954279" w14:paraId="1FF1AF72" w14:textId="77777777" w:rsidTr="00717712">
        <w:tc>
          <w:tcPr>
            <w:tcW w:w="0" w:type="auto"/>
            <w:tcMar>
              <w:top w:w="5" w:type="dxa"/>
              <w:left w:w="5" w:type="dxa"/>
              <w:bottom w:w="5" w:type="dxa"/>
              <w:right w:w="5" w:type="dxa"/>
            </w:tcMar>
            <w:vAlign w:val="bottom"/>
            <w:hideMark/>
          </w:tcPr>
          <w:p w14:paraId="62A1905E" w14:textId="77777777" w:rsidR="00954279" w:rsidRDefault="00A66714">
            <w:pPr>
              <w:ind w:left="180"/>
              <w:rPr>
                <w:color w:val="000000"/>
                <w:sz w:val="20"/>
                <w:szCs w:val="20"/>
              </w:rPr>
            </w:pPr>
            <w:r>
              <w:rPr>
                <w:color w:val="000000"/>
                <w:sz w:val="20"/>
                <w:szCs w:val="20"/>
              </w:rPr>
              <w:t>Valves, automation, measurement and instrumentation</w:t>
            </w:r>
          </w:p>
        </w:tc>
        <w:tc>
          <w:tcPr>
            <w:tcW w:w="50" w:type="pct"/>
            <w:tcMar>
              <w:top w:w="5" w:type="dxa"/>
              <w:left w:w="5" w:type="dxa"/>
              <w:bottom w:w="5" w:type="dxa"/>
              <w:right w:w="5" w:type="dxa"/>
            </w:tcMar>
            <w:vAlign w:val="bottom"/>
            <w:hideMark/>
          </w:tcPr>
          <w:p w14:paraId="6B2C40E2"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1BC21D08" w14:textId="77777777" w:rsidR="00954279" w:rsidRDefault="00A66714">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00E08A5C" w14:textId="77777777" w:rsidR="00954279" w:rsidRDefault="00A66714">
            <w:pPr>
              <w:jc w:val="right"/>
              <w:rPr>
                <w:color w:val="000000"/>
                <w:sz w:val="20"/>
                <w:szCs w:val="20"/>
              </w:rPr>
            </w:pPr>
            <w:r>
              <w:rPr>
                <w:b/>
                <w:bCs/>
                <w:color w:val="000000"/>
                <w:sz w:val="20"/>
                <w:szCs w:val="20"/>
              </w:rPr>
              <w:t>250</w:t>
            </w:r>
          </w:p>
        </w:tc>
        <w:tc>
          <w:tcPr>
            <w:tcW w:w="50" w:type="pct"/>
            <w:noWrap/>
            <w:tcMar>
              <w:top w:w="5" w:type="dxa"/>
              <w:left w:w="5" w:type="dxa"/>
              <w:bottom w:w="5" w:type="dxa"/>
              <w:right w:w="5" w:type="dxa"/>
            </w:tcMar>
            <w:vAlign w:val="bottom"/>
            <w:hideMark/>
          </w:tcPr>
          <w:p w14:paraId="4128A5B7"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F6A4375"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3AAACCFA" w14:textId="77777777" w:rsidR="00954279" w:rsidRDefault="00A66714">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458654C2" w14:textId="77777777" w:rsidR="00954279" w:rsidRDefault="00A66714">
            <w:pPr>
              <w:jc w:val="right"/>
              <w:rPr>
                <w:color w:val="000000"/>
                <w:sz w:val="20"/>
                <w:szCs w:val="20"/>
              </w:rPr>
            </w:pPr>
            <w:r>
              <w:rPr>
                <w:color w:val="000000"/>
                <w:sz w:val="20"/>
                <w:szCs w:val="20"/>
              </w:rPr>
              <w:t>279</w:t>
            </w:r>
          </w:p>
        </w:tc>
        <w:tc>
          <w:tcPr>
            <w:tcW w:w="50" w:type="pct"/>
            <w:noWrap/>
            <w:tcMar>
              <w:top w:w="5" w:type="dxa"/>
              <w:left w:w="5" w:type="dxa"/>
              <w:bottom w:w="5" w:type="dxa"/>
              <w:right w:w="5" w:type="dxa"/>
            </w:tcMar>
            <w:vAlign w:val="bottom"/>
            <w:hideMark/>
          </w:tcPr>
          <w:p w14:paraId="4D6E6A52" w14:textId="77777777" w:rsidR="00954279" w:rsidRDefault="00A66714">
            <w:pPr>
              <w:rPr>
                <w:color w:val="000000"/>
                <w:sz w:val="20"/>
                <w:szCs w:val="20"/>
              </w:rPr>
            </w:pPr>
            <w:r>
              <w:rPr>
                <w:color w:val="000000"/>
                <w:sz w:val="20"/>
                <w:szCs w:val="20"/>
              </w:rPr>
              <w:t> </w:t>
            </w:r>
          </w:p>
        </w:tc>
      </w:tr>
      <w:tr w:rsidR="00954279" w14:paraId="1EF5530E" w14:textId="77777777" w:rsidTr="00717712">
        <w:tc>
          <w:tcPr>
            <w:tcW w:w="0" w:type="auto"/>
            <w:tcMar>
              <w:top w:w="5" w:type="dxa"/>
              <w:left w:w="5" w:type="dxa"/>
              <w:bottom w:w="5" w:type="dxa"/>
              <w:right w:w="5" w:type="dxa"/>
            </w:tcMar>
            <w:vAlign w:val="bottom"/>
            <w:hideMark/>
          </w:tcPr>
          <w:p w14:paraId="15E47239" w14:textId="77777777" w:rsidR="00954279" w:rsidRDefault="00A66714">
            <w:pPr>
              <w:ind w:left="180"/>
              <w:rPr>
                <w:color w:val="000000"/>
                <w:sz w:val="20"/>
                <w:szCs w:val="20"/>
              </w:rPr>
            </w:pPr>
            <w:r>
              <w:rPr>
                <w:color w:val="000000"/>
                <w:sz w:val="20"/>
                <w:szCs w:val="20"/>
              </w:rPr>
              <w:t>Carbon steel pipe, fittings and flanges</w:t>
            </w:r>
          </w:p>
        </w:tc>
        <w:tc>
          <w:tcPr>
            <w:tcW w:w="50" w:type="pct"/>
            <w:tcMar>
              <w:top w:w="5" w:type="dxa"/>
              <w:left w:w="5" w:type="dxa"/>
              <w:bottom w:w="5" w:type="dxa"/>
              <w:right w:w="5" w:type="dxa"/>
            </w:tcMar>
            <w:vAlign w:val="bottom"/>
            <w:hideMark/>
          </w:tcPr>
          <w:p w14:paraId="77FEA4F5"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7F0B4A4E"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F2E838D" w14:textId="77777777" w:rsidR="00954279" w:rsidRDefault="00A66714">
            <w:pPr>
              <w:jc w:val="right"/>
              <w:rPr>
                <w:color w:val="000000"/>
                <w:sz w:val="20"/>
                <w:szCs w:val="20"/>
              </w:rPr>
            </w:pPr>
            <w:r>
              <w:rPr>
                <w:b/>
                <w:bCs/>
                <w:color w:val="000000"/>
                <w:sz w:val="20"/>
                <w:szCs w:val="20"/>
              </w:rPr>
              <w:t>152</w:t>
            </w:r>
          </w:p>
        </w:tc>
        <w:tc>
          <w:tcPr>
            <w:tcW w:w="50" w:type="pct"/>
            <w:noWrap/>
            <w:tcMar>
              <w:top w:w="5" w:type="dxa"/>
              <w:left w:w="5" w:type="dxa"/>
              <w:bottom w:w="5" w:type="dxa"/>
              <w:right w:w="5" w:type="dxa"/>
            </w:tcMar>
            <w:vAlign w:val="bottom"/>
            <w:hideMark/>
          </w:tcPr>
          <w:p w14:paraId="6679A3BE"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38BA309"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7EFA8980"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C79EFA7" w14:textId="77777777" w:rsidR="00954279" w:rsidRDefault="00A66714">
            <w:pPr>
              <w:jc w:val="right"/>
              <w:rPr>
                <w:color w:val="000000"/>
                <w:sz w:val="20"/>
                <w:szCs w:val="20"/>
              </w:rPr>
            </w:pPr>
            <w:r>
              <w:rPr>
                <w:color w:val="000000"/>
                <w:sz w:val="20"/>
                <w:szCs w:val="20"/>
              </w:rPr>
              <w:t>156</w:t>
            </w:r>
          </w:p>
        </w:tc>
        <w:tc>
          <w:tcPr>
            <w:tcW w:w="50" w:type="pct"/>
            <w:noWrap/>
            <w:tcMar>
              <w:top w:w="5" w:type="dxa"/>
              <w:left w:w="5" w:type="dxa"/>
              <w:bottom w:w="5" w:type="dxa"/>
              <w:right w:w="5" w:type="dxa"/>
            </w:tcMar>
            <w:vAlign w:val="bottom"/>
            <w:hideMark/>
          </w:tcPr>
          <w:p w14:paraId="1CEBD920" w14:textId="77777777" w:rsidR="00954279" w:rsidRDefault="00A66714">
            <w:pPr>
              <w:rPr>
                <w:color w:val="000000"/>
                <w:sz w:val="20"/>
                <w:szCs w:val="20"/>
              </w:rPr>
            </w:pPr>
            <w:r>
              <w:rPr>
                <w:color w:val="000000"/>
                <w:sz w:val="20"/>
                <w:szCs w:val="20"/>
              </w:rPr>
              <w:t> </w:t>
            </w:r>
          </w:p>
        </w:tc>
      </w:tr>
      <w:tr w:rsidR="00954279" w14:paraId="13E0FD0A" w14:textId="77777777" w:rsidTr="00717712">
        <w:tc>
          <w:tcPr>
            <w:tcW w:w="0" w:type="auto"/>
            <w:tcMar>
              <w:top w:w="5" w:type="dxa"/>
              <w:left w:w="5" w:type="dxa"/>
              <w:bottom w:w="5" w:type="dxa"/>
              <w:right w:w="5" w:type="dxa"/>
            </w:tcMar>
            <w:vAlign w:val="bottom"/>
            <w:hideMark/>
          </w:tcPr>
          <w:p w14:paraId="447FFCEE" w14:textId="77777777" w:rsidR="00954279" w:rsidRDefault="00A66714">
            <w:pPr>
              <w:ind w:left="180"/>
              <w:rPr>
                <w:color w:val="000000"/>
                <w:sz w:val="20"/>
                <w:szCs w:val="20"/>
              </w:rPr>
            </w:pPr>
            <w:r>
              <w:rPr>
                <w:color w:val="000000"/>
                <w:sz w:val="20"/>
                <w:szCs w:val="20"/>
              </w:rPr>
              <w:t>All other products</w:t>
            </w:r>
          </w:p>
        </w:tc>
        <w:tc>
          <w:tcPr>
            <w:tcW w:w="50" w:type="pct"/>
            <w:tcMar>
              <w:top w:w="5" w:type="dxa"/>
              <w:left w:w="5" w:type="dxa"/>
              <w:bottom w:w="5" w:type="dxa"/>
              <w:right w:w="5" w:type="dxa"/>
            </w:tcMar>
            <w:vAlign w:val="bottom"/>
            <w:hideMark/>
          </w:tcPr>
          <w:p w14:paraId="7D16FCD1" w14:textId="77777777" w:rsidR="00954279" w:rsidRDefault="00A66714">
            <w:pPr>
              <w:rPr>
                <w:color w:val="000000"/>
                <w:sz w:val="20"/>
                <w:szCs w:val="20"/>
              </w:rPr>
            </w:pPr>
            <w:r>
              <w:rPr>
                <w:color w:val="000000"/>
                <w:sz w:val="20"/>
                <w:szCs w:val="20"/>
              </w:rPr>
              <w:t> </w:t>
            </w:r>
          </w:p>
        </w:tc>
        <w:tc>
          <w:tcPr>
            <w:tcW w:w="51" w:type="pct"/>
            <w:tcBorders>
              <w:bottom w:val="single" w:sz="6" w:space="0" w:color="000000"/>
            </w:tcBorders>
            <w:tcMar>
              <w:top w:w="5" w:type="dxa"/>
              <w:left w:w="5" w:type="dxa"/>
              <w:bottom w:w="8" w:type="dxa"/>
              <w:right w:w="5" w:type="dxa"/>
            </w:tcMar>
            <w:vAlign w:val="bottom"/>
            <w:hideMark/>
          </w:tcPr>
          <w:p w14:paraId="75EDCD44" w14:textId="77777777" w:rsidR="00954279" w:rsidRDefault="00A66714">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EE8A6E9" w14:textId="77777777" w:rsidR="00954279" w:rsidRDefault="00A66714">
            <w:pPr>
              <w:jc w:val="right"/>
              <w:rPr>
                <w:color w:val="000000"/>
                <w:sz w:val="20"/>
                <w:szCs w:val="20"/>
              </w:rPr>
            </w:pPr>
            <w:r>
              <w:rPr>
                <w:b/>
                <w:bCs/>
                <w:color w:val="000000"/>
                <w:sz w:val="20"/>
                <w:szCs w:val="20"/>
              </w:rPr>
              <w:t>252</w:t>
            </w:r>
          </w:p>
        </w:tc>
        <w:tc>
          <w:tcPr>
            <w:tcW w:w="50" w:type="pct"/>
            <w:noWrap/>
            <w:tcMar>
              <w:top w:w="5" w:type="dxa"/>
              <w:left w:w="5" w:type="dxa"/>
              <w:bottom w:w="20" w:type="dxa"/>
              <w:right w:w="5" w:type="dxa"/>
            </w:tcMar>
            <w:vAlign w:val="bottom"/>
            <w:hideMark/>
          </w:tcPr>
          <w:p w14:paraId="7E580033"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10C9047" w14:textId="77777777" w:rsidR="00954279" w:rsidRDefault="00A66714">
            <w:pPr>
              <w:rPr>
                <w:color w:val="000000"/>
                <w:sz w:val="20"/>
                <w:szCs w:val="20"/>
              </w:rPr>
            </w:pPr>
            <w:r>
              <w:rPr>
                <w:color w:val="000000"/>
                <w:sz w:val="20"/>
                <w:szCs w:val="20"/>
              </w:rPr>
              <w:t> </w:t>
            </w:r>
          </w:p>
        </w:tc>
        <w:tc>
          <w:tcPr>
            <w:tcW w:w="51" w:type="pct"/>
            <w:tcBorders>
              <w:bottom w:val="single" w:sz="6" w:space="0" w:color="000000"/>
            </w:tcBorders>
            <w:tcMar>
              <w:top w:w="5" w:type="dxa"/>
              <w:left w:w="5" w:type="dxa"/>
              <w:bottom w:w="8" w:type="dxa"/>
              <w:right w:w="5" w:type="dxa"/>
            </w:tcMar>
            <w:vAlign w:val="bottom"/>
            <w:hideMark/>
          </w:tcPr>
          <w:p w14:paraId="2A07AF10" w14:textId="77777777" w:rsidR="00954279" w:rsidRDefault="00A66714">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03D3C64B" w14:textId="77777777" w:rsidR="00954279" w:rsidRDefault="00A66714">
            <w:pPr>
              <w:jc w:val="right"/>
              <w:rPr>
                <w:color w:val="000000"/>
                <w:sz w:val="20"/>
                <w:szCs w:val="20"/>
              </w:rPr>
            </w:pPr>
            <w:r>
              <w:rPr>
                <w:color w:val="000000"/>
                <w:sz w:val="20"/>
                <w:szCs w:val="20"/>
              </w:rPr>
              <w:t>229</w:t>
            </w:r>
          </w:p>
        </w:tc>
        <w:tc>
          <w:tcPr>
            <w:tcW w:w="50" w:type="pct"/>
            <w:noWrap/>
            <w:tcMar>
              <w:top w:w="5" w:type="dxa"/>
              <w:left w:w="5" w:type="dxa"/>
              <w:bottom w:w="20" w:type="dxa"/>
              <w:right w:w="5" w:type="dxa"/>
            </w:tcMar>
            <w:vAlign w:val="bottom"/>
            <w:hideMark/>
          </w:tcPr>
          <w:p w14:paraId="6E6AD7AD" w14:textId="77777777" w:rsidR="00954279" w:rsidRDefault="00A66714">
            <w:pPr>
              <w:rPr>
                <w:color w:val="000000"/>
                <w:sz w:val="20"/>
                <w:szCs w:val="20"/>
              </w:rPr>
            </w:pPr>
            <w:r>
              <w:rPr>
                <w:color w:val="000000"/>
                <w:sz w:val="20"/>
                <w:szCs w:val="20"/>
              </w:rPr>
              <w:t> </w:t>
            </w:r>
          </w:p>
        </w:tc>
      </w:tr>
      <w:tr w:rsidR="00954279" w14:paraId="2ECFD344" w14:textId="77777777" w:rsidTr="00717712">
        <w:tc>
          <w:tcPr>
            <w:tcW w:w="0" w:type="auto"/>
            <w:tcMar>
              <w:top w:w="5" w:type="dxa"/>
              <w:left w:w="5" w:type="dxa"/>
              <w:bottom w:w="5" w:type="dxa"/>
              <w:right w:w="5" w:type="dxa"/>
            </w:tcMar>
            <w:vAlign w:val="bottom"/>
            <w:hideMark/>
          </w:tcPr>
          <w:p w14:paraId="39581F68"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4B9AA28"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61C17E0C"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70D7111" w14:textId="77777777" w:rsidR="00954279" w:rsidRDefault="00A66714">
            <w:pPr>
              <w:jc w:val="right"/>
              <w:rPr>
                <w:color w:val="000000"/>
                <w:sz w:val="20"/>
                <w:szCs w:val="20"/>
              </w:rPr>
            </w:pPr>
            <w:r>
              <w:rPr>
                <w:b/>
                <w:bCs/>
                <w:color w:val="000000"/>
                <w:sz w:val="20"/>
                <w:szCs w:val="20"/>
              </w:rPr>
              <w:t>654</w:t>
            </w:r>
          </w:p>
        </w:tc>
        <w:tc>
          <w:tcPr>
            <w:tcW w:w="50" w:type="pct"/>
            <w:noWrap/>
            <w:tcMar>
              <w:top w:w="5" w:type="dxa"/>
              <w:left w:w="5" w:type="dxa"/>
              <w:bottom w:w="5" w:type="dxa"/>
              <w:right w:w="5" w:type="dxa"/>
            </w:tcMar>
            <w:vAlign w:val="bottom"/>
            <w:hideMark/>
          </w:tcPr>
          <w:p w14:paraId="39B789C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12E0ACF"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6E618DC6"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F88D852" w14:textId="77777777" w:rsidR="00954279" w:rsidRDefault="00A66714">
            <w:pPr>
              <w:jc w:val="right"/>
              <w:rPr>
                <w:color w:val="000000"/>
                <w:sz w:val="20"/>
                <w:szCs w:val="20"/>
              </w:rPr>
            </w:pPr>
            <w:r>
              <w:rPr>
                <w:color w:val="000000"/>
                <w:sz w:val="20"/>
                <w:szCs w:val="20"/>
              </w:rPr>
              <w:t>664</w:t>
            </w:r>
          </w:p>
        </w:tc>
        <w:tc>
          <w:tcPr>
            <w:tcW w:w="50" w:type="pct"/>
            <w:noWrap/>
            <w:tcMar>
              <w:top w:w="5" w:type="dxa"/>
              <w:left w:w="5" w:type="dxa"/>
              <w:bottom w:w="5" w:type="dxa"/>
              <w:right w:w="5" w:type="dxa"/>
            </w:tcMar>
            <w:vAlign w:val="bottom"/>
            <w:hideMark/>
          </w:tcPr>
          <w:p w14:paraId="2FDF9124" w14:textId="77777777" w:rsidR="00954279" w:rsidRDefault="00A66714">
            <w:pPr>
              <w:rPr>
                <w:color w:val="000000"/>
                <w:sz w:val="20"/>
                <w:szCs w:val="20"/>
              </w:rPr>
            </w:pPr>
            <w:r>
              <w:rPr>
                <w:color w:val="000000"/>
                <w:sz w:val="20"/>
                <w:szCs w:val="20"/>
              </w:rPr>
              <w:t> </w:t>
            </w:r>
          </w:p>
        </w:tc>
      </w:tr>
      <w:tr w:rsidR="00954279" w14:paraId="24BF0AF8" w14:textId="77777777" w:rsidTr="00717712">
        <w:tc>
          <w:tcPr>
            <w:tcW w:w="0" w:type="auto"/>
            <w:tcMar>
              <w:top w:w="5" w:type="dxa"/>
              <w:left w:w="5" w:type="dxa"/>
              <w:bottom w:w="5" w:type="dxa"/>
              <w:right w:w="5" w:type="dxa"/>
            </w:tcMar>
            <w:vAlign w:val="bottom"/>
            <w:hideMark/>
          </w:tcPr>
          <w:p w14:paraId="75E8B297" w14:textId="77777777" w:rsidR="00954279" w:rsidRDefault="00A66714">
            <w:pPr>
              <w:rPr>
                <w:color w:val="000000"/>
                <w:sz w:val="20"/>
                <w:szCs w:val="20"/>
              </w:rPr>
            </w:pPr>
            <w:r>
              <w:rPr>
                <w:color w:val="000000"/>
                <w:sz w:val="20"/>
                <w:szCs w:val="20"/>
              </w:rPr>
              <w:t>Less: Excess of average cost over LIFO cost (LIFO reserve)</w:t>
            </w:r>
          </w:p>
        </w:tc>
        <w:tc>
          <w:tcPr>
            <w:tcW w:w="50" w:type="pct"/>
            <w:tcMar>
              <w:top w:w="5" w:type="dxa"/>
              <w:left w:w="5" w:type="dxa"/>
              <w:bottom w:w="5" w:type="dxa"/>
              <w:right w:w="5" w:type="dxa"/>
            </w:tcMar>
            <w:vAlign w:val="bottom"/>
            <w:hideMark/>
          </w:tcPr>
          <w:p w14:paraId="7B18315B"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6A2A5C7A"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62AAE3A" w14:textId="77777777" w:rsidR="00954279" w:rsidRDefault="00A66714">
            <w:pPr>
              <w:jc w:val="right"/>
              <w:rPr>
                <w:color w:val="000000"/>
                <w:sz w:val="20"/>
                <w:szCs w:val="20"/>
              </w:rPr>
            </w:pPr>
            <w:r>
              <w:rPr>
                <w:b/>
                <w:bCs/>
                <w:color w:val="000000"/>
                <w:sz w:val="20"/>
                <w:szCs w:val="20"/>
              </w:rPr>
              <w:t>(151</w:t>
            </w:r>
          </w:p>
        </w:tc>
        <w:tc>
          <w:tcPr>
            <w:tcW w:w="50" w:type="pct"/>
            <w:noWrap/>
            <w:tcMar>
              <w:top w:w="5" w:type="dxa"/>
              <w:left w:w="5" w:type="dxa"/>
              <w:bottom w:w="5" w:type="dxa"/>
              <w:right w:w="5" w:type="dxa"/>
            </w:tcMar>
            <w:vAlign w:val="bottom"/>
            <w:hideMark/>
          </w:tcPr>
          <w:p w14:paraId="5E6AD537"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4382796B"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7F78E0EC"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B59C2E1" w14:textId="77777777" w:rsidR="00954279" w:rsidRDefault="00A66714">
            <w:pPr>
              <w:jc w:val="right"/>
              <w:rPr>
                <w:color w:val="000000"/>
                <w:sz w:val="20"/>
                <w:szCs w:val="20"/>
              </w:rPr>
            </w:pPr>
            <w:r>
              <w:rPr>
                <w:color w:val="000000"/>
                <w:sz w:val="20"/>
                <w:szCs w:val="20"/>
              </w:rPr>
              <w:t>(136</w:t>
            </w:r>
          </w:p>
        </w:tc>
        <w:tc>
          <w:tcPr>
            <w:tcW w:w="50" w:type="pct"/>
            <w:noWrap/>
            <w:tcMar>
              <w:top w:w="5" w:type="dxa"/>
              <w:left w:w="5" w:type="dxa"/>
              <w:bottom w:w="5" w:type="dxa"/>
              <w:right w:w="5" w:type="dxa"/>
            </w:tcMar>
            <w:vAlign w:val="bottom"/>
            <w:hideMark/>
          </w:tcPr>
          <w:p w14:paraId="1D962967" w14:textId="77777777" w:rsidR="00954279" w:rsidRDefault="00A66714">
            <w:pPr>
              <w:rPr>
                <w:color w:val="000000"/>
                <w:sz w:val="20"/>
                <w:szCs w:val="20"/>
              </w:rPr>
            </w:pPr>
            <w:r>
              <w:rPr>
                <w:color w:val="000000"/>
                <w:sz w:val="20"/>
                <w:szCs w:val="20"/>
              </w:rPr>
              <w:t>)</w:t>
            </w:r>
          </w:p>
        </w:tc>
      </w:tr>
      <w:tr w:rsidR="00954279" w14:paraId="7450DF40" w14:textId="77777777" w:rsidTr="00717712">
        <w:tc>
          <w:tcPr>
            <w:tcW w:w="0" w:type="auto"/>
            <w:tcMar>
              <w:top w:w="5" w:type="dxa"/>
              <w:left w:w="5" w:type="dxa"/>
              <w:bottom w:w="5" w:type="dxa"/>
              <w:right w:w="5" w:type="dxa"/>
            </w:tcMar>
            <w:vAlign w:val="bottom"/>
            <w:hideMark/>
          </w:tcPr>
          <w:p w14:paraId="5014888F" w14:textId="77777777" w:rsidR="00954279" w:rsidRDefault="00A66714">
            <w:pPr>
              <w:rPr>
                <w:color w:val="000000"/>
                <w:sz w:val="20"/>
                <w:szCs w:val="20"/>
              </w:rPr>
            </w:pPr>
            <w:r>
              <w:rPr>
                <w:color w:val="000000"/>
                <w:sz w:val="20"/>
                <w:szCs w:val="20"/>
              </w:rPr>
              <w:t>Less: Other inventory reserves</w:t>
            </w:r>
          </w:p>
        </w:tc>
        <w:tc>
          <w:tcPr>
            <w:tcW w:w="50" w:type="pct"/>
            <w:tcMar>
              <w:top w:w="5" w:type="dxa"/>
              <w:left w:w="5" w:type="dxa"/>
              <w:bottom w:w="5" w:type="dxa"/>
              <w:right w:w="5" w:type="dxa"/>
            </w:tcMar>
            <w:vAlign w:val="bottom"/>
            <w:hideMark/>
          </w:tcPr>
          <w:p w14:paraId="3EC7C631" w14:textId="77777777" w:rsidR="00954279" w:rsidRDefault="00A66714">
            <w:pPr>
              <w:rPr>
                <w:color w:val="000000"/>
                <w:sz w:val="20"/>
                <w:szCs w:val="20"/>
              </w:rPr>
            </w:pPr>
            <w:r>
              <w:rPr>
                <w:color w:val="000000"/>
                <w:sz w:val="20"/>
                <w:szCs w:val="20"/>
              </w:rPr>
              <w:t> </w:t>
            </w:r>
          </w:p>
        </w:tc>
        <w:tc>
          <w:tcPr>
            <w:tcW w:w="51" w:type="pct"/>
            <w:tcBorders>
              <w:bottom w:val="single" w:sz="6" w:space="0" w:color="000000"/>
            </w:tcBorders>
            <w:tcMar>
              <w:top w:w="5" w:type="dxa"/>
              <w:left w:w="5" w:type="dxa"/>
              <w:bottom w:w="8" w:type="dxa"/>
              <w:right w:w="5" w:type="dxa"/>
            </w:tcMar>
            <w:vAlign w:val="bottom"/>
            <w:hideMark/>
          </w:tcPr>
          <w:p w14:paraId="110B2364" w14:textId="77777777" w:rsidR="00954279" w:rsidRDefault="00A66714">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735961C8" w14:textId="77777777" w:rsidR="00954279" w:rsidRDefault="00A66714">
            <w:pPr>
              <w:jc w:val="right"/>
              <w:rPr>
                <w:color w:val="000000"/>
                <w:sz w:val="20"/>
                <w:szCs w:val="20"/>
              </w:rPr>
            </w:pPr>
            <w:r>
              <w:rPr>
                <w:b/>
                <w:bCs/>
                <w:color w:val="000000"/>
                <w:sz w:val="20"/>
                <w:szCs w:val="20"/>
              </w:rPr>
              <w:t>(19</w:t>
            </w:r>
          </w:p>
        </w:tc>
        <w:tc>
          <w:tcPr>
            <w:tcW w:w="50" w:type="pct"/>
            <w:noWrap/>
            <w:tcMar>
              <w:top w:w="5" w:type="dxa"/>
              <w:left w:w="5" w:type="dxa"/>
              <w:bottom w:w="20" w:type="dxa"/>
              <w:right w:w="5" w:type="dxa"/>
            </w:tcMar>
            <w:vAlign w:val="bottom"/>
            <w:hideMark/>
          </w:tcPr>
          <w:p w14:paraId="4709272C"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4530A404" w14:textId="77777777" w:rsidR="00954279" w:rsidRDefault="00A66714">
            <w:pPr>
              <w:rPr>
                <w:color w:val="000000"/>
                <w:sz w:val="20"/>
                <w:szCs w:val="20"/>
              </w:rPr>
            </w:pPr>
            <w:r>
              <w:rPr>
                <w:color w:val="000000"/>
                <w:sz w:val="20"/>
                <w:szCs w:val="20"/>
              </w:rPr>
              <w:t> </w:t>
            </w:r>
          </w:p>
        </w:tc>
        <w:tc>
          <w:tcPr>
            <w:tcW w:w="51" w:type="pct"/>
            <w:tcBorders>
              <w:bottom w:val="single" w:sz="6" w:space="0" w:color="000000"/>
            </w:tcBorders>
            <w:tcMar>
              <w:top w:w="5" w:type="dxa"/>
              <w:left w:w="5" w:type="dxa"/>
              <w:bottom w:w="8" w:type="dxa"/>
              <w:right w:w="5" w:type="dxa"/>
            </w:tcMar>
            <w:vAlign w:val="bottom"/>
            <w:hideMark/>
          </w:tcPr>
          <w:p w14:paraId="76110FE8" w14:textId="77777777" w:rsidR="00954279" w:rsidRDefault="00A66714">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079C2B0D" w14:textId="77777777" w:rsidR="00954279" w:rsidRDefault="00A66714">
            <w:pPr>
              <w:jc w:val="right"/>
              <w:rPr>
                <w:color w:val="000000"/>
                <w:sz w:val="20"/>
                <w:szCs w:val="20"/>
              </w:rPr>
            </w:pPr>
            <w:r>
              <w:rPr>
                <w:color w:val="000000"/>
                <w:sz w:val="20"/>
                <w:szCs w:val="20"/>
              </w:rPr>
              <w:t>(19</w:t>
            </w:r>
          </w:p>
        </w:tc>
        <w:tc>
          <w:tcPr>
            <w:tcW w:w="50" w:type="pct"/>
            <w:noWrap/>
            <w:tcMar>
              <w:top w:w="5" w:type="dxa"/>
              <w:left w:w="5" w:type="dxa"/>
              <w:bottom w:w="20" w:type="dxa"/>
              <w:right w:w="5" w:type="dxa"/>
            </w:tcMar>
            <w:vAlign w:val="bottom"/>
            <w:hideMark/>
          </w:tcPr>
          <w:p w14:paraId="0D2C3744" w14:textId="77777777" w:rsidR="00954279" w:rsidRDefault="00A66714">
            <w:pPr>
              <w:rPr>
                <w:color w:val="000000"/>
                <w:sz w:val="20"/>
                <w:szCs w:val="20"/>
              </w:rPr>
            </w:pPr>
            <w:r>
              <w:rPr>
                <w:color w:val="000000"/>
                <w:sz w:val="20"/>
                <w:szCs w:val="20"/>
              </w:rPr>
              <w:t>)</w:t>
            </w:r>
          </w:p>
        </w:tc>
      </w:tr>
      <w:tr w:rsidR="00954279" w14:paraId="7A87BD81" w14:textId="77777777" w:rsidTr="00717712">
        <w:tc>
          <w:tcPr>
            <w:tcW w:w="0" w:type="auto"/>
            <w:tcMar>
              <w:top w:w="5" w:type="dxa"/>
              <w:left w:w="5" w:type="dxa"/>
              <w:bottom w:w="5" w:type="dxa"/>
              <w:right w:w="5" w:type="dxa"/>
            </w:tcMar>
            <w:vAlign w:val="bottom"/>
            <w:hideMark/>
          </w:tcPr>
          <w:p w14:paraId="5D919941"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5B127F5" w14:textId="77777777" w:rsidR="00954279" w:rsidRDefault="00A66714">
            <w:pPr>
              <w:rPr>
                <w:color w:val="000000"/>
                <w:sz w:val="20"/>
                <w:szCs w:val="20"/>
              </w:rPr>
            </w:pPr>
            <w:r>
              <w:rPr>
                <w:color w:val="000000"/>
                <w:sz w:val="20"/>
                <w:szCs w:val="20"/>
              </w:rPr>
              <w:t> </w:t>
            </w:r>
          </w:p>
        </w:tc>
        <w:tc>
          <w:tcPr>
            <w:tcW w:w="51" w:type="pct"/>
            <w:tcBorders>
              <w:bottom w:val="double" w:sz="6" w:space="0" w:color="000000"/>
            </w:tcBorders>
            <w:tcMar>
              <w:top w:w="5" w:type="dxa"/>
              <w:left w:w="5" w:type="dxa"/>
              <w:bottom w:w="22" w:type="dxa"/>
              <w:right w:w="5" w:type="dxa"/>
            </w:tcMar>
            <w:vAlign w:val="bottom"/>
            <w:hideMark/>
          </w:tcPr>
          <w:p w14:paraId="6856B792" w14:textId="77777777" w:rsidR="00954279" w:rsidRDefault="00A66714">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61CD4683" w14:textId="77777777" w:rsidR="00954279" w:rsidRDefault="00A66714">
            <w:pPr>
              <w:jc w:val="right"/>
              <w:rPr>
                <w:color w:val="000000"/>
                <w:sz w:val="20"/>
                <w:szCs w:val="20"/>
              </w:rPr>
            </w:pPr>
            <w:r>
              <w:rPr>
                <w:b/>
                <w:bCs/>
                <w:color w:val="000000"/>
                <w:sz w:val="20"/>
                <w:szCs w:val="20"/>
              </w:rPr>
              <w:t>484</w:t>
            </w:r>
          </w:p>
        </w:tc>
        <w:tc>
          <w:tcPr>
            <w:tcW w:w="50" w:type="pct"/>
            <w:noWrap/>
            <w:tcMar>
              <w:top w:w="5" w:type="dxa"/>
              <w:left w:w="5" w:type="dxa"/>
              <w:bottom w:w="50" w:type="dxa"/>
              <w:right w:w="5" w:type="dxa"/>
            </w:tcMar>
            <w:vAlign w:val="bottom"/>
            <w:hideMark/>
          </w:tcPr>
          <w:p w14:paraId="1B16EDB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9A9CB43" w14:textId="77777777" w:rsidR="00954279" w:rsidRDefault="00A66714">
            <w:pPr>
              <w:rPr>
                <w:color w:val="000000"/>
                <w:sz w:val="20"/>
                <w:szCs w:val="20"/>
              </w:rPr>
            </w:pPr>
            <w:r>
              <w:rPr>
                <w:color w:val="000000"/>
                <w:sz w:val="20"/>
                <w:szCs w:val="20"/>
              </w:rPr>
              <w:t> </w:t>
            </w:r>
          </w:p>
        </w:tc>
        <w:tc>
          <w:tcPr>
            <w:tcW w:w="51" w:type="pct"/>
            <w:tcBorders>
              <w:bottom w:val="double" w:sz="6" w:space="0" w:color="000000"/>
            </w:tcBorders>
            <w:tcMar>
              <w:top w:w="5" w:type="dxa"/>
              <w:left w:w="5" w:type="dxa"/>
              <w:bottom w:w="22" w:type="dxa"/>
              <w:right w:w="5" w:type="dxa"/>
            </w:tcMar>
            <w:vAlign w:val="bottom"/>
            <w:hideMark/>
          </w:tcPr>
          <w:p w14:paraId="61E79E02" w14:textId="77777777" w:rsidR="00954279" w:rsidRDefault="00A66714">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0DA5964F" w14:textId="77777777" w:rsidR="00954279" w:rsidRDefault="00A66714">
            <w:pPr>
              <w:jc w:val="right"/>
              <w:rPr>
                <w:color w:val="000000"/>
                <w:sz w:val="20"/>
                <w:szCs w:val="20"/>
              </w:rPr>
            </w:pPr>
            <w:r>
              <w:rPr>
                <w:color w:val="000000"/>
                <w:sz w:val="20"/>
                <w:szCs w:val="20"/>
              </w:rPr>
              <w:t>509</w:t>
            </w:r>
          </w:p>
        </w:tc>
        <w:tc>
          <w:tcPr>
            <w:tcW w:w="50" w:type="pct"/>
            <w:noWrap/>
            <w:tcMar>
              <w:top w:w="5" w:type="dxa"/>
              <w:left w:w="5" w:type="dxa"/>
              <w:bottom w:w="50" w:type="dxa"/>
              <w:right w:w="5" w:type="dxa"/>
            </w:tcMar>
            <w:vAlign w:val="bottom"/>
            <w:hideMark/>
          </w:tcPr>
          <w:p w14:paraId="2484178A" w14:textId="77777777" w:rsidR="00954279" w:rsidRDefault="00A66714">
            <w:pPr>
              <w:rPr>
                <w:color w:val="000000"/>
                <w:sz w:val="20"/>
                <w:szCs w:val="20"/>
              </w:rPr>
            </w:pPr>
            <w:r>
              <w:rPr>
                <w:color w:val="000000"/>
                <w:sz w:val="20"/>
                <w:szCs w:val="20"/>
              </w:rPr>
              <w:t> </w:t>
            </w:r>
          </w:p>
        </w:tc>
      </w:tr>
    </w:tbl>
    <w:p w14:paraId="3057C633" w14:textId="2A0BD246" w:rsidR="00954279" w:rsidRDefault="00A66714">
      <w:pPr>
        <w:ind w:left="144" w:right="144"/>
        <w:rPr>
          <w:sz w:val="20"/>
          <w:szCs w:val="20"/>
        </w:rPr>
      </w:pPr>
      <w:r>
        <w:rPr>
          <w:sz w:val="20"/>
          <w:szCs w:val="20"/>
        </w:rPr>
        <w:t> The Company uses the last-in, first-out (“LIFO”) method of valuing U.S. inventories. The use of the LIFO method has the effect of reducing net income during periods of rising inventory costs (inflationary periods) and increasing net income during periods of falling inventory costs (deflationary periods). Valuation of inventory under the LIFO method can be made only at the end of each year based on the inventory levels and costs at that time. Accordingly, interim LIFO calculations are based on management’s estimates of expected year-end inventory levels and costs and are subject to the final year-end LIFO inventory determination. </w:t>
      </w:r>
    </w:p>
    <w:p w14:paraId="739EFA43" w14:textId="5364A4DE" w:rsidR="00954279" w:rsidRDefault="00A66714" w:rsidP="00717712">
      <w:pPr>
        <w:ind w:left="144" w:right="144"/>
        <w:rPr>
          <w:sz w:val="20"/>
          <w:szCs w:val="20"/>
        </w:rPr>
      </w:pPr>
      <w:r>
        <w:rPr>
          <w:sz w:val="20"/>
          <w:szCs w:val="20"/>
        </w:rPr>
        <w:t> </w:t>
      </w:r>
      <w:r w:rsidR="00717712">
        <w:rPr>
          <w:sz w:val="20"/>
          <w:szCs w:val="20"/>
        </w:rPr>
        <w:tab/>
      </w:r>
      <w:r w:rsidR="00717712">
        <w:rPr>
          <w:sz w:val="20"/>
          <w:szCs w:val="20"/>
        </w:rPr>
        <w:tab/>
      </w:r>
      <w:r w:rsidR="00717712">
        <w:rPr>
          <w:sz w:val="20"/>
          <w:szCs w:val="20"/>
        </w:rPr>
        <w:tab/>
      </w:r>
      <w:r w:rsidR="00717712">
        <w:rPr>
          <w:sz w:val="20"/>
          <w:szCs w:val="20"/>
        </w:rPr>
        <w:tab/>
      </w:r>
      <w:r w:rsidR="00717712">
        <w:rPr>
          <w:sz w:val="20"/>
          <w:szCs w:val="20"/>
        </w:rPr>
        <w:tab/>
      </w:r>
      <w:r w:rsidR="00717712">
        <w:rPr>
          <w:sz w:val="20"/>
          <w:szCs w:val="20"/>
        </w:rPr>
        <w:tab/>
      </w:r>
      <w:r w:rsidR="00717712">
        <w:rPr>
          <w:sz w:val="20"/>
          <w:szCs w:val="20"/>
        </w:rPr>
        <w:tab/>
        <w:t xml:space="preserve">     </w:t>
      </w:r>
      <w:r>
        <w:rPr>
          <w:sz w:val="20"/>
          <w:szCs w:val="20"/>
        </w:rPr>
        <w:t>8</w:t>
      </w:r>
    </w:p>
    <w:p w14:paraId="34F3E4B6" w14:textId="77777777" w:rsidR="00954279" w:rsidRDefault="00A66714">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0B99E413" w14:textId="77777777" w:rsidR="00954279" w:rsidRDefault="00A66714">
      <w:pPr>
        <w:ind w:left="144" w:right="144"/>
        <w:rPr>
          <w:sz w:val="20"/>
          <w:szCs w:val="20"/>
        </w:rPr>
      </w:pPr>
      <w:r>
        <w:rPr>
          <w:sz w:val="20"/>
          <w:szCs w:val="20"/>
        </w:rPr>
        <w:t> </w:t>
      </w:r>
    </w:p>
    <w:p w14:paraId="29CF6B18" w14:textId="77777777" w:rsidR="00954279" w:rsidRDefault="00A66714">
      <w:pPr>
        <w:ind w:left="144" w:right="144"/>
        <w:rPr>
          <w:sz w:val="20"/>
          <w:szCs w:val="20"/>
        </w:rPr>
      </w:pPr>
      <w:r>
        <w:rPr>
          <w:sz w:val="20"/>
          <w:szCs w:val="20"/>
        </w:rPr>
        <w:t> </w:t>
      </w:r>
    </w:p>
    <w:p w14:paraId="154C486B" w14:textId="77777777" w:rsidR="00954279" w:rsidRDefault="00A66714">
      <w:pPr>
        <w:ind w:left="144" w:right="144"/>
        <w:rPr>
          <w:sz w:val="20"/>
          <w:szCs w:val="20"/>
        </w:rPr>
      </w:pPr>
      <w:r>
        <w:rPr>
          <w:b/>
          <w:bCs/>
          <w:sz w:val="20"/>
          <w:szCs w:val="20"/>
          <w:u w:val="single"/>
        </w:rPr>
        <w:t>NOTE 4 – LEASES</w:t>
      </w:r>
    </w:p>
    <w:p w14:paraId="2A82FC67" w14:textId="77777777" w:rsidR="00954279" w:rsidRDefault="00A66714">
      <w:pPr>
        <w:ind w:left="144" w:right="144"/>
        <w:rPr>
          <w:sz w:val="20"/>
          <w:szCs w:val="20"/>
        </w:rPr>
      </w:pPr>
      <w:r>
        <w:rPr>
          <w:sz w:val="20"/>
          <w:szCs w:val="20"/>
        </w:rPr>
        <w:t> </w:t>
      </w:r>
    </w:p>
    <w:p w14:paraId="7E19B27D" w14:textId="77777777" w:rsidR="00954279" w:rsidRDefault="00A66714">
      <w:pPr>
        <w:ind w:left="144" w:right="144"/>
        <w:rPr>
          <w:sz w:val="20"/>
          <w:szCs w:val="20"/>
        </w:rPr>
      </w:pPr>
      <w:r>
        <w:rPr>
          <w:sz w:val="20"/>
          <w:szCs w:val="20"/>
        </w:rPr>
        <w:t>We lease certain distribution centers, warehouses, office space, land and equipment. Substantially all of these leases are classified as operating leases. We recognize lease expense on a straight-line basis over the lease term. Leases with an initial term of 12 months or less are not recorded on the balance sheet.</w:t>
      </w:r>
    </w:p>
    <w:p w14:paraId="3AE152A8" w14:textId="77777777" w:rsidR="00954279" w:rsidRDefault="00A66714">
      <w:pPr>
        <w:ind w:left="144" w:right="144"/>
        <w:jc w:val="center"/>
        <w:rPr>
          <w:sz w:val="20"/>
          <w:szCs w:val="20"/>
        </w:rPr>
      </w:pPr>
      <w:r>
        <w:rPr>
          <w:sz w:val="20"/>
          <w:szCs w:val="20"/>
        </w:rPr>
        <w:t> </w:t>
      </w:r>
    </w:p>
    <w:p w14:paraId="712CCA93" w14:textId="77777777" w:rsidR="00954279" w:rsidRDefault="00A66714">
      <w:pPr>
        <w:ind w:left="144" w:right="144"/>
        <w:rPr>
          <w:sz w:val="20"/>
          <w:szCs w:val="20"/>
        </w:rPr>
      </w:pPr>
      <w:r>
        <w:rPr>
          <w:sz w:val="20"/>
          <w:szCs w:val="20"/>
        </w:rPr>
        <w:t>Many of our facility leases include one or more options to renew, with renewal terms that can extend the lease term from one year to 15 years with a maximum lease term of 30 years, including renewals. The exercise of lease renewal options is at our sole discretion; therefore, renewals to extend the terms of most leases are not included in our right of use (“ROU”) assets and lease liabilities as they are not reasonably certain of exercise. In the case of our regional distribution centers and certain corporate offices, where the renewal is reasonably certain of exercise, we include the renewal period in our lease term. Leases with escalation adjustments based on an index, such as the consumer price index, are expensed based on current rates. Leases with specified escalation steps are expensed based on the total lease obligation ratably over the life of the lease. The depreciable life of assets and leasehold improvements are limited by the expected lease term. Non-lease components, such as payment of real estate taxes, maintenance, insurance and other operating expenses, have been excluded from the determination of our lease liability.</w:t>
      </w:r>
    </w:p>
    <w:p w14:paraId="5E64578C" w14:textId="77777777" w:rsidR="00954279" w:rsidRDefault="00A66714">
      <w:pPr>
        <w:ind w:left="144" w:right="144"/>
        <w:rPr>
          <w:sz w:val="20"/>
          <w:szCs w:val="20"/>
        </w:rPr>
      </w:pPr>
      <w:r>
        <w:rPr>
          <w:sz w:val="20"/>
          <w:szCs w:val="20"/>
        </w:rPr>
        <w:t> </w:t>
      </w:r>
    </w:p>
    <w:p w14:paraId="4A7F704C" w14:textId="77777777" w:rsidR="00954279" w:rsidRDefault="00A66714">
      <w:pPr>
        <w:ind w:left="144" w:right="144"/>
        <w:rPr>
          <w:sz w:val="20"/>
          <w:szCs w:val="20"/>
        </w:rPr>
      </w:pPr>
      <w:r>
        <w:rPr>
          <w:sz w:val="20"/>
          <w:szCs w:val="20"/>
        </w:rPr>
        <w:t>As most of our leases do not provide an implicit rate, we use an incremental borrowing rate based on the information available at the commencement date in determining the present value of the lease payments using a portfolio approach. Our lease agreements do not contain any material residual value guarantees or material restrictive covenants.</w:t>
      </w:r>
    </w:p>
    <w:p w14:paraId="1603F6AB" w14:textId="77777777" w:rsidR="00954279" w:rsidRDefault="00A66714">
      <w:pPr>
        <w:ind w:left="144" w:right="144"/>
        <w:rPr>
          <w:sz w:val="20"/>
          <w:szCs w:val="20"/>
        </w:rPr>
      </w:pPr>
      <w:r>
        <w:rPr>
          <w:sz w:val="20"/>
          <w:szCs w:val="20"/>
        </w:rPr>
        <w:t> </w:t>
      </w:r>
    </w:p>
    <w:p w14:paraId="311AB68B" w14:textId="090CC65E" w:rsidR="00954279" w:rsidRDefault="00A66714">
      <w:pPr>
        <w:ind w:left="144" w:right="144"/>
        <w:rPr>
          <w:sz w:val="20"/>
          <w:szCs w:val="20"/>
        </w:rPr>
      </w:pPr>
      <w:r>
        <w:rPr>
          <w:sz w:val="20"/>
          <w:szCs w:val="20"/>
        </w:rPr>
        <w:t>Expense associated with our operating leases was $10 million and $19 million for the </w:t>
      </w:r>
      <w:bookmarkStart w:id="11" w:name="led65141F20206281595968725345"/>
      <w:r>
        <w:rPr>
          <w:sz w:val="20"/>
          <w:szCs w:val="20"/>
        </w:rPr>
        <w:t xml:space="preserve">three and six months ended June 30, 2021, respectively, and $9 million and $19 million for the </w:t>
      </w:r>
      <w:bookmarkStart w:id="12" w:name="led65141F20207261598471789734"/>
      <w:r>
        <w:rPr>
          <w:sz w:val="20"/>
          <w:szCs w:val="20"/>
        </w:rPr>
        <w:t>three and six months ended June 30, 2020</w:t>
      </w:r>
      <w:bookmarkEnd w:id="12"/>
      <w:r>
        <w:rPr>
          <w:sz w:val="20"/>
          <w:szCs w:val="20"/>
        </w:rPr>
        <w:t>, respectively, which is classified in selling, general and administrative expenses. Cash paid for leases recognized as liabilities was $8 million and $19 million for the three and six months ended June 30, 2021</w:t>
      </w:r>
      <w:bookmarkEnd w:id="11"/>
      <w:r>
        <w:rPr>
          <w:sz w:val="20"/>
          <w:szCs w:val="20"/>
        </w:rPr>
        <w:t>, respectively, and $11 million and $22 million for the three and six months ended </w:t>
      </w:r>
      <w:bookmarkStart w:id="13" w:name="led65141F20213301619804871493"/>
      <w:r>
        <w:rPr>
          <w:sz w:val="20"/>
          <w:szCs w:val="20"/>
        </w:rPr>
        <w:t>June</w:t>
      </w:r>
      <w:r w:rsidR="007118B7">
        <w:rPr>
          <w:sz w:val="20"/>
          <w:szCs w:val="20"/>
        </w:rPr>
        <w:t> </w:t>
      </w:r>
      <w:r>
        <w:rPr>
          <w:sz w:val="20"/>
          <w:szCs w:val="20"/>
        </w:rPr>
        <w:t>30, 2020</w:t>
      </w:r>
      <w:bookmarkEnd w:id="13"/>
      <w:r>
        <w:rPr>
          <w:sz w:val="20"/>
          <w:szCs w:val="20"/>
        </w:rPr>
        <w:t>.  </w:t>
      </w:r>
    </w:p>
    <w:p w14:paraId="68D9C3B7" w14:textId="77777777" w:rsidR="00954279" w:rsidRDefault="00A66714">
      <w:pPr>
        <w:ind w:left="144" w:right="144"/>
        <w:rPr>
          <w:sz w:val="20"/>
          <w:szCs w:val="20"/>
        </w:rPr>
      </w:pPr>
      <w:r>
        <w:rPr>
          <w:sz w:val="20"/>
          <w:szCs w:val="20"/>
        </w:rPr>
        <w:t> </w:t>
      </w:r>
    </w:p>
    <w:p w14:paraId="05363FCA" w14:textId="77777777" w:rsidR="00954279" w:rsidRDefault="00A66714">
      <w:pPr>
        <w:ind w:left="144" w:right="144"/>
        <w:rPr>
          <w:sz w:val="20"/>
          <w:szCs w:val="20"/>
        </w:rPr>
      </w:pPr>
      <w:r>
        <w:rPr>
          <w:sz w:val="20"/>
          <w:szCs w:val="20"/>
        </w:rPr>
        <w:t>The maturity of lease liabilities is as follows (in millions):</w:t>
      </w:r>
    </w:p>
    <w:p w14:paraId="0D39E8F9" w14:textId="77777777" w:rsidR="00954279" w:rsidRDefault="00A66714">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9179"/>
        <w:gridCol w:w="107"/>
        <w:gridCol w:w="110"/>
        <w:gridCol w:w="1296"/>
        <w:gridCol w:w="108"/>
      </w:tblGrid>
      <w:tr w:rsidR="00954279" w14:paraId="64089831" w14:textId="77777777">
        <w:tc>
          <w:tcPr>
            <w:tcW w:w="4250" w:type="pct"/>
            <w:tcBorders>
              <w:bottom w:val="single" w:sz="12" w:space="0" w:color="000000"/>
            </w:tcBorders>
            <w:tcMar>
              <w:top w:w="5" w:type="dxa"/>
              <w:left w:w="5" w:type="dxa"/>
              <w:bottom w:w="15" w:type="dxa"/>
              <w:right w:w="5" w:type="dxa"/>
            </w:tcMar>
            <w:vAlign w:val="bottom"/>
            <w:hideMark/>
          </w:tcPr>
          <w:p w14:paraId="01AB61F7" w14:textId="77777777" w:rsidR="00954279" w:rsidRDefault="00A66714">
            <w:pPr>
              <w:rPr>
                <w:color w:val="000000"/>
                <w:sz w:val="20"/>
                <w:szCs w:val="20"/>
              </w:rPr>
            </w:pPr>
            <w:r>
              <w:rPr>
                <w:b/>
                <w:bCs/>
                <w:color w:val="000000"/>
                <w:sz w:val="20"/>
                <w:szCs w:val="20"/>
              </w:rPr>
              <w:t>Maturity of Operating Lease Liabilities</w:t>
            </w:r>
          </w:p>
        </w:tc>
        <w:tc>
          <w:tcPr>
            <w:tcW w:w="0" w:type="auto"/>
            <w:tcMar>
              <w:top w:w="5" w:type="dxa"/>
              <w:left w:w="5" w:type="dxa"/>
              <w:bottom w:w="5" w:type="dxa"/>
              <w:right w:w="5" w:type="dxa"/>
            </w:tcMar>
            <w:vAlign w:val="bottom"/>
            <w:hideMark/>
          </w:tcPr>
          <w:p w14:paraId="26D9FB7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3913A6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579A1E2"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6444499" w14:textId="77777777" w:rsidR="00954279" w:rsidRDefault="00A66714">
            <w:pPr>
              <w:rPr>
                <w:color w:val="000000"/>
                <w:sz w:val="20"/>
                <w:szCs w:val="20"/>
              </w:rPr>
            </w:pPr>
            <w:r>
              <w:rPr>
                <w:b/>
                <w:bCs/>
                <w:color w:val="000000"/>
                <w:sz w:val="20"/>
                <w:szCs w:val="20"/>
              </w:rPr>
              <w:t> </w:t>
            </w:r>
          </w:p>
        </w:tc>
      </w:tr>
      <w:tr w:rsidR="00954279" w14:paraId="232B111B" w14:textId="77777777">
        <w:tc>
          <w:tcPr>
            <w:tcW w:w="0" w:type="auto"/>
            <w:tcMar>
              <w:top w:w="5" w:type="dxa"/>
              <w:left w:w="5" w:type="dxa"/>
              <w:bottom w:w="5" w:type="dxa"/>
              <w:right w:w="5" w:type="dxa"/>
            </w:tcMar>
            <w:vAlign w:val="bottom"/>
            <w:hideMark/>
          </w:tcPr>
          <w:p w14:paraId="38C37E3F" w14:textId="77777777" w:rsidR="00954279" w:rsidRDefault="00A66714">
            <w:pPr>
              <w:rPr>
                <w:color w:val="000000"/>
                <w:sz w:val="20"/>
                <w:szCs w:val="20"/>
              </w:rPr>
            </w:pPr>
            <w:r>
              <w:rPr>
                <w:color w:val="000000"/>
                <w:sz w:val="20"/>
                <w:szCs w:val="20"/>
              </w:rPr>
              <w:t>Remainder of 2021</w:t>
            </w:r>
          </w:p>
        </w:tc>
        <w:tc>
          <w:tcPr>
            <w:tcW w:w="50" w:type="pct"/>
            <w:tcMar>
              <w:top w:w="5" w:type="dxa"/>
              <w:left w:w="5" w:type="dxa"/>
              <w:bottom w:w="5" w:type="dxa"/>
              <w:right w:w="5" w:type="dxa"/>
            </w:tcMar>
            <w:vAlign w:val="bottom"/>
            <w:hideMark/>
          </w:tcPr>
          <w:p w14:paraId="3ECF06B0"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7405293" w14:textId="77777777" w:rsidR="00954279" w:rsidRDefault="00A66714">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69AC9390" w14:textId="77777777" w:rsidR="00954279" w:rsidRDefault="00A66714">
            <w:pPr>
              <w:jc w:val="right"/>
              <w:rPr>
                <w:color w:val="000000"/>
                <w:sz w:val="20"/>
                <w:szCs w:val="20"/>
              </w:rPr>
            </w:pPr>
            <w:r>
              <w:rPr>
                <w:b/>
                <w:bCs/>
                <w:color w:val="000000"/>
                <w:sz w:val="20"/>
                <w:szCs w:val="20"/>
              </w:rPr>
              <w:t>22</w:t>
            </w:r>
          </w:p>
        </w:tc>
        <w:tc>
          <w:tcPr>
            <w:tcW w:w="50" w:type="pct"/>
            <w:noWrap/>
            <w:tcMar>
              <w:top w:w="5" w:type="dxa"/>
              <w:left w:w="5" w:type="dxa"/>
              <w:bottom w:w="5" w:type="dxa"/>
              <w:right w:w="5" w:type="dxa"/>
            </w:tcMar>
            <w:vAlign w:val="bottom"/>
            <w:hideMark/>
          </w:tcPr>
          <w:p w14:paraId="1CA5E411" w14:textId="77777777" w:rsidR="00954279" w:rsidRDefault="00A66714">
            <w:pPr>
              <w:rPr>
                <w:color w:val="000000"/>
                <w:sz w:val="20"/>
                <w:szCs w:val="20"/>
              </w:rPr>
            </w:pPr>
            <w:r>
              <w:rPr>
                <w:color w:val="000000"/>
                <w:sz w:val="20"/>
                <w:szCs w:val="20"/>
              </w:rPr>
              <w:t> </w:t>
            </w:r>
          </w:p>
        </w:tc>
      </w:tr>
      <w:tr w:rsidR="00954279" w14:paraId="0C011E4E" w14:textId="77777777">
        <w:tc>
          <w:tcPr>
            <w:tcW w:w="0" w:type="auto"/>
            <w:tcMar>
              <w:top w:w="5" w:type="dxa"/>
              <w:left w:w="5" w:type="dxa"/>
              <w:bottom w:w="5" w:type="dxa"/>
              <w:right w:w="5" w:type="dxa"/>
            </w:tcMar>
            <w:vAlign w:val="bottom"/>
            <w:hideMark/>
          </w:tcPr>
          <w:p w14:paraId="463C03BD" w14:textId="77777777" w:rsidR="00954279" w:rsidRDefault="00A66714">
            <w:pPr>
              <w:rPr>
                <w:color w:val="000000"/>
                <w:sz w:val="20"/>
                <w:szCs w:val="20"/>
              </w:rPr>
            </w:pPr>
            <w:r>
              <w:rPr>
                <w:color w:val="000000"/>
                <w:sz w:val="20"/>
                <w:szCs w:val="20"/>
              </w:rPr>
              <w:t>2022</w:t>
            </w:r>
          </w:p>
        </w:tc>
        <w:tc>
          <w:tcPr>
            <w:tcW w:w="50" w:type="pct"/>
            <w:tcMar>
              <w:top w:w="5" w:type="dxa"/>
              <w:left w:w="5" w:type="dxa"/>
              <w:bottom w:w="5" w:type="dxa"/>
              <w:right w:w="5" w:type="dxa"/>
            </w:tcMar>
            <w:vAlign w:val="bottom"/>
            <w:hideMark/>
          </w:tcPr>
          <w:p w14:paraId="076835B7"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3E16EF8"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A6AF07E" w14:textId="77777777" w:rsidR="00954279" w:rsidRDefault="00A66714">
            <w:pPr>
              <w:jc w:val="right"/>
              <w:rPr>
                <w:color w:val="000000"/>
                <w:sz w:val="20"/>
                <w:szCs w:val="20"/>
              </w:rPr>
            </w:pPr>
            <w:r>
              <w:rPr>
                <w:b/>
                <w:bCs/>
                <w:color w:val="000000"/>
                <w:sz w:val="20"/>
                <w:szCs w:val="20"/>
              </w:rPr>
              <w:t>35</w:t>
            </w:r>
          </w:p>
        </w:tc>
        <w:tc>
          <w:tcPr>
            <w:tcW w:w="50" w:type="pct"/>
            <w:noWrap/>
            <w:tcMar>
              <w:top w:w="5" w:type="dxa"/>
              <w:left w:w="5" w:type="dxa"/>
              <w:bottom w:w="5" w:type="dxa"/>
              <w:right w:w="5" w:type="dxa"/>
            </w:tcMar>
            <w:vAlign w:val="bottom"/>
            <w:hideMark/>
          </w:tcPr>
          <w:p w14:paraId="3398E7CB" w14:textId="77777777" w:rsidR="00954279" w:rsidRDefault="00A66714">
            <w:pPr>
              <w:rPr>
                <w:color w:val="000000"/>
                <w:sz w:val="20"/>
                <w:szCs w:val="20"/>
              </w:rPr>
            </w:pPr>
            <w:r>
              <w:rPr>
                <w:color w:val="000000"/>
                <w:sz w:val="20"/>
                <w:szCs w:val="20"/>
              </w:rPr>
              <w:t> </w:t>
            </w:r>
          </w:p>
        </w:tc>
      </w:tr>
      <w:tr w:rsidR="00954279" w14:paraId="45946114" w14:textId="77777777">
        <w:tc>
          <w:tcPr>
            <w:tcW w:w="0" w:type="auto"/>
            <w:tcMar>
              <w:top w:w="5" w:type="dxa"/>
              <w:left w:w="5" w:type="dxa"/>
              <w:bottom w:w="5" w:type="dxa"/>
              <w:right w:w="5" w:type="dxa"/>
            </w:tcMar>
            <w:vAlign w:val="bottom"/>
            <w:hideMark/>
          </w:tcPr>
          <w:p w14:paraId="21F45BB9" w14:textId="77777777" w:rsidR="00954279" w:rsidRDefault="00A66714">
            <w:pPr>
              <w:rPr>
                <w:color w:val="000000"/>
                <w:sz w:val="20"/>
                <w:szCs w:val="20"/>
              </w:rPr>
            </w:pPr>
            <w:r>
              <w:rPr>
                <w:color w:val="000000"/>
                <w:sz w:val="20"/>
                <w:szCs w:val="20"/>
              </w:rPr>
              <w:t>2023</w:t>
            </w:r>
          </w:p>
        </w:tc>
        <w:tc>
          <w:tcPr>
            <w:tcW w:w="50" w:type="pct"/>
            <w:tcMar>
              <w:top w:w="5" w:type="dxa"/>
              <w:left w:w="5" w:type="dxa"/>
              <w:bottom w:w="5" w:type="dxa"/>
              <w:right w:w="5" w:type="dxa"/>
            </w:tcMar>
            <w:vAlign w:val="bottom"/>
            <w:hideMark/>
          </w:tcPr>
          <w:p w14:paraId="366F835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F0DED0D"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44C0D21" w14:textId="77777777" w:rsidR="00954279" w:rsidRDefault="00A66714">
            <w:pPr>
              <w:jc w:val="right"/>
              <w:rPr>
                <w:color w:val="000000"/>
                <w:sz w:val="20"/>
                <w:szCs w:val="20"/>
              </w:rPr>
            </w:pPr>
            <w:r>
              <w:rPr>
                <w:b/>
                <w:bCs/>
                <w:color w:val="000000"/>
                <w:sz w:val="20"/>
                <w:szCs w:val="20"/>
              </w:rPr>
              <w:t>29</w:t>
            </w:r>
          </w:p>
        </w:tc>
        <w:tc>
          <w:tcPr>
            <w:tcW w:w="50" w:type="pct"/>
            <w:noWrap/>
            <w:tcMar>
              <w:top w:w="5" w:type="dxa"/>
              <w:left w:w="5" w:type="dxa"/>
              <w:bottom w:w="5" w:type="dxa"/>
              <w:right w:w="5" w:type="dxa"/>
            </w:tcMar>
            <w:vAlign w:val="bottom"/>
            <w:hideMark/>
          </w:tcPr>
          <w:p w14:paraId="74A052C6" w14:textId="77777777" w:rsidR="00954279" w:rsidRDefault="00A66714">
            <w:pPr>
              <w:rPr>
                <w:color w:val="000000"/>
                <w:sz w:val="20"/>
                <w:szCs w:val="20"/>
              </w:rPr>
            </w:pPr>
            <w:r>
              <w:rPr>
                <w:color w:val="000000"/>
                <w:sz w:val="20"/>
                <w:szCs w:val="20"/>
              </w:rPr>
              <w:t> </w:t>
            </w:r>
          </w:p>
        </w:tc>
      </w:tr>
      <w:tr w:rsidR="00954279" w14:paraId="05FDCC0E" w14:textId="77777777">
        <w:tc>
          <w:tcPr>
            <w:tcW w:w="0" w:type="auto"/>
            <w:tcMar>
              <w:top w:w="5" w:type="dxa"/>
              <w:left w:w="5" w:type="dxa"/>
              <w:bottom w:w="5" w:type="dxa"/>
              <w:right w:w="5" w:type="dxa"/>
            </w:tcMar>
            <w:vAlign w:val="bottom"/>
            <w:hideMark/>
          </w:tcPr>
          <w:p w14:paraId="685D0C83" w14:textId="77777777" w:rsidR="00954279" w:rsidRDefault="00A66714">
            <w:pPr>
              <w:rPr>
                <w:color w:val="000000"/>
                <w:sz w:val="20"/>
                <w:szCs w:val="20"/>
              </w:rPr>
            </w:pPr>
            <w:r>
              <w:rPr>
                <w:color w:val="000000"/>
                <w:sz w:val="20"/>
                <w:szCs w:val="20"/>
              </w:rPr>
              <w:t>2024</w:t>
            </w:r>
          </w:p>
        </w:tc>
        <w:tc>
          <w:tcPr>
            <w:tcW w:w="50" w:type="pct"/>
            <w:tcMar>
              <w:top w:w="5" w:type="dxa"/>
              <w:left w:w="5" w:type="dxa"/>
              <w:bottom w:w="5" w:type="dxa"/>
              <w:right w:w="5" w:type="dxa"/>
            </w:tcMar>
            <w:vAlign w:val="bottom"/>
            <w:hideMark/>
          </w:tcPr>
          <w:p w14:paraId="54B5EC09"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22CE511"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F5CA82C" w14:textId="77777777" w:rsidR="00954279" w:rsidRDefault="00A66714">
            <w:pPr>
              <w:jc w:val="right"/>
              <w:rPr>
                <w:color w:val="000000"/>
                <w:sz w:val="20"/>
                <w:szCs w:val="20"/>
              </w:rPr>
            </w:pPr>
            <w:r>
              <w:rPr>
                <w:b/>
                <w:bCs/>
                <w:color w:val="000000"/>
                <w:sz w:val="20"/>
                <w:szCs w:val="20"/>
              </w:rPr>
              <w:t>25</w:t>
            </w:r>
          </w:p>
        </w:tc>
        <w:tc>
          <w:tcPr>
            <w:tcW w:w="50" w:type="pct"/>
            <w:noWrap/>
            <w:tcMar>
              <w:top w:w="5" w:type="dxa"/>
              <w:left w:w="5" w:type="dxa"/>
              <w:bottom w:w="5" w:type="dxa"/>
              <w:right w:w="5" w:type="dxa"/>
            </w:tcMar>
            <w:vAlign w:val="bottom"/>
            <w:hideMark/>
          </w:tcPr>
          <w:p w14:paraId="50AC8882" w14:textId="77777777" w:rsidR="00954279" w:rsidRDefault="00A66714">
            <w:pPr>
              <w:rPr>
                <w:color w:val="000000"/>
                <w:sz w:val="20"/>
                <w:szCs w:val="20"/>
              </w:rPr>
            </w:pPr>
            <w:r>
              <w:rPr>
                <w:color w:val="000000"/>
                <w:sz w:val="20"/>
                <w:szCs w:val="20"/>
              </w:rPr>
              <w:t> </w:t>
            </w:r>
          </w:p>
        </w:tc>
      </w:tr>
      <w:tr w:rsidR="00954279" w14:paraId="5C8FBE00" w14:textId="77777777">
        <w:tc>
          <w:tcPr>
            <w:tcW w:w="0" w:type="auto"/>
            <w:tcMar>
              <w:top w:w="5" w:type="dxa"/>
              <w:left w:w="5" w:type="dxa"/>
              <w:bottom w:w="5" w:type="dxa"/>
              <w:right w:w="5" w:type="dxa"/>
            </w:tcMar>
            <w:vAlign w:val="bottom"/>
            <w:hideMark/>
          </w:tcPr>
          <w:p w14:paraId="7489ECFB" w14:textId="77777777" w:rsidR="00954279" w:rsidRDefault="00A66714">
            <w:pPr>
              <w:rPr>
                <w:color w:val="000000"/>
                <w:sz w:val="20"/>
                <w:szCs w:val="20"/>
              </w:rPr>
            </w:pPr>
            <w:r>
              <w:rPr>
                <w:color w:val="000000"/>
                <w:sz w:val="20"/>
                <w:szCs w:val="20"/>
              </w:rPr>
              <w:t>2025</w:t>
            </w:r>
          </w:p>
        </w:tc>
        <w:tc>
          <w:tcPr>
            <w:tcW w:w="50" w:type="pct"/>
            <w:tcMar>
              <w:top w:w="5" w:type="dxa"/>
              <w:left w:w="5" w:type="dxa"/>
              <w:bottom w:w="5" w:type="dxa"/>
              <w:right w:w="5" w:type="dxa"/>
            </w:tcMar>
            <w:vAlign w:val="bottom"/>
            <w:hideMark/>
          </w:tcPr>
          <w:p w14:paraId="6A55465A"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478DD8F"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BD8A240" w14:textId="77777777" w:rsidR="00954279" w:rsidRDefault="00A66714">
            <w:pPr>
              <w:jc w:val="right"/>
              <w:rPr>
                <w:color w:val="000000"/>
                <w:sz w:val="20"/>
                <w:szCs w:val="20"/>
              </w:rPr>
            </w:pPr>
            <w:r>
              <w:rPr>
                <w:b/>
                <w:bCs/>
                <w:color w:val="000000"/>
                <w:sz w:val="20"/>
                <w:szCs w:val="20"/>
              </w:rPr>
              <w:t>20</w:t>
            </w:r>
          </w:p>
        </w:tc>
        <w:tc>
          <w:tcPr>
            <w:tcW w:w="50" w:type="pct"/>
            <w:noWrap/>
            <w:tcMar>
              <w:top w:w="5" w:type="dxa"/>
              <w:left w:w="5" w:type="dxa"/>
              <w:bottom w:w="5" w:type="dxa"/>
              <w:right w:w="5" w:type="dxa"/>
            </w:tcMar>
            <w:vAlign w:val="bottom"/>
            <w:hideMark/>
          </w:tcPr>
          <w:p w14:paraId="10D528ED" w14:textId="77777777" w:rsidR="00954279" w:rsidRDefault="00A66714">
            <w:pPr>
              <w:rPr>
                <w:color w:val="000000"/>
                <w:sz w:val="20"/>
                <w:szCs w:val="20"/>
              </w:rPr>
            </w:pPr>
            <w:r>
              <w:rPr>
                <w:color w:val="000000"/>
                <w:sz w:val="20"/>
                <w:szCs w:val="20"/>
              </w:rPr>
              <w:t> </w:t>
            </w:r>
          </w:p>
        </w:tc>
      </w:tr>
      <w:tr w:rsidR="00954279" w14:paraId="14352A1A" w14:textId="77777777">
        <w:tc>
          <w:tcPr>
            <w:tcW w:w="0" w:type="auto"/>
            <w:tcMar>
              <w:top w:w="5" w:type="dxa"/>
              <w:left w:w="5" w:type="dxa"/>
              <w:bottom w:w="5" w:type="dxa"/>
              <w:right w:w="5" w:type="dxa"/>
            </w:tcMar>
            <w:vAlign w:val="bottom"/>
            <w:hideMark/>
          </w:tcPr>
          <w:p w14:paraId="1178DECB" w14:textId="77777777" w:rsidR="00954279" w:rsidRDefault="00A66714">
            <w:pPr>
              <w:rPr>
                <w:color w:val="000000"/>
                <w:sz w:val="20"/>
                <w:szCs w:val="20"/>
              </w:rPr>
            </w:pPr>
            <w:r>
              <w:rPr>
                <w:color w:val="000000"/>
                <w:sz w:val="20"/>
                <w:szCs w:val="20"/>
              </w:rPr>
              <w:t>After 2025</w:t>
            </w:r>
          </w:p>
        </w:tc>
        <w:tc>
          <w:tcPr>
            <w:tcW w:w="50" w:type="pct"/>
            <w:tcMar>
              <w:top w:w="5" w:type="dxa"/>
              <w:left w:w="5" w:type="dxa"/>
              <w:bottom w:w="5" w:type="dxa"/>
              <w:right w:w="5" w:type="dxa"/>
            </w:tcMar>
            <w:vAlign w:val="bottom"/>
            <w:hideMark/>
          </w:tcPr>
          <w:p w14:paraId="6507CE96"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78D3D36" w14:textId="77777777" w:rsidR="00954279" w:rsidRDefault="00A66714">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00722FF7" w14:textId="77777777" w:rsidR="00954279" w:rsidRDefault="00A66714">
            <w:pPr>
              <w:jc w:val="right"/>
              <w:rPr>
                <w:color w:val="000000"/>
                <w:sz w:val="20"/>
                <w:szCs w:val="20"/>
              </w:rPr>
            </w:pPr>
            <w:r>
              <w:rPr>
                <w:b/>
                <w:bCs/>
                <w:color w:val="000000"/>
                <w:sz w:val="20"/>
                <w:szCs w:val="20"/>
              </w:rPr>
              <w:t>203</w:t>
            </w:r>
          </w:p>
        </w:tc>
        <w:tc>
          <w:tcPr>
            <w:tcW w:w="50" w:type="pct"/>
            <w:noWrap/>
            <w:tcMar>
              <w:top w:w="5" w:type="dxa"/>
              <w:left w:w="5" w:type="dxa"/>
              <w:bottom w:w="20" w:type="dxa"/>
              <w:right w:w="5" w:type="dxa"/>
            </w:tcMar>
            <w:vAlign w:val="bottom"/>
            <w:hideMark/>
          </w:tcPr>
          <w:p w14:paraId="37A6C736" w14:textId="77777777" w:rsidR="00954279" w:rsidRDefault="00A66714">
            <w:pPr>
              <w:rPr>
                <w:color w:val="000000"/>
                <w:sz w:val="20"/>
                <w:szCs w:val="20"/>
              </w:rPr>
            </w:pPr>
            <w:r>
              <w:rPr>
                <w:color w:val="000000"/>
                <w:sz w:val="20"/>
                <w:szCs w:val="20"/>
              </w:rPr>
              <w:t> </w:t>
            </w:r>
          </w:p>
        </w:tc>
      </w:tr>
      <w:tr w:rsidR="00954279" w14:paraId="053016AB" w14:textId="77777777">
        <w:tc>
          <w:tcPr>
            <w:tcW w:w="0" w:type="auto"/>
            <w:tcMar>
              <w:top w:w="5" w:type="dxa"/>
              <w:left w:w="5" w:type="dxa"/>
              <w:bottom w:w="5" w:type="dxa"/>
              <w:right w:w="5" w:type="dxa"/>
            </w:tcMar>
            <w:vAlign w:val="bottom"/>
            <w:hideMark/>
          </w:tcPr>
          <w:p w14:paraId="569CF153" w14:textId="77777777" w:rsidR="00954279" w:rsidRDefault="00A66714">
            <w:pPr>
              <w:rPr>
                <w:color w:val="000000"/>
                <w:sz w:val="20"/>
                <w:szCs w:val="20"/>
              </w:rPr>
            </w:pPr>
            <w:r>
              <w:rPr>
                <w:color w:val="000000"/>
                <w:sz w:val="20"/>
                <w:szCs w:val="20"/>
              </w:rPr>
              <w:t>Total lease payments</w:t>
            </w:r>
          </w:p>
        </w:tc>
        <w:tc>
          <w:tcPr>
            <w:tcW w:w="50" w:type="pct"/>
            <w:tcMar>
              <w:top w:w="5" w:type="dxa"/>
              <w:left w:w="5" w:type="dxa"/>
              <w:bottom w:w="5" w:type="dxa"/>
              <w:right w:w="5" w:type="dxa"/>
            </w:tcMar>
            <w:vAlign w:val="bottom"/>
            <w:hideMark/>
          </w:tcPr>
          <w:p w14:paraId="5DE2DAB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2EE597A"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CEB8ED6" w14:textId="77777777" w:rsidR="00954279" w:rsidRDefault="00A66714">
            <w:pPr>
              <w:jc w:val="right"/>
              <w:rPr>
                <w:color w:val="000000"/>
                <w:sz w:val="20"/>
                <w:szCs w:val="20"/>
              </w:rPr>
            </w:pPr>
            <w:r>
              <w:rPr>
                <w:b/>
                <w:bCs/>
                <w:color w:val="000000"/>
                <w:sz w:val="20"/>
                <w:szCs w:val="20"/>
              </w:rPr>
              <w:t>334</w:t>
            </w:r>
          </w:p>
        </w:tc>
        <w:tc>
          <w:tcPr>
            <w:tcW w:w="50" w:type="pct"/>
            <w:noWrap/>
            <w:tcMar>
              <w:top w:w="5" w:type="dxa"/>
              <w:left w:w="5" w:type="dxa"/>
              <w:bottom w:w="5" w:type="dxa"/>
              <w:right w:w="5" w:type="dxa"/>
            </w:tcMar>
            <w:vAlign w:val="bottom"/>
            <w:hideMark/>
          </w:tcPr>
          <w:p w14:paraId="23D388B4" w14:textId="77777777" w:rsidR="00954279" w:rsidRDefault="00A66714">
            <w:pPr>
              <w:rPr>
                <w:color w:val="000000"/>
                <w:sz w:val="20"/>
                <w:szCs w:val="20"/>
              </w:rPr>
            </w:pPr>
            <w:r>
              <w:rPr>
                <w:color w:val="000000"/>
                <w:sz w:val="20"/>
                <w:szCs w:val="20"/>
              </w:rPr>
              <w:t> </w:t>
            </w:r>
          </w:p>
        </w:tc>
      </w:tr>
      <w:tr w:rsidR="00954279" w14:paraId="07C175A3" w14:textId="77777777">
        <w:tc>
          <w:tcPr>
            <w:tcW w:w="0" w:type="auto"/>
            <w:tcMar>
              <w:top w:w="5" w:type="dxa"/>
              <w:left w:w="5" w:type="dxa"/>
              <w:bottom w:w="5" w:type="dxa"/>
              <w:right w:w="5" w:type="dxa"/>
            </w:tcMar>
            <w:vAlign w:val="bottom"/>
            <w:hideMark/>
          </w:tcPr>
          <w:p w14:paraId="20E25738" w14:textId="77777777" w:rsidR="00954279" w:rsidRDefault="00A66714">
            <w:pPr>
              <w:rPr>
                <w:color w:val="000000"/>
                <w:sz w:val="20"/>
                <w:szCs w:val="20"/>
              </w:rPr>
            </w:pPr>
            <w:r>
              <w:rPr>
                <w:color w:val="000000"/>
                <w:sz w:val="20"/>
                <w:szCs w:val="20"/>
              </w:rPr>
              <w:t>Less: Interest</w:t>
            </w:r>
          </w:p>
        </w:tc>
        <w:tc>
          <w:tcPr>
            <w:tcW w:w="50" w:type="pct"/>
            <w:tcMar>
              <w:top w:w="5" w:type="dxa"/>
              <w:left w:w="5" w:type="dxa"/>
              <w:bottom w:w="5" w:type="dxa"/>
              <w:right w:w="5" w:type="dxa"/>
            </w:tcMar>
            <w:vAlign w:val="bottom"/>
            <w:hideMark/>
          </w:tcPr>
          <w:p w14:paraId="2638C28E"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A8C98CD" w14:textId="77777777" w:rsidR="00954279" w:rsidRDefault="00A66714">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2ECEDACC" w14:textId="77777777" w:rsidR="00954279" w:rsidRDefault="00A66714">
            <w:pPr>
              <w:jc w:val="right"/>
              <w:rPr>
                <w:color w:val="000000"/>
                <w:sz w:val="20"/>
                <w:szCs w:val="20"/>
              </w:rPr>
            </w:pPr>
            <w:r>
              <w:rPr>
                <w:b/>
                <w:bCs/>
                <w:color w:val="000000"/>
                <w:sz w:val="20"/>
                <w:szCs w:val="20"/>
              </w:rPr>
              <w:t>(123</w:t>
            </w:r>
          </w:p>
        </w:tc>
        <w:tc>
          <w:tcPr>
            <w:tcW w:w="50" w:type="pct"/>
            <w:noWrap/>
            <w:tcMar>
              <w:top w:w="5" w:type="dxa"/>
              <w:left w:w="5" w:type="dxa"/>
              <w:bottom w:w="20" w:type="dxa"/>
              <w:right w:w="5" w:type="dxa"/>
            </w:tcMar>
            <w:vAlign w:val="bottom"/>
            <w:hideMark/>
          </w:tcPr>
          <w:p w14:paraId="50AC9448" w14:textId="77777777" w:rsidR="00954279" w:rsidRDefault="00A66714">
            <w:pPr>
              <w:rPr>
                <w:color w:val="000000"/>
                <w:sz w:val="20"/>
                <w:szCs w:val="20"/>
              </w:rPr>
            </w:pPr>
            <w:r>
              <w:rPr>
                <w:color w:val="000000"/>
                <w:sz w:val="20"/>
                <w:szCs w:val="20"/>
              </w:rPr>
              <w:t>)</w:t>
            </w:r>
          </w:p>
        </w:tc>
      </w:tr>
      <w:tr w:rsidR="00954279" w14:paraId="4E70FC42" w14:textId="77777777">
        <w:tc>
          <w:tcPr>
            <w:tcW w:w="0" w:type="auto"/>
            <w:tcMar>
              <w:top w:w="5" w:type="dxa"/>
              <w:left w:w="5" w:type="dxa"/>
              <w:bottom w:w="5" w:type="dxa"/>
              <w:right w:w="5" w:type="dxa"/>
            </w:tcMar>
            <w:vAlign w:val="bottom"/>
            <w:hideMark/>
          </w:tcPr>
          <w:p w14:paraId="23CA9BC6" w14:textId="77777777" w:rsidR="00954279" w:rsidRDefault="00A66714">
            <w:pPr>
              <w:rPr>
                <w:color w:val="000000"/>
                <w:sz w:val="20"/>
                <w:szCs w:val="20"/>
              </w:rPr>
            </w:pPr>
            <w:r>
              <w:rPr>
                <w:color w:val="000000"/>
                <w:sz w:val="20"/>
                <w:szCs w:val="20"/>
              </w:rPr>
              <w:t>Present value of lease liabilities</w:t>
            </w:r>
          </w:p>
        </w:tc>
        <w:tc>
          <w:tcPr>
            <w:tcW w:w="50" w:type="pct"/>
            <w:tcMar>
              <w:top w:w="5" w:type="dxa"/>
              <w:left w:w="5" w:type="dxa"/>
              <w:bottom w:w="5" w:type="dxa"/>
              <w:right w:w="5" w:type="dxa"/>
            </w:tcMar>
            <w:vAlign w:val="bottom"/>
            <w:hideMark/>
          </w:tcPr>
          <w:p w14:paraId="2EC6BF31"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9A1807D" w14:textId="77777777" w:rsidR="00954279" w:rsidRDefault="00A66714">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63CAEC09" w14:textId="77777777" w:rsidR="00954279" w:rsidRDefault="00A66714">
            <w:pPr>
              <w:jc w:val="right"/>
              <w:rPr>
                <w:color w:val="000000"/>
                <w:sz w:val="20"/>
                <w:szCs w:val="20"/>
              </w:rPr>
            </w:pPr>
            <w:r>
              <w:rPr>
                <w:b/>
                <w:bCs/>
                <w:color w:val="000000"/>
                <w:sz w:val="20"/>
                <w:szCs w:val="20"/>
              </w:rPr>
              <w:t>211</w:t>
            </w:r>
          </w:p>
        </w:tc>
        <w:tc>
          <w:tcPr>
            <w:tcW w:w="50" w:type="pct"/>
            <w:noWrap/>
            <w:tcMar>
              <w:top w:w="5" w:type="dxa"/>
              <w:left w:w="5" w:type="dxa"/>
              <w:bottom w:w="50" w:type="dxa"/>
              <w:right w:w="5" w:type="dxa"/>
            </w:tcMar>
            <w:vAlign w:val="bottom"/>
            <w:hideMark/>
          </w:tcPr>
          <w:p w14:paraId="7ACE110C" w14:textId="77777777" w:rsidR="00954279" w:rsidRDefault="00A66714">
            <w:pPr>
              <w:rPr>
                <w:color w:val="000000"/>
                <w:sz w:val="20"/>
                <w:szCs w:val="20"/>
              </w:rPr>
            </w:pPr>
            <w:r>
              <w:rPr>
                <w:color w:val="000000"/>
                <w:sz w:val="20"/>
                <w:szCs w:val="20"/>
              </w:rPr>
              <w:t> </w:t>
            </w:r>
          </w:p>
        </w:tc>
      </w:tr>
    </w:tbl>
    <w:p w14:paraId="5F8A5667" w14:textId="77777777" w:rsidR="00954279" w:rsidRDefault="00A66714">
      <w:pPr>
        <w:ind w:left="144" w:right="144"/>
        <w:rPr>
          <w:sz w:val="20"/>
          <w:szCs w:val="20"/>
        </w:rPr>
      </w:pPr>
      <w:r>
        <w:rPr>
          <w:sz w:val="20"/>
          <w:szCs w:val="20"/>
        </w:rPr>
        <w:t> </w:t>
      </w:r>
    </w:p>
    <w:p w14:paraId="592192DF" w14:textId="77777777" w:rsidR="00954279" w:rsidRDefault="00A66714">
      <w:pPr>
        <w:ind w:left="144" w:right="144"/>
        <w:rPr>
          <w:sz w:val="20"/>
          <w:szCs w:val="20"/>
        </w:rPr>
      </w:pPr>
      <w:r>
        <w:rPr>
          <w:sz w:val="20"/>
          <w:szCs w:val="20"/>
        </w:rPr>
        <w:t>Amounts maturing after 2025 include expected renewals for leases of regional distribution centers and certain corporate offices through dates up to 2049.</w:t>
      </w:r>
    </w:p>
    <w:p w14:paraId="780C4C9A" w14:textId="77777777" w:rsidR="00954279" w:rsidRDefault="00A66714">
      <w:pPr>
        <w:ind w:left="144" w:right="144"/>
        <w:rPr>
          <w:sz w:val="20"/>
          <w:szCs w:val="20"/>
        </w:rPr>
      </w:pPr>
      <w:r>
        <w:rPr>
          <w:sz w:val="20"/>
          <w:szCs w:val="20"/>
        </w:rPr>
        <w:t> </w:t>
      </w:r>
    </w:p>
    <w:p w14:paraId="0AE396C0" w14:textId="77777777" w:rsidR="00954279" w:rsidRDefault="00A66714">
      <w:pPr>
        <w:ind w:left="144" w:right="144"/>
        <w:rPr>
          <w:sz w:val="20"/>
          <w:szCs w:val="20"/>
        </w:rPr>
      </w:pPr>
      <w:r>
        <w:rPr>
          <w:sz w:val="20"/>
          <w:szCs w:val="20"/>
        </w:rPr>
        <w:t>The term and discount rate associated with leases are as follows:</w:t>
      </w:r>
    </w:p>
    <w:p w14:paraId="581AFF51" w14:textId="77777777" w:rsidR="00954279" w:rsidRDefault="00A66714">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9154"/>
        <w:gridCol w:w="82"/>
        <w:gridCol w:w="83"/>
        <w:gridCol w:w="1271"/>
        <w:gridCol w:w="210"/>
      </w:tblGrid>
      <w:tr w:rsidR="00954279" w14:paraId="0A71A79A" w14:textId="77777777">
        <w:tc>
          <w:tcPr>
            <w:tcW w:w="0" w:type="auto"/>
            <w:tcMar>
              <w:top w:w="5" w:type="dxa"/>
              <w:left w:w="5" w:type="dxa"/>
              <w:bottom w:w="5" w:type="dxa"/>
              <w:right w:w="5" w:type="dxa"/>
            </w:tcMar>
            <w:vAlign w:val="bottom"/>
            <w:hideMark/>
          </w:tcPr>
          <w:p w14:paraId="1EC1AFC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781279C"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00D935A3" w14:textId="77777777" w:rsidR="00954279" w:rsidRDefault="00A66714">
            <w:pPr>
              <w:jc w:val="center"/>
              <w:rPr>
                <w:color w:val="000000"/>
                <w:sz w:val="20"/>
                <w:szCs w:val="20"/>
              </w:rPr>
            </w:pPr>
            <w:r>
              <w:rPr>
                <w:b/>
                <w:bCs/>
                <w:color w:val="000000"/>
                <w:sz w:val="20"/>
                <w:szCs w:val="20"/>
              </w:rPr>
              <w:t>June 30,</w:t>
            </w:r>
          </w:p>
        </w:tc>
        <w:tc>
          <w:tcPr>
            <w:tcW w:w="0" w:type="auto"/>
            <w:tcMar>
              <w:top w:w="5" w:type="dxa"/>
              <w:left w:w="5" w:type="dxa"/>
              <w:bottom w:w="5" w:type="dxa"/>
              <w:right w:w="5" w:type="dxa"/>
            </w:tcMar>
            <w:vAlign w:val="bottom"/>
            <w:hideMark/>
          </w:tcPr>
          <w:p w14:paraId="27EB56E7" w14:textId="77777777" w:rsidR="00954279" w:rsidRDefault="00A66714">
            <w:pPr>
              <w:rPr>
                <w:color w:val="000000"/>
                <w:sz w:val="20"/>
                <w:szCs w:val="20"/>
              </w:rPr>
            </w:pPr>
            <w:r>
              <w:rPr>
                <w:color w:val="000000"/>
                <w:sz w:val="20"/>
                <w:szCs w:val="20"/>
              </w:rPr>
              <w:t> </w:t>
            </w:r>
          </w:p>
        </w:tc>
      </w:tr>
      <w:tr w:rsidR="00954279" w14:paraId="24C63A90" w14:textId="77777777">
        <w:tc>
          <w:tcPr>
            <w:tcW w:w="4250" w:type="pct"/>
            <w:tcBorders>
              <w:bottom w:val="single" w:sz="12" w:space="0" w:color="000000"/>
            </w:tcBorders>
            <w:tcMar>
              <w:top w:w="5" w:type="dxa"/>
              <w:left w:w="5" w:type="dxa"/>
              <w:bottom w:w="15" w:type="dxa"/>
              <w:right w:w="5" w:type="dxa"/>
            </w:tcMar>
            <w:vAlign w:val="bottom"/>
            <w:hideMark/>
          </w:tcPr>
          <w:p w14:paraId="45376918" w14:textId="77777777" w:rsidR="00954279" w:rsidRDefault="00A66714">
            <w:pPr>
              <w:rPr>
                <w:color w:val="000000"/>
                <w:sz w:val="20"/>
                <w:szCs w:val="20"/>
              </w:rPr>
            </w:pPr>
            <w:r>
              <w:rPr>
                <w:b/>
                <w:bCs/>
                <w:color w:val="000000"/>
                <w:sz w:val="20"/>
                <w:szCs w:val="20"/>
              </w:rPr>
              <w:t>Operating Lease Term and Discount Rate</w:t>
            </w:r>
          </w:p>
        </w:tc>
        <w:tc>
          <w:tcPr>
            <w:tcW w:w="0" w:type="auto"/>
            <w:tcMar>
              <w:top w:w="5" w:type="dxa"/>
              <w:left w:w="5" w:type="dxa"/>
              <w:bottom w:w="5" w:type="dxa"/>
              <w:right w:w="5" w:type="dxa"/>
            </w:tcMar>
            <w:vAlign w:val="bottom"/>
            <w:hideMark/>
          </w:tcPr>
          <w:p w14:paraId="79C78B01" w14:textId="77777777" w:rsidR="00954279" w:rsidRDefault="00A66714">
            <w:pPr>
              <w:rPr>
                <w:color w:val="000000"/>
                <w:sz w:val="20"/>
                <w:szCs w:val="20"/>
              </w:rPr>
            </w:pPr>
            <w:r>
              <w:rPr>
                <w:color w:val="000000"/>
                <w:sz w:val="20"/>
                <w:szCs w:val="20"/>
              </w:rPr>
              <w:t> </w:t>
            </w:r>
          </w:p>
        </w:tc>
        <w:tc>
          <w:tcPr>
            <w:tcW w:w="0" w:type="auto"/>
            <w:gridSpan w:val="2"/>
            <w:tcBorders>
              <w:bottom w:val="single" w:sz="12" w:space="0" w:color="000000"/>
            </w:tcBorders>
            <w:tcMar>
              <w:top w:w="5" w:type="dxa"/>
              <w:left w:w="5" w:type="dxa"/>
              <w:bottom w:w="15" w:type="dxa"/>
              <w:right w:w="5" w:type="dxa"/>
            </w:tcMar>
            <w:vAlign w:val="bottom"/>
            <w:hideMark/>
          </w:tcPr>
          <w:p w14:paraId="772CA03E" w14:textId="77777777" w:rsidR="00954279" w:rsidRDefault="00A66714">
            <w:pPr>
              <w:jc w:val="center"/>
              <w:rPr>
                <w:color w:val="000000"/>
                <w:sz w:val="20"/>
                <w:szCs w:val="20"/>
              </w:rPr>
            </w:pPr>
            <w:r>
              <w:rPr>
                <w:b/>
                <w:bCs/>
                <w:color w:val="000000"/>
                <w:sz w:val="20"/>
                <w:szCs w:val="20"/>
              </w:rPr>
              <w:t>2021</w:t>
            </w:r>
          </w:p>
        </w:tc>
        <w:tc>
          <w:tcPr>
            <w:tcW w:w="0" w:type="auto"/>
            <w:tcMar>
              <w:top w:w="5" w:type="dxa"/>
              <w:left w:w="5" w:type="dxa"/>
              <w:bottom w:w="20" w:type="dxa"/>
              <w:right w:w="5" w:type="dxa"/>
            </w:tcMar>
            <w:vAlign w:val="bottom"/>
            <w:hideMark/>
          </w:tcPr>
          <w:p w14:paraId="060C6689" w14:textId="77777777" w:rsidR="00954279" w:rsidRDefault="00A66714">
            <w:pPr>
              <w:rPr>
                <w:color w:val="000000"/>
                <w:sz w:val="20"/>
                <w:szCs w:val="20"/>
              </w:rPr>
            </w:pPr>
            <w:r>
              <w:rPr>
                <w:color w:val="000000"/>
                <w:sz w:val="20"/>
                <w:szCs w:val="20"/>
              </w:rPr>
              <w:t> </w:t>
            </w:r>
          </w:p>
        </w:tc>
      </w:tr>
      <w:tr w:rsidR="00954279" w14:paraId="648B411F" w14:textId="77777777">
        <w:tc>
          <w:tcPr>
            <w:tcW w:w="0" w:type="auto"/>
            <w:tcMar>
              <w:top w:w="5" w:type="dxa"/>
              <w:left w:w="5" w:type="dxa"/>
              <w:bottom w:w="5" w:type="dxa"/>
              <w:right w:w="5" w:type="dxa"/>
            </w:tcMar>
            <w:vAlign w:val="bottom"/>
            <w:hideMark/>
          </w:tcPr>
          <w:p w14:paraId="63C160E8" w14:textId="77777777" w:rsidR="00954279" w:rsidRDefault="00A66714">
            <w:pPr>
              <w:rPr>
                <w:color w:val="000000"/>
                <w:sz w:val="20"/>
                <w:szCs w:val="20"/>
              </w:rPr>
            </w:pPr>
            <w:r>
              <w:rPr>
                <w:color w:val="000000"/>
                <w:sz w:val="20"/>
                <w:szCs w:val="20"/>
              </w:rPr>
              <w:t>Weighted-average remaining lease term (years)</w:t>
            </w:r>
          </w:p>
        </w:tc>
        <w:tc>
          <w:tcPr>
            <w:tcW w:w="50" w:type="pct"/>
            <w:tcMar>
              <w:top w:w="5" w:type="dxa"/>
              <w:left w:w="5" w:type="dxa"/>
              <w:bottom w:w="5" w:type="dxa"/>
              <w:right w:w="5" w:type="dxa"/>
            </w:tcMar>
            <w:vAlign w:val="bottom"/>
            <w:hideMark/>
          </w:tcPr>
          <w:p w14:paraId="0CAF7FC6"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3C57A17"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9E98FD0" w14:textId="77777777" w:rsidR="00954279" w:rsidRDefault="00A66714">
            <w:pPr>
              <w:jc w:val="right"/>
              <w:rPr>
                <w:color w:val="000000"/>
                <w:sz w:val="20"/>
                <w:szCs w:val="20"/>
              </w:rPr>
            </w:pPr>
            <w:r>
              <w:rPr>
                <w:b/>
                <w:bCs/>
                <w:color w:val="000000"/>
                <w:sz w:val="20"/>
                <w:szCs w:val="20"/>
              </w:rPr>
              <w:t>14</w:t>
            </w:r>
          </w:p>
        </w:tc>
        <w:tc>
          <w:tcPr>
            <w:tcW w:w="50" w:type="pct"/>
            <w:noWrap/>
            <w:tcMar>
              <w:top w:w="5" w:type="dxa"/>
              <w:left w:w="5" w:type="dxa"/>
              <w:bottom w:w="5" w:type="dxa"/>
              <w:right w:w="5" w:type="dxa"/>
            </w:tcMar>
            <w:vAlign w:val="bottom"/>
            <w:hideMark/>
          </w:tcPr>
          <w:p w14:paraId="603ECEAA" w14:textId="77777777" w:rsidR="00954279" w:rsidRDefault="00A66714">
            <w:pPr>
              <w:rPr>
                <w:color w:val="000000"/>
                <w:sz w:val="20"/>
                <w:szCs w:val="20"/>
              </w:rPr>
            </w:pPr>
            <w:r>
              <w:rPr>
                <w:color w:val="000000"/>
                <w:sz w:val="20"/>
                <w:szCs w:val="20"/>
              </w:rPr>
              <w:t> </w:t>
            </w:r>
          </w:p>
        </w:tc>
      </w:tr>
      <w:tr w:rsidR="00954279" w14:paraId="0F2718B1" w14:textId="77777777">
        <w:tc>
          <w:tcPr>
            <w:tcW w:w="0" w:type="auto"/>
            <w:tcMar>
              <w:top w:w="5" w:type="dxa"/>
              <w:left w:w="5" w:type="dxa"/>
              <w:bottom w:w="5" w:type="dxa"/>
              <w:right w:w="5" w:type="dxa"/>
            </w:tcMar>
            <w:vAlign w:val="bottom"/>
            <w:hideMark/>
          </w:tcPr>
          <w:p w14:paraId="4D4E3BA5" w14:textId="77777777" w:rsidR="00954279" w:rsidRDefault="00A66714">
            <w:pPr>
              <w:rPr>
                <w:color w:val="000000"/>
                <w:sz w:val="20"/>
                <w:szCs w:val="20"/>
              </w:rPr>
            </w:pPr>
            <w:r>
              <w:rPr>
                <w:color w:val="000000"/>
                <w:sz w:val="20"/>
                <w:szCs w:val="20"/>
              </w:rPr>
              <w:t>Weighted-average discount rate</w:t>
            </w:r>
          </w:p>
        </w:tc>
        <w:tc>
          <w:tcPr>
            <w:tcW w:w="50" w:type="pct"/>
            <w:tcMar>
              <w:top w:w="5" w:type="dxa"/>
              <w:left w:w="5" w:type="dxa"/>
              <w:bottom w:w="5" w:type="dxa"/>
              <w:right w:w="5" w:type="dxa"/>
            </w:tcMar>
            <w:vAlign w:val="bottom"/>
            <w:hideMark/>
          </w:tcPr>
          <w:p w14:paraId="4D530CA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619F343"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C95FD79" w14:textId="77777777" w:rsidR="00954279" w:rsidRDefault="00A66714">
            <w:pPr>
              <w:jc w:val="right"/>
              <w:rPr>
                <w:color w:val="000000"/>
                <w:sz w:val="20"/>
                <w:szCs w:val="20"/>
              </w:rPr>
            </w:pPr>
            <w:r>
              <w:rPr>
                <w:b/>
                <w:bCs/>
                <w:color w:val="000000"/>
                <w:sz w:val="20"/>
                <w:szCs w:val="20"/>
              </w:rPr>
              <w:t>6.8</w:t>
            </w:r>
          </w:p>
        </w:tc>
        <w:tc>
          <w:tcPr>
            <w:tcW w:w="50" w:type="pct"/>
            <w:noWrap/>
            <w:tcMar>
              <w:top w:w="5" w:type="dxa"/>
              <w:left w:w="5" w:type="dxa"/>
              <w:bottom w:w="5" w:type="dxa"/>
              <w:right w:w="5" w:type="dxa"/>
            </w:tcMar>
            <w:vAlign w:val="bottom"/>
            <w:hideMark/>
          </w:tcPr>
          <w:p w14:paraId="1129E446" w14:textId="77777777" w:rsidR="00954279" w:rsidRDefault="00A66714">
            <w:pPr>
              <w:rPr>
                <w:color w:val="000000"/>
                <w:sz w:val="20"/>
                <w:szCs w:val="20"/>
              </w:rPr>
            </w:pPr>
            <w:r>
              <w:rPr>
                <w:b/>
                <w:bCs/>
                <w:color w:val="000000"/>
                <w:sz w:val="20"/>
                <w:szCs w:val="20"/>
              </w:rPr>
              <w:t>%</w:t>
            </w:r>
          </w:p>
        </w:tc>
      </w:tr>
    </w:tbl>
    <w:p w14:paraId="69EAE7CF" w14:textId="77777777" w:rsidR="00954279" w:rsidRDefault="00A66714">
      <w:pPr>
        <w:ind w:left="144" w:right="144"/>
        <w:jc w:val="center"/>
        <w:rPr>
          <w:sz w:val="20"/>
          <w:szCs w:val="20"/>
        </w:rPr>
      </w:pPr>
      <w:r>
        <w:rPr>
          <w:sz w:val="20"/>
          <w:szCs w:val="20"/>
        </w:rPr>
        <w:t> </w:t>
      </w:r>
    </w:p>
    <w:p w14:paraId="73CBE22A" w14:textId="77777777" w:rsidR="00954279" w:rsidRDefault="00A66714">
      <w:pPr>
        <w:ind w:left="144" w:right="144"/>
        <w:rPr>
          <w:sz w:val="20"/>
          <w:szCs w:val="20"/>
        </w:rPr>
      </w:pPr>
      <w:r>
        <w:rPr>
          <w:sz w:val="20"/>
          <w:szCs w:val="20"/>
        </w:rPr>
        <w:t> </w:t>
      </w:r>
    </w:p>
    <w:p w14:paraId="6FB049A9" w14:textId="77777777" w:rsidR="00954279" w:rsidRDefault="00A66714">
      <w:pPr>
        <w:ind w:left="144" w:right="144"/>
        <w:jc w:val="center"/>
        <w:rPr>
          <w:sz w:val="20"/>
          <w:szCs w:val="20"/>
        </w:rPr>
      </w:pPr>
      <w:r>
        <w:rPr>
          <w:sz w:val="20"/>
          <w:szCs w:val="20"/>
        </w:rPr>
        <w:t>9</w:t>
      </w:r>
    </w:p>
    <w:p w14:paraId="5906C185" w14:textId="7065AB7C" w:rsidR="00954279" w:rsidRDefault="00A66714" w:rsidP="00717712">
      <w:pPr>
        <w:ind w:right="144"/>
        <w:rPr>
          <w:sz w:val="20"/>
          <w:szCs w:val="20"/>
        </w:rPr>
      </w:pPr>
      <w:r>
        <w:rPr>
          <w:sz w:val="20"/>
          <w:szCs w:val="20"/>
        </w:rPr>
        <w:br w:type="page"/>
      </w:r>
    </w:p>
    <w:p w14:paraId="1517EA2E" w14:textId="7752CFEE" w:rsidR="00954279" w:rsidRDefault="00A66714" w:rsidP="00717712">
      <w:pPr>
        <w:ind w:left="144" w:right="144"/>
        <w:rPr>
          <w:sz w:val="20"/>
          <w:szCs w:val="20"/>
        </w:rPr>
      </w:pPr>
      <w:r>
        <w:rPr>
          <w:b/>
          <w:bCs/>
          <w:sz w:val="20"/>
          <w:szCs w:val="20"/>
          <w:u w:val="single"/>
        </w:rPr>
        <w:lastRenderedPageBreak/>
        <w:t>NOTE 5 – GOODWILL AND INTANGIBLE ASSET IMPAIRMENT </w:t>
      </w:r>
    </w:p>
    <w:p w14:paraId="28E6029E" w14:textId="77777777" w:rsidR="00954279" w:rsidRDefault="00A66714">
      <w:pPr>
        <w:ind w:left="144" w:right="144"/>
        <w:rPr>
          <w:sz w:val="20"/>
          <w:szCs w:val="20"/>
        </w:rPr>
      </w:pPr>
      <w:r>
        <w:rPr>
          <w:sz w:val="20"/>
          <w:szCs w:val="20"/>
        </w:rPr>
        <w:t>We apply a fair value-based impairment test to the carrying value of goodwill and indefinite-lived intangible assets on an annual basis (as of October 1) and, if certain events or circumstances indicate that an impairment loss may have been incurred, on an interim basis.</w:t>
      </w:r>
    </w:p>
    <w:p w14:paraId="1AFF32EE" w14:textId="77777777" w:rsidR="00954279" w:rsidRDefault="00A66714">
      <w:pPr>
        <w:ind w:left="144" w:right="144"/>
        <w:rPr>
          <w:sz w:val="20"/>
          <w:szCs w:val="20"/>
        </w:rPr>
      </w:pPr>
      <w:r>
        <w:rPr>
          <w:sz w:val="20"/>
          <w:szCs w:val="20"/>
        </w:rPr>
        <w:t> </w:t>
      </w:r>
    </w:p>
    <w:p w14:paraId="4B518B88" w14:textId="77777777" w:rsidR="00954279" w:rsidRDefault="00A66714">
      <w:pPr>
        <w:ind w:left="144" w:right="144"/>
        <w:rPr>
          <w:sz w:val="20"/>
          <w:szCs w:val="20"/>
        </w:rPr>
      </w:pPr>
      <w:r>
        <w:rPr>
          <w:sz w:val="20"/>
          <w:szCs w:val="20"/>
        </w:rPr>
        <w:t>In 2020, demand for oil and natural gas declined sharply as a result of the COVID-19 pandemic. This disruption in demand and the resulting decline in the price of oil had a dramatic negative impact on our business. We experienced a significant reduction in sales beginning in April 2020, which continued throughout the second quarter of 2020. At that time, there remained ongoing uncertainty around the timing and extent of any recovery. We took a more pessimistic long-term outlook due to the significant reduction in the demand for oil, the implications of that demand destruction on the price of oil for an extended period of time and actions our customers had taken to curtail costs and reduce spending. As a result of those developments, we concluded that it was more likely than not the fair values of our U.S. and International reporting units were lower than their carrying values. Accordingly, we completed an interim goodwill impairment test as of April 30, 2020. This test resulted in a $217 million goodwill impairment charge during the year ended December 31, 2020 comprised of $177 million in our U.S. reporting unit and $40 million in our International reporting unit. Following the impairment charges, the goodwill balance in our U.S. reporting unit was $264 million as of June 30, 2021 and December 31, 2020. There is no remaining goodwill in our Canada or International reporting units.</w:t>
      </w:r>
    </w:p>
    <w:p w14:paraId="1262CDA8" w14:textId="77777777" w:rsidR="00954279" w:rsidRDefault="00A66714">
      <w:pPr>
        <w:ind w:left="288" w:right="288"/>
        <w:rPr>
          <w:sz w:val="20"/>
          <w:szCs w:val="20"/>
        </w:rPr>
      </w:pPr>
      <w:r>
        <w:rPr>
          <w:sz w:val="20"/>
          <w:szCs w:val="20"/>
        </w:rPr>
        <w:t> </w:t>
      </w:r>
    </w:p>
    <w:p w14:paraId="7378530F" w14:textId="77777777" w:rsidR="00954279" w:rsidRDefault="00A66714">
      <w:pPr>
        <w:ind w:left="144" w:right="144"/>
        <w:rPr>
          <w:sz w:val="20"/>
          <w:szCs w:val="20"/>
        </w:rPr>
      </w:pPr>
      <w:r>
        <w:rPr>
          <w:sz w:val="20"/>
          <w:szCs w:val="20"/>
        </w:rPr>
        <w:t>As a result of the same factors that necessitated an interim impairment test for goodwill, we completed an interim impairment test, as of April 30, 2020, for our U.S. indefinite-lived tradename asset. This test resulted in an impairment charge of $25 million during the year ended December 31, 2020. The remaining balance of the indefinite-lived tradename was $107 million as of </w:t>
      </w:r>
      <w:bookmarkStart w:id="14" w:name="led65144F20207261598471868235"/>
      <w:r>
        <w:rPr>
          <w:sz w:val="20"/>
          <w:szCs w:val="20"/>
        </w:rPr>
        <w:t>June 30, 2021</w:t>
      </w:r>
      <w:bookmarkEnd w:id="14"/>
      <w:r>
        <w:rPr>
          <w:sz w:val="20"/>
          <w:szCs w:val="20"/>
        </w:rPr>
        <w:t>. The U.S. tradename is our only indefinite-lived intangible asset.</w:t>
      </w:r>
    </w:p>
    <w:p w14:paraId="6A176D05" w14:textId="77777777" w:rsidR="00954279" w:rsidRDefault="00A66714">
      <w:pPr>
        <w:ind w:left="144" w:right="144"/>
        <w:rPr>
          <w:sz w:val="20"/>
          <w:szCs w:val="20"/>
        </w:rPr>
      </w:pPr>
      <w:r>
        <w:rPr>
          <w:sz w:val="20"/>
          <w:szCs w:val="20"/>
        </w:rPr>
        <w:t> </w:t>
      </w:r>
    </w:p>
    <w:p w14:paraId="1FBE3B59" w14:textId="77777777" w:rsidR="00954279" w:rsidRDefault="00A66714">
      <w:pPr>
        <w:ind w:left="144" w:right="144"/>
        <w:rPr>
          <w:sz w:val="20"/>
          <w:szCs w:val="20"/>
        </w:rPr>
      </w:pPr>
      <w:r>
        <w:rPr>
          <w:sz w:val="20"/>
          <w:szCs w:val="20"/>
        </w:rPr>
        <w:t>Our impairment test uses discounted cash flow and multiples of cash earnings valuation techniques, acquisition control premium and valuation comparisons to similar businesses to determine the fair value of a reporting unit. Each of these methods involves Level 3 unobservable market inputs and require us to make certain assumptions and estimates including future operating results, the extent and timing of future cash flows, working capital requirements, sales prices, profitability, discount rates, sales growth trends and cost trends. As of April 30, 2020, the discount rates utilized to value the reporting units were in a range from 9.75% to 11.25%. We utilized third-party valuation advisors to assist us with these valuations. These impairment tests incorporate inherent uncertainties, which are difficult to predict in volatile economic environments. While we believe that our assumptions and estimates were reasonable, actual results may differ materially from projected results which could result in the recognition of additional impairment charges in future periods.</w:t>
      </w:r>
    </w:p>
    <w:p w14:paraId="5FF799B3" w14:textId="77777777" w:rsidR="00954279" w:rsidRDefault="00A66714">
      <w:pPr>
        <w:ind w:left="144" w:right="144"/>
        <w:rPr>
          <w:sz w:val="20"/>
          <w:szCs w:val="20"/>
        </w:rPr>
      </w:pPr>
      <w:r>
        <w:rPr>
          <w:sz w:val="20"/>
          <w:szCs w:val="20"/>
        </w:rPr>
        <w:t> </w:t>
      </w:r>
    </w:p>
    <w:p w14:paraId="2B83D067" w14:textId="3197BF0A" w:rsidR="00954279" w:rsidRDefault="00A66714" w:rsidP="00717712">
      <w:pPr>
        <w:ind w:left="144" w:right="144"/>
        <w:rPr>
          <w:sz w:val="20"/>
          <w:szCs w:val="20"/>
        </w:rPr>
      </w:pPr>
      <w:r>
        <w:rPr>
          <w:sz w:val="20"/>
          <w:szCs w:val="20"/>
        </w:rPr>
        <w:t xml:space="preserve">As of June 30, 2021, there was no indication that it was more likely than not the fair value of our U.S. reporting unit was lower than </w:t>
      </w:r>
      <w:proofErr w:type="gramStart"/>
      <w:r>
        <w:rPr>
          <w:sz w:val="20"/>
          <w:szCs w:val="20"/>
        </w:rPr>
        <w:t>its</w:t>
      </w:r>
      <w:proofErr w:type="gramEnd"/>
      <w:r>
        <w:rPr>
          <w:sz w:val="20"/>
          <w:szCs w:val="20"/>
        </w:rPr>
        <w:t xml:space="preserve"> carrying value. No goodwill or intangible asset impairment charges were recorded in the three or six months ended June</w:t>
      </w:r>
      <w:r w:rsidR="007118B7">
        <w:rPr>
          <w:sz w:val="20"/>
          <w:szCs w:val="20"/>
        </w:rPr>
        <w:t> </w:t>
      </w:r>
      <w:r>
        <w:rPr>
          <w:sz w:val="20"/>
          <w:szCs w:val="20"/>
        </w:rPr>
        <w:t>30, 2021. </w:t>
      </w:r>
    </w:p>
    <w:p w14:paraId="7ADED8A8" w14:textId="77777777" w:rsidR="00954279" w:rsidRDefault="00A66714">
      <w:pPr>
        <w:ind w:left="144" w:right="144"/>
        <w:rPr>
          <w:sz w:val="20"/>
          <w:szCs w:val="20"/>
        </w:rPr>
      </w:pPr>
      <w:r>
        <w:rPr>
          <w:sz w:val="20"/>
          <w:szCs w:val="20"/>
        </w:rPr>
        <w:t> </w:t>
      </w:r>
    </w:p>
    <w:p w14:paraId="453D8CB8" w14:textId="205B3C8D" w:rsidR="00954279" w:rsidRDefault="00A66714" w:rsidP="00717712">
      <w:pPr>
        <w:ind w:left="144" w:right="144"/>
        <w:rPr>
          <w:sz w:val="20"/>
          <w:szCs w:val="20"/>
        </w:rPr>
      </w:pPr>
      <w:r>
        <w:rPr>
          <w:b/>
          <w:bCs/>
          <w:sz w:val="20"/>
          <w:szCs w:val="20"/>
          <w:u w:val="single"/>
        </w:rPr>
        <w:t>NOTE 6 – LONG-TERM DEBT</w:t>
      </w:r>
    </w:p>
    <w:p w14:paraId="654C4802" w14:textId="77777777" w:rsidR="00954279" w:rsidRDefault="00A66714">
      <w:pPr>
        <w:ind w:left="144" w:right="144"/>
        <w:rPr>
          <w:sz w:val="20"/>
          <w:szCs w:val="20"/>
        </w:rPr>
      </w:pPr>
      <w:r>
        <w:rPr>
          <w:sz w:val="20"/>
          <w:szCs w:val="20"/>
        </w:rPr>
        <w:t>The components of our long-term debt are as follows (in millions):</w:t>
      </w:r>
    </w:p>
    <w:tbl>
      <w:tblPr>
        <w:tblStyle w:val="finTable"/>
        <w:tblW w:w="5000" w:type="pct"/>
        <w:tblInd w:w="149" w:type="dxa"/>
        <w:tblCellMar>
          <w:left w:w="0" w:type="dxa"/>
          <w:right w:w="0" w:type="dxa"/>
        </w:tblCellMar>
        <w:tblLook w:val="05E0" w:firstRow="1" w:lastRow="1" w:firstColumn="1" w:lastColumn="1" w:noHBand="0" w:noVBand="1"/>
      </w:tblPr>
      <w:tblGrid>
        <w:gridCol w:w="7559"/>
        <w:gridCol w:w="108"/>
        <w:gridCol w:w="110"/>
        <w:gridCol w:w="1296"/>
        <w:gridCol w:w="108"/>
        <w:gridCol w:w="108"/>
        <w:gridCol w:w="111"/>
        <w:gridCol w:w="1296"/>
        <w:gridCol w:w="104"/>
      </w:tblGrid>
      <w:tr w:rsidR="00954279" w14:paraId="7D3D36A4" w14:textId="77777777">
        <w:tc>
          <w:tcPr>
            <w:tcW w:w="0" w:type="auto"/>
            <w:tcMar>
              <w:top w:w="5" w:type="dxa"/>
              <w:left w:w="5" w:type="dxa"/>
              <w:bottom w:w="5" w:type="dxa"/>
              <w:right w:w="5" w:type="dxa"/>
            </w:tcMar>
            <w:vAlign w:val="bottom"/>
            <w:hideMark/>
          </w:tcPr>
          <w:p w14:paraId="757A1842" w14:textId="76EDAB43" w:rsidR="00954279" w:rsidRDefault="00A66714">
            <w:pPr>
              <w:rPr>
                <w:color w:val="000000"/>
                <w:sz w:val="20"/>
                <w:szCs w:val="20"/>
              </w:rPr>
            </w:pPr>
            <w:r>
              <w:rPr>
                <w:sz w:val="20"/>
                <w:szCs w:val="20"/>
              </w:rPr>
              <w:t> </w:t>
            </w:r>
            <w:r>
              <w:rPr>
                <w:color w:val="000000"/>
                <w:sz w:val="20"/>
                <w:szCs w:val="20"/>
              </w:rPr>
              <w:t> </w:t>
            </w:r>
          </w:p>
        </w:tc>
        <w:tc>
          <w:tcPr>
            <w:tcW w:w="0" w:type="auto"/>
            <w:tcMar>
              <w:top w:w="5" w:type="dxa"/>
              <w:left w:w="5" w:type="dxa"/>
              <w:bottom w:w="5" w:type="dxa"/>
              <w:right w:w="5" w:type="dxa"/>
            </w:tcMar>
            <w:vAlign w:val="bottom"/>
            <w:hideMark/>
          </w:tcPr>
          <w:p w14:paraId="68018D31"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1E927C53" w14:textId="77777777" w:rsidR="00954279" w:rsidRDefault="00A66714">
            <w:pPr>
              <w:jc w:val="center"/>
              <w:rPr>
                <w:color w:val="000000"/>
                <w:sz w:val="20"/>
                <w:szCs w:val="20"/>
              </w:rPr>
            </w:pPr>
            <w:r>
              <w:rPr>
                <w:b/>
                <w:bCs/>
                <w:color w:val="000000"/>
                <w:sz w:val="20"/>
                <w:szCs w:val="20"/>
              </w:rPr>
              <w:t>June 30,</w:t>
            </w:r>
          </w:p>
        </w:tc>
        <w:tc>
          <w:tcPr>
            <w:tcW w:w="0" w:type="auto"/>
            <w:tcMar>
              <w:top w:w="5" w:type="dxa"/>
              <w:left w:w="5" w:type="dxa"/>
              <w:bottom w:w="5" w:type="dxa"/>
              <w:right w:w="5" w:type="dxa"/>
            </w:tcMar>
            <w:vAlign w:val="bottom"/>
            <w:hideMark/>
          </w:tcPr>
          <w:p w14:paraId="74B848B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CCAF9D6"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71DF60BA" w14:textId="77777777" w:rsidR="00954279" w:rsidRDefault="00A66714">
            <w:pPr>
              <w:jc w:val="center"/>
              <w:rPr>
                <w:color w:val="000000"/>
                <w:sz w:val="20"/>
                <w:szCs w:val="20"/>
              </w:rPr>
            </w:pPr>
            <w:r>
              <w:rPr>
                <w:b/>
                <w:bCs/>
                <w:color w:val="000000"/>
                <w:sz w:val="20"/>
                <w:szCs w:val="20"/>
              </w:rPr>
              <w:t>December 31,</w:t>
            </w:r>
          </w:p>
        </w:tc>
        <w:tc>
          <w:tcPr>
            <w:tcW w:w="0" w:type="auto"/>
            <w:tcMar>
              <w:top w:w="5" w:type="dxa"/>
              <w:left w:w="5" w:type="dxa"/>
              <w:bottom w:w="5" w:type="dxa"/>
              <w:right w:w="5" w:type="dxa"/>
            </w:tcMar>
            <w:vAlign w:val="bottom"/>
            <w:hideMark/>
          </w:tcPr>
          <w:p w14:paraId="218EC58B" w14:textId="77777777" w:rsidR="00954279" w:rsidRDefault="00A66714">
            <w:pPr>
              <w:rPr>
                <w:color w:val="000000"/>
                <w:sz w:val="20"/>
                <w:szCs w:val="20"/>
              </w:rPr>
            </w:pPr>
            <w:r>
              <w:rPr>
                <w:color w:val="000000"/>
                <w:sz w:val="20"/>
                <w:szCs w:val="20"/>
              </w:rPr>
              <w:t> </w:t>
            </w:r>
          </w:p>
        </w:tc>
      </w:tr>
      <w:tr w:rsidR="00954279" w14:paraId="39F78946" w14:textId="77777777">
        <w:tc>
          <w:tcPr>
            <w:tcW w:w="0" w:type="auto"/>
            <w:tcMar>
              <w:top w:w="5" w:type="dxa"/>
              <w:left w:w="5" w:type="dxa"/>
              <w:bottom w:w="5" w:type="dxa"/>
              <w:right w:w="5" w:type="dxa"/>
            </w:tcMar>
            <w:vAlign w:val="bottom"/>
            <w:hideMark/>
          </w:tcPr>
          <w:p w14:paraId="306626E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9EFCA3B"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F2E1080" w14:textId="77777777" w:rsidR="00954279" w:rsidRDefault="00A66714">
            <w:pPr>
              <w:jc w:val="center"/>
              <w:rPr>
                <w:color w:val="000000"/>
                <w:sz w:val="20"/>
                <w:szCs w:val="20"/>
              </w:rPr>
            </w:pPr>
            <w:r>
              <w:rPr>
                <w:b/>
                <w:bCs/>
                <w:color w:val="000000"/>
                <w:sz w:val="20"/>
                <w:szCs w:val="20"/>
              </w:rPr>
              <w:t>2021</w:t>
            </w:r>
          </w:p>
        </w:tc>
        <w:tc>
          <w:tcPr>
            <w:tcW w:w="0" w:type="auto"/>
            <w:tcMar>
              <w:top w:w="5" w:type="dxa"/>
              <w:left w:w="5" w:type="dxa"/>
              <w:bottom w:w="20" w:type="dxa"/>
              <w:right w:w="5" w:type="dxa"/>
            </w:tcMar>
            <w:vAlign w:val="bottom"/>
            <w:hideMark/>
          </w:tcPr>
          <w:p w14:paraId="053BDAE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4490EE1"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1CCB477" w14:textId="77777777" w:rsidR="00954279" w:rsidRDefault="00A66714">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05341433" w14:textId="77777777" w:rsidR="00954279" w:rsidRDefault="00A66714">
            <w:pPr>
              <w:rPr>
                <w:color w:val="000000"/>
                <w:sz w:val="20"/>
                <w:szCs w:val="20"/>
              </w:rPr>
            </w:pPr>
            <w:r>
              <w:rPr>
                <w:color w:val="000000"/>
                <w:sz w:val="20"/>
                <w:szCs w:val="20"/>
              </w:rPr>
              <w:t> </w:t>
            </w:r>
          </w:p>
        </w:tc>
      </w:tr>
      <w:tr w:rsidR="00954279" w14:paraId="3F069EEA" w14:textId="77777777" w:rsidTr="00717712">
        <w:tc>
          <w:tcPr>
            <w:tcW w:w="3500" w:type="pct"/>
            <w:tcMar>
              <w:top w:w="5" w:type="dxa"/>
              <w:left w:w="5" w:type="dxa"/>
              <w:bottom w:w="5" w:type="dxa"/>
              <w:right w:w="5" w:type="dxa"/>
            </w:tcMar>
            <w:vAlign w:val="bottom"/>
            <w:hideMark/>
          </w:tcPr>
          <w:p w14:paraId="685A045D" w14:textId="77777777" w:rsidR="00954279" w:rsidRDefault="00A66714">
            <w:pPr>
              <w:rPr>
                <w:color w:val="000000"/>
                <w:sz w:val="20"/>
                <w:szCs w:val="20"/>
              </w:rPr>
            </w:pPr>
            <w:r>
              <w:rPr>
                <w:color w:val="000000"/>
                <w:sz w:val="20"/>
                <w:szCs w:val="20"/>
              </w:rPr>
              <w:t>Senior Secured Term Loan B, net of discount and issuance costs of $1</w:t>
            </w:r>
          </w:p>
        </w:tc>
        <w:tc>
          <w:tcPr>
            <w:tcW w:w="50" w:type="pct"/>
            <w:tcMar>
              <w:top w:w="5" w:type="dxa"/>
              <w:left w:w="5" w:type="dxa"/>
              <w:bottom w:w="5" w:type="dxa"/>
              <w:right w:w="5" w:type="dxa"/>
            </w:tcMar>
            <w:vAlign w:val="bottom"/>
            <w:hideMark/>
          </w:tcPr>
          <w:p w14:paraId="60665DFE"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5230BCED" w14:textId="77777777" w:rsidR="00954279" w:rsidRDefault="00A66714">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32CCC044" w14:textId="77777777" w:rsidR="00954279" w:rsidRDefault="00A66714">
            <w:pPr>
              <w:jc w:val="right"/>
              <w:rPr>
                <w:color w:val="000000"/>
                <w:sz w:val="20"/>
                <w:szCs w:val="20"/>
              </w:rPr>
            </w:pPr>
            <w:r>
              <w:rPr>
                <w:b/>
                <w:bCs/>
                <w:color w:val="000000"/>
                <w:sz w:val="20"/>
                <w:szCs w:val="20"/>
              </w:rPr>
              <w:t>297</w:t>
            </w:r>
          </w:p>
        </w:tc>
        <w:tc>
          <w:tcPr>
            <w:tcW w:w="50" w:type="pct"/>
            <w:noWrap/>
            <w:tcMar>
              <w:top w:w="5" w:type="dxa"/>
              <w:left w:w="5" w:type="dxa"/>
              <w:bottom w:w="5" w:type="dxa"/>
              <w:right w:w="5" w:type="dxa"/>
            </w:tcMar>
            <w:vAlign w:val="bottom"/>
            <w:hideMark/>
          </w:tcPr>
          <w:p w14:paraId="73F8C751"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A036DBB"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609569C9" w14:textId="77777777" w:rsidR="00954279" w:rsidRDefault="00A66714">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5F082F77" w14:textId="77777777" w:rsidR="00954279" w:rsidRDefault="00A66714">
            <w:pPr>
              <w:jc w:val="right"/>
              <w:rPr>
                <w:color w:val="000000"/>
                <w:sz w:val="20"/>
                <w:szCs w:val="20"/>
              </w:rPr>
            </w:pPr>
            <w:r>
              <w:rPr>
                <w:color w:val="000000"/>
                <w:sz w:val="20"/>
                <w:szCs w:val="20"/>
              </w:rPr>
              <w:t>383</w:t>
            </w:r>
          </w:p>
        </w:tc>
        <w:tc>
          <w:tcPr>
            <w:tcW w:w="50" w:type="pct"/>
            <w:noWrap/>
            <w:tcMar>
              <w:top w:w="5" w:type="dxa"/>
              <w:left w:w="5" w:type="dxa"/>
              <w:bottom w:w="5" w:type="dxa"/>
              <w:right w:w="5" w:type="dxa"/>
            </w:tcMar>
            <w:vAlign w:val="bottom"/>
            <w:hideMark/>
          </w:tcPr>
          <w:p w14:paraId="5811D433" w14:textId="77777777" w:rsidR="00954279" w:rsidRDefault="00A66714">
            <w:pPr>
              <w:rPr>
                <w:color w:val="000000"/>
                <w:sz w:val="20"/>
                <w:szCs w:val="20"/>
              </w:rPr>
            </w:pPr>
            <w:r>
              <w:rPr>
                <w:color w:val="000000"/>
                <w:sz w:val="20"/>
                <w:szCs w:val="20"/>
              </w:rPr>
              <w:t> </w:t>
            </w:r>
          </w:p>
        </w:tc>
      </w:tr>
      <w:tr w:rsidR="00954279" w14:paraId="6A7BBE47" w14:textId="77777777" w:rsidTr="00717712">
        <w:tc>
          <w:tcPr>
            <w:tcW w:w="0" w:type="auto"/>
            <w:tcMar>
              <w:top w:w="5" w:type="dxa"/>
              <w:left w:w="5" w:type="dxa"/>
              <w:bottom w:w="5" w:type="dxa"/>
              <w:right w:w="5" w:type="dxa"/>
            </w:tcMar>
            <w:vAlign w:val="bottom"/>
            <w:hideMark/>
          </w:tcPr>
          <w:p w14:paraId="7C0B508B" w14:textId="77777777" w:rsidR="00954279" w:rsidRDefault="00A66714">
            <w:pPr>
              <w:rPr>
                <w:color w:val="000000"/>
                <w:sz w:val="20"/>
                <w:szCs w:val="20"/>
              </w:rPr>
            </w:pPr>
            <w:r>
              <w:rPr>
                <w:color w:val="000000"/>
                <w:sz w:val="20"/>
                <w:szCs w:val="20"/>
              </w:rPr>
              <w:t>Global ABL Facility</w:t>
            </w:r>
          </w:p>
        </w:tc>
        <w:tc>
          <w:tcPr>
            <w:tcW w:w="50" w:type="pct"/>
            <w:tcMar>
              <w:top w:w="5" w:type="dxa"/>
              <w:left w:w="5" w:type="dxa"/>
              <w:bottom w:w="5" w:type="dxa"/>
              <w:right w:w="5" w:type="dxa"/>
            </w:tcMar>
            <w:vAlign w:val="bottom"/>
            <w:hideMark/>
          </w:tcPr>
          <w:p w14:paraId="591DE705" w14:textId="77777777" w:rsidR="00954279" w:rsidRDefault="00A66714">
            <w:pPr>
              <w:rPr>
                <w:color w:val="000000"/>
                <w:sz w:val="20"/>
                <w:szCs w:val="20"/>
              </w:rPr>
            </w:pPr>
            <w:r>
              <w:rPr>
                <w:color w:val="000000"/>
                <w:sz w:val="20"/>
                <w:szCs w:val="20"/>
              </w:rPr>
              <w:t> </w:t>
            </w:r>
          </w:p>
        </w:tc>
        <w:tc>
          <w:tcPr>
            <w:tcW w:w="51" w:type="pct"/>
            <w:tcBorders>
              <w:bottom w:val="single" w:sz="6" w:space="0" w:color="000000"/>
            </w:tcBorders>
            <w:tcMar>
              <w:top w:w="5" w:type="dxa"/>
              <w:left w:w="5" w:type="dxa"/>
              <w:bottom w:w="8" w:type="dxa"/>
              <w:right w:w="5" w:type="dxa"/>
            </w:tcMar>
            <w:vAlign w:val="bottom"/>
            <w:hideMark/>
          </w:tcPr>
          <w:p w14:paraId="6B3494D6" w14:textId="77777777" w:rsidR="00954279" w:rsidRDefault="00A66714">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B3ED6C4" w14:textId="77777777" w:rsidR="00954279" w:rsidRDefault="00A66714">
            <w:pPr>
              <w:jc w:val="right"/>
              <w:rPr>
                <w:color w:val="000000"/>
                <w:sz w:val="20"/>
                <w:szCs w:val="20"/>
              </w:rPr>
            </w:pPr>
            <w:r>
              <w:rPr>
                <w:b/>
                <w:bCs/>
                <w:color w:val="000000"/>
                <w:sz w:val="20"/>
                <w:szCs w:val="20"/>
              </w:rPr>
              <w:t>—</w:t>
            </w:r>
          </w:p>
        </w:tc>
        <w:tc>
          <w:tcPr>
            <w:tcW w:w="50" w:type="pct"/>
            <w:noWrap/>
            <w:tcMar>
              <w:top w:w="5" w:type="dxa"/>
              <w:left w:w="5" w:type="dxa"/>
              <w:bottom w:w="20" w:type="dxa"/>
              <w:right w:w="5" w:type="dxa"/>
            </w:tcMar>
            <w:vAlign w:val="bottom"/>
            <w:hideMark/>
          </w:tcPr>
          <w:p w14:paraId="14C21551"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4B87E6B" w14:textId="77777777" w:rsidR="00954279" w:rsidRDefault="00A66714">
            <w:pPr>
              <w:rPr>
                <w:color w:val="000000"/>
                <w:sz w:val="20"/>
                <w:szCs w:val="20"/>
              </w:rPr>
            </w:pPr>
            <w:r>
              <w:rPr>
                <w:color w:val="000000"/>
                <w:sz w:val="20"/>
                <w:szCs w:val="20"/>
              </w:rPr>
              <w:t> </w:t>
            </w:r>
          </w:p>
        </w:tc>
        <w:tc>
          <w:tcPr>
            <w:tcW w:w="51" w:type="pct"/>
            <w:tcBorders>
              <w:bottom w:val="single" w:sz="6" w:space="0" w:color="000000"/>
            </w:tcBorders>
            <w:tcMar>
              <w:top w:w="5" w:type="dxa"/>
              <w:left w:w="5" w:type="dxa"/>
              <w:bottom w:w="8" w:type="dxa"/>
              <w:right w:w="5" w:type="dxa"/>
            </w:tcMar>
            <w:vAlign w:val="bottom"/>
            <w:hideMark/>
          </w:tcPr>
          <w:p w14:paraId="64D6BF56" w14:textId="77777777" w:rsidR="00954279" w:rsidRDefault="00A66714">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1D7738CF" w14:textId="77777777" w:rsidR="00954279" w:rsidRDefault="00A66714">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01CB2CA1" w14:textId="77777777" w:rsidR="00954279" w:rsidRDefault="00A66714">
            <w:pPr>
              <w:rPr>
                <w:color w:val="000000"/>
                <w:sz w:val="20"/>
                <w:szCs w:val="20"/>
              </w:rPr>
            </w:pPr>
            <w:r>
              <w:rPr>
                <w:color w:val="000000"/>
                <w:sz w:val="20"/>
                <w:szCs w:val="20"/>
              </w:rPr>
              <w:t> </w:t>
            </w:r>
          </w:p>
        </w:tc>
      </w:tr>
      <w:tr w:rsidR="00954279" w14:paraId="2F92525F" w14:textId="77777777" w:rsidTr="00717712">
        <w:tc>
          <w:tcPr>
            <w:tcW w:w="0" w:type="auto"/>
            <w:tcMar>
              <w:top w:w="5" w:type="dxa"/>
              <w:left w:w="5" w:type="dxa"/>
              <w:bottom w:w="5" w:type="dxa"/>
              <w:right w:w="5" w:type="dxa"/>
            </w:tcMar>
            <w:vAlign w:val="bottom"/>
            <w:hideMark/>
          </w:tcPr>
          <w:p w14:paraId="283FA6E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CF3A99E"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1ABECBDF"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49FE9B4" w14:textId="77777777" w:rsidR="00954279" w:rsidRDefault="00A66714">
            <w:pPr>
              <w:jc w:val="right"/>
              <w:rPr>
                <w:color w:val="000000"/>
                <w:sz w:val="20"/>
                <w:szCs w:val="20"/>
              </w:rPr>
            </w:pPr>
            <w:r>
              <w:rPr>
                <w:b/>
                <w:bCs/>
                <w:color w:val="000000"/>
                <w:sz w:val="20"/>
                <w:szCs w:val="20"/>
              </w:rPr>
              <w:t>297</w:t>
            </w:r>
          </w:p>
        </w:tc>
        <w:tc>
          <w:tcPr>
            <w:tcW w:w="50" w:type="pct"/>
            <w:noWrap/>
            <w:tcMar>
              <w:top w:w="5" w:type="dxa"/>
              <w:left w:w="5" w:type="dxa"/>
              <w:bottom w:w="5" w:type="dxa"/>
              <w:right w:w="5" w:type="dxa"/>
            </w:tcMar>
            <w:vAlign w:val="bottom"/>
            <w:hideMark/>
          </w:tcPr>
          <w:p w14:paraId="25D56101"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5F72933"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75F44817"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77E8DE5" w14:textId="77777777" w:rsidR="00954279" w:rsidRDefault="00A66714">
            <w:pPr>
              <w:jc w:val="right"/>
              <w:rPr>
                <w:color w:val="000000"/>
                <w:sz w:val="20"/>
                <w:szCs w:val="20"/>
              </w:rPr>
            </w:pPr>
            <w:r>
              <w:rPr>
                <w:color w:val="000000"/>
                <w:sz w:val="20"/>
                <w:szCs w:val="20"/>
              </w:rPr>
              <w:t>383</w:t>
            </w:r>
          </w:p>
        </w:tc>
        <w:tc>
          <w:tcPr>
            <w:tcW w:w="50" w:type="pct"/>
            <w:noWrap/>
            <w:tcMar>
              <w:top w:w="5" w:type="dxa"/>
              <w:left w:w="5" w:type="dxa"/>
              <w:bottom w:w="5" w:type="dxa"/>
              <w:right w:w="5" w:type="dxa"/>
            </w:tcMar>
            <w:vAlign w:val="bottom"/>
            <w:hideMark/>
          </w:tcPr>
          <w:p w14:paraId="0D1667A1" w14:textId="77777777" w:rsidR="00954279" w:rsidRDefault="00A66714">
            <w:pPr>
              <w:rPr>
                <w:color w:val="000000"/>
                <w:sz w:val="20"/>
                <w:szCs w:val="20"/>
              </w:rPr>
            </w:pPr>
            <w:r>
              <w:rPr>
                <w:color w:val="000000"/>
                <w:sz w:val="20"/>
                <w:szCs w:val="20"/>
              </w:rPr>
              <w:t> </w:t>
            </w:r>
          </w:p>
        </w:tc>
      </w:tr>
      <w:tr w:rsidR="00954279" w14:paraId="4DFE9FBC" w14:textId="77777777" w:rsidTr="00717712">
        <w:tc>
          <w:tcPr>
            <w:tcW w:w="0" w:type="auto"/>
            <w:tcMar>
              <w:top w:w="5" w:type="dxa"/>
              <w:left w:w="5" w:type="dxa"/>
              <w:bottom w:w="5" w:type="dxa"/>
              <w:right w:w="5" w:type="dxa"/>
            </w:tcMar>
            <w:vAlign w:val="bottom"/>
            <w:hideMark/>
          </w:tcPr>
          <w:p w14:paraId="1B6ED9E9" w14:textId="77777777" w:rsidR="00954279" w:rsidRDefault="00A66714">
            <w:pPr>
              <w:rPr>
                <w:color w:val="000000"/>
                <w:sz w:val="20"/>
                <w:szCs w:val="20"/>
              </w:rPr>
            </w:pPr>
            <w:r>
              <w:rPr>
                <w:color w:val="000000"/>
                <w:sz w:val="20"/>
                <w:szCs w:val="20"/>
              </w:rPr>
              <w:t>Less: Current portion</w:t>
            </w:r>
          </w:p>
        </w:tc>
        <w:tc>
          <w:tcPr>
            <w:tcW w:w="50" w:type="pct"/>
            <w:tcMar>
              <w:top w:w="5" w:type="dxa"/>
              <w:left w:w="5" w:type="dxa"/>
              <w:bottom w:w="5" w:type="dxa"/>
              <w:right w:w="5" w:type="dxa"/>
            </w:tcMar>
            <w:vAlign w:val="bottom"/>
            <w:hideMark/>
          </w:tcPr>
          <w:p w14:paraId="06AA797E" w14:textId="77777777" w:rsidR="00954279" w:rsidRDefault="00A66714">
            <w:pPr>
              <w:rPr>
                <w:color w:val="000000"/>
                <w:sz w:val="20"/>
                <w:szCs w:val="20"/>
              </w:rPr>
            </w:pPr>
            <w:r>
              <w:rPr>
                <w:color w:val="000000"/>
                <w:sz w:val="20"/>
                <w:szCs w:val="20"/>
              </w:rPr>
              <w:t> </w:t>
            </w:r>
          </w:p>
        </w:tc>
        <w:tc>
          <w:tcPr>
            <w:tcW w:w="51" w:type="pct"/>
            <w:tcBorders>
              <w:bottom w:val="single" w:sz="6" w:space="0" w:color="000000"/>
            </w:tcBorders>
            <w:tcMar>
              <w:top w:w="5" w:type="dxa"/>
              <w:left w:w="5" w:type="dxa"/>
              <w:bottom w:w="8" w:type="dxa"/>
              <w:right w:w="5" w:type="dxa"/>
            </w:tcMar>
            <w:vAlign w:val="bottom"/>
            <w:hideMark/>
          </w:tcPr>
          <w:p w14:paraId="550392F1" w14:textId="77777777" w:rsidR="00954279" w:rsidRDefault="00A66714">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0528FBED" w14:textId="77777777" w:rsidR="00954279" w:rsidRDefault="00A66714">
            <w:pPr>
              <w:jc w:val="right"/>
              <w:rPr>
                <w:color w:val="000000"/>
                <w:sz w:val="20"/>
                <w:szCs w:val="20"/>
              </w:rPr>
            </w:pPr>
            <w:r>
              <w:rPr>
                <w:b/>
                <w:bCs/>
                <w:color w:val="000000"/>
                <w:sz w:val="20"/>
                <w:szCs w:val="20"/>
              </w:rPr>
              <w:t>(1</w:t>
            </w:r>
          </w:p>
        </w:tc>
        <w:tc>
          <w:tcPr>
            <w:tcW w:w="50" w:type="pct"/>
            <w:noWrap/>
            <w:tcMar>
              <w:top w:w="5" w:type="dxa"/>
              <w:left w:w="5" w:type="dxa"/>
              <w:bottom w:w="20" w:type="dxa"/>
              <w:right w:w="5" w:type="dxa"/>
            </w:tcMar>
            <w:vAlign w:val="bottom"/>
            <w:hideMark/>
          </w:tcPr>
          <w:p w14:paraId="10555472" w14:textId="77777777" w:rsidR="00954279" w:rsidRDefault="00A66714">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3495465F" w14:textId="77777777" w:rsidR="00954279" w:rsidRDefault="00A66714">
            <w:pPr>
              <w:rPr>
                <w:color w:val="000000"/>
                <w:sz w:val="20"/>
                <w:szCs w:val="20"/>
              </w:rPr>
            </w:pPr>
            <w:r>
              <w:rPr>
                <w:color w:val="000000"/>
                <w:sz w:val="20"/>
                <w:szCs w:val="20"/>
              </w:rPr>
              <w:t> </w:t>
            </w:r>
          </w:p>
        </w:tc>
        <w:tc>
          <w:tcPr>
            <w:tcW w:w="51" w:type="pct"/>
            <w:tcBorders>
              <w:bottom w:val="single" w:sz="6" w:space="0" w:color="000000"/>
            </w:tcBorders>
            <w:tcMar>
              <w:top w:w="5" w:type="dxa"/>
              <w:left w:w="5" w:type="dxa"/>
              <w:bottom w:w="8" w:type="dxa"/>
              <w:right w:w="5" w:type="dxa"/>
            </w:tcMar>
            <w:vAlign w:val="bottom"/>
            <w:hideMark/>
          </w:tcPr>
          <w:p w14:paraId="5DB983C0" w14:textId="77777777" w:rsidR="00954279" w:rsidRDefault="00A66714">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1004367" w14:textId="77777777" w:rsidR="00954279" w:rsidRDefault="00A66714">
            <w:pPr>
              <w:jc w:val="right"/>
              <w:rPr>
                <w:color w:val="000000"/>
                <w:sz w:val="20"/>
                <w:szCs w:val="20"/>
              </w:rPr>
            </w:pPr>
            <w:r>
              <w:rPr>
                <w:color w:val="000000"/>
                <w:sz w:val="20"/>
                <w:szCs w:val="20"/>
              </w:rPr>
              <w:t>(4</w:t>
            </w:r>
          </w:p>
        </w:tc>
        <w:tc>
          <w:tcPr>
            <w:tcW w:w="50" w:type="pct"/>
            <w:noWrap/>
            <w:tcMar>
              <w:top w:w="5" w:type="dxa"/>
              <w:left w:w="5" w:type="dxa"/>
              <w:bottom w:w="20" w:type="dxa"/>
              <w:right w:w="5" w:type="dxa"/>
            </w:tcMar>
            <w:vAlign w:val="bottom"/>
            <w:hideMark/>
          </w:tcPr>
          <w:p w14:paraId="72269A69" w14:textId="77777777" w:rsidR="00954279" w:rsidRDefault="00A66714">
            <w:pPr>
              <w:rPr>
                <w:color w:val="000000"/>
                <w:sz w:val="20"/>
                <w:szCs w:val="20"/>
              </w:rPr>
            </w:pPr>
            <w:r>
              <w:rPr>
                <w:color w:val="000000"/>
                <w:sz w:val="20"/>
                <w:szCs w:val="20"/>
              </w:rPr>
              <w:t>)</w:t>
            </w:r>
          </w:p>
        </w:tc>
      </w:tr>
      <w:tr w:rsidR="00954279" w14:paraId="5C673C4C" w14:textId="77777777" w:rsidTr="00717712">
        <w:tc>
          <w:tcPr>
            <w:tcW w:w="0" w:type="auto"/>
            <w:tcMar>
              <w:top w:w="5" w:type="dxa"/>
              <w:left w:w="5" w:type="dxa"/>
              <w:bottom w:w="5" w:type="dxa"/>
              <w:right w:w="5" w:type="dxa"/>
            </w:tcMar>
            <w:vAlign w:val="bottom"/>
            <w:hideMark/>
          </w:tcPr>
          <w:p w14:paraId="3C42D739"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B477D12" w14:textId="77777777" w:rsidR="00954279" w:rsidRDefault="00A66714">
            <w:pPr>
              <w:rPr>
                <w:color w:val="000000"/>
                <w:sz w:val="20"/>
                <w:szCs w:val="20"/>
              </w:rPr>
            </w:pPr>
            <w:r>
              <w:rPr>
                <w:color w:val="000000"/>
                <w:sz w:val="20"/>
                <w:szCs w:val="20"/>
              </w:rPr>
              <w:t> </w:t>
            </w:r>
          </w:p>
        </w:tc>
        <w:tc>
          <w:tcPr>
            <w:tcW w:w="51" w:type="pct"/>
            <w:tcBorders>
              <w:bottom w:val="double" w:sz="6" w:space="0" w:color="000000"/>
            </w:tcBorders>
            <w:tcMar>
              <w:top w:w="5" w:type="dxa"/>
              <w:left w:w="5" w:type="dxa"/>
              <w:bottom w:w="22" w:type="dxa"/>
              <w:right w:w="5" w:type="dxa"/>
            </w:tcMar>
            <w:vAlign w:val="bottom"/>
            <w:hideMark/>
          </w:tcPr>
          <w:p w14:paraId="309613CD" w14:textId="77777777" w:rsidR="00954279" w:rsidRDefault="00A66714">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0882677C" w14:textId="77777777" w:rsidR="00954279" w:rsidRDefault="00A66714">
            <w:pPr>
              <w:jc w:val="right"/>
              <w:rPr>
                <w:color w:val="000000"/>
                <w:sz w:val="20"/>
                <w:szCs w:val="20"/>
              </w:rPr>
            </w:pPr>
            <w:r>
              <w:rPr>
                <w:b/>
                <w:bCs/>
                <w:color w:val="000000"/>
                <w:sz w:val="20"/>
                <w:szCs w:val="20"/>
              </w:rPr>
              <w:t>296</w:t>
            </w:r>
          </w:p>
        </w:tc>
        <w:tc>
          <w:tcPr>
            <w:tcW w:w="50" w:type="pct"/>
            <w:noWrap/>
            <w:tcMar>
              <w:top w:w="5" w:type="dxa"/>
              <w:left w:w="5" w:type="dxa"/>
              <w:bottom w:w="50" w:type="dxa"/>
              <w:right w:w="5" w:type="dxa"/>
            </w:tcMar>
            <w:vAlign w:val="bottom"/>
            <w:hideMark/>
          </w:tcPr>
          <w:p w14:paraId="0DC8A28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50F6AB5" w14:textId="77777777" w:rsidR="00954279" w:rsidRDefault="00A66714">
            <w:pPr>
              <w:rPr>
                <w:color w:val="000000"/>
                <w:sz w:val="20"/>
                <w:szCs w:val="20"/>
              </w:rPr>
            </w:pPr>
            <w:r>
              <w:rPr>
                <w:color w:val="000000"/>
                <w:sz w:val="20"/>
                <w:szCs w:val="20"/>
              </w:rPr>
              <w:t> </w:t>
            </w:r>
          </w:p>
        </w:tc>
        <w:tc>
          <w:tcPr>
            <w:tcW w:w="51" w:type="pct"/>
            <w:tcBorders>
              <w:bottom w:val="double" w:sz="6" w:space="0" w:color="000000"/>
            </w:tcBorders>
            <w:tcMar>
              <w:top w:w="5" w:type="dxa"/>
              <w:left w:w="5" w:type="dxa"/>
              <w:bottom w:w="22" w:type="dxa"/>
              <w:right w:w="5" w:type="dxa"/>
            </w:tcMar>
            <w:vAlign w:val="bottom"/>
            <w:hideMark/>
          </w:tcPr>
          <w:p w14:paraId="1B7D89E8" w14:textId="77777777" w:rsidR="00954279" w:rsidRDefault="00A66714">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3A204F31" w14:textId="77777777" w:rsidR="00954279" w:rsidRDefault="00A66714">
            <w:pPr>
              <w:jc w:val="right"/>
              <w:rPr>
                <w:color w:val="000000"/>
                <w:sz w:val="20"/>
                <w:szCs w:val="20"/>
              </w:rPr>
            </w:pPr>
            <w:r>
              <w:rPr>
                <w:color w:val="000000"/>
                <w:sz w:val="20"/>
                <w:szCs w:val="20"/>
              </w:rPr>
              <w:t>379</w:t>
            </w:r>
          </w:p>
        </w:tc>
        <w:tc>
          <w:tcPr>
            <w:tcW w:w="50" w:type="pct"/>
            <w:noWrap/>
            <w:tcMar>
              <w:top w:w="5" w:type="dxa"/>
              <w:left w:w="5" w:type="dxa"/>
              <w:bottom w:w="50" w:type="dxa"/>
              <w:right w:w="5" w:type="dxa"/>
            </w:tcMar>
            <w:vAlign w:val="bottom"/>
            <w:hideMark/>
          </w:tcPr>
          <w:p w14:paraId="048AD057" w14:textId="77777777" w:rsidR="00954279" w:rsidRDefault="00A66714">
            <w:pPr>
              <w:rPr>
                <w:color w:val="000000"/>
                <w:sz w:val="20"/>
                <w:szCs w:val="20"/>
              </w:rPr>
            </w:pPr>
            <w:r>
              <w:rPr>
                <w:color w:val="000000"/>
                <w:sz w:val="20"/>
                <w:szCs w:val="20"/>
              </w:rPr>
              <w:t> </w:t>
            </w:r>
          </w:p>
        </w:tc>
      </w:tr>
    </w:tbl>
    <w:p w14:paraId="70401276" w14:textId="77777777" w:rsidR="007118B7" w:rsidRDefault="007118B7">
      <w:pPr>
        <w:ind w:left="144" w:right="144"/>
        <w:rPr>
          <w:b/>
          <w:bCs/>
          <w:sz w:val="20"/>
          <w:szCs w:val="20"/>
          <w:u w:val="single"/>
        </w:rPr>
      </w:pPr>
    </w:p>
    <w:p w14:paraId="3997CCFA" w14:textId="67D4E11D" w:rsidR="00954279" w:rsidRDefault="00A66714" w:rsidP="00DB5415">
      <w:pPr>
        <w:ind w:left="144" w:right="144"/>
        <w:rPr>
          <w:sz w:val="20"/>
          <w:szCs w:val="20"/>
        </w:rPr>
      </w:pPr>
      <w:r>
        <w:rPr>
          <w:b/>
          <w:bCs/>
          <w:sz w:val="20"/>
          <w:szCs w:val="20"/>
          <w:u w:val="single"/>
        </w:rPr>
        <w:t>Senior Secured Term Loan B</w:t>
      </w:r>
      <w:r>
        <w:rPr>
          <w:b/>
          <w:bCs/>
          <w:sz w:val="20"/>
          <w:szCs w:val="20"/>
        </w:rPr>
        <w:t>:</w:t>
      </w:r>
      <w:r>
        <w:rPr>
          <w:sz w:val="20"/>
          <w:szCs w:val="20"/>
        </w:rPr>
        <w:t xml:space="preserve"> We have a Senior Secured Term Loan B (the “Term Loan”) with an original principal amount of $400 million, which amortizes in equal quarterly installments of 1% per year with the balance payable in September 2024, when the facility matures. The Term Loan has an applicable interest rate margin of 300 basis points in the case of loans incurring interest based on LIBOR, and 200 basis points in the case of loans incurring interest based on the base rate. The Term Loan allows for incremental increases in facility size by up to an aggregate of $200 million, plus an additional amount such that the Company’s first lien leverage ratio (as defined under the Term Loan) would not exceed 4.00 to 1.00. MRC Global (US) Inc. is the borrower under this facility, which is guaranteed by MRC Global Inc. as well as all of its wholly owned U.S. subsidiaries. In addition, it is secured by a second lien on the assets securing our Global ABL Facility, defined below (which includes accounts receivable and inventory) and a first lien on substantially all of the other assets of MRC Global Inc. and those of its U.S. subsidiaries as well as a pledge of all of the capital stock of our domestic subsidiaries and 65% of the capital stock of first tier, non-U.S. subsidiaries. In addition, the Term Loan contains a number of customary restrictive covenants. We are required to repay the Term Loan with certain asset sales and insurance proceeds. In addition, on an annual basis, we are required to repay an amount equal to 50% of excess cash flow, as defined in the Term Loan, reducing to 25% if our first lien leverage ratio is no more than 2.75 to 1.00. No payment of excess cash flow is required if the first lien leverage ratio is less than or equal 2.50 to 1.00. The amount of cash used in the determination of the senior secured leverage ratio is limited to $75 million. Under this provision of the Term Loan, we were required to make a payment of $86 million in April 2021 as a result of excess cash flow generated in the year ended December</w:t>
      </w:r>
      <w:r w:rsidR="007118B7">
        <w:rPr>
          <w:sz w:val="20"/>
          <w:szCs w:val="20"/>
        </w:rPr>
        <w:t> </w:t>
      </w:r>
      <w:r>
        <w:rPr>
          <w:sz w:val="20"/>
          <w:szCs w:val="20"/>
        </w:rPr>
        <w:t>31,</w:t>
      </w:r>
      <w:r w:rsidR="007118B7">
        <w:rPr>
          <w:sz w:val="20"/>
          <w:szCs w:val="20"/>
        </w:rPr>
        <w:t> </w:t>
      </w:r>
      <w:r>
        <w:rPr>
          <w:sz w:val="20"/>
          <w:szCs w:val="20"/>
        </w:rPr>
        <w:t>2020.</w:t>
      </w:r>
      <w:r w:rsidR="007118B7">
        <w:rPr>
          <w:sz w:val="20"/>
          <w:szCs w:val="20"/>
        </w:rPr>
        <w:t xml:space="preserve">  </w:t>
      </w:r>
      <w:r w:rsidR="00DB5415">
        <w:rPr>
          <w:sz w:val="20"/>
          <w:szCs w:val="20"/>
        </w:rPr>
        <w:tab/>
      </w:r>
      <w:r w:rsidR="00DB5415">
        <w:rPr>
          <w:sz w:val="20"/>
          <w:szCs w:val="20"/>
        </w:rPr>
        <w:tab/>
      </w:r>
      <w:r w:rsidR="00DB5415">
        <w:rPr>
          <w:sz w:val="20"/>
          <w:szCs w:val="20"/>
        </w:rPr>
        <w:tab/>
      </w:r>
      <w:r w:rsidR="007118B7">
        <w:rPr>
          <w:sz w:val="20"/>
          <w:szCs w:val="20"/>
        </w:rPr>
        <w:t xml:space="preserve">  </w:t>
      </w:r>
      <w:r w:rsidR="007118B7">
        <w:rPr>
          <w:sz w:val="20"/>
          <w:szCs w:val="20"/>
        </w:rPr>
        <w:tab/>
        <w:t xml:space="preserve">               </w:t>
      </w:r>
      <w:r>
        <w:rPr>
          <w:sz w:val="20"/>
          <w:szCs w:val="20"/>
        </w:rPr>
        <w:t>10</w:t>
      </w:r>
    </w:p>
    <w:p w14:paraId="70BC90B6" w14:textId="737CD822" w:rsidR="00954279" w:rsidRDefault="00A66714">
      <w:pPr>
        <w:ind w:left="144" w:right="144"/>
        <w:rPr>
          <w:sz w:val="20"/>
          <w:szCs w:val="20"/>
        </w:rPr>
      </w:pPr>
      <w:r>
        <w:rPr>
          <w:sz w:val="20"/>
          <w:szCs w:val="20"/>
        </w:rPr>
        <w:br w:type="page"/>
      </w:r>
      <w:r>
        <w:rPr>
          <w:sz w:val="20"/>
          <w:szCs w:val="20"/>
        </w:rPr>
        <w:lastRenderedPageBreak/>
        <w:t> </w:t>
      </w:r>
    </w:p>
    <w:p w14:paraId="22864D28" w14:textId="77777777" w:rsidR="00DB5415" w:rsidRDefault="00DB5415" w:rsidP="00DB5415">
      <w:pPr>
        <w:ind w:left="144" w:right="144"/>
        <w:rPr>
          <w:sz w:val="20"/>
          <w:szCs w:val="20"/>
        </w:rPr>
      </w:pPr>
      <w:r>
        <w:rPr>
          <w:sz w:val="20"/>
          <w:szCs w:val="20"/>
        </w:rPr>
        <w:t xml:space="preserve">In March 2020, we purchased and retired $3 million of the outstanding interests in the Term Loan at a cost of $2 million. We recognized a gain of $1 million on the extinguishment of the debt in the six months ended </w:t>
      </w:r>
      <w:bookmarkStart w:id="15" w:name="led65141F20213301619804884302"/>
      <w:r>
        <w:rPr>
          <w:sz w:val="20"/>
          <w:szCs w:val="20"/>
        </w:rPr>
        <w:t>June 30, 2020</w:t>
      </w:r>
      <w:bookmarkEnd w:id="15"/>
      <w:r>
        <w:rPr>
          <w:sz w:val="20"/>
          <w:szCs w:val="20"/>
        </w:rPr>
        <w:t>.</w:t>
      </w:r>
    </w:p>
    <w:p w14:paraId="7180047E" w14:textId="77777777" w:rsidR="00DB5415" w:rsidRDefault="00DB5415">
      <w:pPr>
        <w:ind w:left="144" w:right="144"/>
        <w:rPr>
          <w:b/>
          <w:bCs/>
          <w:sz w:val="20"/>
          <w:szCs w:val="20"/>
          <w:u w:val="single"/>
        </w:rPr>
      </w:pPr>
    </w:p>
    <w:p w14:paraId="0D0895CC" w14:textId="154ACBFA" w:rsidR="00954279" w:rsidRDefault="00A66714">
      <w:pPr>
        <w:ind w:left="144" w:right="144"/>
        <w:rPr>
          <w:sz w:val="20"/>
          <w:szCs w:val="20"/>
        </w:rPr>
      </w:pPr>
      <w:r>
        <w:rPr>
          <w:b/>
          <w:bCs/>
          <w:sz w:val="20"/>
          <w:szCs w:val="20"/>
          <w:u w:val="single"/>
        </w:rPr>
        <w:t>Global ABL Facility</w:t>
      </w:r>
      <w:r>
        <w:rPr>
          <w:b/>
          <w:bCs/>
          <w:sz w:val="20"/>
          <w:szCs w:val="20"/>
        </w:rPr>
        <w:t xml:space="preserve">: </w:t>
      </w:r>
      <w:r>
        <w:rPr>
          <w:sz w:val="20"/>
          <w:szCs w:val="20"/>
        </w:rPr>
        <w:t>We have an $800 million multi-currency asset-based revolving credit facility (the “Global ABL Facility”) that matures in September 2022. This facility is comprised of revolver commitments of $675 million in the United States, $65 million in Canada, $18 million in Norway, $15 million in Australia, $13 million in the Netherlands, $7 million in the United Kingdom and $7 million in Belgium. It contains an accordion feature that allows us to increase the principal amount of the facility by up to $200 million, subject to securing additional lender commitments. MRC Global Inc. and each of its current and future wholly owned material U.S. subsidiaries guarantee the obligations of our borrower subsidiaries under the Global ABL Facility. Additionally, each of our non-U.S. borrower subsidiaries guarantees the obligations of our other non-U.S. borrower subsidiaries under the Global ABL Facility. Outstanding obligations are generally secured by a first priority security interest in accounts receivable and inventory. Availability is dependent on a borrowing base comprised of a percentage of eligible accounts receivable and inventory which is subject to redetermination from time to time. Excess Availability, as defined under our Global ABL Facility, was $444 million as of June 30, 2021.</w:t>
      </w:r>
    </w:p>
    <w:p w14:paraId="1D677A5E" w14:textId="77777777" w:rsidR="00954279" w:rsidRDefault="00A66714">
      <w:pPr>
        <w:ind w:left="144" w:right="144"/>
        <w:rPr>
          <w:sz w:val="20"/>
          <w:szCs w:val="20"/>
        </w:rPr>
      </w:pPr>
      <w:r>
        <w:rPr>
          <w:sz w:val="20"/>
          <w:szCs w:val="20"/>
        </w:rPr>
        <w:t> </w:t>
      </w:r>
    </w:p>
    <w:p w14:paraId="25CE3806" w14:textId="77777777" w:rsidR="00954279" w:rsidRDefault="00A66714">
      <w:pPr>
        <w:ind w:left="144" w:right="144"/>
        <w:rPr>
          <w:sz w:val="20"/>
          <w:szCs w:val="20"/>
        </w:rPr>
      </w:pPr>
      <w:r>
        <w:rPr>
          <w:b/>
          <w:bCs/>
          <w:sz w:val="20"/>
          <w:szCs w:val="20"/>
          <w:u w:val="single"/>
        </w:rPr>
        <w:t>Interest on Borrowings</w:t>
      </w:r>
      <w:r>
        <w:rPr>
          <w:sz w:val="20"/>
          <w:szCs w:val="20"/>
        </w:rPr>
        <w:t>: The interest rates on our borrowings outstanding at June 30, 2021 and December 31, 2020, including a floating to fixed interest rate swap and amortization of debt issuance costs, are as set forth below:</w:t>
      </w:r>
    </w:p>
    <w:tbl>
      <w:tblPr>
        <w:tblStyle w:val="finTable"/>
        <w:tblW w:w="5000" w:type="pct"/>
        <w:tblInd w:w="149" w:type="dxa"/>
        <w:tblCellMar>
          <w:left w:w="0" w:type="dxa"/>
          <w:right w:w="0" w:type="dxa"/>
        </w:tblCellMar>
        <w:tblLook w:val="05E0" w:firstRow="1" w:lastRow="1" w:firstColumn="1" w:lastColumn="1" w:noHBand="0" w:noVBand="1"/>
      </w:tblPr>
      <w:tblGrid>
        <w:gridCol w:w="7498"/>
        <w:gridCol w:w="96"/>
        <w:gridCol w:w="96"/>
        <w:gridCol w:w="1275"/>
        <w:gridCol w:w="225"/>
        <w:gridCol w:w="60"/>
        <w:gridCol w:w="97"/>
        <w:gridCol w:w="1276"/>
        <w:gridCol w:w="177"/>
      </w:tblGrid>
      <w:tr w:rsidR="00954279" w14:paraId="25BCDA30" w14:textId="77777777" w:rsidTr="00717712">
        <w:tc>
          <w:tcPr>
            <w:tcW w:w="7498" w:type="dxa"/>
            <w:tcMar>
              <w:top w:w="5" w:type="dxa"/>
              <w:left w:w="5" w:type="dxa"/>
              <w:bottom w:w="5" w:type="dxa"/>
              <w:right w:w="5" w:type="dxa"/>
            </w:tcMar>
            <w:vAlign w:val="bottom"/>
            <w:hideMark/>
          </w:tcPr>
          <w:p w14:paraId="2DAC2210" w14:textId="15E67E67" w:rsidR="00954279" w:rsidRDefault="00A66714">
            <w:pPr>
              <w:rPr>
                <w:color w:val="000000"/>
                <w:sz w:val="20"/>
                <w:szCs w:val="20"/>
              </w:rPr>
            </w:pPr>
            <w:r>
              <w:rPr>
                <w:sz w:val="20"/>
                <w:szCs w:val="20"/>
              </w:rPr>
              <w:t> </w:t>
            </w:r>
            <w:r>
              <w:rPr>
                <w:color w:val="000000"/>
                <w:sz w:val="20"/>
                <w:szCs w:val="20"/>
              </w:rPr>
              <w:t> </w:t>
            </w:r>
          </w:p>
        </w:tc>
        <w:tc>
          <w:tcPr>
            <w:tcW w:w="96" w:type="dxa"/>
            <w:tcMar>
              <w:top w:w="5" w:type="dxa"/>
              <w:left w:w="5" w:type="dxa"/>
              <w:bottom w:w="5" w:type="dxa"/>
              <w:right w:w="5" w:type="dxa"/>
            </w:tcMar>
            <w:vAlign w:val="bottom"/>
            <w:hideMark/>
          </w:tcPr>
          <w:p w14:paraId="3FA38293" w14:textId="77777777" w:rsidR="00954279" w:rsidRDefault="00A66714">
            <w:pPr>
              <w:rPr>
                <w:color w:val="000000"/>
                <w:sz w:val="20"/>
                <w:szCs w:val="20"/>
              </w:rPr>
            </w:pPr>
            <w:r>
              <w:rPr>
                <w:color w:val="000000"/>
                <w:sz w:val="20"/>
                <w:szCs w:val="20"/>
              </w:rPr>
              <w:t> </w:t>
            </w:r>
          </w:p>
        </w:tc>
        <w:tc>
          <w:tcPr>
            <w:tcW w:w="1371" w:type="dxa"/>
            <w:gridSpan w:val="2"/>
            <w:tcMar>
              <w:top w:w="5" w:type="dxa"/>
              <w:left w:w="5" w:type="dxa"/>
              <w:bottom w:w="5" w:type="dxa"/>
              <w:right w:w="5" w:type="dxa"/>
            </w:tcMar>
            <w:vAlign w:val="bottom"/>
            <w:hideMark/>
          </w:tcPr>
          <w:p w14:paraId="7ED5152B" w14:textId="77777777" w:rsidR="00954279" w:rsidRDefault="00A66714">
            <w:pPr>
              <w:jc w:val="center"/>
              <w:rPr>
                <w:color w:val="000000"/>
                <w:sz w:val="20"/>
                <w:szCs w:val="20"/>
              </w:rPr>
            </w:pPr>
            <w:r>
              <w:rPr>
                <w:b/>
                <w:bCs/>
                <w:color w:val="000000"/>
                <w:sz w:val="20"/>
                <w:szCs w:val="20"/>
              </w:rPr>
              <w:t>June 30,</w:t>
            </w:r>
          </w:p>
        </w:tc>
        <w:tc>
          <w:tcPr>
            <w:tcW w:w="225" w:type="dxa"/>
            <w:tcMar>
              <w:top w:w="5" w:type="dxa"/>
              <w:left w:w="5" w:type="dxa"/>
              <w:bottom w:w="5" w:type="dxa"/>
              <w:right w:w="5" w:type="dxa"/>
            </w:tcMar>
            <w:vAlign w:val="bottom"/>
            <w:hideMark/>
          </w:tcPr>
          <w:p w14:paraId="4F9A15AC" w14:textId="77777777" w:rsidR="00954279" w:rsidRDefault="00A66714">
            <w:pPr>
              <w:rPr>
                <w:color w:val="000000"/>
                <w:sz w:val="20"/>
                <w:szCs w:val="20"/>
              </w:rPr>
            </w:pPr>
            <w:r>
              <w:rPr>
                <w:color w:val="000000"/>
                <w:sz w:val="20"/>
                <w:szCs w:val="20"/>
              </w:rPr>
              <w:t> </w:t>
            </w:r>
          </w:p>
        </w:tc>
        <w:tc>
          <w:tcPr>
            <w:tcW w:w="60" w:type="dxa"/>
            <w:tcMar>
              <w:top w:w="5" w:type="dxa"/>
              <w:left w:w="5" w:type="dxa"/>
              <w:bottom w:w="5" w:type="dxa"/>
              <w:right w:w="5" w:type="dxa"/>
            </w:tcMar>
            <w:vAlign w:val="bottom"/>
            <w:hideMark/>
          </w:tcPr>
          <w:p w14:paraId="653E357C" w14:textId="77777777" w:rsidR="00954279" w:rsidRDefault="00A66714">
            <w:pPr>
              <w:rPr>
                <w:color w:val="000000"/>
                <w:sz w:val="20"/>
                <w:szCs w:val="20"/>
              </w:rPr>
            </w:pPr>
            <w:r>
              <w:rPr>
                <w:color w:val="000000"/>
                <w:sz w:val="20"/>
                <w:szCs w:val="20"/>
              </w:rPr>
              <w:t> </w:t>
            </w:r>
          </w:p>
        </w:tc>
        <w:tc>
          <w:tcPr>
            <w:tcW w:w="1373" w:type="dxa"/>
            <w:gridSpan w:val="2"/>
            <w:tcMar>
              <w:top w:w="5" w:type="dxa"/>
              <w:left w:w="5" w:type="dxa"/>
              <w:bottom w:w="5" w:type="dxa"/>
              <w:right w:w="5" w:type="dxa"/>
            </w:tcMar>
            <w:vAlign w:val="bottom"/>
            <w:hideMark/>
          </w:tcPr>
          <w:p w14:paraId="1E96B343" w14:textId="77777777" w:rsidR="00954279" w:rsidRDefault="00A66714">
            <w:pPr>
              <w:jc w:val="center"/>
              <w:rPr>
                <w:color w:val="000000"/>
                <w:sz w:val="20"/>
                <w:szCs w:val="20"/>
              </w:rPr>
            </w:pPr>
            <w:r>
              <w:rPr>
                <w:b/>
                <w:bCs/>
                <w:color w:val="000000"/>
                <w:sz w:val="20"/>
                <w:szCs w:val="20"/>
              </w:rPr>
              <w:t>December 31,</w:t>
            </w:r>
          </w:p>
        </w:tc>
        <w:tc>
          <w:tcPr>
            <w:tcW w:w="177" w:type="dxa"/>
            <w:tcMar>
              <w:top w:w="5" w:type="dxa"/>
              <w:left w:w="5" w:type="dxa"/>
              <w:bottom w:w="5" w:type="dxa"/>
              <w:right w:w="5" w:type="dxa"/>
            </w:tcMar>
            <w:vAlign w:val="bottom"/>
            <w:hideMark/>
          </w:tcPr>
          <w:p w14:paraId="1667C352" w14:textId="77777777" w:rsidR="00954279" w:rsidRDefault="00A66714">
            <w:pPr>
              <w:rPr>
                <w:color w:val="000000"/>
                <w:sz w:val="20"/>
                <w:szCs w:val="20"/>
              </w:rPr>
            </w:pPr>
            <w:r>
              <w:rPr>
                <w:color w:val="000000"/>
                <w:sz w:val="20"/>
                <w:szCs w:val="20"/>
              </w:rPr>
              <w:t> </w:t>
            </w:r>
          </w:p>
        </w:tc>
      </w:tr>
      <w:tr w:rsidR="00954279" w14:paraId="777AF71B" w14:textId="77777777" w:rsidTr="00717712">
        <w:tc>
          <w:tcPr>
            <w:tcW w:w="7498" w:type="dxa"/>
            <w:tcMar>
              <w:top w:w="5" w:type="dxa"/>
              <w:left w:w="5" w:type="dxa"/>
              <w:bottom w:w="5" w:type="dxa"/>
              <w:right w:w="5" w:type="dxa"/>
            </w:tcMar>
            <w:vAlign w:val="bottom"/>
            <w:hideMark/>
          </w:tcPr>
          <w:p w14:paraId="590B1C28" w14:textId="77777777" w:rsidR="00954279" w:rsidRDefault="00A66714">
            <w:pPr>
              <w:rPr>
                <w:color w:val="000000"/>
                <w:sz w:val="20"/>
                <w:szCs w:val="20"/>
              </w:rPr>
            </w:pPr>
            <w:r>
              <w:rPr>
                <w:color w:val="000000"/>
                <w:sz w:val="20"/>
                <w:szCs w:val="20"/>
              </w:rPr>
              <w:t> </w:t>
            </w:r>
          </w:p>
        </w:tc>
        <w:tc>
          <w:tcPr>
            <w:tcW w:w="96" w:type="dxa"/>
            <w:tcMar>
              <w:top w:w="5" w:type="dxa"/>
              <w:left w:w="5" w:type="dxa"/>
              <w:bottom w:w="5" w:type="dxa"/>
              <w:right w:w="5" w:type="dxa"/>
            </w:tcMar>
            <w:vAlign w:val="bottom"/>
            <w:hideMark/>
          </w:tcPr>
          <w:p w14:paraId="1A4417A1" w14:textId="77777777" w:rsidR="00954279" w:rsidRDefault="00A66714">
            <w:pPr>
              <w:rPr>
                <w:color w:val="000000"/>
                <w:sz w:val="20"/>
                <w:szCs w:val="20"/>
              </w:rPr>
            </w:pPr>
            <w:r>
              <w:rPr>
                <w:color w:val="000000"/>
                <w:sz w:val="20"/>
                <w:szCs w:val="20"/>
              </w:rPr>
              <w:t> </w:t>
            </w:r>
          </w:p>
        </w:tc>
        <w:tc>
          <w:tcPr>
            <w:tcW w:w="1371" w:type="dxa"/>
            <w:gridSpan w:val="2"/>
            <w:tcBorders>
              <w:bottom w:val="single" w:sz="6" w:space="0" w:color="000000"/>
            </w:tcBorders>
            <w:tcMar>
              <w:top w:w="5" w:type="dxa"/>
              <w:left w:w="5" w:type="dxa"/>
              <w:bottom w:w="8" w:type="dxa"/>
              <w:right w:w="5" w:type="dxa"/>
            </w:tcMar>
            <w:vAlign w:val="bottom"/>
            <w:hideMark/>
          </w:tcPr>
          <w:p w14:paraId="414B40F2" w14:textId="77777777" w:rsidR="00954279" w:rsidRDefault="00A66714">
            <w:pPr>
              <w:jc w:val="center"/>
              <w:rPr>
                <w:color w:val="000000"/>
                <w:sz w:val="20"/>
                <w:szCs w:val="20"/>
              </w:rPr>
            </w:pPr>
            <w:r>
              <w:rPr>
                <w:b/>
                <w:bCs/>
                <w:color w:val="000000"/>
                <w:sz w:val="20"/>
                <w:szCs w:val="20"/>
              </w:rPr>
              <w:t>2021</w:t>
            </w:r>
          </w:p>
        </w:tc>
        <w:tc>
          <w:tcPr>
            <w:tcW w:w="225" w:type="dxa"/>
            <w:tcMar>
              <w:top w:w="5" w:type="dxa"/>
              <w:left w:w="5" w:type="dxa"/>
              <w:bottom w:w="20" w:type="dxa"/>
              <w:right w:w="5" w:type="dxa"/>
            </w:tcMar>
            <w:vAlign w:val="bottom"/>
            <w:hideMark/>
          </w:tcPr>
          <w:p w14:paraId="7F076C5C" w14:textId="77777777" w:rsidR="00954279" w:rsidRDefault="00A66714">
            <w:pPr>
              <w:rPr>
                <w:color w:val="000000"/>
                <w:sz w:val="20"/>
                <w:szCs w:val="20"/>
              </w:rPr>
            </w:pPr>
            <w:r>
              <w:rPr>
                <w:color w:val="000000"/>
                <w:sz w:val="20"/>
                <w:szCs w:val="20"/>
              </w:rPr>
              <w:t> </w:t>
            </w:r>
          </w:p>
        </w:tc>
        <w:tc>
          <w:tcPr>
            <w:tcW w:w="60" w:type="dxa"/>
            <w:tcMar>
              <w:top w:w="5" w:type="dxa"/>
              <w:left w:w="5" w:type="dxa"/>
              <w:bottom w:w="5" w:type="dxa"/>
              <w:right w:w="5" w:type="dxa"/>
            </w:tcMar>
            <w:vAlign w:val="bottom"/>
            <w:hideMark/>
          </w:tcPr>
          <w:p w14:paraId="5AD50D91" w14:textId="77777777" w:rsidR="00954279" w:rsidRDefault="00A66714">
            <w:pPr>
              <w:rPr>
                <w:color w:val="000000"/>
                <w:sz w:val="20"/>
                <w:szCs w:val="20"/>
              </w:rPr>
            </w:pPr>
            <w:r>
              <w:rPr>
                <w:color w:val="000000"/>
                <w:sz w:val="20"/>
                <w:szCs w:val="20"/>
              </w:rPr>
              <w:t> </w:t>
            </w:r>
          </w:p>
        </w:tc>
        <w:tc>
          <w:tcPr>
            <w:tcW w:w="1373" w:type="dxa"/>
            <w:gridSpan w:val="2"/>
            <w:tcBorders>
              <w:bottom w:val="single" w:sz="6" w:space="0" w:color="000000"/>
            </w:tcBorders>
            <w:tcMar>
              <w:top w:w="5" w:type="dxa"/>
              <w:left w:w="5" w:type="dxa"/>
              <w:bottom w:w="8" w:type="dxa"/>
              <w:right w:w="5" w:type="dxa"/>
            </w:tcMar>
            <w:vAlign w:val="bottom"/>
            <w:hideMark/>
          </w:tcPr>
          <w:p w14:paraId="3A764F2A" w14:textId="77777777" w:rsidR="00954279" w:rsidRDefault="00A66714">
            <w:pPr>
              <w:jc w:val="center"/>
              <w:rPr>
                <w:color w:val="000000"/>
                <w:sz w:val="20"/>
                <w:szCs w:val="20"/>
              </w:rPr>
            </w:pPr>
            <w:r>
              <w:rPr>
                <w:b/>
                <w:bCs/>
                <w:color w:val="000000"/>
                <w:sz w:val="20"/>
                <w:szCs w:val="20"/>
              </w:rPr>
              <w:t>2020</w:t>
            </w:r>
          </w:p>
        </w:tc>
        <w:tc>
          <w:tcPr>
            <w:tcW w:w="177" w:type="dxa"/>
            <w:tcMar>
              <w:top w:w="5" w:type="dxa"/>
              <w:left w:w="5" w:type="dxa"/>
              <w:bottom w:w="20" w:type="dxa"/>
              <w:right w:w="5" w:type="dxa"/>
            </w:tcMar>
            <w:vAlign w:val="bottom"/>
            <w:hideMark/>
          </w:tcPr>
          <w:p w14:paraId="67C7CFC7" w14:textId="77777777" w:rsidR="00954279" w:rsidRDefault="00A66714">
            <w:pPr>
              <w:rPr>
                <w:color w:val="000000"/>
                <w:sz w:val="20"/>
                <w:szCs w:val="20"/>
              </w:rPr>
            </w:pPr>
            <w:r>
              <w:rPr>
                <w:color w:val="000000"/>
                <w:sz w:val="20"/>
                <w:szCs w:val="20"/>
              </w:rPr>
              <w:t> </w:t>
            </w:r>
          </w:p>
        </w:tc>
      </w:tr>
      <w:tr w:rsidR="00954279" w14:paraId="7AF20336" w14:textId="77777777" w:rsidTr="00717712">
        <w:tc>
          <w:tcPr>
            <w:tcW w:w="7498" w:type="dxa"/>
            <w:tcMar>
              <w:top w:w="5" w:type="dxa"/>
              <w:left w:w="5" w:type="dxa"/>
              <w:bottom w:w="5" w:type="dxa"/>
              <w:right w:w="5" w:type="dxa"/>
            </w:tcMar>
            <w:vAlign w:val="bottom"/>
            <w:hideMark/>
          </w:tcPr>
          <w:p w14:paraId="4366C3A4" w14:textId="77777777" w:rsidR="00954279" w:rsidRDefault="00A66714">
            <w:pPr>
              <w:rPr>
                <w:color w:val="000000"/>
                <w:sz w:val="20"/>
                <w:szCs w:val="20"/>
              </w:rPr>
            </w:pPr>
            <w:r>
              <w:rPr>
                <w:color w:val="000000"/>
                <w:sz w:val="20"/>
                <w:szCs w:val="20"/>
              </w:rPr>
              <w:t>Senior Secured Term Loan B</w:t>
            </w:r>
          </w:p>
        </w:tc>
        <w:tc>
          <w:tcPr>
            <w:tcW w:w="96" w:type="dxa"/>
            <w:tcMar>
              <w:top w:w="5" w:type="dxa"/>
              <w:left w:w="5" w:type="dxa"/>
              <w:bottom w:w="5" w:type="dxa"/>
              <w:right w:w="5" w:type="dxa"/>
            </w:tcMar>
            <w:vAlign w:val="bottom"/>
            <w:hideMark/>
          </w:tcPr>
          <w:p w14:paraId="586C35BB" w14:textId="77777777" w:rsidR="00954279" w:rsidRDefault="00A66714">
            <w:pPr>
              <w:rPr>
                <w:color w:val="000000"/>
                <w:sz w:val="20"/>
                <w:szCs w:val="20"/>
              </w:rPr>
            </w:pPr>
            <w:r>
              <w:rPr>
                <w:color w:val="000000"/>
                <w:sz w:val="20"/>
                <w:szCs w:val="20"/>
              </w:rPr>
              <w:t> </w:t>
            </w:r>
          </w:p>
        </w:tc>
        <w:tc>
          <w:tcPr>
            <w:tcW w:w="96" w:type="dxa"/>
            <w:tcMar>
              <w:top w:w="5" w:type="dxa"/>
              <w:left w:w="5" w:type="dxa"/>
              <w:bottom w:w="5" w:type="dxa"/>
              <w:right w:w="5" w:type="dxa"/>
            </w:tcMar>
            <w:vAlign w:val="bottom"/>
            <w:hideMark/>
          </w:tcPr>
          <w:p w14:paraId="4A5627E4" w14:textId="77777777" w:rsidR="00954279" w:rsidRDefault="00A66714">
            <w:pPr>
              <w:rPr>
                <w:color w:val="000000"/>
                <w:sz w:val="20"/>
                <w:szCs w:val="20"/>
              </w:rPr>
            </w:pPr>
            <w:r>
              <w:rPr>
                <w:color w:val="000000"/>
                <w:sz w:val="20"/>
                <w:szCs w:val="20"/>
              </w:rPr>
              <w:t> </w:t>
            </w:r>
          </w:p>
        </w:tc>
        <w:tc>
          <w:tcPr>
            <w:tcW w:w="1275" w:type="dxa"/>
            <w:tcMar>
              <w:top w:w="5" w:type="dxa"/>
              <w:left w:w="5" w:type="dxa"/>
              <w:bottom w:w="5" w:type="dxa"/>
              <w:right w:w="5" w:type="dxa"/>
            </w:tcMar>
            <w:vAlign w:val="bottom"/>
            <w:hideMark/>
          </w:tcPr>
          <w:p w14:paraId="66453150" w14:textId="77777777" w:rsidR="00954279" w:rsidRDefault="00A66714">
            <w:pPr>
              <w:jc w:val="right"/>
              <w:rPr>
                <w:color w:val="000000"/>
                <w:sz w:val="20"/>
                <w:szCs w:val="20"/>
              </w:rPr>
            </w:pPr>
            <w:r>
              <w:rPr>
                <w:b/>
                <w:bCs/>
                <w:color w:val="000000"/>
                <w:sz w:val="20"/>
                <w:szCs w:val="20"/>
              </w:rPr>
              <w:t>5.42</w:t>
            </w:r>
          </w:p>
        </w:tc>
        <w:tc>
          <w:tcPr>
            <w:tcW w:w="225" w:type="dxa"/>
            <w:noWrap/>
            <w:tcMar>
              <w:top w:w="5" w:type="dxa"/>
              <w:left w:w="5" w:type="dxa"/>
              <w:bottom w:w="5" w:type="dxa"/>
              <w:right w:w="5" w:type="dxa"/>
            </w:tcMar>
            <w:vAlign w:val="bottom"/>
            <w:hideMark/>
          </w:tcPr>
          <w:p w14:paraId="0781C1F4" w14:textId="77777777" w:rsidR="00954279" w:rsidRDefault="00A66714">
            <w:pPr>
              <w:rPr>
                <w:color w:val="000000"/>
                <w:sz w:val="20"/>
                <w:szCs w:val="20"/>
              </w:rPr>
            </w:pPr>
            <w:r>
              <w:rPr>
                <w:b/>
                <w:bCs/>
                <w:color w:val="000000"/>
                <w:sz w:val="20"/>
                <w:szCs w:val="20"/>
              </w:rPr>
              <w:t>%</w:t>
            </w:r>
          </w:p>
        </w:tc>
        <w:tc>
          <w:tcPr>
            <w:tcW w:w="60" w:type="dxa"/>
            <w:tcMar>
              <w:top w:w="5" w:type="dxa"/>
              <w:left w:w="5" w:type="dxa"/>
              <w:bottom w:w="5" w:type="dxa"/>
              <w:right w:w="5" w:type="dxa"/>
            </w:tcMar>
            <w:vAlign w:val="bottom"/>
            <w:hideMark/>
          </w:tcPr>
          <w:p w14:paraId="17FA52BC" w14:textId="77777777" w:rsidR="00954279" w:rsidRDefault="00A66714">
            <w:pPr>
              <w:rPr>
                <w:color w:val="000000"/>
                <w:sz w:val="20"/>
                <w:szCs w:val="20"/>
              </w:rPr>
            </w:pPr>
            <w:r>
              <w:rPr>
                <w:color w:val="000000"/>
                <w:sz w:val="20"/>
                <w:szCs w:val="20"/>
              </w:rPr>
              <w:t> </w:t>
            </w:r>
          </w:p>
        </w:tc>
        <w:tc>
          <w:tcPr>
            <w:tcW w:w="97" w:type="dxa"/>
            <w:tcMar>
              <w:top w:w="5" w:type="dxa"/>
              <w:left w:w="5" w:type="dxa"/>
              <w:bottom w:w="5" w:type="dxa"/>
              <w:right w:w="5" w:type="dxa"/>
            </w:tcMar>
            <w:vAlign w:val="bottom"/>
            <w:hideMark/>
          </w:tcPr>
          <w:p w14:paraId="7944A666" w14:textId="77777777" w:rsidR="00954279" w:rsidRDefault="00A66714">
            <w:pPr>
              <w:rPr>
                <w:color w:val="000000"/>
                <w:sz w:val="20"/>
                <w:szCs w:val="20"/>
              </w:rPr>
            </w:pPr>
            <w:r>
              <w:rPr>
                <w:color w:val="000000"/>
                <w:sz w:val="20"/>
                <w:szCs w:val="20"/>
              </w:rPr>
              <w:t> </w:t>
            </w:r>
          </w:p>
        </w:tc>
        <w:tc>
          <w:tcPr>
            <w:tcW w:w="1276" w:type="dxa"/>
            <w:tcMar>
              <w:top w:w="5" w:type="dxa"/>
              <w:left w:w="5" w:type="dxa"/>
              <w:bottom w:w="5" w:type="dxa"/>
              <w:right w:w="5" w:type="dxa"/>
            </w:tcMar>
            <w:vAlign w:val="bottom"/>
            <w:hideMark/>
          </w:tcPr>
          <w:p w14:paraId="59B0886C" w14:textId="77777777" w:rsidR="00954279" w:rsidRDefault="00A66714">
            <w:pPr>
              <w:jc w:val="right"/>
              <w:rPr>
                <w:color w:val="000000"/>
                <w:sz w:val="20"/>
                <w:szCs w:val="20"/>
              </w:rPr>
            </w:pPr>
            <w:r>
              <w:rPr>
                <w:color w:val="000000"/>
                <w:sz w:val="20"/>
                <w:szCs w:val="20"/>
              </w:rPr>
              <w:t>4.93</w:t>
            </w:r>
          </w:p>
        </w:tc>
        <w:tc>
          <w:tcPr>
            <w:tcW w:w="177" w:type="dxa"/>
            <w:noWrap/>
            <w:tcMar>
              <w:top w:w="5" w:type="dxa"/>
              <w:left w:w="5" w:type="dxa"/>
              <w:bottom w:w="5" w:type="dxa"/>
              <w:right w:w="5" w:type="dxa"/>
            </w:tcMar>
            <w:vAlign w:val="bottom"/>
            <w:hideMark/>
          </w:tcPr>
          <w:p w14:paraId="646E6A54" w14:textId="77777777" w:rsidR="00954279" w:rsidRDefault="00A66714">
            <w:pPr>
              <w:rPr>
                <w:color w:val="000000"/>
                <w:sz w:val="20"/>
                <w:szCs w:val="20"/>
              </w:rPr>
            </w:pPr>
            <w:r>
              <w:rPr>
                <w:color w:val="000000"/>
                <w:sz w:val="20"/>
                <w:szCs w:val="20"/>
              </w:rPr>
              <w:t>%</w:t>
            </w:r>
          </w:p>
        </w:tc>
      </w:tr>
      <w:tr w:rsidR="00954279" w14:paraId="45146F9E" w14:textId="77777777" w:rsidTr="00717712">
        <w:tc>
          <w:tcPr>
            <w:tcW w:w="7498" w:type="dxa"/>
            <w:tcMar>
              <w:top w:w="5" w:type="dxa"/>
              <w:left w:w="5" w:type="dxa"/>
              <w:bottom w:w="5" w:type="dxa"/>
              <w:right w:w="5" w:type="dxa"/>
            </w:tcMar>
            <w:vAlign w:val="bottom"/>
            <w:hideMark/>
          </w:tcPr>
          <w:p w14:paraId="317221A2" w14:textId="77777777" w:rsidR="00954279" w:rsidRDefault="00A66714">
            <w:pPr>
              <w:rPr>
                <w:color w:val="000000"/>
                <w:sz w:val="20"/>
                <w:szCs w:val="20"/>
              </w:rPr>
            </w:pPr>
            <w:r>
              <w:rPr>
                <w:color w:val="000000"/>
                <w:sz w:val="20"/>
                <w:szCs w:val="20"/>
              </w:rPr>
              <w:t>Global ABL Facility</w:t>
            </w:r>
          </w:p>
        </w:tc>
        <w:tc>
          <w:tcPr>
            <w:tcW w:w="96" w:type="dxa"/>
            <w:tcMar>
              <w:top w:w="5" w:type="dxa"/>
              <w:left w:w="5" w:type="dxa"/>
              <w:bottom w:w="5" w:type="dxa"/>
              <w:right w:w="5" w:type="dxa"/>
            </w:tcMar>
            <w:vAlign w:val="bottom"/>
            <w:hideMark/>
          </w:tcPr>
          <w:p w14:paraId="028116CD" w14:textId="77777777" w:rsidR="00954279" w:rsidRDefault="00A66714">
            <w:pPr>
              <w:rPr>
                <w:color w:val="000000"/>
                <w:sz w:val="20"/>
                <w:szCs w:val="20"/>
              </w:rPr>
            </w:pPr>
            <w:r>
              <w:rPr>
                <w:color w:val="000000"/>
                <w:sz w:val="20"/>
                <w:szCs w:val="20"/>
              </w:rPr>
              <w:t> </w:t>
            </w:r>
          </w:p>
        </w:tc>
        <w:tc>
          <w:tcPr>
            <w:tcW w:w="96" w:type="dxa"/>
            <w:tcMar>
              <w:top w:w="5" w:type="dxa"/>
              <w:left w:w="5" w:type="dxa"/>
              <w:bottom w:w="5" w:type="dxa"/>
              <w:right w:w="5" w:type="dxa"/>
            </w:tcMar>
            <w:vAlign w:val="bottom"/>
            <w:hideMark/>
          </w:tcPr>
          <w:p w14:paraId="2D546CDF" w14:textId="77777777" w:rsidR="00954279" w:rsidRDefault="00A66714">
            <w:pPr>
              <w:rPr>
                <w:color w:val="000000"/>
                <w:sz w:val="20"/>
                <w:szCs w:val="20"/>
              </w:rPr>
            </w:pPr>
            <w:r>
              <w:rPr>
                <w:color w:val="000000"/>
                <w:sz w:val="20"/>
                <w:szCs w:val="20"/>
              </w:rPr>
              <w:t> </w:t>
            </w:r>
          </w:p>
        </w:tc>
        <w:tc>
          <w:tcPr>
            <w:tcW w:w="1275" w:type="dxa"/>
            <w:tcMar>
              <w:top w:w="5" w:type="dxa"/>
              <w:left w:w="5" w:type="dxa"/>
              <w:bottom w:w="5" w:type="dxa"/>
              <w:right w:w="5" w:type="dxa"/>
            </w:tcMar>
            <w:vAlign w:val="bottom"/>
            <w:hideMark/>
          </w:tcPr>
          <w:p w14:paraId="1AE17BE9" w14:textId="77777777" w:rsidR="00954279" w:rsidRDefault="00A66714">
            <w:pPr>
              <w:jc w:val="right"/>
              <w:rPr>
                <w:color w:val="000000"/>
                <w:sz w:val="20"/>
                <w:szCs w:val="20"/>
              </w:rPr>
            </w:pPr>
            <w:r>
              <w:rPr>
                <w:b/>
                <w:bCs/>
                <w:color w:val="000000"/>
                <w:sz w:val="20"/>
                <w:szCs w:val="20"/>
              </w:rPr>
              <w:t>-</w:t>
            </w:r>
          </w:p>
        </w:tc>
        <w:tc>
          <w:tcPr>
            <w:tcW w:w="225" w:type="dxa"/>
            <w:noWrap/>
            <w:tcMar>
              <w:top w:w="5" w:type="dxa"/>
              <w:left w:w="5" w:type="dxa"/>
              <w:bottom w:w="5" w:type="dxa"/>
              <w:right w:w="5" w:type="dxa"/>
            </w:tcMar>
            <w:vAlign w:val="bottom"/>
            <w:hideMark/>
          </w:tcPr>
          <w:p w14:paraId="575B5C68" w14:textId="77777777" w:rsidR="00954279" w:rsidRDefault="00A66714">
            <w:pPr>
              <w:rPr>
                <w:color w:val="000000"/>
                <w:sz w:val="20"/>
                <w:szCs w:val="20"/>
              </w:rPr>
            </w:pPr>
            <w:r>
              <w:rPr>
                <w:b/>
                <w:bCs/>
                <w:color w:val="000000"/>
                <w:sz w:val="20"/>
                <w:szCs w:val="20"/>
              </w:rPr>
              <w:t>%</w:t>
            </w:r>
          </w:p>
        </w:tc>
        <w:tc>
          <w:tcPr>
            <w:tcW w:w="60" w:type="dxa"/>
            <w:tcMar>
              <w:top w:w="5" w:type="dxa"/>
              <w:left w:w="5" w:type="dxa"/>
              <w:bottom w:w="5" w:type="dxa"/>
              <w:right w:w="5" w:type="dxa"/>
            </w:tcMar>
            <w:vAlign w:val="bottom"/>
            <w:hideMark/>
          </w:tcPr>
          <w:p w14:paraId="66F4D58D" w14:textId="77777777" w:rsidR="00954279" w:rsidRDefault="00A66714">
            <w:pPr>
              <w:rPr>
                <w:color w:val="000000"/>
                <w:sz w:val="20"/>
                <w:szCs w:val="20"/>
              </w:rPr>
            </w:pPr>
            <w:r>
              <w:rPr>
                <w:color w:val="000000"/>
                <w:sz w:val="20"/>
                <w:szCs w:val="20"/>
              </w:rPr>
              <w:t> </w:t>
            </w:r>
          </w:p>
        </w:tc>
        <w:tc>
          <w:tcPr>
            <w:tcW w:w="97" w:type="dxa"/>
            <w:tcMar>
              <w:top w:w="5" w:type="dxa"/>
              <w:left w:w="5" w:type="dxa"/>
              <w:bottom w:w="5" w:type="dxa"/>
              <w:right w:w="5" w:type="dxa"/>
            </w:tcMar>
            <w:vAlign w:val="bottom"/>
            <w:hideMark/>
          </w:tcPr>
          <w:p w14:paraId="59B15EE8" w14:textId="77777777" w:rsidR="00954279" w:rsidRDefault="00A66714">
            <w:pPr>
              <w:rPr>
                <w:color w:val="000000"/>
                <w:sz w:val="20"/>
                <w:szCs w:val="20"/>
              </w:rPr>
            </w:pPr>
            <w:r>
              <w:rPr>
                <w:color w:val="000000"/>
                <w:sz w:val="20"/>
                <w:szCs w:val="20"/>
              </w:rPr>
              <w:t> </w:t>
            </w:r>
          </w:p>
        </w:tc>
        <w:tc>
          <w:tcPr>
            <w:tcW w:w="1276" w:type="dxa"/>
            <w:tcMar>
              <w:top w:w="5" w:type="dxa"/>
              <w:left w:w="5" w:type="dxa"/>
              <w:bottom w:w="5" w:type="dxa"/>
              <w:right w:w="5" w:type="dxa"/>
            </w:tcMar>
            <w:vAlign w:val="bottom"/>
            <w:hideMark/>
          </w:tcPr>
          <w:p w14:paraId="0492DE93" w14:textId="77777777" w:rsidR="00954279" w:rsidRDefault="00A66714">
            <w:pPr>
              <w:jc w:val="right"/>
              <w:rPr>
                <w:color w:val="000000"/>
                <w:sz w:val="20"/>
                <w:szCs w:val="20"/>
              </w:rPr>
            </w:pPr>
            <w:r>
              <w:rPr>
                <w:color w:val="000000"/>
                <w:sz w:val="20"/>
                <w:szCs w:val="20"/>
              </w:rPr>
              <w:t>-</w:t>
            </w:r>
          </w:p>
        </w:tc>
        <w:tc>
          <w:tcPr>
            <w:tcW w:w="177" w:type="dxa"/>
            <w:noWrap/>
            <w:tcMar>
              <w:top w:w="5" w:type="dxa"/>
              <w:left w:w="5" w:type="dxa"/>
              <w:bottom w:w="5" w:type="dxa"/>
              <w:right w:w="5" w:type="dxa"/>
            </w:tcMar>
            <w:vAlign w:val="bottom"/>
            <w:hideMark/>
          </w:tcPr>
          <w:p w14:paraId="11715D49" w14:textId="77777777" w:rsidR="00954279" w:rsidRDefault="00A66714">
            <w:pPr>
              <w:rPr>
                <w:color w:val="000000"/>
                <w:sz w:val="20"/>
                <w:szCs w:val="20"/>
              </w:rPr>
            </w:pPr>
            <w:r>
              <w:rPr>
                <w:color w:val="000000"/>
                <w:sz w:val="20"/>
                <w:szCs w:val="20"/>
              </w:rPr>
              <w:t>%</w:t>
            </w:r>
          </w:p>
        </w:tc>
      </w:tr>
      <w:tr w:rsidR="00954279" w14:paraId="71ECF761" w14:textId="77777777" w:rsidTr="00717712">
        <w:tc>
          <w:tcPr>
            <w:tcW w:w="7498" w:type="dxa"/>
            <w:tcMar>
              <w:top w:w="5" w:type="dxa"/>
              <w:left w:w="5" w:type="dxa"/>
              <w:bottom w:w="5" w:type="dxa"/>
              <w:right w:w="5" w:type="dxa"/>
            </w:tcMar>
            <w:vAlign w:val="bottom"/>
            <w:hideMark/>
          </w:tcPr>
          <w:p w14:paraId="3C0ADFC8" w14:textId="77777777" w:rsidR="00954279" w:rsidRDefault="00A66714">
            <w:pPr>
              <w:rPr>
                <w:color w:val="000000"/>
                <w:sz w:val="20"/>
                <w:szCs w:val="20"/>
              </w:rPr>
            </w:pPr>
            <w:r>
              <w:rPr>
                <w:color w:val="000000"/>
                <w:sz w:val="20"/>
                <w:szCs w:val="20"/>
              </w:rPr>
              <w:t>Weighted average interest rate</w:t>
            </w:r>
          </w:p>
        </w:tc>
        <w:tc>
          <w:tcPr>
            <w:tcW w:w="96" w:type="dxa"/>
            <w:tcMar>
              <w:top w:w="5" w:type="dxa"/>
              <w:left w:w="5" w:type="dxa"/>
              <w:bottom w:w="5" w:type="dxa"/>
              <w:right w:w="5" w:type="dxa"/>
            </w:tcMar>
            <w:vAlign w:val="bottom"/>
            <w:hideMark/>
          </w:tcPr>
          <w:p w14:paraId="0837DE44" w14:textId="77777777" w:rsidR="00954279" w:rsidRDefault="00A66714">
            <w:pPr>
              <w:rPr>
                <w:color w:val="000000"/>
                <w:sz w:val="20"/>
                <w:szCs w:val="20"/>
              </w:rPr>
            </w:pPr>
            <w:r>
              <w:rPr>
                <w:color w:val="000000"/>
                <w:sz w:val="20"/>
                <w:szCs w:val="20"/>
              </w:rPr>
              <w:t> </w:t>
            </w:r>
          </w:p>
        </w:tc>
        <w:tc>
          <w:tcPr>
            <w:tcW w:w="96" w:type="dxa"/>
            <w:tcMar>
              <w:top w:w="5" w:type="dxa"/>
              <w:left w:w="5" w:type="dxa"/>
              <w:bottom w:w="5" w:type="dxa"/>
              <w:right w:w="5" w:type="dxa"/>
            </w:tcMar>
            <w:vAlign w:val="bottom"/>
            <w:hideMark/>
          </w:tcPr>
          <w:p w14:paraId="62568BAD" w14:textId="77777777" w:rsidR="00954279" w:rsidRDefault="00A66714">
            <w:pPr>
              <w:rPr>
                <w:color w:val="000000"/>
                <w:sz w:val="20"/>
                <w:szCs w:val="20"/>
              </w:rPr>
            </w:pPr>
            <w:r>
              <w:rPr>
                <w:color w:val="000000"/>
                <w:sz w:val="20"/>
                <w:szCs w:val="20"/>
              </w:rPr>
              <w:t> </w:t>
            </w:r>
          </w:p>
        </w:tc>
        <w:tc>
          <w:tcPr>
            <w:tcW w:w="1275" w:type="dxa"/>
            <w:tcMar>
              <w:top w:w="5" w:type="dxa"/>
              <w:left w:w="5" w:type="dxa"/>
              <w:bottom w:w="5" w:type="dxa"/>
              <w:right w:w="5" w:type="dxa"/>
            </w:tcMar>
            <w:vAlign w:val="bottom"/>
            <w:hideMark/>
          </w:tcPr>
          <w:p w14:paraId="2D3955CC" w14:textId="77777777" w:rsidR="00954279" w:rsidRDefault="00A66714">
            <w:pPr>
              <w:jc w:val="right"/>
              <w:rPr>
                <w:color w:val="000000"/>
                <w:sz w:val="20"/>
                <w:szCs w:val="20"/>
              </w:rPr>
            </w:pPr>
            <w:r>
              <w:rPr>
                <w:b/>
                <w:bCs/>
                <w:color w:val="000000"/>
                <w:sz w:val="20"/>
                <w:szCs w:val="20"/>
              </w:rPr>
              <w:t>5.42</w:t>
            </w:r>
          </w:p>
        </w:tc>
        <w:tc>
          <w:tcPr>
            <w:tcW w:w="225" w:type="dxa"/>
            <w:noWrap/>
            <w:tcMar>
              <w:top w:w="5" w:type="dxa"/>
              <w:left w:w="5" w:type="dxa"/>
              <w:bottom w:w="5" w:type="dxa"/>
              <w:right w:w="5" w:type="dxa"/>
            </w:tcMar>
            <w:vAlign w:val="bottom"/>
            <w:hideMark/>
          </w:tcPr>
          <w:p w14:paraId="0B9D46CF" w14:textId="77777777" w:rsidR="00954279" w:rsidRDefault="00A66714">
            <w:pPr>
              <w:rPr>
                <w:color w:val="000000"/>
                <w:sz w:val="20"/>
                <w:szCs w:val="20"/>
              </w:rPr>
            </w:pPr>
            <w:r>
              <w:rPr>
                <w:b/>
                <w:bCs/>
                <w:color w:val="000000"/>
                <w:sz w:val="20"/>
                <w:szCs w:val="20"/>
              </w:rPr>
              <w:t>%</w:t>
            </w:r>
          </w:p>
        </w:tc>
        <w:tc>
          <w:tcPr>
            <w:tcW w:w="60" w:type="dxa"/>
            <w:tcMar>
              <w:top w:w="5" w:type="dxa"/>
              <w:left w:w="5" w:type="dxa"/>
              <w:bottom w:w="5" w:type="dxa"/>
              <w:right w:w="5" w:type="dxa"/>
            </w:tcMar>
            <w:vAlign w:val="bottom"/>
            <w:hideMark/>
          </w:tcPr>
          <w:p w14:paraId="2BB2228E" w14:textId="77777777" w:rsidR="00954279" w:rsidRDefault="00A66714">
            <w:pPr>
              <w:rPr>
                <w:color w:val="000000"/>
                <w:sz w:val="20"/>
                <w:szCs w:val="20"/>
              </w:rPr>
            </w:pPr>
            <w:r>
              <w:rPr>
                <w:color w:val="000000"/>
                <w:sz w:val="20"/>
                <w:szCs w:val="20"/>
              </w:rPr>
              <w:t> </w:t>
            </w:r>
          </w:p>
        </w:tc>
        <w:tc>
          <w:tcPr>
            <w:tcW w:w="97" w:type="dxa"/>
            <w:tcMar>
              <w:top w:w="5" w:type="dxa"/>
              <w:left w:w="5" w:type="dxa"/>
              <w:bottom w:w="5" w:type="dxa"/>
              <w:right w:w="5" w:type="dxa"/>
            </w:tcMar>
            <w:vAlign w:val="bottom"/>
            <w:hideMark/>
          </w:tcPr>
          <w:p w14:paraId="6BE473A1" w14:textId="77777777" w:rsidR="00954279" w:rsidRDefault="00A66714">
            <w:pPr>
              <w:rPr>
                <w:color w:val="000000"/>
                <w:sz w:val="20"/>
                <w:szCs w:val="20"/>
              </w:rPr>
            </w:pPr>
            <w:r>
              <w:rPr>
                <w:color w:val="000000"/>
                <w:sz w:val="20"/>
                <w:szCs w:val="20"/>
              </w:rPr>
              <w:t> </w:t>
            </w:r>
          </w:p>
        </w:tc>
        <w:tc>
          <w:tcPr>
            <w:tcW w:w="1276" w:type="dxa"/>
            <w:tcMar>
              <w:top w:w="5" w:type="dxa"/>
              <w:left w:w="5" w:type="dxa"/>
              <w:bottom w:w="5" w:type="dxa"/>
              <w:right w:w="5" w:type="dxa"/>
            </w:tcMar>
            <w:vAlign w:val="bottom"/>
            <w:hideMark/>
          </w:tcPr>
          <w:p w14:paraId="3634E3B8" w14:textId="77777777" w:rsidR="00954279" w:rsidRDefault="00A66714">
            <w:pPr>
              <w:jc w:val="right"/>
              <w:rPr>
                <w:color w:val="000000"/>
                <w:sz w:val="20"/>
                <w:szCs w:val="20"/>
              </w:rPr>
            </w:pPr>
            <w:r>
              <w:rPr>
                <w:color w:val="000000"/>
                <w:sz w:val="20"/>
                <w:szCs w:val="20"/>
              </w:rPr>
              <w:t>4.93</w:t>
            </w:r>
          </w:p>
        </w:tc>
        <w:tc>
          <w:tcPr>
            <w:tcW w:w="177" w:type="dxa"/>
            <w:noWrap/>
            <w:tcMar>
              <w:top w:w="5" w:type="dxa"/>
              <w:left w:w="5" w:type="dxa"/>
              <w:bottom w:w="5" w:type="dxa"/>
              <w:right w:w="5" w:type="dxa"/>
            </w:tcMar>
            <w:vAlign w:val="bottom"/>
            <w:hideMark/>
          </w:tcPr>
          <w:p w14:paraId="2610E9FB" w14:textId="77777777" w:rsidR="00954279" w:rsidRDefault="00A66714">
            <w:pPr>
              <w:rPr>
                <w:color w:val="000000"/>
                <w:sz w:val="20"/>
                <w:szCs w:val="20"/>
              </w:rPr>
            </w:pPr>
            <w:r>
              <w:rPr>
                <w:color w:val="000000"/>
                <w:sz w:val="20"/>
                <w:szCs w:val="20"/>
              </w:rPr>
              <w:t>%</w:t>
            </w:r>
          </w:p>
        </w:tc>
      </w:tr>
    </w:tbl>
    <w:p w14:paraId="38A9B720" w14:textId="77777777" w:rsidR="00954279" w:rsidRDefault="00A66714">
      <w:pPr>
        <w:ind w:left="144" w:right="144"/>
        <w:rPr>
          <w:sz w:val="20"/>
          <w:szCs w:val="20"/>
        </w:rPr>
      </w:pPr>
      <w:r>
        <w:rPr>
          <w:sz w:val="20"/>
          <w:szCs w:val="20"/>
        </w:rPr>
        <w:t> </w:t>
      </w:r>
    </w:p>
    <w:p w14:paraId="61E3246F" w14:textId="77777777" w:rsidR="00954279" w:rsidRDefault="00A66714">
      <w:pPr>
        <w:ind w:left="144" w:right="144"/>
        <w:rPr>
          <w:sz w:val="20"/>
          <w:szCs w:val="20"/>
        </w:rPr>
      </w:pPr>
      <w:r>
        <w:rPr>
          <w:b/>
          <w:bCs/>
          <w:sz w:val="20"/>
          <w:szCs w:val="20"/>
          <w:u w:val="single"/>
        </w:rPr>
        <w:t>NOTE 7 – REDEEMABLE PREFERRED STOCK</w:t>
      </w:r>
    </w:p>
    <w:p w14:paraId="61F9A00C" w14:textId="77777777" w:rsidR="00954279" w:rsidRDefault="00A66714">
      <w:pPr>
        <w:ind w:left="144" w:right="144"/>
        <w:rPr>
          <w:sz w:val="20"/>
          <w:szCs w:val="20"/>
        </w:rPr>
      </w:pPr>
      <w:r>
        <w:rPr>
          <w:sz w:val="20"/>
          <w:szCs w:val="20"/>
        </w:rPr>
        <w:t> </w:t>
      </w:r>
    </w:p>
    <w:p w14:paraId="407DD183" w14:textId="77777777" w:rsidR="00954279" w:rsidRDefault="00A66714">
      <w:pPr>
        <w:ind w:left="144" w:right="144"/>
        <w:rPr>
          <w:sz w:val="20"/>
          <w:szCs w:val="20"/>
        </w:rPr>
      </w:pPr>
      <w:r>
        <w:rPr>
          <w:b/>
          <w:bCs/>
          <w:sz w:val="20"/>
          <w:szCs w:val="20"/>
          <w:u w:val="single"/>
        </w:rPr>
        <w:t>Preferred Stock Issuance</w:t>
      </w:r>
    </w:p>
    <w:p w14:paraId="35DB70AC" w14:textId="77777777" w:rsidR="00954279" w:rsidRDefault="00A66714">
      <w:pPr>
        <w:ind w:left="144" w:right="144"/>
        <w:rPr>
          <w:sz w:val="20"/>
          <w:szCs w:val="20"/>
        </w:rPr>
      </w:pPr>
      <w:r>
        <w:rPr>
          <w:sz w:val="20"/>
          <w:szCs w:val="20"/>
        </w:rPr>
        <w:t> </w:t>
      </w:r>
    </w:p>
    <w:p w14:paraId="3E7E4768" w14:textId="77777777" w:rsidR="00954279" w:rsidRDefault="00A66714">
      <w:pPr>
        <w:ind w:left="144" w:right="144"/>
        <w:rPr>
          <w:sz w:val="20"/>
          <w:szCs w:val="20"/>
        </w:rPr>
      </w:pPr>
      <w:r>
        <w:rPr>
          <w:sz w:val="20"/>
          <w:szCs w:val="20"/>
        </w:rPr>
        <w:t xml:space="preserve">In June 2015, we issued 363,000 shares of Series A Convertible Perpetual Preferred Stock (the “Preferred Stock”) and received gross proceeds of $363 million. The Preferred Stock ranks senior to our common stock with respect to dividend rights and rights on liquidation, winding-up and dissolution. The Preferred Stock has a stated value of $1,000 per share, and holders of Preferred Stock are entitled to cumulative dividends payable quarterly in cash at a rate of 6.50% per annum. In June 2018, the holders of Preferred Stock designated one member to our board of directors. If we fail to declare and pay the quarterly dividend for an amount equal to six or more dividend periods, the holders of the Preferred Stock would be entitled to designate an additional member to our board of directors. Holders of Preferred Stock are entitled to vote together with the holders of the common stock as a single class, in each case, on an as-converted basis, except where a separate class vote of the common stockholders is required by law. Holders of Preferred Stock have certain limited special approval rights, including with respect to the issuance of </w:t>
      </w:r>
      <w:proofErr w:type="spellStart"/>
      <w:r>
        <w:rPr>
          <w:sz w:val="20"/>
          <w:szCs w:val="20"/>
        </w:rPr>
        <w:t>pari</w:t>
      </w:r>
      <w:proofErr w:type="spellEnd"/>
      <w:r>
        <w:rPr>
          <w:sz w:val="20"/>
          <w:szCs w:val="20"/>
        </w:rPr>
        <w:t xml:space="preserve"> passu or senior equity securities of the Company.</w:t>
      </w:r>
    </w:p>
    <w:p w14:paraId="0D864138" w14:textId="77777777" w:rsidR="00954279" w:rsidRDefault="00A66714">
      <w:pPr>
        <w:ind w:left="144" w:right="144"/>
        <w:rPr>
          <w:sz w:val="20"/>
          <w:szCs w:val="20"/>
        </w:rPr>
      </w:pPr>
      <w:r>
        <w:rPr>
          <w:sz w:val="20"/>
          <w:szCs w:val="20"/>
        </w:rPr>
        <w:t> </w:t>
      </w:r>
    </w:p>
    <w:p w14:paraId="7280AC0D" w14:textId="77777777" w:rsidR="00954279" w:rsidRDefault="00A66714">
      <w:pPr>
        <w:ind w:left="144" w:right="144"/>
        <w:rPr>
          <w:sz w:val="20"/>
          <w:szCs w:val="20"/>
        </w:rPr>
      </w:pPr>
      <w:r>
        <w:rPr>
          <w:sz w:val="20"/>
          <w:szCs w:val="20"/>
        </w:rPr>
        <w:t>The Preferred Stock is convertible at the option of the holders into shares of common stock at an initial conversion rate of 55.9284 shares of common stock for each share of Preferred Stock, which represents an initial conversion price of $17.88 per share of common stock, subject to adjustment. The Company currently has the option to redeem, in whole but not in part, all the outstanding shares of Preferred Stock at 105% of par value, subject to certain redemption price adjustments. On or after June 10, 2022, the Company will have the option to redeem, in whole but not in part, all of the outstanding shares of Preferred Stock at par value, subject to certain redemption price adjustments. We may elect to convert the Preferred Stock, in whole but not in part, into the relevant number of shares of common stock if the last reported sale price of the common stock has been at least 150% of the conversion price then in effect for a specified period. The conversion rate is subject to customary anti-dilution and other adjustments.</w:t>
      </w:r>
    </w:p>
    <w:p w14:paraId="4D555D17" w14:textId="77777777" w:rsidR="00954279" w:rsidRDefault="00A66714">
      <w:pPr>
        <w:ind w:left="144" w:right="144"/>
        <w:rPr>
          <w:sz w:val="20"/>
          <w:szCs w:val="20"/>
        </w:rPr>
      </w:pPr>
      <w:r>
        <w:rPr>
          <w:sz w:val="20"/>
          <w:szCs w:val="20"/>
        </w:rPr>
        <w:t> </w:t>
      </w:r>
    </w:p>
    <w:p w14:paraId="5EE12A9F" w14:textId="77777777" w:rsidR="00954279" w:rsidRDefault="00A66714">
      <w:pPr>
        <w:ind w:left="144" w:right="144"/>
        <w:rPr>
          <w:sz w:val="20"/>
          <w:szCs w:val="20"/>
        </w:rPr>
      </w:pPr>
      <w:r>
        <w:rPr>
          <w:sz w:val="20"/>
          <w:szCs w:val="20"/>
        </w:rPr>
        <w:t>Holders of the Preferred Stock may, at their option, require the Company to repurchase their shares in the event of a fundamental change, as defined in the agreement. The repurchase price is based on the original $1,000 per share purchase price except in the case of a liquidation in which case they would receive the greater of $1,000 per share and the amount that would be received if they held common stock converted at the conversion rate in effect at the time of the fundamental change. Because this feature could require redemption as a result of the occurrence of an event not solely within the control of the Company, the Preferred Stock is classified as temporary equity on our balance sheet.</w:t>
      </w:r>
    </w:p>
    <w:p w14:paraId="7E2C67DC" w14:textId="672EA365" w:rsidR="00954279" w:rsidRDefault="00A66714">
      <w:pPr>
        <w:ind w:left="144" w:right="144"/>
        <w:rPr>
          <w:sz w:val="20"/>
          <w:szCs w:val="20"/>
        </w:rPr>
      </w:pPr>
      <w:r>
        <w:rPr>
          <w:sz w:val="20"/>
          <w:szCs w:val="20"/>
        </w:rPr>
        <w:t>  </w:t>
      </w:r>
    </w:p>
    <w:p w14:paraId="70E37185" w14:textId="77777777" w:rsidR="00954279" w:rsidRDefault="00A66714">
      <w:pPr>
        <w:ind w:left="144" w:right="144"/>
        <w:jc w:val="center"/>
        <w:rPr>
          <w:sz w:val="20"/>
          <w:szCs w:val="20"/>
        </w:rPr>
      </w:pPr>
      <w:bookmarkStart w:id="16" w:name="led65141F20205261593198979902"/>
      <w:r>
        <w:rPr>
          <w:sz w:val="20"/>
          <w:szCs w:val="20"/>
        </w:rPr>
        <w:t>11</w:t>
      </w:r>
    </w:p>
    <w:p w14:paraId="6086FDEA" w14:textId="77777777" w:rsidR="00954279" w:rsidRDefault="00A66714">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6B63EEA5" w14:textId="389A5E7F" w:rsidR="00717712" w:rsidRDefault="00717712" w:rsidP="00717712">
      <w:pPr>
        <w:ind w:left="144" w:right="144"/>
        <w:rPr>
          <w:sz w:val="20"/>
          <w:szCs w:val="20"/>
        </w:rPr>
      </w:pPr>
      <w:r>
        <w:rPr>
          <w:b/>
          <w:bCs/>
          <w:sz w:val="20"/>
          <w:szCs w:val="20"/>
          <w:u w:val="single"/>
        </w:rPr>
        <w:t>NOTE 8 – STOCKHOLDERS’ EQUITY</w:t>
      </w:r>
    </w:p>
    <w:p w14:paraId="73C71AB6" w14:textId="77777777" w:rsidR="00717712" w:rsidRDefault="00717712" w:rsidP="00717712">
      <w:pPr>
        <w:ind w:left="144" w:right="144"/>
        <w:rPr>
          <w:sz w:val="20"/>
          <w:szCs w:val="20"/>
        </w:rPr>
      </w:pPr>
      <w:r>
        <w:rPr>
          <w:sz w:val="20"/>
          <w:szCs w:val="20"/>
        </w:rPr>
        <w:t> </w:t>
      </w:r>
    </w:p>
    <w:p w14:paraId="3858B22D" w14:textId="77777777" w:rsidR="00717712" w:rsidRDefault="00717712" w:rsidP="00717712">
      <w:pPr>
        <w:ind w:left="144" w:right="144"/>
        <w:rPr>
          <w:sz w:val="20"/>
          <w:szCs w:val="20"/>
        </w:rPr>
      </w:pPr>
      <w:r>
        <w:rPr>
          <w:b/>
          <w:bCs/>
          <w:sz w:val="20"/>
          <w:szCs w:val="20"/>
          <w:u w:val="single"/>
        </w:rPr>
        <w:t>Equity Compensation Plans</w:t>
      </w:r>
    </w:p>
    <w:p w14:paraId="3DB83E24" w14:textId="77777777" w:rsidR="00717712" w:rsidRDefault="00717712" w:rsidP="00717712">
      <w:pPr>
        <w:ind w:left="144" w:right="144"/>
        <w:rPr>
          <w:sz w:val="20"/>
          <w:szCs w:val="20"/>
        </w:rPr>
      </w:pPr>
      <w:r>
        <w:rPr>
          <w:sz w:val="20"/>
          <w:szCs w:val="20"/>
        </w:rPr>
        <w:t> Our 2011 Omnibus Incentive Plan originally had 3,250,000 shares available for issuance under the plan. In both April 2015 and 2019, our shareholders approved an additional 4,250,000 and 2,500,000 shares, respectively, available for issuance under the plan. The plan permits the issuance of stock options, stock appreciation rights, restricted stock, restricted stock units, performance shares, performance units and other stock-based and cash-based awards. Since the adoption of the 2011 Omnibus Incentive Plan, the Company’s board of directors has periodically granted stock options, restricted stock awards, restricted stock units and performance share units to directors and employees, but no other types of awards have been granted under the plan. Options and stock appreciation rights may not be granted at prices less than the fair market value of our common stock on the date of the grant, nor for a term exceeding ten years. For employees, vesting generally occurs over a three year period on the anniversaries of the date specified in the employees’ respective agreements, subject to accelerated vesting under certain circumstances set forth in the agreements, and in any event, no less than one year. Vesting for directors generally occurs on the one year anniversary of the grant date. In 2021, 366,799 performance share unit awards, 104,388 restricted stock shares and 1,004,267 shares of restricted stock units have been granted to employees. To date, 11,007,097 shares have been granted under this plan. A Black-Scholes option-pricing model is used to estimate the fair value of the stock options. A Monte Carlo simulation is completed to estimate the fair value of performance share unit awards with a stock price performance component. We expense the fair value of all equity grants, including performance share unit awards, on a straight-line basis over the vesting period.</w:t>
      </w:r>
    </w:p>
    <w:p w14:paraId="6034C417" w14:textId="77777777" w:rsidR="00717712" w:rsidRDefault="00717712" w:rsidP="00717712">
      <w:pPr>
        <w:ind w:left="144" w:right="144"/>
        <w:rPr>
          <w:sz w:val="20"/>
          <w:szCs w:val="20"/>
        </w:rPr>
      </w:pPr>
      <w:r>
        <w:rPr>
          <w:sz w:val="20"/>
          <w:szCs w:val="20"/>
        </w:rPr>
        <w:t> </w:t>
      </w:r>
    </w:p>
    <w:p w14:paraId="518C55AC" w14:textId="77777777" w:rsidR="00954279" w:rsidRDefault="00A66714">
      <w:pPr>
        <w:ind w:left="144" w:right="144"/>
        <w:rPr>
          <w:sz w:val="20"/>
          <w:szCs w:val="20"/>
        </w:rPr>
      </w:pPr>
      <w:r>
        <w:rPr>
          <w:b/>
          <w:bCs/>
          <w:sz w:val="20"/>
          <w:szCs w:val="20"/>
          <w:u w:val="single"/>
        </w:rPr>
        <w:t>Accumulated Other Comprehensive Loss</w:t>
      </w:r>
      <w:r>
        <w:rPr>
          <w:sz w:val="20"/>
          <w:szCs w:val="20"/>
        </w:rPr>
        <w:t> </w:t>
      </w:r>
    </w:p>
    <w:p w14:paraId="0FBF7D95" w14:textId="77777777" w:rsidR="00954279" w:rsidRDefault="00A66714">
      <w:pPr>
        <w:ind w:left="144" w:right="144"/>
        <w:rPr>
          <w:sz w:val="20"/>
          <w:szCs w:val="20"/>
        </w:rPr>
      </w:pPr>
      <w:r>
        <w:rPr>
          <w:sz w:val="20"/>
          <w:szCs w:val="20"/>
        </w:rPr>
        <w:t> </w:t>
      </w:r>
    </w:p>
    <w:p w14:paraId="4041654A" w14:textId="77777777" w:rsidR="00954279" w:rsidRDefault="00A66714">
      <w:pPr>
        <w:ind w:left="144" w:right="144"/>
        <w:rPr>
          <w:sz w:val="20"/>
          <w:szCs w:val="20"/>
        </w:rPr>
      </w:pPr>
      <w:r>
        <w:rPr>
          <w:sz w:val="20"/>
          <w:szCs w:val="20"/>
        </w:rPr>
        <w:t>Accumulated other comprehensive loss in the accompanying consolidated balance sheets consists of the following (in millions):</w:t>
      </w:r>
    </w:p>
    <w:p w14:paraId="27D7AF83" w14:textId="77777777" w:rsidR="00954279" w:rsidRDefault="00A66714">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7559"/>
        <w:gridCol w:w="107"/>
        <w:gridCol w:w="110"/>
        <w:gridCol w:w="1295"/>
        <w:gridCol w:w="107"/>
        <w:gridCol w:w="107"/>
        <w:gridCol w:w="111"/>
        <w:gridCol w:w="1296"/>
        <w:gridCol w:w="108"/>
      </w:tblGrid>
      <w:tr w:rsidR="00954279" w14:paraId="1031BC93" w14:textId="77777777">
        <w:tc>
          <w:tcPr>
            <w:tcW w:w="0" w:type="auto"/>
            <w:tcMar>
              <w:top w:w="5" w:type="dxa"/>
              <w:left w:w="5" w:type="dxa"/>
              <w:bottom w:w="5" w:type="dxa"/>
              <w:right w:w="5" w:type="dxa"/>
            </w:tcMar>
            <w:vAlign w:val="bottom"/>
            <w:hideMark/>
          </w:tcPr>
          <w:p w14:paraId="1874F01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92B3802"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6A109185" w14:textId="77777777" w:rsidR="00954279" w:rsidRDefault="00A66714">
            <w:pPr>
              <w:jc w:val="center"/>
              <w:rPr>
                <w:color w:val="000000"/>
                <w:sz w:val="20"/>
                <w:szCs w:val="20"/>
              </w:rPr>
            </w:pPr>
            <w:r>
              <w:rPr>
                <w:b/>
                <w:bCs/>
                <w:color w:val="000000"/>
                <w:sz w:val="20"/>
                <w:szCs w:val="20"/>
              </w:rPr>
              <w:t>June 30,</w:t>
            </w:r>
          </w:p>
        </w:tc>
        <w:tc>
          <w:tcPr>
            <w:tcW w:w="0" w:type="auto"/>
            <w:tcMar>
              <w:top w:w="5" w:type="dxa"/>
              <w:left w:w="5" w:type="dxa"/>
              <w:bottom w:w="5" w:type="dxa"/>
              <w:right w:w="5" w:type="dxa"/>
            </w:tcMar>
            <w:vAlign w:val="bottom"/>
            <w:hideMark/>
          </w:tcPr>
          <w:p w14:paraId="18AB91A2"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8FEA010"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2B4F3FBC" w14:textId="77777777" w:rsidR="00954279" w:rsidRDefault="00A66714">
            <w:pPr>
              <w:jc w:val="center"/>
              <w:rPr>
                <w:color w:val="000000"/>
                <w:sz w:val="20"/>
                <w:szCs w:val="20"/>
              </w:rPr>
            </w:pPr>
            <w:r>
              <w:rPr>
                <w:b/>
                <w:bCs/>
                <w:color w:val="000000"/>
                <w:sz w:val="20"/>
                <w:szCs w:val="20"/>
              </w:rPr>
              <w:t>December 31,</w:t>
            </w:r>
          </w:p>
        </w:tc>
        <w:tc>
          <w:tcPr>
            <w:tcW w:w="0" w:type="auto"/>
            <w:tcMar>
              <w:top w:w="5" w:type="dxa"/>
              <w:left w:w="5" w:type="dxa"/>
              <w:bottom w:w="5" w:type="dxa"/>
              <w:right w:w="5" w:type="dxa"/>
            </w:tcMar>
            <w:vAlign w:val="bottom"/>
            <w:hideMark/>
          </w:tcPr>
          <w:p w14:paraId="1A4CD26F" w14:textId="77777777" w:rsidR="00954279" w:rsidRDefault="00A66714">
            <w:pPr>
              <w:rPr>
                <w:color w:val="000000"/>
                <w:sz w:val="20"/>
                <w:szCs w:val="20"/>
              </w:rPr>
            </w:pPr>
            <w:r>
              <w:rPr>
                <w:color w:val="000000"/>
                <w:sz w:val="20"/>
                <w:szCs w:val="20"/>
              </w:rPr>
              <w:t> </w:t>
            </w:r>
          </w:p>
        </w:tc>
      </w:tr>
      <w:tr w:rsidR="00954279" w14:paraId="68B2EEB7" w14:textId="77777777">
        <w:tc>
          <w:tcPr>
            <w:tcW w:w="0" w:type="auto"/>
            <w:tcMar>
              <w:top w:w="5" w:type="dxa"/>
              <w:left w:w="5" w:type="dxa"/>
              <w:bottom w:w="5" w:type="dxa"/>
              <w:right w:w="5" w:type="dxa"/>
            </w:tcMar>
            <w:vAlign w:val="bottom"/>
            <w:hideMark/>
          </w:tcPr>
          <w:p w14:paraId="5F1C1B7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45733D8"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306CD078" w14:textId="77777777" w:rsidR="00954279" w:rsidRDefault="00A66714">
            <w:pPr>
              <w:jc w:val="center"/>
              <w:rPr>
                <w:color w:val="000000"/>
                <w:sz w:val="20"/>
                <w:szCs w:val="20"/>
              </w:rPr>
            </w:pPr>
            <w:r>
              <w:rPr>
                <w:b/>
                <w:bCs/>
                <w:color w:val="000000"/>
                <w:sz w:val="20"/>
                <w:szCs w:val="20"/>
              </w:rPr>
              <w:t>2021</w:t>
            </w:r>
          </w:p>
        </w:tc>
        <w:tc>
          <w:tcPr>
            <w:tcW w:w="0" w:type="auto"/>
            <w:tcMar>
              <w:top w:w="5" w:type="dxa"/>
              <w:left w:w="5" w:type="dxa"/>
              <w:bottom w:w="20" w:type="dxa"/>
              <w:right w:w="5" w:type="dxa"/>
            </w:tcMar>
            <w:vAlign w:val="bottom"/>
            <w:hideMark/>
          </w:tcPr>
          <w:p w14:paraId="59864DC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061CDDE"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13236E94" w14:textId="77777777" w:rsidR="00954279" w:rsidRDefault="00A66714">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5155EEB1" w14:textId="77777777" w:rsidR="00954279" w:rsidRDefault="00A66714">
            <w:pPr>
              <w:rPr>
                <w:color w:val="000000"/>
                <w:sz w:val="20"/>
                <w:szCs w:val="20"/>
              </w:rPr>
            </w:pPr>
            <w:r>
              <w:rPr>
                <w:color w:val="000000"/>
                <w:sz w:val="20"/>
                <w:szCs w:val="20"/>
              </w:rPr>
              <w:t> </w:t>
            </w:r>
          </w:p>
        </w:tc>
      </w:tr>
      <w:tr w:rsidR="00954279" w14:paraId="1D4D9BFA" w14:textId="77777777">
        <w:tc>
          <w:tcPr>
            <w:tcW w:w="3500" w:type="pct"/>
            <w:tcMar>
              <w:top w:w="5" w:type="dxa"/>
              <w:left w:w="5" w:type="dxa"/>
              <w:bottom w:w="5" w:type="dxa"/>
              <w:right w:w="5" w:type="dxa"/>
            </w:tcMar>
            <w:vAlign w:val="bottom"/>
            <w:hideMark/>
          </w:tcPr>
          <w:p w14:paraId="337CCA55" w14:textId="77777777" w:rsidR="00954279" w:rsidRDefault="00A66714">
            <w:pPr>
              <w:rPr>
                <w:color w:val="000000"/>
                <w:sz w:val="20"/>
                <w:szCs w:val="20"/>
              </w:rPr>
            </w:pPr>
            <w:r>
              <w:rPr>
                <w:color w:val="000000"/>
                <w:sz w:val="20"/>
                <w:szCs w:val="20"/>
              </w:rPr>
              <w:t>Foreign currency translation adjustments</w:t>
            </w:r>
          </w:p>
        </w:tc>
        <w:tc>
          <w:tcPr>
            <w:tcW w:w="50" w:type="pct"/>
            <w:tcMar>
              <w:top w:w="5" w:type="dxa"/>
              <w:left w:w="5" w:type="dxa"/>
              <w:bottom w:w="5" w:type="dxa"/>
              <w:right w:w="5" w:type="dxa"/>
            </w:tcMar>
            <w:vAlign w:val="bottom"/>
            <w:hideMark/>
          </w:tcPr>
          <w:p w14:paraId="556AEF47"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26A4CD1" w14:textId="77777777" w:rsidR="00954279" w:rsidRDefault="00A66714">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43118F1F" w14:textId="77777777" w:rsidR="00954279" w:rsidRDefault="00A66714">
            <w:pPr>
              <w:jc w:val="right"/>
              <w:rPr>
                <w:color w:val="000000"/>
                <w:sz w:val="20"/>
                <w:szCs w:val="20"/>
              </w:rPr>
            </w:pPr>
            <w:r>
              <w:rPr>
                <w:b/>
                <w:bCs/>
                <w:color w:val="000000"/>
                <w:sz w:val="20"/>
                <w:szCs w:val="20"/>
              </w:rPr>
              <w:t>(222</w:t>
            </w:r>
          </w:p>
        </w:tc>
        <w:tc>
          <w:tcPr>
            <w:tcW w:w="50" w:type="pct"/>
            <w:noWrap/>
            <w:tcMar>
              <w:top w:w="5" w:type="dxa"/>
              <w:left w:w="5" w:type="dxa"/>
              <w:bottom w:w="5" w:type="dxa"/>
              <w:right w:w="5" w:type="dxa"/>
            </w:tcMar>
            <w:vAlign w:val="bottom"/>
            <w:hideMark/>
          </w:tcPr>
          <w:p w14:paraId="13AC5DA7" w14:textId="77777777" w:rsidR="00954279" w:rsidRDefault="00A66714">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56917B6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638E170" w14:textId="77777777" w:rsidR="00954279" w:rsidRDefault="00A66714">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6F2D3B2F" w14:textId="77777777" w:rsidR="00954279" w:rsidRDefault="00A66714">
            <w:pPr>
              <w:jc w:val="right"/>
              <w:rPr>
                <w:color w:val="000000"/>
                <w:sz w:val="20"/>
                <w:szCs w:val="20"/>
              </w:rPr>
            </w:pPr>
            <w:r>
              <w:rPr>
                <w:color w:val="000000"/>
                <w:sz w:val="20"/>
                <w:szCs w:val="20"/>
              </w:rPr>
              <w:t>(222</w:t>
            </w:r>
          </w:p>
        </w:tc>
        <w:tc>
          <w:tcPr>
            <w:tcW w:w="50" w:type="pct"/>
            <w:noWrap/>
            <w:tcMar>
              <w:top w:w="5" w:type="dxa"/>
              <w:left w:w="5" w:type="dxa"/>
              <w:bottom w:w="5" w:type="dxa"/>
              <w:right w:w="5" w:type="dxa"/>
            </w:tcMar>
            <w:vAlign w:val="bottom"/>
            <w:hideMark/>
          </w:tcPr>
          <w:p w14:paraId="35446E70" w14:textId="77777777" w:rsidR="00954279" w:rsidRDefault="00A66714">
            <w:pPr>
              <w:rPr>
                <w:color w:val="000000"/>
                <w:sz w:val="20"/>
                <w:szCs w:val="20"/>
              </w:rPr>
            </w:pPr>
            <w:r>
              <w:rPr>
                <w:color w:val="000000"/>
                <w:sz w:val="20"/>
                <w:szCs w:val="20"/>
              </w:rPr>
              <w:t>)</w:t>
            </w:r>
          </w:p>
        </w:tc>
      </w:tr>
      <w:tr w:rsidR="00954279" w14:paraId="28ED4DB2" w14:textId="77777777">
        <w:tc>
          <w:tcPr>
            <w:tcW w:w="0" w:type="auto"/>
            <w:tcMar>
              <w:top w:w="5" w:type="dxa"/>
              <w:left w:w="5" w:type="dxa"/>
              <w:bottom w:w="5" w:type="dxa"/>
              <w:right w:w="5" w:type="dxa"/>
            </w:tcMar>
            <w:vAlign w:val="bottom"/>
            <w:hideMark/>
          </w:tcPr>
          <w:p w14:paraId="45657EC4" w14:textId="77777777" w:rsidR="00954279" w:rsidRDefault="00A66714">
            <w:pPr>
              <w:rPr>
                <w:color w:val="000000"/>
                <w:sz w:val="20"/>
                <w:szCs w:val="20"/>
              </w:rPr>
            </w:pPr>
            <w:r>
              <w:rPr>
                <w:color w:val="000000"/>
                <w:sz w:val="20"/>
                <w:szCs w:val="20"/>
              </w:rPr>
              <w:t>Hedge accounting adjustments</w:t>
            </w:r>
          </w:p>
        </w:tc>
        <w:tc>
          <w:tcPr>
            <w:tcW w:w="50" w:type="pct"/>
            <w:tcMar>
              <w:top w:w="5" w:type="dxa"/>
              <w:left w:w="5" w:type="dxa"/>
              <w:bottom w:w="5" w:type="dxa"/>
              <w:right w:w="5" w:type="dxa"/>
            </w:tcMar>
            <w:vAlign w:val="bottom"/>
            <w:hideMark/>
          </w:tcPr>
          <w:p w14:paraId="61BD00D7"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AD61791"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252D8E2" w14:textId="77777777" w:rsidR="00954279" w:rsidRDefault="00A66714">
            <w:pPr>
              <w:jc w:val="right"/>
              <w:rPr>
                <w:color w:val="000000"/>
                <w:sz w:val="20"/>
                <w:szCs w:val="20"/>
              </w:rPr>
            </w:pPr>
            <w:r>
              <w:rPr>
                <w:b/>
                <w:bCs/>
                <w:color w:val="000000"/>
                <w:sz w:val="20"/>
                <w:szCs w:val="20"/>
              </w:rPr>
              <w:t>(8</w:t>
            </w:r>
          </w:p>
        </w:tc>
        <w:tc>
          <w:tcPr>
            <w:tcW w:w="50" w:type="pct"/>
            <w:noWrap/>
            <w:tcMar>
              <w:top w:w="5" w:type="dxa"/>
              <w:left w:w="5" w:type="dxa"/>
              <w:bottom w:w="5" w:type="dxa"/>
              <w:right w:w="5" w:type="dxa"/>
            </w:tcMar>
            <w:vAlign w:val="bottom"/>
            <w:hideMark/>
          </w:tcPr>
          <w:p w14:paraId="6F5753AE" w14:textId="77777777" w:rsidR="00954279" w:rsidRDefault="00A66714">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0432248A"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2B06C05"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52CC3E6" w14:textId="77777777" w:rsidR="00954279" w:rsidRDefault="00A66714">
            <w:pPr>
              <w:jc w:val="right"/>
              <w:rPr>
                <w:color w:val="000000"/>
                <w:sz w:val="20"/>
                <w:szCs w:val="20"/>
              </w:rPr>
            </w:pPr>
            <w:r>
              <w:rPr>
                <w:color w:val="000000"/>
                <w:sz w:val="20"/>
                <w:szCs w:val="20"/>
              </w:rPr>
              <w:t>(11</w:t>
            </w:r>
          </w:p>
        </w:tc>
        <w:tc>
          <w:tcPr>
            <w:tcW w:w="50" w:type="pct"/>
            <w:noWrap/>
            <w:tcMar>
              <w:top w:w="5" w:type="dxa"/>
              <w:left w:w="5" w:type="dxa"/>
              <w:bottom w:w="5" w:type="dxa"/>
              <w:right w:w="5" w:type="dxa"/>
            </w:tcMar>
            <w:vAlign w:val="bottom"/>
            <w:hideMark/>
          </w:tcPr>
          <w:p w14:paraId="71641E5A" w14:textId="77777777" w:rsidR="00954279" w:rsidRDefault="00A66714">
            <w:pPr>
              <w:rPr>
                <w:color w:val="000000"/>
                <w:sz w:val="20"/>
                <w:szCs w:val="20"/>
              </w:rPr>
            </w:pPr>
            <w:r>
              <w:rPr>
                <w:color w:val="000000"/>
                <w:sz w:val="20"/>
                <w:szCs w:val="20"/>
              </w:rPr>
              <w:t>)</w:t>
            </w:r>
          </w:p>
        </w:tc>
      </w:tr>
      <w:tr w:rsidR="00954279" w14:paraId="47ADC86F" w14:textId="77777777">
        <w:tc>
          <w:tcPr>
            <w:tcW w:w="0" w:type="auto"/>
            <w:tcMar>
              <w:top w:w="5" w:type="dxa"/>
              <w:left w:w="5" w:type="dxa"/>
              <w:bottom w:w="5" w:type="dxa"/>
              <w:right w:w="5" w:type="dxa"/>
            </w:tcMar>
            <w:vAlign w:val="bottom"/>
            <w:hideMark/>
          </w:tcPr>
          <w:p w14:paraId="32CA67D4" w14:textId="77777777" w:rsidR="00954279" w:rsidRDefault="00A66714">
            <w:pPr>
              <w:rPr>
                <w:color w:val="000000"/>
                <w:sz w:val="20"/>
                <w:szCs w:val="20"/>
              </w:rPr>
            </w:pPr>
            <w:r>
              <w:rPr>
                <w:color w:val="000000"/>
                <w:sz w:val="20"/>
                <w:szCs w:val="20"/>
              </w:rPr>
              <w:t>Pension related adjustments</w:t>
            </w:r>
          </w:p>
        </w:tc>
        <w:tc>
          <w:tcPr>
            <w:tcW w:w="50" w:type="pct"/>
            <w:tcMar>
              <w:top w:w="5" w:type="dxa"/>
              <w:left w:w="5" w:type="dxa"/>
              <w:bottom w:w="20" w:type="dxa"/>
              <w:right w:w="5" w:type="dxa"/>
            </w:tcMar>
            <w:vAlign w:val="bottom"/>
            <w:hideMark/>
          </w:tcPr>
          <w:p w14:paraId="19FDF268"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E4930B6" w14:textId="77777777" w:rsidR="00954279" w:rsidRDefault="00A66714">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18DE810C" w14:textId="77777777" w:rsidR="00954279" w:rsidRDefault="00A66714">
            <w:pPr>
              <w:jc w:val="right"/>
              <w:rPr>
                <w:color w:val="000000"/>
                <w:sz w:val="20"/>
                <w:szCs w:val="20"/>
              </w:rPr>
            </w:pPr>
            <w:r>
              <w:rPr>
                <w:b/>
                <w:bCs/>
                <w:color w:val="000000"/>
                <w:sz w:val="20"/>
                <w:szCs w:val="20"/>
              </w:rPr>
              <w:t>(1</w:t>
            </w:r>
          </w:p>
        </w:tc>
        <w:tc>
          <w:tcPr>
            <w:tcW w:w="50" w:type="pct"/>
            <w:noWrap/>
            <w:tcMar>
              <w:top w:w="5" w:type="dxa"/>
              <w:left w:w="5" w:type="dxa"/>
              <w:bottom w:w="20" w:type="dxa"/>
              <w:right w:w="5" w:type="dxa"/>
            </w:tcMar>
            <w:vAlign w:val="bottom"/>
            <w:hideMark/>
          </w:tcPr>
          <w:p w14:paraId="2B09756A" w14:textId="77777777" w:rsidR="00954279" w:rsidRDefault="00A66714">
            <w:pPr>
              <w:rPr>
                <w:color w:val="000000"/>
                <w:sz w:val="20"/>
                <w:szCs w:val="20"/>
              </w:rPr>
            </w:pPr>
            <w:r>
              <w:rPr>
                <w:b/>
                <w:bCs/>
                <w:color w:val="000000"/>
                <w:sz w:val="20"/>
                <w:szCs w:val="20"/>
              </w:rPr>
              <w:t>)</w:t>
            </w:r>
          </w:p>
        </w:tc>
        <w:tc>
          <w:tcPr>
            <w:tcW w:w="50" w:type="pct"/>
            <w:tcMar>
              <w:top w:w="5" w:type="dxa"/>
              <w:left w:w="5" w:type="dxa"/>
              <w:bottom w:w="20" w:type="dxa"/>
              <w:right w:w="5" w:type="dxa"/>
            </w:tcMar>
            <w:vAlign w:val="bottom"/>
            <w:hideMark/>
          </w:tcPr>
          <w:p w14:paraId="24EA24FF"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59A1B09" w14:textId="77777777" w:rsidR="00954279" w:rsidRDefault="00A66714">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40BFE4A" w14:textId="77777777" w:rsidR="00954279" w:rsidRDefault="00A66714">
            <w:pPr>
              <w:jc w:val="right"/>
              <w:rPr>
                <w:color w:val="000000"/>
                <w:sz w:val="20"/>
                <w:szCs w:val="20"/>
              </w:rPr>
            </w:pPr>
            <w:r>
              <w:rPr>
                <w:color w:val="000000"/>
                <w:sz w:val="20"/>
                <w:szCs w:val="20"/>
              </w:rPr>
              <w:t>(1</w:t>
            </w:r>
          </w:p>
        </w:tc>
        <w:tc>
          <w:tcPr>
            <w:tcW w:w="50" w:type="pct"/>
            <w:noWrap/>
            <w:tcMar>
              <w:top w:w="5" w:type="dxa"/>
              <w:left w:w="5" w:type="dxa"/>
              <w:bottom w:w="20" w:type="dxa"/>
              <w:right w:w="5" w:type="dxa"/>
            </w:tcMar>
            <w:vAlign w:val="bottom"/>
            <w:hideMark/>
          </w:tcPr>
          <w:p w14:paraId="1B272471" w14:textId="77777777" w:rsidR="00954279" w:rsidRDefault="00A66714">
            <w:pPr>
              <w:rPr>
                <w:color w:val="000000"/>
                <w:sz w:val="20"/>
                <w:szCs w:val="20"/>
              </w:rPr>
            </w:pPr>
            <w:r>
              <w:rPr>
                <w:color w:val="000000"/>
                <w:sz w:val="20"/>
                <w:szCs w:val="20"/>
              </w:rPr>
              <w:t>)</w:t>
            </w:r>
          </w:p>
        </w:tc>
      </w:tr>
      <w:tr w:rsidR="00954279" w14:paraId="27DE3D0C" w14:textId="77777777">
        <w:tc>
          <w:tcPr>
            <w:tcW w:w="0" w:type="auto"/>
            <w:tcMar>
              <w:top w:w="5" w:type="dxa"/>
              <w:left w:w="5" w:type="dxa"/>
              <w:bottom w:w="5" w:type="dxa"/>
              <w:right w:w="5" w:type="dxa"/>
            </w:tcMar>
            <w:vAlign w:val="bottom"/>
            <w:hideMark/>
          </w:tcPr>
          <w:p w14:paraId="70EF2BCE" w14:textId="77777777" w:rsidR="00954279" w:rsidRDefault="00A66714">
            <w:pPr>
              <w:rPr>
                <w:color w:val="000000"/>
                <w:sz w:val="20"/>
                <w:szCs w:val="20"/>
              </w:rPr>
            </w:pPr>
            <w:r>
              <w:rPr>
                <w:color w:val="000000"/>
                <w:sz w:val="20"/>
                <w:szCs w:val="20"/>
              </w:rPr>
              <w:t>Accumulated other comprehensive loss</w:t>
            </w:r>
          </w:p>
        </w:tc>
        <w:tc>
          <w:tcPr>
            <w:tcW w:w="50" w:type="pct"/>
            <w:tcMar>
              <w:top w:w="5" w:type="dxa"/>
              <w:left w:w="5" w:type="dxa"/>
              <w:bottom w:w="5" w:type="dxa"/>
              <w:right w:w="5" w:type="dxa"/>
            </w:tcMar>
            <w:vAlign w:val="bottom"/>
            <w:hideMark/>
          </w:tcPr>
          <w:p w14:paraId="227063BE"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CAF24B3" w14:textId="77777777" w:rsidR="00954279" w:rsidRDefault="00A66714">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761FB51A" w14:textId="77777777" w:rsidR="00954279" w:rsidRDefault="00A66714">
            <w:pPr>
              <w:jc w:val="right"/>
              <w:rPr>
                <w:color w:val="000000"/>
                <w:sz w:val="20"/>
                <w:szCs w:val="20"/>
              </w:rPr>
            </w:pPr>
            <w:r>
              <w:rPr>
                <w:b/>
                <w:bCs/>
                <w:color w:val="000000"/>
                <w:sz w:val="20"/>
                <w:szCs w:val="20"/>
              </w:rPr>
              <w:t>(231</w:t>
            </w:r>
          </w:p>
        </w:tc>
        <w:tc>
          <w:tcPr>
            <w:tcW w:w="50" w:type="pct"/>
            <w:noWrap/>
            <w:tcMar>
              <w:top w:w="5" w:type="dxa"/>
              <w:left w:w="5" w:type="dxa"/>
              <w:bottom w:w="50" w:type="dxa"/>
              <w:right w:w="5" w:type="dxa"/>
            </w:tcMar>
            <w:vAlign w:val="bottom"/>
            <w:hideMark/>
          </w:tcPr>
          <w:p w14:paraId="39738AA0" w14:textId="77777777" w:rsidR="00954279" w:rsidRDefault="00A66714">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2099F06C"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CA91FF9" w14:textId="77777777" w:rsidR="00954279" w:rsidRDefault="00A66714">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0F3C6AE7" w14:textId="77777777" w:rsidR="00954279" w:rsidRDefault="00A66714">
            <w:pPr>
              <w:jc w:val="right"/>
              <w:rPr>
                <w:color w:val="000000"/>
                <w:sz w:val="20"/>
                <w:szCs w:val="20"/>
              </w:rPr>
            </w:pPr>
            <w:r>
              <w:rPr>
                <w:color w:val="000000"/>
                <w:sz w:val="20"/>
                <w:szCs w:val="20"/>
              </w:rPr>
              <w:t>(234</w:t>
            </w:r>
          </w:p>
        </w:tc>
        <w:tc>
          <w:tcPr>
            <w:tcW w:w="50" w:type="pct"/>
            <w:noWrap/>
            <w:tcMar>
              <w:top w:w="5" w:type="dxa"/>
              <w:left w:w="5" w:type="dxa"/>
              <w:bottom w:w="50" w:type="dxa"/>
              <w:right w:w="5" w:type="dxa"/>
            </w:tcMar>
            <w:vAlign w:val="bottom"/>
            <w:hideMark/>
          </w:tcPr>
          <w:p w14:paraId="1BDDD26C" w14:textId="77777777" w:rsidR="00954279" w:rsidRDefault="00A66714">
            <w:pPr>
              <w:rPr>
                <w:color w:val="000000"/>
                <w:sz w:val="20"/>
                <w:szCs w:val="20"/>
              </w:rPr>
            </w:pPr>
            <w:r>
              <w:rPr>
                <w:color w:val="000000"/>
                <w:sz w:val="20"/>
                <w:szCs w:val="20"/>
              </w:rPr>
              <w:t>)</w:t>
            </w:r>
          </w:p>
        </w:tc>
      </w:tr>
    </w:tbl>
    <w:p w14:paraId="13D8B799" w14:textId="77777777" w:rsidR="00954279" w:rsidRDefault="00A66714">
      <w:pPr>
        <w:ind w:left="144" w:right="144"/>
        <w:rPr>
          <w:sz w:val="20"/>
          <w:szCs w:val="20"/>
        </w:rPr>
      </w:pPr>
      <w:r>
        <w:rPr>
          <w:sz w:val="20"/>
          <w:szCs w:val="20"/>
        </w:rPr>
        <w:t> </w:t>
      </w:r>
    </w:p>
    <w:p w14:paraId="7C0831EF" w14:textId="77777777" w:rsidR="00954279" w:rsidRDefault="00A66714">
      <w:pPr>
        <w:ind w:left="144" w:right="144"/>
        <w:rPr>
          <w:sz w:val="20"/>
          <w:szCs w:val="20"/>
        </w:rPr>
      </w:pPr>
      <w:r>
        <w:rPr>
          <w:b/>
          <w:bCs/>
          <w:sz w:val="20"/>
          <w:szCs w:val="20"/>
          <w:u w:val="single"/>
        </w:rPr>
        <w:t>Earnings per Share</w:t>
      </w:r>
      <w:r>
        <w:rPr>
          <w:b/>
          <w:bCs/>
          <w:sz w:val="20"/>
          <w:szCs w:val="20"/>
        </w:rPr>
        <w:t> </w:t>
      </w:r>
    </w:p>
    <w:p w14:paraId="6170975B" w14:textId="77777777" w:rsidR="00954279" w:rsidRDefault="00A66714">
      <w:pPr>
        <w:ind w:left="144" w:right="144"/>
        <w:rPr>
          <w:sz w:val="20"/>
          <w:szCs w:val="20"/>
        </w:rPr>
      </w:pPr>
      <w:r>
        <w:rPr>
          <w:sz w:val="20"/>
          <w:szCs w:val="20"/>
        </w:rPr>
        <w:t> </w:t>
      </w:r>
    </w:p>
    <w:p w14:paraId="376B6FE0" w14:textId="77777777" w:rsidR="00954279" w:rsidRDefault="00A66714">
      <w:pPr>
        <w:ind w:left="144" w:right="144"/>
        <w:rPr>
          <w:sz w:val="20"/>
          <w:szCs w:val="20"/>
        </w:rPr>
      </w:pPr>
      <w:r>
        <w:rPr>
          <w:sz w:val="20"/>
          <w:szCs w:val="20"/>
        </w:rPr>
        <w:t>Earnings per share are calculated in the table below (in millions, except per share amounts):</w:t>
      </w:r>
    </w:p>
    <w:p w14:paraId="2FAFBAD8" w14:textId="77777777" w:rsidR="00954279" w:rsidRDefault="00A66714">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5615"/>
        <w:gridCol w:w="107"/>
        <w:gridCol w:w="110"/>
        <w:gridCol w:w="971"/>
        <w:gridCol w:w="107"/>
        <w:gridCol w:w="107"/>
        <w:gridCol w:w="110"/>
        <w:gridCol w:w="971"/>
        <w:gridCol w:w="107"/>
        <w:gridCol w:w="107"/>
        <w:gridCol w:w="110"/>
        <w:gridCol w:w="972"/>
        <w:gridCol w:w="108"/>
        <w:gridCol w:w="108"/>
        <w:gridCol w:w="110"/>
        <w:gridCol w:w="972"/>
        <w:gridCol w:w="108"/>
      </w:tblGrid>
      <w:tr w:rsidR="00954279" w14:paraId="35DA681D" w14:textId="77777777">
        <w:tc>
          <w:tcPr>
            <w:tcW w:w="0" w:type="auto"/>
            <w:tcMar>
              <w:top w:w="5" w:type="dxa"/>
              <w:left w:w="5" w:type="dxa"/>
              <w:bottom w:w="5" w:type="dxa"/>
              <w:right w:w="5" w:type="dxa"/>
            </w:tcMar>
            <w:vAlign w:val="bottom"/>
            <w:hideMark/>
          </w:tcPr>
          <w:p w14:paraId="039FBB7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1E7E3FB" w14:textId="77777777" w:rsidR="00954279" w:rsidRDefault="00A66714">
            <w:pPr>
              <w:rPr>
                <w:color w:val="000000"/>
                <w:sz w:val="20"/>
                <w:szCs w:val="20"/>
              </w:rPr>
            </w:pPr>
            <w:r>
              <w:rPr>
                <w:color w:val="000000"/>
                <w:sz w:val="20"/>
                <w:szCs w:val="20"/>
              </w:rPr>
              <w:t> </w:t>
            </w:r>
          </w:p>
        </w:tc>
        <w:tc>
          <w:tcPr>
            <w:tcW w:w="0" w:type="auto"/>
            <w:gridSpan w:val="6"/>
            <w:tcBorders>
              <w:bottom w:val="single" w:sz="6" w:space="0" w:color="000000"/>
            </w:tcBorders>
            <w:tcMar>
              <w:top w:w="5" w:type="dxa"/>
              <w:left w:w="5" w:type="dxa"/>
              <w:bottom w:w="8" w:type="dxa"/>
              <w:right w:w="5" w:type="dxa"/>
            </w:tcMar>
            <w:vAlign w:val="bottom"/>
            <w:hideMark/>
          </w:tcPr>
          <w:p w14:paraId="5821D18C" w14:textId="77777777" w:rsidR="00954279" w:rsidRDefault="00A66714">
            <w:pPr>
              <w:jc w:val="center"/>
              <w:rPr>
                <w:color w:val="000000"/>
                <w:sz w:val="20"/>
                <w:szCs w:val="20"/>
              </w:rPr>
            </w:pPr>
            <w:r>
              <w:rPr>
                <w:b/>
                <w:bCs/>
                <w:color w:val="000000"/>
                <w:sz w:val="20"/>
                <w:szCs w:val="20"/>
              </w:rPr>
              <w:t>Three Months Ended</w:t>
            </w:r>
          </w:p>
        </w:tc>
        <w:tc>
          <w:tcPr>
            <w:tcW w:w="0" w:type="auto"/>
            <w:tcMar>
              <w:top w:w="5" w:type="dxa"/>
              <w:left w:w="5" w:type="dxa"/>
              <w:bottom w:w="20" w:type="dxa"/>
              <w:right w:w="5" w:type="dxa"/>
            </w:tcMar>
            <w:vAlign w:val="bottom"/>
            <w:hideMark/>
          </w:tcPr>
          <w:p w14:paraId="2470DEF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927AF23" w14:textId="77777777" w:rsidR="00954279" w:rsidRDefault="00A66714">
            <w:pPr>
              <w:rPr>
                <w:color w:val="000000"/>
                <w:sz w:val="20"/>
                <w:szCs w:val="20"/>
              </w:rPr>
            </w:pPr>
            <w:r>
              <w:rPr>
                <w:color w:val="000000"/>
                <w:sz w:val="20"/>
                <w:szCs w:val="20"/>
              </w:rPr>
              <w:t> </w:t>
            </w:r>
          </w:p>
        </w:tc>
        <w:tc>
          <w:tcPr>
            <w:tcW w:w="0" w:type="auto"/>
            <w:gridSpan w:val="6"/>
            <w:tcBorders>
              <w:bottom w:val="single" w:sz="6" w:space="0" w:color="000000"/>
            </w:tcBorders>
            <w:tcMar>
              <w:top w:w="5" w:type="dxa"/>
              <w:left w:w="5" w:type="dxa"/>
              <w:bottom w:w="8" w:type="dxa"/>
              <w:right w:w="5" w:type="dxa"/>
            </w:tcMar>
            <w:vAlign w:val="bottom"/>
            <w:hideMark/>
          </w:tcPr>
          <w:p w14:paraId="227684AB" w14:textId="77777777" w:rsidR="00954279" w:rsidRDefault="00A66714">
            <w:pPr>
              <w:jc w:val="center"/>
              <w:rPr>
                <w:color w:val="000000"/>
                <w:sz w:val="20"/>
                <w:szCs w:val="20"/>
              </w:rPr>
            </w:pPr>
            <w:r>
              <w:rPr>
                <w:b/>
                <w:bCs/>
                <w:color w:val="000000"/>
                <w:sz w:val="20"/>
                <w:szCs w:val="20"/>
              </w:rPr>
              <w:t>Six Months Ended</w:t>
            </w:r>
          </w:p>
        </w:tc>
        <w:tc>
          <w:tcPr>
            <w:tcW w:w="0" w:type="auto"/>
            <w:tcMar>
              <w:top w:w="5" w:type="dxa"/>
              <w:left w:w="5" w:type="dxa"/>
              <w:bottom w:w="20" w:type="dxa"/>
              <w:right w:w="5" w:type="dxa"/>
            </w:tcMar>
            <w:vAlign w:val="bottom"/>
            <w:hideMark/>
          </w:tcPr>
          <w:p w14:paraId="37CC5B61" w14:textId="77777777" w:rsidR="00954279" w:rsidRDefault="00A66714">
            <w:pPr>
              <w:rPr>
                <w:color w:val="000000"/>
                <w:sz w:val="20"/>
                <w:szCs w:val="20"/>
              </w:rPr>
            </w:pPr>
            <w:r>
              <w:rPr>
                <w:color w:val="000000"/>
                <w:sz w:val="20"/>
                <w:szCs w:val="20"/>
              </w:rPr>
              <w:t> </w:t>
            </w:r>
          </w:p>
        </w:tc>
      </w:tr>
      <w:tr w:rsidR="00954279" w14:paraId="5E23A97F" w14:textId="77777777">
        <w:tc>
          <w:tcPr>
            <w:tcW w:w="0" w:type="auto"/>
            <w:tcMar>
              <w:top w:w="5" w:type="dxa"/>
              <w:left w:w="5" w:type="dxa"/>
              <w:bottom w:w="5" w:type="dxa"/>
              <w:right w:w="5" w:type="dxa"/>
            </w:tcMar>
            <w:vAlign w:val="bottom"/>
            <w:hideMark/>
          </w:tcPr>
          <w:p w14:paraId="16D8EC2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AE7DF1F"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4C676B06" w14:textId="77777777" w:rsidR="00954279" w:rsidRDefault="00A66714">
            <w:pPr>
              <w:jc w:val="center"/>
              <w:rPr>
                <w:color w:val="000000"/>
                <w:sz w:val="20"/>
                <w:szCs w:val="20"/>
              </w:rPr>
            </w:pPr>
            <w:r>
              <w:rPr>
                <w:b/>
                <w:bCs/>
                <w:color w:val="000000"/>
                <w:sz w:val="20"/>
                <w:szCs w:val="20"/>
              </w:rPr>
              <w:t>June 30,</w:t>
            </w:r>
          </w:p>
        </w:tc>
        <w:tc>
          <w:tcPr>
            <w:tcW w:w="0" w:type="auto"/>
            <w:tcMar>
              <w:top w:w="5" w:type="dxa"/>
              <w:left w:w="5" w:type="dxa"/>
              <w:bottom w:w="5" w:type="dxa"/>
              <w:right w:w="5" w:type="dxa"/>
            </w:tcMar>
            <w:vAlign w:val="bottom"/>
            <w:hideMark/>
          </w:tcPr>
          <w:p w14:paraId="368198F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4D57EF7"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2D7497A8" w14:textId="77777777" w:rsidR="00954279" w:rsidRDefault="00A66714">
            <w:pPr>
              <w:jc w:val="center"/>
              <w:rPr>
                <w:color w:val="000000"/>
                <w:sz w:val="20"/>
                <w:szCs w:val="20"/>
              </w:rPr>
            </w:pPr>
            <w:r>
              <w:rPr>
                <w:b/>
                <w:bCs/>
                <w:color w:val="000000"/>
                <w:sz w:val="20"/>
                <w:szCs w:val="20"/>
              </w:rPr>
              <w:t>June 30,</w:t>
            </w:r>
          </w:p>
        </w:tc>
        <w:tc>
          <w:tcPr>
            <w:tcW w:w="0" w:type="auto"/>
            <w:tcMar>
              <w:top w:w="5" w:type="dxa"/>
              <w:left w:w="5" w:type="dxa"/>
              <w:bottom w:w="5" w:type="dxa"/>
              <w:right w:w="5" w:type="dxa"/>
            </w:tcMar>
            <w:vAlign w:val="bottom"/>
            <w:hideMark/>
          </w:tcPr>
          <w:p w14:paraId="6CEADE4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95DFFE5"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762EAD5C" w14:textId="77777777" w:rsidR="00954279" w:rsidRDefault="00A66714">
            <w:pPr>
              <w:jc w:val="center"/>
              <w:rPr>
                <w:color w:val="000000"/>
                <w:sz w:val="20"/>
                <w:szCs w:val="20"/>
              </w:rPr>
            </w:pPr>
            <w:r>
              <w:rPr>
                <w:b/>
                <w:bCs/>
                <w:color w:val="000000"/>
                <w:sz w:val="20"/>
                <w:szCs w:val="20"/>
              </w:rPr>
              <w:t>June 30,</w:t>
            </w:r>
          </w:p>
        </w:tc>
        <w:tc>
          <w:tcPr>
            <w:tcW w:w="0" w:type="auto"/>
            <w:tcMar>
              <w:top w:w="5" w:type="dxa"/>
              <w:left w:w="5" w:type="dxa"/>
              <w:bottom w:w="5" w:type="dxa"/>
              <w:right w:w="5" w:type="dxa"/>
            </w:tcMar>
            <w:vAlign w:val="bottom"/>
            <w:hideMark/>
          </w:tcPr>
          <w:p w14:paraId="77BD92F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EBBE0FA"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48B2A92B" w14:textId="77777777" w:rsidR="00954279" w:rsidRDefault="00A66714">
            <w:pPr>
              <w:jc w:val="center"/>
              <w:rPr>
                <w:color w:val="000000"/>
                <w:sz w:val="20"/>
                <w:szCs w:val="20"/>
              </w:rPr>
            </w:pPr>
            <w:r>
              <w:rPr>
                <w:b/>
                <w:bCs/>
                <w:color w:val="000000"/>
                <w:sz w:val="20"/>
                <w:szCs w:val="20"/>
              </w:rPr>
              <w:t>June 30,</w:t>
            </w:r>
          </w:p>
        </w:tc>
        <w:tc>
          <w:tcPr>
            <w:tcW w:w="0" w:type="auto"/>
            <w:tcMar>
              <w:top w:w="5" w:type="dxa"/>
              <w:left w:w="5" w:type="dxa"/>
              <w:bottom w:w="5" w:type="dxa"/>
              <w:right w:w="5" w:type="dxa"/>
            </w:tcMar>
            <w:vAlign w:val="bottom"/>
            <w:hideMark/>
          </w:tcPr>
          <w:p w14:paraId="0910A201" w14:textId="77777777" w:rsidR="00954279" w:rsidRDefault="00A66714">
            <w:pPr>
              <w:rPr>
                <w:color w:val="000000"/>
                <w:sz w:val="20"/>
                <w:szCs w:val="20"/>
              </w:rPr>
            </w:pPr>
            <w:r>
              <w:rPr>
                <w:color w:val="000000"/>
                <w:sz w:val="20"/>
                <w:szCs w:val="20"/>
              </w:rPr>
              <w:t> </w:t>
            </w:r>
          </w:p>
        </w:tc>
      </w:tr>
      <w:tr w:rsidR="00954279" w14:paraId="15CABA28" w14:textId="77777777">
        <w:tc>
          <w:tcPr>
            <w:tcW w:w="0" w:type="auto"/>
            <w:tcMar>
              <w:top w:w="5" w:type="dxa"/>
              <w:left w:w="5" w:type="dxa"/>
              <w:bottom w:w="5" w:type="dxa"/>
              <w:right w:w="5" w:type="dxa"/>
            </w:tcMar>
            <w:vAlign w:val="bottom"/>
            <w:hideMark/>
          </w:tcPr>
          <w:p w14:paraId="192A62A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A1666C6"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18717AD2" w14:textId="77777777" w:rsidR="00954279" w:rsidRDefault="00A66714">
            <w:pPr>
              <w:jc w:val="center"/>
              <w:rPr>
                <w:color w:val="000000"/>
                <w:sz w:val="20"/>
                <w:szCs w:val="20"/>
              </w:rPr>
            </w:pPr>
            <w:r>
              <w:rPr>
                <w:b/>
                <w:bCs/>
                <w:color w:val="000000"/>
                <w:sz w:val="20"/>
                <w:szCs w:val="20"/>
              </w:rPr>
              <w:t>2021</w:t>
            </w:r>
          </w:p>
        </w:tc>
        <w:tc>
          <w:tcPr>
            <w:tcW w:w="0" w:type="auto"/>
            <w:tcMar>
              <w:top w:w="5" w:type="dxa"/>
              <w:left w:w="5" w:type="dxa"/>
              <w:bottom w:w="20" w:type="dxa"/>
              <w:right w:w="5" w:type="dxa"/>
            </w:tcMar>
            <w:vAlign w:val="bottom"/>
            <w:hideMark/>
          </w:tcPr>
          <w:p w14:paraId="5481894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87D45F6"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8F1B2ED" w14:textId="77777777" w:rsidR="00954279" w:rsidRDefault="00A66714">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7B6A0FA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EE7668A"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7E55931F" w14:textId="77777777" w:rsidR="00954279" w:rsidRDefault="00A66714">
            <w:pPr>
              <w:jc w:val="center"/>
              <w:rPr>
                <w:color w:val="000000"/>
                <w:sz w:val="20"/>
                <w:szCs w:val="20"/>
              </w:rPr>
            </w:pPr>
            <w:r>
              <w:rPr>
                <w:b/>
                <w:bCs/>
                <w:color w:val="000000"/>
                <w:sz w:val="20"/>
                <w:szCs w:val="20"/>
              </w:rPr>
              <w:t>2021</w:t>
            </w:r>
          </w:p>
        </w:tc>
        <w:tc>
          <w:tcPr>
            <w:tcW w:w="0" w:type="auto"/>
            <w:tcMar>
              <w:top w:w="5" w:type="dxa"/>
              <w:left w:w="5" w:type="dxa"/>
              <w:bottom w:w="20" w:type="dxa"/>
              <w:right w:w="5" w:type="dxa"/>
            </w:tcMar>
            <w:vAlign w:val="bottom"/>
            <w:hideMark/>
          </w:tcPr>
          <w:p w14:paraId="33FA080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A136A89"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75EAC9C1" w14:textId="77777777" w:rsidR="00954279" w:rsidRDefault="00A66714">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4B4AF5F6" w14:textId="77777777" w:rsidR="00954279" w:rsidRDefault="00A66714">
            <w:pPr>
              <w:rPr>
                <w:color w:val="000000"/>
                <w:sz w:val="20"/>
                <w:szCs w:val="20"/>
              </w:rPr>
            </w:pPr>
            <w:r>
              <w:rPr>
                <w:color w:val="000000"/>
                <w:sz w:val="20"/>
                <w:szCs w:val="20"/>
              </w:rPr>
              <w:t> </w:t>
            </w:r>
          </w:p>
        </w:tc>
      </w:tr>
      <w:tr w:rsidR="00954279" w14:paraId="40B75872" w14:textId="77777777">
        <w:tc>
          <w:tcPr>
            <w:tcW w:w="2600" w:type="pct"/>
            <w:tcMar>
              <w:top w:w="5" w:type="dxa"/>
              <w:left w:w="5" w:type="dxa"/>
              <w:bottom w:w="5" w:type="dxa"/>
              <w:right w:w="5" w:type="dxa"/>
            </w:tcMar>
            <w:vAlign w:val="bottom"/>
            <w:hideMark/>
          </w:tcPr>
          <w:p w14:paraId="1D545791" w14:textId="77777777" w:rsidR="00954279" w:rsidRDefault="00A66714">
            <w:pPr>
              <w:rPr>
                <w:color w:val="000000"/>
                <w:sz w:val="20"/>
                <w:szCs w:val="20"/>
              </w:rPr>
            </w:pPr>
            <w:r>
              <w:rPr>
                <w:color w:val="000000"/>
                <w:sz w:val="20"/>
                <w:szCs w:val="20"/>
              </w:rPr>
              <w:t>Net income (loss)</w:t>
            </w:r>
          </w:p>
        </w:tc>
        <w:tc>
          <w:tcPr>
            <w:tcW w:w="50" w:type="pct"/>
            <w:tcMar>
              <w:top w:w="5" w:type="dxa"/>
              <w:left w:w="5" w:type="dxa"/>
              <w:bottom w:w="5" w:type="dxa"/>
              <w:right w:w="5" w:type="dxa"/>
            </w:tcMar>
            <w:vAlign w:val="bottom"/>
            <w:hideMark/>
          </w:tcPr>
          <w:p w14:paraId="47B010A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87B61E8"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4067E490" w14:textId="77777777" w:rsidR="00954279" w:rsidRDefault="00A66714">
            <w:pPr>
              <w:jc w:val="right"/>
              <w:rPr>
                <w:color w:val="000000"/>
                <w:sz w:val="20"/>
                <w:szCs w:val="20"/>
              </w:rPr>
            </w:pPr>
            <w:r>
              <w:rPr>
                <w:b/>
                <w:bCs/>
                <w:color w:val="000000"/>
                <w:sz w:val="20"/>
                <w:szCs w:val="20"/>
              </w:rPr>
              <w:t>4</w:t>
            </w:r>
          </w:p>
        </w:tc>
        <w:tc>
          <w:tcPr>
            <w:tcW w:w="50" w:type="pct"/>
            <w:noWrap/>
            <w:tcMar>
              <w:top w:w="5" w:type="dxa"/>
              <w:left w:w="5" w:type="dxa"/>
              <w:bottom w:w="5" w:type="dxa"/>
              <w:right w:w="5" w:type="dxa"/>
            </w:tcMar>
            <w:vAlign w:val="bottom"/>
            <w:hideMark/>
          </w:tcPr>
          <w:p w14:paraId="6CB835A3"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1EE996F"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98134D4"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1CD48C73" w14:textId="77777777" w:rsidR="00954279" w:rsidRDefault="00A66714">
            <w:pPr>
              <w:jc w:val="right"/>
              <w:rPr>
                <w:color w:val="000000"/>
                <w:sz w:val="20"/>
                <w:szCs w:val="20"/>
              </w:rPr>
            </w:pPr>
            <w:r>
              <w:rPr>
                <w:color w:val="000000"/>
                <w:sz w:val="20"/>
                <w:szCs w:val="20"/>
              </w:rPr>
              <w:t>(281</w:t>
            </w:r>
          </w:p>
        </w:tc>
        <w:tc>
          <w:tcPr>
            <w:tcW w:w="50" w:type="pct"/>
            <w:noWrap/>
            <w:tcMar>
              <w:top w:w="5" w:type="dxa"/>
              <w:left w:w="5" w:type="dxa"/>
              <w:bottom w:w="5" w:type="dxa"/>
              <w:right w:w="5" w:type="dxa"/>
            </w:tcMar>
            <w:vAlign w:val="bottom"/>
            <w:hideMark/>
          </w:tcPr>
          <w:p w14:paraId="211CCCAE"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68E4EBD3"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137FBD5"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4BC4EFB9" w14:textId="77777777" w:rsidR="00954279" w:rsidRDefault="00A66714">
            <w:pPr>
              <w:jc w:val="right"/>
              <w:rPr>
                <w:color w:val="000000"/>
                <w:sz w:val="20"/>
                <w:szCs w:val="20"/>
              </w:rPr>
            </w:pPr>
            <w:r>
              <w:rPr>
                <w:b/>
                <w:bCs/>
                <w:color w:val="000000"/>
                <w:sz w:val="20"/>
                <w:szCs w:val="20"/>
              </w:rPr>
              <w:t>1</w:t>
            </w:r>
          </w:p>
        </w:tc>
        <w:tc>
          <w:tcPr>
            <w:tcW w:w="50" w:type="pct"/>
            <w:noWrap/>
            <w:tcMar>
              <w:top w:w="5" w:type="dxa"/>
              <w:left w:w="5" w:type="dxa"/>
              <w:bottom w:w="5" w:type="dxa"/>
              <w:right w:w="5" w:type="dxa"/>
            </w:tcMar>
            <w:vAlign w:val="bottom"/>
            <w:hideMark/>
          </w:tcPr>
          <w:p w14:paraId="5D2D61C6"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10CD367"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416F487"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0FAFBE48" w14:textId="77777777" w:rsidR="00954279" w:rsidRDefault="00A66714">
            <w:pPr>
              <w:jc w:val="right"/>
              <w:rPr>
                <w:color w:val="000000"/>
                <w:sz w:val="20"/>
                <w:szCs w:val="20"/>
              </w:rPr>
            </w:pPr>
            <w:r>
              <w:rPr>
                <w:color w:val="000000"/>
                <w:sz w:val="20"/>
                <w:szCs w:val="20"/>
              </w:rPr>
              <w:t>(272</w:t>
            </w:r>
          </w:p>
        </w:tc>
        <w:tc>
          <w:tcPr>
            <w:tcW w:w="50" w:type="pct"/>
            <w:noWrap/>
            <w:tcMar>
              <w:top w:w="5" w:type="dxa"/>
              <w:left w:w="5" w:type="dxa"/>
              <w:bottom w:w="5" w:type="dxa"/>
              <w:right w:w="5" w:type="dxa"/>
            </w:tcMar>
            <w:vAlign w:val="bottom"/>
            <w:hideMark/>
          </w:tcPr>
          <w:p w14:paraId="64237E76" w14:textId="77777777" w:rsidR="00954279" w:rsidRDefault="00A66714">
            <w:pPr>
              <w:rPr>
                <w:color w:val="000000"/>
                <w:sz w:val="20"/>
                <w:szCs w:val="20"/>
              </w:rPr>
            </w:pPr>
            <w:r>
              <w:rPr>
                <w:color w:val="000000"/>
                <w:sz w:val="20"/>
                <w:szCs w:val="20"/>
              </w:rPr>
              <w:t>)</w:t>
            </w:r>
          </w:p>
        </w:tc>
      </w:tr>
      <w:tr w:rsidR="00954279" w14:paraId="230BA9FE" w14:textId="77777777">
        <w:tc>
          <w:tcPr>
            <w:tcW w:w="0" w:type="auto"/>
            <w:tcMar>
              <w:top w:w="5" w:type="dxa"/>
              <w:left w:w="5" w:type="dxa"/>
              <w:bottom w:w="5" w:type="dxa"/>
              <w:right w:w="5" w:type="dxa"/>
            </w:tcMar>
            <w:vAlign w:val="bottom"/>
            <w:hideMark/>
          </w:tcPr>
          <w:p w14:paraId="54C8F69D" w14:textId="77777777" w:rsidR="00954279" w:rsidRDefault="00A66714">
            <w:pPr>
              <w:rPr>
                <w:color w:val="000000"/>
                <w:sz w:val="20"/>
                <w:szCs w:val="20"/>
              </w:rPr>
            </w:pPr>
            <w:r>
              <w:rPr>
                <w:color w:val="000000"/>
                <w:sz w:val="20"/>
                <w:szCs w:val="20"/>
              </w:rPr>
              <w:t>Less: Dividends on Series A Preferred Stock</w:t>
            </w:r>
          </w:p>
        </w:tc>
        <w:tc>
          <w:tcPr>
            <w:tcW w:w="50" w:type="pct"/>
            <w:tcMar>
              <w:top w:w="5" w:type="dxa"/>
              <w:left w:w="5" w:type="dxa"/>
              <w:bottom w:w="5" w:type="dxa"/>
              <w:right w:w="5" w:type="dxa"/>
            </w:tcMar>
            <w:vAlign w:val="bottom"/>
            <w:hideMark/>
          </w:tcPr>
          <w:p w14:paraId="3CA9BFC6"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72EE77E"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3D73C170" w14:textId="77777777" w:rsidR="00954279" w:rsidRDefault="00A66714">
            <w:pPr>
              <w:jc w:val="right"/>
              <w:rPr>
                <w:color w:val="000000"/>
                <w:sz w:val="20"/>
                <w:szCs w:val="20"/>
              </w:rPr>
            </w:pPr>
            <w:r>
              <w:rPr>
                <w:b/>
                <w:bCs/>
                <w:color w:val="000000"/>
                <w:sz w:val="20"/>
                <w:szCs w:val="20"/>
              </w:rPr>
              <w:t>6</w:t>
            </w:r>
          </w:p>
        </w:tc>
        <w:tc>
          <w:tcPr>
            <w:tcW w:w="50" w:type="pct"/>
            <w:noWrap/>
            <w:tcMar>
              <w:top w:w="5" w:type="dxa"/>
              <w:left w:w="5" w:type="dxa"/>
              <w:bottom w:w="20" w:type="dxa"/>
              <w:right w:w="5" w:type="dxa"/>
            </w:tcMar>
            <w:vAlign w:val="bottom"/>
            <w:hideMark/>
          </w:tcPr>
          <w:p w14:paraId="1CD0B869"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E3F5C01"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FB94D42"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72D5ADF9" w14:textId="77777777" w:rsidR="00954279" w:rsidRDefault="00A66714">
            <w:pPr>
              <w:jc w:val="right"/>
              <w:rPr>
                <w:color w:val="000000"/>
                <w:sz w:val="20"/>
                <w:szCs w:val="20"/>
              </w:rPr>
            </w:pPr>
            <w:r>
              <w:rPr>
                <w:color w:val="000000"/>
                <w:sz w:val="20"/>
                <w:szCs w:val="20"/>
              </w:rPr>
              <w:t>6</w:t>
            </w:r>
          </w:p>
        </w:tc>
        <w:tc>
          <w:tcPr>
            <w:tcW w:w="50" w:type="pct"/>
            <w:noWrap/>
            <w:tcMar>
              <w:top w:w="5" w:type="dxa"/>
              <w:left w:w="5" w:type="dxa"/>
              <w:bottom w:w="20" w:type="dxa"/>
              <w:right w:w="5" w:type="dxa"/>
            </w:tcMar>
            <w:vAlign w:val="bottom"/>
            <w:hideMark/>
          </w:tcPr>
          <w:p w14:paraId="0A8010D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E1394DF"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0431DC3"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29D960F0" w14:textId="77777777" w:rsidR="00954279" w:rsidRDefault="00A66714">
            <w:pPr>
              <w:jc w:val="right"/>
              <w:rPr>
                <w:color w:val="000000"/>
                <w:sz w:val="20"/>
                <w:szCs w:val="20"/>
              </w:rPr>
            </w:pPr>
            <w:r>
              <w:rPr>
                <w:b/>
                <w:bCs/>
                <w:color w:val="000000"/>
                <w:sz w:val="20"/>
                <w:szCs w:val="20"/>
              </w:rPr>
              <w:t>12</w:t>
            </w:r>
          </w:p>
        </w:tc>
        <w:tc>
          <w:tcPr>
            <w:tcW w:w="50" w:type="pct"/>
            <w:noWrap/>
            <w:tcMar>
              <w:top w:w="5" w:type="dxa"/>
              <w:left w:w="5" w:type="dxa"/>
              <w:bottom w:w="20" w:type="dxa"/>
              <w:right w:w="5" w:type="dxa"/>
            </w:tcMar>
            <w:vAlign w:val="bottom"/>
            <w:hideMark/>
          </w:tcPr>
          <w:p w14:paraId="13689947"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ECD0299"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9E97E34"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5D9B4377" w14:textId="77777777" w:rsidR="00954279" w:rsidRDefault="00A66714">
            <w:pPr>
              <w:jc w:val="right"/>
              <w:rPr>
                <w:color w:val="000000"/>
                <w:sz w:val="20"/>
                <w:szCs w:val="20"/>
              </w:rPr>
            </w:pPr>
            <w:r>
              <w:rPr>
                <w:color w:val="000000"/>
                <w:sz w:val="20"/>
                <w:szCs w:val="20"/>
              </w:rPr>
              <w:t>12</w:t>
            </w:r>
          </w:p>
        </w:tc>
        <w:tc>
          <w:tcPr>
            <w:tcW w:w="50" w:type="pct"/>
            <w:noWrap/>
            <w:tcMar>
              <w:top w:w="5" w:type="dxa"/>
              <w:left w:w="5" w:type="dxa"/>
              <w:bottom w:w="20" w:type="dxa"/>
              <w:right w:w="5" w:type="dxa"/>
            </w:tcMar>
            <w:vAlign w:val="bottom"/>
            <w:hideMark/>
          </w:tcPr>
          <w:p w14:paraId="28781D60" w14:textId="77777777" w:rsidR="00954279" w:rsidRDefault="00A66714">
            <w:pPr>
              <w:rPr>
                <w:color w:val="000000"/>
                <w:sz w:val="20"/>
                <w:szCs w:val="20"/>
              </w:rPr>
            </w:pPr>
            <w:r>
              <w:rPr>
                <w:color w:val="000000"/>
                <w:sz w:val="20"/>
                <w:szCs w:val="20"/>
              </w:rPr>
              <w:t> </w:t>
            </w:r>
          </w:p>
        </w:tc>
      </w:tr>
      <w:tr w:rsidR="00954279" w14:paraId="514538E7" w14:textId="77777777">
        <w:tc>
          <w:tcPr>
            <w:tcW w:w="0" w:type="auto"/>
            <w:tcMar>
              <w:top w:w="5" w:type="dxa"/>
              <w:left w:w="5" w:type="dxa"/>
              <w:bottom w:w="5" w:type="dxa"/>
              <w:right w:w="5" w:type="dxa"/>
            </w:tcMar>
            <w:vAlign w:val="bottom"/>
            <w:hideMark/>
          </w:tcPr>
          <w:p w14:paraId="11853F02" w14:textId="77777777" w:rsidR="00954279" w:rsidRDefault="00A66714">
            <w:pPr>
              <w:rPr>
                <w:color w:val="000000"/>
                <w:sz w:val="20"/>
                <w:szCs w:val="20"/>
              </w:rPr>
            </w:pPr>
            <w:r>
              <w:rPr>
                <w:color w:val="000000"/>
                <w:sz w:val="20"/>
                <w:szCs w:val="20"/>
              </w:rPr>
              <w:t>Net loss attributable to common stockholders</w:t>
            </w:r>
          </w:p>
        </w:tc>
        <w:tc>
          <w:tcPr>
            <w:tcW w:w="50" w:type="pct"/>
            <w:tcMar>
              <w:top w:w="5" w:type="dxa"/>
              <w:left w:w="5" w:type="dxa"/>
              <w:bottom w:w="5" w:type="dxa"/>
              <w:right w:w="5" w:type="dxa"/>
            </w:tcMar>
            <w:vAlign w:val="bottom"/>
            <w:hideMark/>
          </w:tcPr>
          <w:p w14:paraId="3FCED903"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D682526"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1F661393" w14:textId="77777777" w:rsidR="00954279" w:rsidRDefault="00A66714">
            <w:pPr>
              <w:jc w:val="right"/>
              <w:rPr>
                <w:color w:val="000000"/>
                <w:sz w:val="20"/>
                <w:szCs w:val="20"/>
              </w:rPr>
            </w:pPr>
            <w:r>
              <w:rPr>
                <w:b/>
                <w:bCs/>
                <w:color w:val="000000"/>
                <w:sz w:val="20"/>
                <w:szCs w:val="20"/>
              </w:rPr>
              <w:t>(2</w:t>
            </w:r>
          </w:p>
        </w:tc>
        <w:tc>
          <w:tcPr>
            <w:tcW w:w="50" w:type="pct"/>
            <w:noWrap/>
            <w:tcMar>
              <w:top w:w="5" w:type="dxa"/>
              <w:left w:w="5" w:type="dxa"/>
              <w:bottom w:w="50" w:type="dxa"/>
              <w:right w:w="5" w:type="dxa"/>
            </w:tcMar>
            <w:vAlign w:val="bottom"/>
            <w:hideMark/>
          </w:tcPr>
          <w:p w14:paraId="2A09B01E"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50B62DD6"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8095AC2"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19EBB386" w14:textId="77777777" w:rsidR="00954279" w:rsidRDefault="00A66714">
            <w:pPr>
              <w:jc w:val="right"/>
              <w:rPr>
                <w:color w:val="000000"/>
                <w:sz w:val="20"/>
                <w:szCs w:val="20"/>
              </w:rPr>
            </w:pPr>
            <w:r>
              <w:rPr>
                <w:color w:val="000000"/>
                <w:sz w:val="20"/>
                <w:szCs w:val="20"/>
              </w:rPr>
              <w:t>(287</w:t>
            </w:r>
          </w:p>
        </w:tc>
        <w:tc>
          <w:tcPr>
            <w:tcW w:w="50" w:type="pct"/>
            <w:noWrap/>
            <w:tcMar>
              <w:top w:w="5" w:type="dxa"/>
              <w:left w:w="5" w:type="dxa"/>
              <w:bottom w:w="50" w:type="dxa"/>
              <w:right w:w="5" w:type="dxa"/>
            </w:tcMar>
            <w:vAlign w:val="bottom"/>
            <w:hideMark/>
          </w:tcPr>
          <w:p w14:paraId="0252D6A7"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3F017645"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623185A"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7B69F2A8" w14:textId="77777777" w:rsidR="00954279" w:rsidRDefault="00A66714">
            <w:pPr>
              <w:jc w:val="right"/>
              <w:rPr>
                <w:color w:val="000000"/>
                <w:sz w:val="20"/>
                <w:szCs w:val="20"/>
              </w:rPr>
            </w:pPr>
            <w:r>
              <w:rPr>
                <w:b/>
                <w:bCs/>
                <w:color w:val="000000"/>
                <w:sz w:val="20"/>
                <w:szCs w:val="20"/>
              </w:rPr>
              <w:t>(11</w:t>
            </w:r>
          </w:p>
        </w:tc>
        <w:tc>
          <w:tcPr>
            <w:tcW w:w="50" w:type="pct"/>
            <w:noWrap/>
            <w:tcMar>
              <w:top w:w="5" w:type="dxa"/>
              <w:left w:w="5" w:type="dxa"/>
              <w:bottom w:w="50" w:type="dxa"/>
              <w:right w:w="5" w:type="dxa"/>
            </w:tcMar>
            <w:vAlign w:val="bottom"/>
            <w:hideMark/>
          </w:tcPr>
          <w:p w14:paraId="2A8F1F8D" w14:textId="77777777" w:rsidR="00954279" w:rsidRDefault="00A66714">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4FBA3C43"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6A6C097"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36372A10" w14:textId="77777777" w:rsidR="00954279" w:rsidRDefault="00A66714">
            <w:pPr>
              <w:jc w:val="right"/>
              <w:rPr>
                <w:color w:val="000000"/>
                <w:sz w:val="20"/>
                <w:szCs w:val="20"/>
              </w:rPr>
            </w:pPr>
            <w:r>
              <w:rPr>
                <w:color w:val="000000"/>
                <w:sz w:val="20"/>
                <w:szCs w:val="20"/>
              </w:rPr>
              <w:t>(284</w:t>
            </w:r>
          </w:p>
        </w:tc>
        <w:tc>
          <w:tcPr>
            <w:tcW w:w="50" w:type="pct"/>
            <w:noWrap/>
            <w:tcMar>
              <w:top w:w="5" w:type="dxa"/>
              <w:left w:w="5" w:type="dxa"/>
              <w:bottom w:w="50" w:type="dxa"/>
              <w:right w:w="5" w:type="dxa"/>
            </w:tcMar>
            <w:vAlign w:val="bottom"/>
            <w:hideMark/>
          </w:tcPr>
          <w:p w14:paraId="7D556D0B" w14:textId="77777777" w:rsidR="00954279" w:rsidRDefault="00A66714">
            <w:pPr>
              <w:rPr>
                <w:color w:val="000000"/>
                <w:sz w:val="20"/>
                <w:szCs w:val="20"/>
              </w:rPr>
            </w:pPr>
            <w:r>
              <w:rPr>
                <w:color w:val="000000"/>
                <w:sz w:val="20"/>
                <w:szCs w:val="20"/>
              </w:rPr>
              <w:t>)</w:t>
            </w:r>
          </w:p>
        </w:tc>
      </w:tr>
      <w:tr w:rsidR="00954279" w14:paraId="7BE6B98C" w14:textId="77777777">
        <w:tc>
          <w:tcPr>
            <w:tcW w:w="0" w:type="auto"/>
            <w:tcMar>
              <w:top w:w="5" w:type="dxa"/>
              <w:left w:w="5" w:type="dxa"/>
              <w:bottom w:w="5" w:type="dxa"/>
              <w:right w:w="5" w:type="dxa"/>
            </w:tcMar>
            <w:vAlign w:val="bottom"/>
            <w:hideMark/>
          </w:tcPr>
          <w:p w14:paraId="67A4E42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BD0F3F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A2C687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4B0118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19DCE7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E05DA3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191FC1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8803B4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A6F96A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5F31A8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A4E4832"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834901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3897C3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C6FB92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51EDF3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C6616D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38762D2" w14:textId="77777777" w:rsidR="00954279" w:rsidRDefault="00A66714">
            <w:pPr>
              <w:rPr>
                <w:color w:val="000000"/>
                <w:sz w:val="20"/>
                <w:szCs w:val="20"/>
              </w:rPr>
            </w:pPr>
            <w:r>
              <w:rPr>
                <w:color w:val="000000"/>
                <w:sz w:val="20"/>
                <w:szCs w:val="20"/>
              </w:rPr>
              <w:t> </w:t>
            </w:r>
          </w:p>
        </w:tc>
      </w:tr>
      <w:tr w:rsidR="00954279" w14:paraId="2F9CF7A6" w14:textId="77777777">
        <w:tc>
          <w:tcPr>
            <w:tcW w:w="0" w:type="auto"/>
            <w:tcMar>
              <w:top w:w="5" w:type="dxa"/>
              <w:left w:w="5" w:type="dxa"/>
              <w:bottom w:w="5" w:type="dxa"/>
              <w:right w:w="5" w:type="dxa"/>
            </w:tcMar>
            <w:vAlign w:val="bottom"/>
            <w:hideMark/>
          </w:tcPr>
          <w:p w14:paraId="5D6936F4" w14:textId="77777777" w:rsidR="00954279" w:rsidRDefault="00A66714">
            <w:pPr>
              <w:rPr>
                <w:color w:val="000000"/>
                <w:sz w:val="20"/>
                <w:szCs w:val="20"/>
              </w:rPr>
            </w:pPr>
            <w:r>
              <w:rPr>
                <w:color w:val="000000"/>
                <w:sz w:val="20"/>
                <w:szCs w:val="20"/>
              </w:rPr>
              <w:t>Weighted average basic shares outstanding</w:t>
            </w:r>
          </w:p>
        </w:tc>
        <w:tc>
          <w:tcPr>
            <w:tcW w:w="50" w:type="pct"/>
            <w:tcMar>
              <w:top w:w="5" w:type="dxa"/>
              <w:left w:w="5" w:type="dxa"/>
              <w:bottom w:w="5" w:type="dxa"/>
              <w:right w:w="5" w:type="dxa"/>
            </w:tcMar>
            <w:vAlign w:val="bottom"/>
            <w:hideMark/>
          </w:tcPr>
          <w:p w14:paraId="286E1BAA"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3280740"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1AAE875" w14:textId="77777777" w:rsidR="00954279" w:rsidRDefault="00A66714">
            <w:pPr>
              <w:jc w:val="right"/>
              <w:rPr>
                <w:color w:val="000000"/>
                <w:sz w:val="20"/>
                <w:szCs w:val="20"/>
              </w:rPr>
            </w:pPr>
            <w:r>
              <w:rPr>
                <w:b/>
                <w:bCs/>
                <w:color w:val="000000"/>
                <w:sz w:val="20"/>
                <w:szCs w:val="20"/>
              </w:rPr>
              <w:t>82.6</w:t>
            </w:r>
          </w:p>
        </w:tc>
        <w:tc>
          <w:tcPr>
            <w:tcW w:w="50" w:type="pct"/>
            <w:noWrap/>
            <w:tcMar>
              <w:top w:w="5" w:type="dxa"/>
              <w:left w:w="5" w:type="dxa"/>
              <w:bottom w:w="5" w:type="dxa"/>
              <w:right w:w="5" w:type="dxa"/>
            </w:tcMar>
            <w:vAlign w:val="bottom"/>
            <w:hideMark/>
          </w:tcPr>
          <w:p w14:paraId="24A4B1EA"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D4A169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E510AEC"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61CF3CD" w14:textId="77777777" w:rsidR="00954279" w:rsidRDefault="00A66714">
            <w:pPr>
              <w:jc w:val="right"/>
              <w:rPr>
                <w:color w:val="000000"/>
                <w:sz w:val="20"/>
                <w:szCs w:val="20"/>
              </w:rPr>
            </w:pPr>
            <w:r>
              <w:rPr>
                <w:color w:val="000000"/>
                <w:sz w:val="20"/>
                <w:szCs w:val="20"/>
              </w:rPr>
              <w:t>82.0</w:t>
            </w:r>
          </w:p>
        </w:tc>
        <w:tc>
          <w:tcPr>
            <w:tcW w:w="50" w:type="pct"/>
            <w:noWrap/>
            <w:tcMar>
              <w:top w:w="5" w:type="dxa"/>
              <w:left w:w="5" w:type="dxa"/>
              <w:bottom w:w="5" w:type="dxa"/>
              <w:right w:w="5" w:type="dxa"/>
            </w:tcMar>
            <w:vAlign w:val="bottom"/>
            <w:hideMark/>
          </w:tcPr>
          <w:p w14:paraId="1FC1C0E3"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7118DE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77D6455"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07ED810" w14:textId="77777777" w:rsidR="00954279" w:rsidRDefault="00A66714">
            <w:pPr>
              <w:jc w:val="right"/>
              <w:rPr>
                <w:color w:val="000000"/>
                <w:sz w:val="20"/>
                <w:szCs w:val="20"/>
              </w:rPr>
            </w:pPr>
            <w:r>
              <w:rPr>
                <w:b/>
                <w:bCs/>
                <w:color w:val="000000"/>
                <w:sz w:val="20"/>
                <w:szCs w:val="20"/>
              </w:rPr>
              <w:t>82.5</w:t>
            </w:r>
          </w:p>
        </w:tc>
        <w:tc>
          <w:tcPr>
            <w:tcW w:w="50" w:type="pct"/>
            <w:noWrap/>
            <w:tcMar>
              <w:top w:w="5" w:type="dxa"/>
              <w:left w:w="5" w:type="dxa"/>
              <w:bottom w:w="5" w:type="dxa"/>
              <w:right w:w="5" w:type="dxa"/>
            </w:tcMar>
            <w:vAlign w:val="bottom"/>
            <w:hideMark/>
          </w:tcPr>
          <w:p w14:paraId="6D33A6B7"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18FB091"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0758EB5"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8F07C1D" w14:textId="77777777" w:rsidR="00954279" w:rsidRDefault="00A66714">
            <w:pPr>
              <w:jc w:val="right"/>
              <w:rPr>
                <w:color w:val="000000"/>
                <w:sz w:val="20"/>
                <w:szCs w:val="20"/>
              </w:rPr>
            </w:pPr>
            <w:r>
              <w:rPr>
                <w:color w:val="000000"/>
                <w:sz w:val="20"/>
                <w:szCs w:val="20"/>
              </w:rPr>
              <w:t>81.9</w:t>
            </w:r>
          </w:p>
        </w:tc>
        <w:tc>
          <w:tcPr>
            <w:tcW w:w="50" w:type="pct"/>
            <w:noWrap/>
            <w:tcMar>
              <w:top w:w="5" w:type="dxa"/>
              <w:left w:w="5" w:type="dxa"/>
              <w:bottom w:w="5" w:type="dxa"/>
              <w:right w:w="5" w:type="dxa"/>
            </w:tcMar>
            <w:vAlign w:val="bottom"/>
            <w:hideMark/>
          </w:tcPr>
          <w:p w14:paraId="2CD62D84" w14:textId="77777777" w:rsidR="00954279" w:rsidRDefault="00A66714">
            <w:pPr>
              <w:rPr>
                <w:color w:val="000000"/>
                <w:sz w:val="20"/>
                <w:szCs w:val="20"/>
              </w:rPr>
            </w:pPr>
            <w:r>
              <w:rPr>
                <w:color w:val="000000"/>
                <w:sz w:val="20"/>
                <w:szCs w:val="20"/>
              </w:rPr>
              <w:t> </w:t>
            </w:r>
          </w:p>
        </w:tc>
      </w:tr>
      <w:tr w:rsidR="00954279" w14:paraId="7899AD07" w14:textId="77777777">
        <w:tc>
          <w:tcPr>
            <w:tcW w:w="0" w:type="auto"/>
            <w:tcMar>
              <w:top w:w="5" w:type="dxa"/>
              <w:left w:w="5" w:type="dxa"/>
              <w:bottom w:w="5" w:type="dxa"/>
              <w:right w:w="5" w:type="dxa"/>
            </w:tcMar>
            <w:vAlign w:val="bottom"/>
            <w:hideMark/>
          </w:tcPr>
          <w:p w14:paraId="33D554DA" w14:textId="77777777" w:rsidR="00954279" w:rsidRDefault="00A66714">
            <w:pPr>
              <w:rPr>
                <w:color w:val="000000"/>
                <w:sz w:val="20"/>
                <w:szCs w:val="20"/>
              </w:rPr>
            </w:pPr>
            <w:r>
              <w:rPr>
                <w:color w:val="000000"/>
                <w:sz w:val="20"/>
                <w:szCs w:val="20"/>
              </w:rPr>
              <w:t>Effect of dilutive securities</w:t>
            </w:r>
          </w:p>
        </w:tc>
        <w:tc>
          <w:tcPr>
            <w:tcW w:w="50" w:type="pct"/>
            <w:tcMar>
              <w:top w:w="5" w:type="dxa"/>
              <w:left w:w="5" w:type="dxa"/>
              <w:bottom w:w="5" w:type="dxa"/>
              <w:right w:w="5" w:type="dxa"/>
            </w:tcMar>
            <w:vAlign w:val="bottom"/>
            <w:hideMark/>
          </w:tcPr>
          <w:p w14:paraId="1A24F5DB"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6F8910D"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58E165EE" w14:textId="77777777" w:rsidR="00954279" w:rsidRDefault="00A66714">
            <w:pPr>
              <w:jc w:val="right"/>
              <w:rPr>
                <w:color w:val="000000"/>
                <w:sz w:val="20"/>
                <w:szCs w:val="20"/>
              </w:rPr>
            </w:pPr>
            <w:r>
              <w:rPr>
                <w:b/>
                <w:bCs/>
                <w:color w:val="000000"/>
                <w:sz w:val="20"/>
                <w:szCs w:val="20"/>
              </w:rPr>
              <w:t>-</w:t>
            </w:r>
          </w:p>
        </w:tc>
        <w:tc>
          <w:tcPr>
            <w:tcW w:w="50" w:type="pct"/>
            <w:noWrap/>
            <w:tcMar>
              <w:top w:w="5" w:type="dxa"/>
              <w:left w:w="5" w:type="dxa"/>
              <w:bottom w:w="20" w:type="dxa"/>
              <w:right w:w="5" w:type="dxa"/>
            </w:tcMar>
            <w:vAlign w:val="bottom"/>
            <w:hideMark/>
          </w:tcPr>
          <w:p w14:paraId="5A103CDE"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BFBEF95"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B23064A"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19B51296" w14:textId="77777777" w:rsidR="00954279" w:rsidRDefault="00A66714">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5296C5D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D303ED6"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EE79C5E"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5666891B" w14:textId="77777777" w:rsidR="00954279" w:rsidRDefault="00A66714">
            <w:pPr>
              <w:jc w:val="right"/>
              <w:rPr>
                <w:color w:val="000000"/>
                <w:sz w:val="20"/>
                <w:szCs w:val="20"/>
              </w:rPr>
            </w:pPr>
            <w:r>
              <w:rPr>
                <w:b/>
                <w:bCs/>
                <w:color w:val="000000"/>
                <w:sz w:val="20"/>
                <w:szCs w:val="20"/>
              </w:rPr>
              <w:t>-</w:t>
            </w:r>
          </w:p>
        </w:tc>
        <w:tc>
          <w:tcPr>
            <w:tcW w:w="50" w:type="pct"/>
            <w:noWrap/>
            <w:tcMar>
              <w:top w:w="5" w:type="dxa"/>
              <w:left w:w="5" w:type="dxa"/>
              <w:bottom w:w="20" w:type="dxa"/>
              <w:right w:w="5" w:type="dxa"/>
            </w:tcMar>
            <w:vAlign w:val="bottom"/>
            <w:hideMark/>
          </w:tcPr>
          <w:p w14:paraId="36A6AB2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3019313"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E73FC71"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22A87244" w14:textId="77777777" w:rsidR="00954279" w:rsidRDefault="00A66714">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33344DCE" w14:textId="77777777" w:rsidR="00954279" w:rsidRDefault="00A66714">
            <w:pPr>
              <w:rPr>
                <w:color w:val="000000"/>
                <w:sz w:val="20"/>
                <w:szCs w:val="20"/>
              </w:rPr>
            </w:pPr>
            <w:r>
              <w:rPr>
                <w:color w:val="000000"/>
                <w:sz w:val="20"/>
                <w:szCs w:val="20"/>
              </w:rPr>
              <w:t> </w:t>
            </w:r>
          </w:p>
        </w:tc>
      </w:tr>
      <w:tr w:rsidR="00954279" w14:paraId="033AA2B5" w14:textId="77777777">
        <w:tc>
          <w:tcPr>
            <w:tcW w:w="0" w:type="auto"/>
            <w:tcMar>
              <w:top w:w="5" w:type="dxa"/>
              <w:left w:w="5" w:type="dxa"/>
              <w:bottom w:w="5" w:type="dxa"/>
              <w:right w:w="5" w:type="dxa"/>
            </w:tcMar>
            <w:vAlign w:val="bottom"/>
            <w:hideMark/>
          </w:tcPr>
          <w:p w14:paraId="3A8FD38A" w14:textId="77777777" w:rsidR="00954279" w:rsidRDefault="00A66714">
            <w:pPr>
              <w:rPr>
                <w:color w:val="000000"/>
                <w:sz w:val="20"/>
                <w:szCs w:val="20"/>
              </w:rPr>
            </w:pPr>
            <w:r>
              <w:rPr>
                <w:color w:val="000000"/>
                <w:sz w:val="20"/>
                <w:szCs w:val="20"/>
              </w:rPr>
              <w:t>Weighted average diluted shares outstanding</w:t>
            </w:r>
          </w:p>
        </w:tc>
        <w:tc>
          <w:tcPr>
            <w:tcW w:w="50" w:type="pct"/>
            <w:tcMar>
              <w:top w:w="5" w:type="dxa"/>
              <w:left w:w="5" w:type="dxa"/>
              <w:bottom w:w="5" w:type="dxa"/>
              <w:right w:w="5" w:type="dxa"/>
            </w:tcMar>
            <w:vAlign w:val="bottom"/>
            <w:hideMark/>
          </w:tcPr>
          <w:p w14:paraId="3AB3217C"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5186F69" w14:textId="77777777" w:rsidR="00954279" w:rsidRDefault="00A66714">
            <w:pPr>
              <w:rPr>
                <w:color w:val="000000"/>
                <w:sz w:val="20"/>
                <w:szCs w:val="20"/>
              </w:rPr>
            </w:pPr>
            <w:r>
              <w:rPr>
                <w:color w:val="000000"/>
                <w:sz w:val="20"/>
                <w:szCs w:val="20"/>
              </w:rPr>
              <w:t> </w:t>
            </w:r>
          </w:p>
        </w:tc>
        <w:tc>
          <w:tcPr>
            <w:tcW w:w="450" w:type="pct"/>
            <w:tcBorders>
              <w:bottom w:val="double" w:sz="6" w:space="0" w:color="000000"/>
            </w:tcBorders>
            <w:tcMar>
              <w:top w:w="5" w:type="dxa"/>
              <w:left w:w="5" w:type="dxa"/>
              <w:bottom w:w="22" w:type="dxa"/>
              <w:right w:w="5" w:type="dxa"/>
            </w:tcMar>
            <w:vAlign w:val="bottom"/>
            <w:hideMark/>
          </w:tcPr>
          <w:p w14:paraId="1576CF10" w14:textId="77777777" w:rsidR="00954279" w:rsidRDefault="00A66714">
            <w:pPr>
              <w:jc w:val="right"/>
              <w:rPr>
                <w:color w:val="000000"/>
                <w:sz w:val="20"/>
                <w:szCs w:val="20"/>
              </w:rPr>
            </w:pPr>
            <w:r>
              <w:rPr>
                <w:b/>
                <w:bCs/>
                <w:color w:val="000000"/>
                <w:sz w:val="20"/>
                <w:szCs w:val="20"/>
              </w:rPr>
              <w:t>82.6</w:t>
            </w:r>
          </w:p>
        </w:tc>
        <w:tc>
          <w:tcPr>
            <w:tcW w:w="50" w:type="pct"/>
            <w:noWrap/>
            <w:tcMar>
              <w:top w:w="5" w:type="dxa"/>
              <w:left w:w="5" w:type="dxa"/>
              <w:bottom w:w="50" w:type="dxa"/>
              <w:right w:w="5" w:type="dxa"/>
            </w:tcMar>
            <w:vAlign w:val="bottom"/>
            <w:hideMark/>
          </w:tcPr>
          <w:p w14:paraId="09F249F8"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F0C6891"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A14425E" w14:textId="77777777" w:rsidR="00954279" w:rsidRDefault="00A66714">
            <w:pPr>
              <w:rPr>
                <w:color w:val="000000"/>
                <w:sz w:val="20"/>
                <w:szCs w:val="20"/>
              </w:rPr>
            </w:pPr>
            <w:r>
              <w:rPr>
                <w:color w:val="000000"/>
                <w:sz w:val="20"/>
                <w:szCs w:val="20"/>
              </w:rPr>
              <w:t> </w:t>
            </w:r>
          </w:p>
        </w:tc>
        <w:tc>
          <w:tcPr>
            <w:tcW w:w="450" w:type="pct"/>
            <w:tcBorders>
              <w:bottom w:val="double" w:sz="6" w:space="0" w:color="000000"/>
            </w:tcBorders>
            <w:tcMar>
              <w:top w:w="5" w:type="dxa"/>
              <w:left w:w="5" w:type="dxa"/>
              <w:bottom w:w="22" w:type="dxa"/>
              <w:right w:w="5" w:type="dxa"/>
            </w:tcMar>
            <w:vAlign w:val="bottom"/>
            <w:hideMark/>
          </w:tcPr>
          <w:p w14:paraId="4642D2C2" w14:textId="77777777" w:rsidR="00954279" w:rsidRDefault="00A66714">
            <w:pPr>
              <w:jc w:val="right"/>
              <w:rPr>
                <w:color w:val="000000"/>
                <w:sz w:val="20"/>
                <w:szCs w:val="20"/>
              </w:rPr>
            </w:pPr>
            <w:r>
              <w:rPr>
                <w:color w:val="000000"/>
                <w:sz w:val="20"/>
                <w:szCs w:val="20"/>
              </w:rPr>
              <w:t>82.0</w:t>
            </w:r>
          </w:p>
        </w:tc>
        <w:tc>
          <w:tcPr>
            <w:tcW w:w="50" w:type="pct"/>
            <w:noWrap/>
            <w:tcMar>
              <w:top w:w="5" w:type="dxa"/>
              <w:left w:w="5" w:type="dxa"/>
              <w:bottom w:w="50" w:type="dxa"/>
              <w:right w:w="5" w:type="dxa"/>
            </w:tcMar>
            <w:vAlign w:val="bottom"/>
            <w:hideMark/>
          </w:tcPr>
          <w:p w14:paraId="0C9C48A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29CD369"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56756AF" w14:textId="77777777" w:rsidR="00954279" w:rsidRDefault="00A66714">
            <w:pPr>
              <w:rPr>
                <w:color w:val="000000"/>
                <w:sz w:val="20"/>
                <w:szCs w:val="20"/>
              </w:rPr>
            </w:pPr>
            <w:r>
              <w:rPr>
                <w:color w:val="000000"/>
                <w:sz w:val="20"/>
                <w:szCs w:val="20"/>
              </w:rPr>
              <w:t> </w:t>
            </w:r>
          </w:p>
        </w:tc>
        <w:tc>
          <w:tcPr>
            <w:tcW w:w="450" w:type="pct"/>
            <w:tcBorders>
              <w:bottom w:val="double" w:sz="6" w:space="0" w:color="000000"/>
            </w:tcBorders>
            <w:tcMar>
              <w:top w:w="5" w:type="dxa"/>
              <w:left w:w="5" w:type="dxa"/>
              <w:bottom w:w="22" w:type="dxa"/>
              <w:right w:w="5" w:type="dxa"/>
            </w:tcMar>
            <w:vAlign w:val="bottom"/>
            <w:hideMark/>
          </w:tcPr>
          <w:p w14:paraId="587554DC" w14:textId="77777777" w:rsidR="00954279" w:rsidRDefault="00A66714">
            <w:pPr>
              <w:jc w:val="right"/>
              <w:rPr>
                <w:color w:val="000000"/>
                <w:sz w:val="20"/>
                <w:szCs w:val="20"/>
              </w:rPr>
            </w:pPr>
            <w:r>
              <w:rPr>
                <w:b/>
                <w:bCs/>
                <w:color w:val="000000"/>
                <w:sz w:val="20"/>
                <w:szCs w:val="20"/>
              </w:rPr>
              <w:t>82.5</w:t>
            </w:r>
          </w:p>
        </w:tc>
        <w:tc>
          <w:tcPr>
            <w:tcW w:w="50" w:type="pct"/>
            <w:noWrap/>
            <w:tcMar>
              <w:top w:w="5" w:type="dxa"/>
              <w:left w:w="5" w:type="dxa"/>
              <w:bottom w:w="50" w:type="dxa"/>
              <w:right w:w="5" w:type="dxa"/>
            </w:tcMar>
            <w:vAlign w:val="bottom"/>
            <w:hideMark/>
          </w:tcPr>
          <w:p w14:paraId="28455B3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7C9C213"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2270BFF" w14:textId="77777777" w:rsidR="00954279" w:rsidRDefault="00A66714">
            <w:pPr>
              <w:rPr>
                <w:color w:val="000000"/>
                <w:sz w:val="20"/>
                <w:szCs w:val="20"/>
              </w:rPr>
            </w:pPr>
            <w:r>
              <w:rPr>
                <w:color w:val="000000"/>
                <w:sz w:val="20"/>
                <w:szCs w:val="20"/>
              </w:rPr>
              <w:t> </w:t>
            </w:r>
          </w:p>
        </w:tc>
        <w:tc>
          <w:tcPr>
            <w:tcW w:w="450" w:type="pct"/>
            <w:tcBorders>
              <w:bottom w:val="double" w:sz="6" w:space="0" w:color="000000"/>
            </w:tcBorders>
            <w:tcMar>
              <w:top w:w="5" w:type="dxa"/>
              <w:left w:w="5" w:type="dxa"/>
              <w:bottom w:w="22" w:type="dxa"/>
              <w:right w:w="5" w:type="dxa"/>
            </w:tcMar>
            <w:vAlign w:val="bottom"/>
            <w:hideMark/>
          </w:tcPr>
          <w:p w14:paraId="0F041F37" w14:textId="77777777" w:rsidR="00954279" w:rsidRDefault="00A66714">
            <w:pPr>
              <w:jc w:val="right"/>
              <w:rPr>
                <w:color w:val="000000"/>
                <w:sz w:val="20"/>
                <w:szCs w:val="20"/>
              </w:rPr>
            </w:pPr>
            <w:r>
              <w:rPr>
                <w:color w:val="000000"/>
                <w:sz w:val="20"/>
                <w:szCs w:val="20"/>
              </w:rPr>
              <w:t>81.9</w:t>
            </w:r>
          </w:p>
        </w:tc>
        <w:tc>
          <w:tcPr>
            <w:tcW w:w="50" w:type="pct"/>
            <w:noWrap/>
            <w:tcMar>
              <w:top w:w="5" w:type="dxa"/>
              <w:left w:w="5" w:type="dxa"/>
              <w:bottom w:w="50" w:type="dxa"/>
              <w:right w:w="5" w:type="dxa"/>
            </w:tcMar>
            <w:vAlign w:val="bottom"/>
            <w:hideMark/>
          </w:tcPr>
          <w:p w14:paraId="2C2E31D6" w14:textId="77777777" w:rsidR="00954279" w:rsidRDefault="00A66714">
            <w:pPr>
              <w:rPr>
                <w:color w:val="000000"/>
                <w:sz w:val="20"/>
                <w:szCs w:val="20"/>
              </w:rPr>
            </w:pPr>
            <w:r>
              <w:rPr>
                <w:color w:val="000000"/>
                <w:sz w:val="20"/>
                <w:szCs w:val="20"/>
              </w:rPr>
              <w:t> </w:t>
            </w:r>
          </w:p>
        </w:tc>
      </w:tr>
      <w:tr w:rsidR="00954279" w14:paraId="7666CA18" w14:textId="77777777">
        <w:tc>
          <w:tcPr>
            <w:tcW w:w="0" w:type="auto"/>
            <w:tcMar>
              <w:top w:w="5" w:type="dxa"/>
              <w:left w:w="5" w:type="dxa"/>
              <w:bottom w:w="5" w:type="dxa"/>
              <w:right w:w="5" w:type="dxa"/>
            </w:tcMar>
            <w:vAlign w:val="bottom"/>
            <w:hideMark/>
          </w:tcPr>
          <w:p w14:paraId="7B80A39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10FB2C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24ADA4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CA5C3E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E58EEB2"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4CA1FF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938555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12FB17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DB7220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5A1488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769132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51189E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CE4339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99CFFE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713048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FA1C2A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BB5540F" w14:textId="77777777" w:rsidR="00954279" w:rsidRDefault="00A66714">
            <w:pPr>
              <w:rPr>
                <w:color w:val="000000"/>
                <w:sz w:val="20"/>
                <w:szCs w:val="20"/>
              </w:rPr>
            </w:pPr>
            <w:r>
              <w:rPr>
                <w:color w:val="000000"/>
                <w:sz w:val="20"/>
                <w:szCs w:val="20"/>
              </w:rPr>
              <w:t> </w:t>
            </w:r>
          </w:p>
        </w:tc>
      </w:tr>
      <w:tr w:rsidR="00954279" w14:paraId="116C930C" w14:textId="77777777">
        <w:tc>
          <w:tcPr>
            <w:tcW w:w="0" w:type="auto"/>
            <w:tcMar>
              <w:top w:w="5" w:type="dxa"/>
              <w:left w:w="5" w:type="dxa"/>
              <w:bottom w:w="5" w:type="dxa"/>
              <w:right w:w="5" w:type="dxa"/>
            </w:tcMar>
            <w:vAlign w:val="bottom"/>
            <w:hideMark/>
          </w:tcPr>
          <w:p w14:paraId="6063E44B" w14:textId="77777777" w:rsidR="00954279" w:rsidRDefault="00A66714">
            <w:pPr>
              <w:rPr>
                <w:color w:val="000000"/>
                <w:sz w:val="20"/>
                <w:szCs w:val="20"/>
              </w:rPr>
            </w:pPr>
            <w:r>
              <w:rPr>
                <w:color w:val="000000"/>
                <w:sz w:val="20"/>
                <w:szCs w:val="20"/>
              </w:rPr>
              <w:t>Net loss per share:</w:t>
            </w:r>
          </w:p>
        </w:tc>
        <w:tc>
          <w:tcPr>
            <w:tcW w:w="0" w:type="auto"/>
            <w:tcMar>
              <w:top w:w="5" w:type="dxa"/>
              <w:left w:w="5" w:type="dxa"/>
              <w:bottom w:w="5" w:type="dxa"/>
              <w:right w:w="5" w:type="dxa"/>
            </w:tcMar>
            <w:vAlign w:val="bottom"/>
            <w:hideMark/>
          </w:tcPr>
          <w:p w14:paraId="7339E88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F9AC11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EED4ED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0F75C2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C967B1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3FDDD8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D29582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62748D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C21A822"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23C064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3C8C6A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879C2B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230D73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6BCBA1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13CA44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E781FE5" w14:textId="77777777" w:rsidR="00954279" w:rsidRDefault="00A66714">
            <w:pPr>
              <w:rPr>
                <w:color w:val="000000"/>
                <w:sz w:val="20"/>
                <w:szCs w:val="20"/>
              </w:rPr>
            </w:pPr>
            <w:r>
              <w:rPr>
                <w:color w:val="000000"/>
                <w:sz w:val="20"/>
                <w:szCs w:val="20"/>
              </w:rPr>
              <w:t> </w:t>
            </w:r>
          </w:p>
        </w:tc>
      </w:tr>
      <w:tr w:rsidR="00954279" w14:paraId="26DB51B9" w14:textId="77777777">
        <w:tc>
          <w:tcPr>
            <w:tcW w:w="0" w:type="auto"/>
            <w:tcMar>
              <w:top w:w="5" w:type="dxa"/>
              <w:left w:w="5" w:type="dxa"/>
              <w:bottom w:w="5" w:type="dxa"/>
              <w:right w:w="5" w:type="dxa"/>
            </w:tcMar>
            <w:vAlign w:val="bottom"/>
            <w:hideMark/>
          </w:tcPr>
          <w:p w14:paraId="0D51FAC5" w14:textId="77777777" w:rsidR="00954279" w:rsidRDefault="00A66714">
            <w:pPr>
              <w:rPr>
                <w:color w:val="000000"/>
                <w:sz w:val="20"/>
                <w:szCs w:val="20"/>
              </w:rPr>
            </w:pPr>
            <w:r>
              <w:rPr>
                <w:color w:val="000000"/>
                <w:sz w:val="20"/>
                <w:szCs w:val="20"/>
              </w:rPr>
              <w:t>Basic</w:t>
            </w:r>
          </w:p>
        </w:tc>
        <w:tc>
          <w:tcPr>
            <w:tcW w:w="50" w:type="pct"/>
            <w:tcMar>
              <w:top w:w="5" w:type="dxa"/>
              <w:left w:w="5" w:type="dxa"/>
              <w:bottom w:w="5" w:type="dxa"/>
              <w:right w:w="5" w:type="dxa"/>
            </w:tcMar>
            <w:vAlign w:val="bottom"/>
            <w:hideMark/>
          </w:tcPr>
          <w:p w14:paraId="1D0E0F0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F62CFD0"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4CCB43B7" w14:textId="77777777" w:rsidR="00954279" w:rsidRDefault="00A66714">
            <w:pPr>
              <w:jc w:val="right"/>
              <w:rPr>
                <w:color w:val="000000"/>
                <w:sz w:val="20"/>
                <w:szCs w:val="20"/>
              </w:rPr>
            </w:pPr>
            <w:r>
              <w:rPr>
                <w:b/>
                <w:bCs/>
                <w:color w:val="000000"/>
                <w:sz w:val="20"/>
                <w:szCs w:val="20"/>
              </w:rPr>
              <w:t>(0.02</w:t>
            </w:r>
          </w:p>
        </w:tc>
        <w:tc>
          <w:tcPr>
            <w:tcW w:w="50" w:type="pct"/>
            <w:noWrap/>
            <w:tcMar>
              <w:top w:w="5" w:type="dxa"/>
              <w:left w:w="5" w:type="dxa"/>
              <w:bottom w:w="5" w:type="dxa"/>
              <w:right w:w="5" w:type="dxa"/>
            </w:tcMar>
            <w:vAlign w:val="bottom"/>
            <w:hideMark/>
          </w:tcPr>
          <w:p w14:paraId="2CF1A590"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4D69563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D1E1C3A"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672DD481" w14:textId="77777777" w:rsidR="00954279" w:rsidRDefault="00A66714">
            <w:pPr>
              <w:jc w:val="right"/>
              <w:rPr>
                <w:color w:val="000000"/>
                <w:sz w:val="20"/>
                <w:szCs w:val="20"/>
              </w:rPr>
            </w:pPr>
            <w:r>
              <w:rPr>
                <w:color w:val="000000"/>
                <w:sz w:val="20"/>
                <w:szCs w:val="20"/>
              </w:rPr>
              <w:t>(3.50</w:t>
            </w:r>
          </w:p>
        </w:tc>
        <w:tc>
          <w:tcPr>
            <w:tcW w:w="50" w:type="pct"/>
            <w:noWrap/>
            <w:tcMar>
              <w:top w:w="5" w:type="dxa"/>
              <w:left w:w="5" w:type="dxa"/>
              <w:bottom w:w="5" w:type="dxa"/>
              <w:right w:w="5" w:type="dxa"/>
            </w:tcMar>
            <w:vAlign w:val="bottom"/>
            <w:hideMark/>
          </w:tcPr>
          <w:p w14:paraId="643E473B"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443F91A1"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5C2963E"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250AB0AD" w14:textId="77777777" w:rsidR="00954279" w:rsidRDefault="00A66714">
            <w:pPr>
              <w:jc w:val="right"/>
              <w:rPr>
                <w:color w:val="000000"/>
                <w:sz w:val="20"/>
                <w:szCs w:val="20"/>
              </w:rPr>
            </w:pPr>
            <w:r>
              <w:rPr>
                <w:b/>
                <w:bCs/>
                <w:color w:val="000000"/>
                <w:sz w:val="20"/>
                <w:szCs w:val="20"/>
              </w:rPr>
              <w:t>(0.13</w:t>
            </w:r>
          </w:p>
        </w:tc>
        <w:tc>
          <w:tcPr>
            <w:tcW w:w="50" w:type="pct"/>
            <w:noWrap/>
            <w:tcMar>
              <w:top w:w="5" w:type="dxa"/>
              <w:left w:w="5" w:type="dxa"/>
              <w:bottom w:w="5" w:type="dxa"/>
              <w:right w:w="5" w:type="dxa"/>
            </w:tcMar>
            <w:vAlign w:val="bottom"/>
            <w:hideMark/>
          </w:tcPr>
          <w:p w14:paraId="2628A2C2" w14:textId="77777777" w:rsidR="00954279" w:rsidRDefault="00A66714">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7FF8B202"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2D1E626"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4976F72D" w14:textId="77777777" w:rsidR="00954279" w:rsidRDefault="00A66714">
            <w:pPr>
              <w:jc w:val="right"/>
              <w:rPr>
                <w:color w:val="000000"/>
                <w:sz w:val="20"/>
                <w:szCs w:val="20"/>
              </w:rPr>
            </w:pPr>
            <w:r>
              <w:rPr>
                <w:color w:val="000000"/>
                <w:sz w:val="20"/>
                <w:szCs w:val="20"/>
              </w:rPr>
              <w:t>(3.47</w:t>
            </w:r>
          </w:p>
        </w:tc>
        <w:tc>
          <w:tcPr>
            <w:tcW w:w="50" w:type="pct"/>
            <w:noWrap/>
            <w:tcMar>
              <w:top w:w="5" w:type="dxa"/>
              <w:left w:w="5" w:type="dxa"/>
              <w:bottom w:w="5" w:type="dxa"/>
              <w:right w:w="5" w:type="dxa"/>
            </w:tcMar>
            <w:vAlign w:val="bottom"/>
            <w:hideMark/>
          </w:tcPr>
          <w:p w14:paraId="73F55C1A" w14:textId="77777777" w:rsidR="00954279" w:rsidRDefault="00A66714">
            <w:pPr>
              <w:rPr>
                <w:color w:val="000000"/>
                <w:sz w:val="20"/>
                <w:szCs w:val="20"/>
              </w:rPr>
            </w:pPr>
            <w:r>
              <w:rPr>
                <w:color w:val="000000"/>
                <w:sz w:val="20"/>
                <w:szCs w:val="20"/>
              </w:rPr>
              <w:t>)</w:t>
            </w:r>
          </w:p>
        </w:tc>
      </w:tr>
      <w:tr w:rsidR="00954279" w14:paraId="17AAFA59" w14:textId="77777777">
        <w:tc>
          <w:tcPr>
            <w:tcW w:w="0" w:type="auto"/>
            <w:tcMar>
              <w:top w:w="5" w:type="dxa"/>
              <w:left w:w="5" w:type="dxa"/>
              <w:bottom w:w="5" w:type="dxa"/>
              <w:right w:w="5" w:type="dxa"/>
            </w:tcMar>
            <w:vAlign w:val="bottom"/>
            <w:hideMark/>
          </w:tcPr>
          <w:p w14:paraId="46DAFED9" w14:textId="77777777" w:rsidR="00954279" w:rsidRDefault="00A66714">
            <w:pPr>
              <w:rPr>
                <w:color w:val="000000"/>
                <w:sz w:val="20"/>
                <w:szCs w:val="20"/>
              </w:rPr>
            </w:pPr>
            <w:r>
              <w:rPr>
                <w:color w:val="000000"/>
                <w:sz w:val="20"/>
                <w:szCs w:val="20"/>
              </w:rPr>
              <w:t>Diluted</w:t>
            </w:r>
          </w:p>
        </w:tc>
        <w:tc>
          <w:tcPr>
            <w:tcW w:w="50" w:type="pct"/>
            <w:tcMar>
              <w:top w:w="5" w:type="dxa"/>
              <w:left w:w="5" w:type="dxa"/>
              <w:bottom w:w="5" w:type="dxa"/>
              <w:right w:w="5" w:type="dxa"/>
            </w:tcMar>
            <w:vAlign w:val="bottom"/>
            <w:hideMark/>
          </w:tcPr>
          <w:p w14:paraId="5A6FA019"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75DD40D"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359C9897" w14:textId="77777777" w:rsidR="00954279" w:rsidRDefault="00A66714">
            <w:pPr>
              <w:jc w:val="right"/>
              <w:rPr>
                <w:color w:val="000000"/>
                <w:sz w:val="20"/>
                <w:szCs w:val="20"/>
              </w:rPr>
            </w:pPr>
            <w:r>
              <w:rPr>
                <w:b/>
                <w:bCs/>
                <w:color w:val="000000"/>
                <w:sz w:val="20"/>
                <w:szCs w:val="20"/>
              </w:rPr>
              <w:t>(0.02</w:t>
            </w:r>
          </w:p>
        </w:tc>
        <w:tc>
          <w:tcPr>
            <w:tcW w:w="50" w:type="pct"/>
            <w:noWrap/>
            <w:tcMar>
              <w:top w:w="5" w:type="dxa"/>
              <w:left w:w="5" w:type="dxa"/>
              <w:bottom w:w="5" w:type="dxa"/>
              <w:right w:w="5" w:type="dxa"/>
            </w:tcMar>
            <w:vAlign w:val="bottom"/>
            <w:hideMark/>
          </w:tcPr>
          <w:p w14:paraId="5396B697"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57E7A19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C2FC6F2"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7FF0139E" w14:textId="77777777" w:rsidR="00954279" w:rsidRDefault="00A66714">
            <w:pPr>
              <w:jc w:val="right"/>
              <w:rPr>
                <w:color w:val="000000"/>
                <w:sz w:val="20"/>
                <w:szCs w:val="20"/>
              </w:rPr>
            </w:pPr>
            <w:r>
              <w:rPr>
                <w:color w:val="000000"/>
                <w:sz w:val="20"/>
                <w:szCs w:val="20"/>
              </w:rPr>
              <w:t>(3.50</w:t>
            </w:r>
          </w:p>
        </w:tc>
        <w:tc>
          <w:tcPr>
            <w:tcW w:w="50" w:type="pct"/>
            <w:noWrap/>
            <w:tcMar>
              <w:top w:w="5" w:type="dxa"/>
              <w:left w:w="5" w:type="dxa"/>
              <w:bottom w:w="5" w:type="dxa"/>
              <w:right w:w="5" w:type="dxa"/>
            </w:tcMar>
            <w:vAlign w:val="bottom"/>
            <w:hideMark/>
          </w:tcPr>
          <w:p w14:paraId="382D8F35"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46DBB301"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56F0387"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3EE74DE6" w14:textId="77777777" w:rsidR="00954279" w:rsidRDefault="00A66714">
            <w:pPr>
              <w:jc w:val="right"/>
              <w:rPr>
                <w:color w:val="000000"/>
                <w:sz w:val="20"/>
                <w:szCs w:val="20"/>
              </w:rPr>
            </w:pPr>
            <w:r>
              <w:rPr>
                <w:b/>
                <w:bCs/>
                <w:color w:val="000000"/>
                <w:sz w:val="20"/>
                <w:szCs w:val="20"/>
              </w:rPr>
              <w:t>(0.13</w:t>
            </w:r>
          </w:p>
        </w:tc>
        <w:tc>
          <w:tcPr>
            <w:tcW w:w="50" w:type="pct"/>
            <w:noWrap/>
            <w:tcMar>
              <w:top w:w="5" w:type="dxa"/>
              <w:left w:w="5" w:type="dxa"/>
              <w:bottom w:w="5" w:type="dxa"/>
              <w:right w:w="5" w:type="dxa"/>
            </w:tcMar>
            <w:vAlign w:val="bottom"/>
            <w:hideMark/>
          </w:tcPr>
          <w:p w14:paraId="4AA45422" w14:textId="77777777" w:rsidR="00954279" w:rsidRDefault="00A66714">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1D3C858E"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5DC4CF6"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5F8151EE" w14:textId="77777777" w:rsidR="00954279" w:rsidRDefault="00A66714">
            <w:pPr>
              <w:jc w:val="right"/>
              <w:rPr>
                <w:color w:val="000000"/>
                <w:sz w:val="20"/>
                <w:szCs w:val="20"/>
              </w:rPr>
            </w:pPr>
            <w:r>
              <w:rPr>
                <w:color w:val="000000"/>
                <w:sz w:val="20"/>
                <w:szCs w:val="20"/>
              </w:rPr>
              <w:t>(3.47</w:t>
            </w:r>
          </w:p>
        </w:tc>
        <w:tc>
          <w:tcPr>
            <w:tcW w:w="50" w:type="pct"/>
            <w:noWrap/>
            <w:tcMar>
              <w:top w:w="5" w:type="dxa"/>
              <w:left w:w="5" w:type="dxa"/>
              <w:bottom w:w="5" w:type="dxa"/>
              <w:right w:w="5" w:type="dxa"/>
            </w:tcMar>
            <w:vAlign w:val="bottom"/>
            <w:hideMark/>
          </w:tcPr>
          <w:p w14:paraId="7F310C1F" w14:textId="77777777" w:rsidR="00954279" w:rsidRDefault="00A66714">
            <w:pPr>
              <w:rPr>
                <w:color w:val="000000"/>
                <w:sz w:val="20"/>
                <w:szCs w:val="20"/>
              </w:rPr>
            </w:pPr>
            <w:r>
              <w:rPr>
                <w:color w:val="000000"/>
                <w:sz w:val="20"/>
                <w:szCs w:val="20"/>
              </w:rPr>
              <w:t>)</w:t>
            </w:r>
          </w:p>
        </w:tc>
      </w:tr>
    </w:tbl>
    <w:p w14:paraId="1552F031" w14:textId="77777777" w:rsidR="00954279" w:rsidRDefault="00A66714">
      <w:pPr>
        <w:ind w:left="144" w:right="144"/>
        <w:rPr>
          <w:sz w:val="20"/>
          <w:szCs w:val="20"/>
        </w:rPr>
      </w:pPr>
      <w:r>
        <w:rPr>
          <w:sz w:val="20"/>
          <w:szCs w:val="20"/>
        </w:rPr>
        <w:t> </w:t>
      </w:r>
    </w:p>
    <w:p w14:paraId="29D542B2" w14:textId="77777777" w:rsidR="00954279" w:rsidRDefault="00A66714">
      <w:pPr>
        <w:ind w:left="144" w:right="144"/>
        <w:rPr>
          <w:sz w:val="20"/>
          <w:szCs w:val="20"/>
        </w:rPr>
      </w:pPr>
      <w:r>
        <w:rPr>
          <w:sz w:val="20"/>
          <w:szCs w:val="20"/>
        </w:rPr>
        <w:t xml:space="preserve">Equity awards and shares of Preferred Stock are disregarded in the calculation of diluted earnings per share if they are determined to be anti-dilutive. For the </w:t>
      </w:r>
      <w:bookmarkStart w:id="17" w:name="led65141F20205251593120491023"/>
      <w:r>
        <w:rPr>
          <w:sz w:val="20"/>
          <w:szCs w:val="20"/>
        </w:rPr>
        <w:t>three and six months ended June 30, 2021 and 2020</w:t>
      </w:r>
      <w:bookmarkEnd w:id="17"/>
      <w:r>
        <w:rPr>
          <w:sz w:val="20"/>
          <w:szCs w:val="20"/>
        </w:rPr>
        <w:t xml:space="preserve">, all of the shares of the Preferred Stock were anti-dilutive. For the </w:t>
      </w:r>
      <w:bookmarkStart w:id="18" w:name="led65141F20207261598471919177"/>
      <w:r>
        <w:rPr>
          <w:sz w:val="20"/>
          <w:szCs w:val="20"/>
        </w:rPr>
        <w:t>three and six months ended June 30, 2021</w:t>
      </w:r>
      <w:bookmarkEnd w:id="18"/>
      <w:r>
        <w:rPr>
          <w:sz w:val="20"/>
          <w:szCs w:val="20"/>
        </w:rPr>
        <w:t>, respectively, we had approximately 4.1 million and 4.3 million anti-dilutive stock options, restricted stock units, and performance units. For the three and six months ended </w:t>
      </w:r>
      <w:bookmarkStart w:id="19" w:name="led65141F20213301619804894006"/>
      <w:r>
        <w:rPr>
          <w:sz w:val="20"/>
          <w:szCs w:val="20"/>
        </w:rPr>
        <w:t>June 30, 2020</w:t>
      </w:r>
      <w:bookmarkEnd w:id="19"/>
      <w:r>
        <w:rPr>
          <w:sz w:val="20"/>
          <w:szCs w:val="20"/>
        </w:rPr>
        <w:t>, respectively, we had approximately 4.5 million and 4.2 million anti-dilutive stock options, restricted stock units, and performance units.</w:t>
      </w:r>
    </w:p>
    <w:p w14:paraId="756C77A9" w14:textId="77777777" w:rsidR="00954279" w:rsidRDefault="00A66714">
      <w:pPr>
        <w:ind w:left="144" w:right="144"/>
        <w:jc w:val="center"/>
        <w:rPr>
          <w:sz w:val="20"/>
          <w:szCs w:val="20"/>
        </w:rPr>
      </w:pPr>
      <w:r>
        <w:rPr>
          <w:sz w:val="20"/>
          <w:szCs w:val="20"/>
        </w:rPr>
        <w:t> </w:t>
      </w:r>
    </w:p>
    <w:p w14:paraId="5D3775CB" w14:textId="77777777" w:rsidR="00954279" w:rsidRDefault="00A66714">
      <w:pPr>
        <w:ind w:left="144" w:right="144"/>
        <w:jc w:val="center"/>
        <w:rPr>
          <w:sz w:val="20"/>
          <w:szCs w:val="20"/>
        </w:rPr>
      </w:pPr>
      <w:r>
        <w:rPr>
          <w:sz w:val="20"/>
          <w:szCs w:val="20"/>
        </w:rPr>
        <w:t>12</w:t>
      </w:r>
    </w:p>
    <w:p w14:paraId="33AEE010" w14:textId="77777777" w:rsidR="00954279" w:rsidRDefault="00A66714">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56D68E31" w14:textId="77777777" w:rsidR="00954279" w:rsidRDefault="00A66714">
      <w:pPr>
        <w:ind w:left="144" w:right="144"/>
        <w:jc w:val="center"/>
        <w:rPr>
          <w:sz w:val="20"/>
          <w:szCs w:val="20"/>
        </w:rPr>
      </w:pPr>
      <w:r>
        <w:rPr>
          <w:sz w:val="20"/>
          <w:szCs w:val="20"/>
        </w:rPr>
        <w:t> </w:t>
      </w:r>
    </w:p>
    <w:p w14:paraId="0019D97A" w14:textId="77777777" w:rsidR="00954279" w:rsidRDefault="00A66714">
      <w:pPr>
        <w:ind w:left="144" w:right="144"/>
        <w:rPr>
          <w:sz w:val="20"/>
          <w:szCs w:val="20"/>
        </w:rPr>
      </w:pPr>
      <w:r>
        <w:rPr>
          <w:sz w:val="20"/>
          <w:szCs w:val="20"/>
        </w:rPr>
        <w:t> </w:t>
      </w:r>
    </w:p>
    <w:p w14:paraId="7AB8D178" w14:textId="77777777" w:rsidR="00954279" w:rsidRDefault="00A66714">
      <w:pPr>
        <w:ind w:left="144" w:right="144"/>
        <w:rPr>
          <w:sz w:val="20"/>
          <w:szCs w:val="20"/>
        </w:rPr>
      </w:pPr>
      <w:r>
        <w:rPr>
          <w:sz w:val="20"/>
          <w:szCs w:val="20"/>
        </w:rPr>
        <w:t> </w:t>
      </w:r>
    </w:p>
    <w:p w14:paraId="1F48D29F" w14:textId="77777777" w:rsidR="00954279" w:rsidRDefault="00A66714">
      <w:pPr>
        <w:ind w:left="144" w:right="144"/>
        <w:rPr>
          <w:sz w:val="20"/>
          <w:szCs w:val="20"/>
        </w:rPr>
      </w:pPr>
      <w:r>
        <w:rPr>
          <w:sz w:val="20"/>
          <w:szCs w:val="20"/>
        </w:rPr>
        <w:t> </w:t>
      </w:r>
    </w:p>
    <w:p w14:paraId="47C4DFC6" w14:textId="77777777" w:rsidR="00954279" w:rsidRDefault="00A66714">
      <w:pPr>
        <w:ind w:left="144" w:right="144"/>
        <w:rPr>
          <w:sz w:val="20"/>
          <w:szCs w:val="20"/>
        </w:rPr>
      </w:pPr>
      <w:r>
        <w:rPr>
          <w:b/>
          <w:bCs/>
          <w:sz w:val="20"/>
          <w:szCs w:val="20"/>
          <w:u w:val="single"/>
        </w:rPr>
        <w:t>NOTE 9 – SEGMENT INFORMATION</w:t>
      </w:r>
    </w:p>
    <w:p w14:paraId="66C989BE" w14:textId="77777777" w:rsidR="00954279" w:rsidRDefault="00A66714">
      <w:pPr>
        <w:ind w:left="144" w:right="144"/>
        <w:rPr>
          <w:sz w:val="20"/>
          <w:szCs w:val="20"/>
        </w:rPr>
      </w:pPr>
      <w:r>
        <w:rPr>
          <w:sz w:val="20"/>
          <w:szCs w:val="20"/>
        </w:rPr>
        <w:t> </w:t>
      </w:r>
    </w:p>
    <w:p w14:paraId="5CB61D8E" w14:textId="77777777" w:rsidR="00954279" w:rsidRDefault="00A66714">
      <w:pPr>
        <w:ind w:left="144" w:right="144"/>
        <w:rPr>
          <w:sz w:val="20"/>
          <w:szCs w:val="20"/>
        </w:rPr>
      </w:pPr>
      <w:r>
        <w:rPr>
          <w:sz w:val="20"/>
          <w:szCs w:val="20"/>
        </w:rPr>
        <w:t>Our business is comprised of three operating and reportable segments: U.S., Canada and International. Our International segment consists of our operations outside of the U.S. and Canada. These segments represent our business of selling PVF to the energy sector across each of the gas utilities, downstream and industrial, upstream production and midstream pipeline sectors.</w:t>
      </w:r>
    </w:p>
    <w:p w14:paraId="5198C121" w14:textId="77777777" w:rsidR="00954279" w:rsidRDefault="00A66714">
      <w:pPr>
        <w:ind w:left="144" w:right="144"/>
        <w:rPr>
          <w:sz w:val="20"/>
          <w:szCs w:val="20"/>
        </w:rPr>
      </w:pPr>
      <w:r>
        <w:rPr>
          <w:sz w:val="20"/>
          <w:szCs w:val="20"/>
        </w:rPr>
        <w:t> </w:t>
      </w:r>
    </w:p>
    <w:p w14:paraId="6C35E215" w14:textId="77777777" w:rsidR="00954279" w:rsidRDefault="00A66714">
      <w:pPr>
        <w:ind w:left="144" w:right="144"/>
        <w:rPr>
          <w:sz w:val="20"/>
          <w:szCs w:val="20"/>
        </w:rPr>
      </w:pPr>
      <w:r>
        <w:rPr>
          <w:sz w:val="20"/>
          <w:szCs w:val="20"/>
        </w:rPr>
        <w:t>The following table presents financial information for each reportable segment (in millions):</w:t>
      </w:r>
    </w:p>
    <w:p w14:paraId="6A2F2A53" w14:textId="77777777" w:rsidR="00954279" w:rsidRDefault="00A66714">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5615"/>
        <w:gridCol w:w="107"/>
        <w:gridCol w:w="111"/>
        <w:gridCol w:w="971"/>
        <w:gridCol w:w="107"/>
        <w:gridCol w:w="107"/>
        <w:gridCol w:w="110"/>
        <w:gridCol w:w="971"/>
        <w:gridCol w:w="107"/>
        <w:gridCol w:w="107"/>
        <w:gridCol w:w="110"/>
        <w:gridCol w:w="971"/>
        <w:gridCol w:w="108"/>
        <w:gridCol w:w="108"/>
        <w:gridCol w:w="110"/>
        <w:gridCol w:w="972"/>
        <w:gridCol w:w="108"/>
      </w:tblGrid>
      <w:tr w:rsidR="00954279" w14:paraId="3F850168" w14:textId="77777777">
        <w:tc>
          <w:tcPr>
            <w:tcW w:w="0" w:type="auto"/>
            <w:tcMar>
              <w:top w:w="5" w:type="dxa"/>
              <w:left w:w="5" w:type="dxa"/>
              <w:bottom w:w="5" w:type="dxa"/>
              <w:right w:w="5" w:type="dxa"/>
            </w:tcMar>
            <w:vAlign w:val="bottom"/>
            <w:hideMark/>
          </w:tcPr>
          <w:p w14:paraId="2E77A52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F08357E" w14:textId="77777777" w:rsidR="00954279" w:rsidRDefault="00A66714">
            <w:pPr>
              <w:rPr>
                <w:color w:val="000000"/>
                <w:sz w:val="20"/>
                <w:szCs w:val="20"/>
              </w:rPr>
            </w:pPr>
            <w:r>
              <w:rPr>
                <w:color w:val="000000"/>
                <w:sz w:val="20"/>
                <w:szCs w:val="20"/>
              </w:rPr>
              <w:t> </w:t>
            </w:r>
          </w:p>
        </w:tc>
        <w:tc>
          <w:tcPr>
            <w:tcW w:w="0" w:type="auto"/>
            <w:gridSpan w:val="6"/>
            <w:tcBorders>
              <w:bottom w:val="single" w:sz="6" w:space="0" w:color="000000"/>
            </w:tcBorders>
            <w:tcMar>
              <w:top w:w="5" w:type="dxa"/>
              <w:left w:w="5" w:type="dxa"/>
              <w:bottom w:w="8" w:type="dxa"/>
              <w:right w:w="5" w:type="dxa"/>
            </w:tcMar>
            <w:vAlign w:val="bottom"/>
            <w:hideMark/>
          </w:tcPr>
          <w:p w14:paraId="38F8F891" w14:textId="77777777" w:rsidR="00954279" w:rsidRDefault="00A66714">
            <w:pPr>
              <w:jc w:val="center"/>
              <w:rPr>
                <w:color w:val="000000"/>
                <w:sz w:val="20"/>
                <w:szCs w:val="20"/>
              </w:rPr>
            </w:pPr>
            <w:r>
              <w:rPr>
                <w:b/>
                <w:bCs/>
                <w:color w:val="000000"/>
                <w:sz w:val="20"/>
                <w:szCs w:val="20"/>
              </w:rPr>
              <w:t>Three Months Ended</w:t>
            </w:r>
          </w:p>
        </w:tc>
        <w:tc>
          <w:tcPr>
            <w:tcW w:w="0" w:type="auto"/>
            <w:tcMar>
              <w:top w:w="5" w:type="dxa"/>
              <w:left w:w="5" w:type="dxa"/>
              <w:bottom w:w="20" w:type="dxa"/>
              <w:right w:w="5" w:type="dxa"/>
            </w:tcMar>
            <w:vAlign w:val="bottom"/>
            <w:hideMark/>
          </w:tcPr>
          <w:p w14:paraId="4264ABB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B1B770D" w14:textId="77777777" w:rsidR="00954279" w:rsidRDefault="00A66714">
            <w:pPr>
              <w:rPr>
                <w:color w:val="000000"/>
                <w:sz w:val="20"/>
                <w:szCs w:val="20"/>
              </w:rPr>
            </w:pPr>
            <w:r>
              <w:rPr>
                <w:color w:val="000000"/>
                <w:sz w:val="20"/>
                <w:szCs w:val="20"/>
              </w:rPr>
              <w:t> </w:t>
            </w:r>
          </w:p>
        </w:tc>
        <w:tc>
          <w:tcPr>
            <w:tcW w:w="0" w:type="auto"/>
            <w:gridSpan w:val="6"/>
            <w:tcBorders>
              <w:bottom w:val="single" w:sz="6" w:space="0" w:color="000000"/>
            </w:tcBorders>
            <w:tcMar>
              <w:top w:w="5" w:type="dxa"/>
              <w:left w:w="5" w:type="dxa"/>
              <w:bottom w:w="8" w:type="dxa"/>
              <w:right w:w="5" w:type="dxa"/>
            </w:tcMar>
            <w:vAlign w:val="bottom"/>
            <w:hideMark/>
          </w:tcPr>
          <w:p w14:paraId="57B2E7B7" w14:textId="77777777" w:rsidR="00954279" w:rsidRDefault="00A66714">
            <w:pPr>
              <w:jc w:val="center"/>
              <w:rPr>
                <w:color w:val="000000"/>
                <w:sz w:val="20"/>
                <w:szCs w:val="20"/>
              </w:rPr>
            </w:pPr>
            <w:r>
              <w:rPr>
                <w:b/>
                <w:bCs/>
                <w:color w:val="000000"/>
                <w:sz w:val="20"/>
                <w:szCs w:val="20"/>
              </w:rPr>
              <w:t>Six Months Ended</w:t>
            </w:r>
          </w:p>
        </w:tc>
        <w:tc>
          <w:tcPr>
            <w:tcW w:w="0" w:type="auto"/>
            <w:tcMar>
              <w:top w:w="5" w:type="dxa"/>
              <w:left w:w="5" w:type="dxa"/>
              <w:bottom w:w="20" w:type="dxa"/>
              <w:right w:w="5" w:type="dxa"/>
            </w:tcMar>
            <w:vAlign w:val="bottom"/>
            <w:hideMark/>
          </w:tcPr>
          <w:p w14:paraId="057047F4" w14:textId="77777777" w:rsidR="00954279" w:rsidRDefault="00A66714">
            <w:pPr>
              <w:rPr>
                <w:color w:val="000000"/>
                <w:sz w:val="20"/>
                <w:szCs w:val="20"/>
              </w:rPr>
            </w:pPr>
            <w:r>
              <w:rPr>
                <w:color w:val="000000"/>
                <w:sz w:val="20"/>
                <w:szCs w:val="20"/>
              </w:rPr>
              <w:t> </w:t>
            </w:r>
          </w:p>
        </w:tc>
      </w:tr>
      <w:tr w:rsidR="00954279" w14:paraId="46D6041D" w14:textId="77777777">
        <w:tc>
          <w:tcPr>
            <w:tcW w:w="0" w:type="auto"/>
            <w:tcMar>
              <w:top w:w="5" w:type="dxa"/>
              <w:left w:w="5" w:type="dxa"/>
              <w:bottom w:w="5" w:type="dxa"/>
              <w:right w:w="5" w:type="dxa"/>
            </w:tcMar>
            <w:vAlign w:val="bottom"/>
            <w:hideMark/>
          </w:tcPr>
          <w:p w14:paraId="6C93BB3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A82DF6F"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09C2A23C" w14:textId="77777777" w:rsidR="00954279" w:rsidRDefault="00A66714">
            <w:pPr>
              <w:jc w:val="center"/>
              <w:rPr>
                <w:color w:val="000000"/>
                <w:sz w:val="20"/>
                <w:szCs w:val="20"/>
              </w:rPr>
            </w:pPr>
            <w:r>
              <w:rPr>
                <w:b/>
                <w:bCs/>
                <w:color w:val="000000"/>
                <w:sz w:val="20"/>
                <w:szCs w:val="20"/>
              </w:rPr>
              <w:t>June 30,</w:t>
            </w:r>
          </w:p>
        </w:tc>
        <w:tc>
          <w:tcPr>
            <w:tcW w:w="0" w:type="auto"/>
            <w:tcMar>
              <w:top w:w="5" w:type="dxa"/>
              <w:left w:w="5" w:type="dxa"/>
              <w:bottom w:w="5" w:type="dxa"/>
              <w:right w:w="5" w:type="dxa"/>
            </w:tcMar>
            <w:vAlign w:val="bottom"/>
            <w:hideMark/>
          </w:tcPr>
          <w:p w14:paraId="0AD6837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27EDB8D"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37B99035" w14:textId="77777777" w:rsidR="00954279" w:rsidRDefault="00A66714">
            <w:pPr>
              <w:jc w:val="center"/>
              <w:rPr>
                <w:color w:val="000000"/>
                <w:sz w:val="20"/>
                <w:szCs w:val="20"/>
              </w:rPr>
            </w:pPr>
            <w:r>
              <w:rPr>
                <w:b/>
                <w:bCs/>
                <w:color w:val="000000"/>
                <w:sz w:val="20"/>
                <w:szCs w:val="20"/>
              </w:rPr>
              <w:t>June 30,</w:t>
            </w:r>
          </w:p>
        </w:tc>
        <w:tc>
          <w:tcPr>
            <w:tcW w:w="0" w:type="auto"/>
            <w:tcMar>
              <w:top w:w="5" w:type="dxa"/>
              <w:left w:w="5" w:type="dxa"/>
              <w:bottom w:w="5" w:type="dxa"/>
              <w:right w:w="5" w:type="dxa"/>
            </w:tcMar>
            <w:vAlign w:val="bottom"/>
            <w:hideMark/>
          </w:tcPr>
          <w:p w14:paraId="64DE0EE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5EDAE79"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7A4B1E89" w14:textId="77777777" w:rsidR="00954279" w:rsidRDefault="00A66714">
            <w:pPr>
              <w:jc w:val="center"/>
              <w:rPr>
                <w:color w:val="000000"/>
                <w:sz w:val="20"/>
                <w:szCs w:val="20"/>
              </w:rPr>
            </w:pPr>
            <w:r>
              <w:rPr>
                <w:b/>
                <w:bCs/>
                <w:color w:val="000000"/>
                <w:sz w:val="20"/>
                <w:szCs w:val="20"/>
              </w:rPr>
              <w:t>June 30,</w:t>
            </w:r>
          </w:p>
        </w:tc>
        <w:tc>
          <w:tcPr>
            <w:tcW w:w="0" w:type="auto"/>
            <w:tcMar>
              <w:top w:w="5" w:type="dxa"/>
              <w:left w:w="5" w:type="dxa"/>
              <w:bottom w:w="5" w:type="dxa"/>
              <w:right w:w="5" w:type="dxa"/>
            </w:tcMar>
            <w:vAlign w:val="bottom"/>
            <w:hideMark/>
          </w:tcPr>
          <w:p w14:paraId="2EDF720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D25F438"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4416F058" w14:textId="77777777" w:rsidR="00954279" w:rsidRDefault="00A66714">
            <w:pPr>
              <w:jc w:val="center"/>
              <w:rPr>
                <w:color w:val="000000"/>
                <w:sz w:val="20"/>
                <w:szCs w:val="20"/>
              </w:rPr>
            </w:pPr>
            <w:r>
              <w:rPr>
                <w:b/>
                <w:bCs/>
                <w:color w:val="000000"/>
                <w:sz w:val="20"/>
                <w:szCs w:val="20"/>
              </w:rPr>
              <w:t>June 30,</w:t>
            </w:r>
          </w:p>
        </w:tc>
        <w:tc>
          <w:tcPr>
            <w:tcW w:w="0" w:type="auto"/>
            <w:tcMar>
              <w:top w:w="5" w:type="dxa"/>
              <w:left w:w="5" w:type="dxa"/>
              <w:bottom w:w="5" w:type="dxa"/>
              <w:right w:w="5" w:type="dxa"/>
            </w:tcMar>
            <w:vAlign w:val="bottom"/>
            <w:hideMark/>
          </w:tcPr>
          <w:p w14:paraId="3F0F3E4E" w14:textId="77777777" w:rsidR="00954279" w:rsidRDefault="00A66714">
            <w:pPr>
              <w:rPr>
                <w:color w:val="000000"/>
                <w:sz w:val="20"/>
                <w:szCs w:val="20"/>
              </w:rPr>
            </w:pPr>
            <w:r>
              <w:rPr>
                <w:color w:val="000000"/>
                <w:sz w:val="20"/>
                <w:szCs w:val="20"/>
              </w:rPr>
              <w:t> </w:t>
            </w:r>
          </w:p>
        </w:tc>
      </w:tr>
      <w:tr w:rsidR="00954279" w14:paraId="4FEC621A" w14:textId="77777777">
        <w:tc>
          <w:tcPr>
            <w:tcW w:w="0" w:type="auto"/>
            <w:tcMar>
              <w:top w:w="5" w:type="dxa"/>
              <w:left w:w="5" w:type="dxa"/>
              <w:bottom w:w="5" w:type="dxa"/>
              <w:right w:w="5" w:type="dxa"/>
            </w:tcMar>
            <w:vAlign w:val="bottom"/>
            <w:hideMark/>
          </w:tcPr>
          <w:p w14:paraId="1B6894D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622E0D0"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31743D5" w14:textId="77777777" w:rsidR="00954279" w:rsidRDefault="00A66714">
            <w:pPr>
              <w:jc w:val="center"/>
              <w:rPr>
                <w:color w:val="000000"/>
                <w:sz w:val="20"/>
                <w:szCs w:val="20"/>
              </w:rPr>
            </w:pPr>
            <w:r>
              <w:rPr>
                <w:b/>
                <w:bCs/>
                <w:color w:val="000000"/>
                <w:sz w:val="20"/>
                <w:szCs w:val="20"/>
              </w:rPr>
              <w:t>2021</w:t>
            </w:r>
          </w:p>
        </w:tc>
        <w:tc>
          <w:tcPr>
            <w:tcW w:w="0" w:type="auto"/>
            <w:tcMar>
              <w:top w:w="5" w:type="dxa"/>
              <w:left w:w="5" w:type="dxa"/>
              <w:bottom w:w="20" w:type="dxa"/>
              <w:right w:w="5" w:type="dxa"/>
            </w:tcMar>
            <w:vAlign w:val="bottom"/>
            <w:hideMark/>
          </w:tcPr>
          <w:p w14:paraId="3E922C0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8AFE6BB"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F3353C5" w14:textId="77777777" w:rsidR="00954279" w:rsidRDefault="00A66714">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4F21A37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8896346"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29B25A1C" w14:textId="77777777" w:rsidR="00954279" w:rsidRDefault="00A66714">
            <w:pPr>
              <w:jc w:val="center"/>
              <w:rPr>
                <w:color w:val="000000"/>
                <w:sz w:val="20"/>
                <w:szCs w:val="20"/>
              </w:rPr>
            </w:pPr>
            <w:r>
              <w:rPr>
                <w:b/>
                <w:bCs/>
                <w:color w:val="000000"/>
                <w:sz w:val="20"/>
                <w:szCs w:val="20"/>
              </w:rPr>
              <w:t>2021</w:t>
            </w:r>
          </w:p>
        </w:tc>
        <w:tc>
          <w:tcPr>
            <w:tcW w:w="0" w:type="auto"/>
            <w:tcMar>
              <w:top w:w="5" w:type="dxa"/>
              <w:left w:w="5" w:type="dxa"/>
              <w:bottom w:w="20" w:type="dxa"/>
              <w:right w:w="5" w:type="dxa"/>
            </w:tcMar>
            <w:vAlign w:val="bottom"/>
            <w:hideMark/>
          </w:tcPr>
          <w:p w14:paraId="3A37AA4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48D4CC7"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3BC72AFC" w14:textId="77777777" w:rsidR="00954279" w:rsidRDefault="00A66714">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62C8E454" w14:textId="77777777" w:rsidR="00954279" w:rsidRDefault="00A66714">
            <w:pPr>
              <w:rPr>
                <w:color w:val="000000"/>
                <w:sz w:val="20"/>
                <w:szCs w:val="20"/>
              </w:rPr>
            </w:pPr>
            <w:r>
              <w:rPr>
                <w:color w:val="000000"/>
                <w:sz w:val="20"/>
                <w:szCs w:val="20"/>
              </w:rPr>
              <w:t> </w:t>
            </w:r>
          </w:p>
        </w:tc>
      </w:tr>
      <w:tr w:rsidR="00954279" w14:paraId="38E94741" w14:textId="77777777">
        <w:tc>
          <w:tcPr>
            <w:tcW w:w="2600" w:type="pct"/>
            <w:tcMar>
              <w:top w:w="5" w:type="dxa"/>
              <w:left w:w="5" w:type="dxa"/>
              <w:bottom w:w="5" w:type="dxa"/>
              <w:right w:w="5" w:type="dxa"/>
            </w:tcMar>
            <w:vAlign w:val="bottom"/>
            <w:hideMark/>
          </w:tcPr>
          <w:p w14:paraId="3A7C5564" w14:textId="77777777" w:rsidR="00954279" w:rsidRDefault="00A66714">
            <w:pPr>
              <w:rPr>
                <w:color w:val="000000"/>
                <w:sz w:val="20"/>
                <w:szCs w:val="20"/>
              </w:rPr>
            </w:pPr>
            <w:r>
              <w:rPr>
                <w:b/>
                <w:bCs/>
                <w:color w:val="000000"/>
                <w:sz w:val="20"/>
                <w:szCs w:val="20"/>
              </w:rPr>
              <w:t>Sales</w:t>
            </w:r>
          </w:p>
        </w:tc>
        <w:tc>
          <w:tcPr>
            <w:tcW w:w="0" w:type="auto"/>
            <w:tcMar>
              <w:top w:w="5" w:type="dxa"/>
              <w:left w:w="5" w:type="dxa"/>
              <w:bottom w:w="5" w:type="dxa"/>
              <w:right w:w="5" w:type="dxa"/>
            </w:tcMar>
            <w:vAlign w:val="bottom"/>
            <w:hideMark/>
          </w:tcPr>
          <w:p w14:paraId="4EE49DE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38B09E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806B77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4B9D31C" w14:textId="77777777" w:rsidR="00954279" w:rsidRDefault="00A66714">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57E4A28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93BE83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A48514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3632621" w14:textId="77777777" w:rsidR="00954279" w:rsidRDefault="00A66714">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5DBA73D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4FACD4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4A121C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49905F1" w14:textId="77777777" w:rsidR="00954279" w:rsidRDefault="00A66714">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1D85A8B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BA58CB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913BFA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5ABBFC8" w14:textId="77777777" w:rsidR="00954279" w:rsidRDefault="00A66714">
            <w:pPr>
              <w:rPr>
                <w:color w:val="000000"/>
                <w:sz w:val="20"/>
                <w:szCs w:val="20"/>
              </w:rPr>
            </w:pPr>
            <w:r>
              <w:rPr>
                <w:b/>
                <w:bCs/>
                <w:color w:val="000000"/>
                <w:sz w:val="20"/>
                <w:szCs w:val="20"/>
              </w:rPr>
              <w:t> </w:t>
            </w:r>
          </w:p>
        </w:tc>
      </w:tr>
      <w:tr w:rsidR="00954279" w14:paraId="4ADB71F8" w14:textId="77777777">
        <w:tc>
          <w:tcPr>
            <w:tcW w:w="0" w:type="auto"/>
            <w:tcMar>
              <w:top w:w="5" w:type="dxa"/>
              <w:left w:w="5" w:type="dxa"/>
              <w:bottom w:w="5" w:type="dxa"/>
              <w:right w:w="5" w:type="dxa"/>
            </w:tcMar>
            <w:vAlign w:val="bottom"/>
            <w:hideMark/>
          </w:tcPr>
          <w:p w14:paraId="685F5C28" w14:textId="77777777" w:rsidR="00954279" w:rsidRDefault="00A66714">
            <w:pPr>
              <w:rPr>
                <w:color w:val="000000"/>
                <w:sz w:val="20"/>
                <w:szCs w:val="20"/>
              </w:rPr>
            </w:pPr>
            <w:r>
              <w:rPr>
                <w:color w:val="000000"/>
                <w:sz w:val="20"/>
                <w:szCs w:val="20"/>
              </w:rPr>
              <w:t>U.S.</w:t>
            </w:r>
          </w:p>
        </w:tc>
        <w:tc>
          <w:tcPr>
            <w:tcW w:w="50" w:type="pct"/>
            <w:tcMar>
              <w:top w:w="5" w:type="dxa"/>
              <w:left w:w="5" w:type="dxa"/>
              <w:bottom w:w="5" w:type="dxa"/>
              <w:right w:w="5" w:type="dxa"/>
            </w:tcMar>
            <w:vAlign w:val="bottom"/>
            <w:hideMark/>
          </w:tcPr>
          <w:p w14:paraId="2D5F58A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DD9BF23"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658676D5" w14:textId="77777777" w:rsidR="00954279" w:rsidRDefault="00A66714">
            <w:pPr>
              <w:jc w:val="right"/>
              <w:rPr>
                <w:color w:val="000000"/>
                <w:sz w:val="20"/>
                <w:szCs w:val="20"/>
              </w:rPr>
            </w:pPr>
            <w:r>
              <w:rPr>
                <w:b/>
                <w:bCs/>
                <w:color w:val="000000"/>
                <w:sz w:val="20"/>
                <w:szCs w:val="20"/>
              </w:rPr>
              <w:t>558</w:t>
            </w:r>
          </w:p>
        </w:tc>
        <w:tc>
          <w:tcPr>
            <w:tcW w:w="50" w:type="pct"/>
            <w:noWrap/>
            <w:tcMar>
              <w:top w:w="5" w:type="dxa"/>
              <w:left w:w="5" w:type="dxa"/>
              <w:bottom w:w="5" w:type="dxa"/>
              <w:right w:w="5" w:type="dxa"/>
            </w:tcMar>
            <w:vAlign w:val="bottom"/>
            <w:hideMark/>
          </w:tcPr>
          <w:p w14:paraId="7289B067"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7415642"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096D8C1"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06060F20" w14:textId="77777777" w:rsidR="00954279" w:rsidRDefault="00A66714">
            <w:pPr>
              <w:jc w:val="right"/>
              <w:rPr>
                <w:color w:val="000000"/>
                <w:sz w:val="20"/>
                <w:szCs w:val="20"/>
              </w:rPr>
            </w:pPr>
            <w:r>
              <w:rPr>
                <w:color w:val="000000"/>
                <w:sz w:val="20"/>
                <w:szCs w:val="20"/>
              </w:rPr>
              <w:t>474</w:t>
            </w:r>
          </w:p>
        </w:tc>
        <w:tc>
          <w:tcPr>
            <w:tcW w:w="50" w:type="pct"/>
            <w:noWrap/>
            <w:tcMar>
              <w:top w:w="5" w:type="dxa"/>
              <w:left w:w="5" w:type="dxa"/>
              <w:bottom w:w="5" w:type="dxa"/>
              <w:right w:w="5" w:type="dxa"/>
            </w:tcMar>
            <w:vAlign w:val="bottom"/>
            <w:hideMark/>
          </w:tcPr>
          <w:p w14:paraId="317EFC2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F9BCFC9"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77F42A3"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782C415A" w14:textId="77777777" w:rsidR="00954279" w:rsidRDefault="00A66714">
            <w:pPr>
              <w:jc w:val="right"/>
              <w:rPr>
                <w:color w:val="000000"/>
                <w:sz w:val="20"/>
                <w:szCs w:val="20"/>
              </w:rPr>
            </w:pPr>
            <w:r>
              <w:rPr>
                <w:b/>
                <w:bCs/>
                <w:color w:val="000000"/>
                <w:sz w:val="20"/>
                <w:szCs w:val="20"/>
              </w:rPr>
              <w:t>1,042</w:t>
            </w:r>
          </w:p>
        </w:tc>
        <w:tc>
          <w:tcPr>
            <w:tcW w:w="50" w:type="pct"/>
            <w:noWrap/>
            <w:tcMar>
              <w:top w:w="5" w:type="dxa"/>
              <w:left w:w="5" w:type="dxa"/>
              <w:bottom w:w="5" w:type="dxa"/>
              <w:right w:w="5" w:type="dxa"/>
            </w:tcMar>
            <w:vAlign w:val="bottom"/>
            <w:hideMark/>
          </w:tcPr>
          <w:p w14:paraId="54D4073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5269E9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59E716E"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7A723E62" w14:textId="77777777" w:rsidR="00954279" w:rsidRDefault="00A66714">
            <w:pPr>
              <w:jc w:val="right"/>
              <w:rPr>
                <w:color w:val="000000"/>
                <w:sz w:val="20"/>
                <w:szCs w:val="20"/>
              </w:rPr>
            </w:pPr>
            <w:r>
              <w:rPr>
                <w:color w:val="000000"/>
                <w:sz w:val="20"/>
                <w:szCs w:val="20"/>
              </w:rPr>
              <w:t>1,112</w:t>
            </w:r>
          </w:p>
        </w:tc>
        <w:tc>
          <w:tcPr>
            <w:tcW w:w="50" w:type="pct"/>
            <w:noWrap/>
            <w:tcMar>
              <w:top w:w="5" w:type="dxa"/>
              <w:left w:w="5" w:type="dxa"/>
              <w:bottom w:w="5" w:type="dxa"/>
              <w:right w:w="5" w:type="dxa"/>
            </w:tcMar>
            <w:vAlign w:val="bottom"/>
            <w:hideMark/>
          </w:tcPr>
          <w:p w14:paraId="0BD02300" w14:textId="77777777" w:rsidR="00954279" w:rsidRDefault="00A66714">
            <w:pPr>
              <w:rPr>
                <w:color w:val="000000"/>
                <w:sz w:val="20"/>
                <w:szCs w:val="20"/>
              </w:rPr>
            </w:pPr>
            <w:r>
              <w:rPr>
                <w:color w:val="000000"/>
                <w:sz w:val="20"/>
                <w:szCs w:val="20"/>
              </w:rPr>
              <w:t> </w:t>
            </w:r>
          </w:p>
        </w:tc>
      </w:tr>
      <w:tr w:rsidR="00954279" w14:paraId="31463B49" w14:textId="77777777">
        <w:tc>
          <w:tcPr>
            <w:tcW w:w="0" w:type="auto"/>
            <w:tcMar>
              <w:top w:w="5" w:type="dxa"/>
              <w:left w:w="5" w:type="dxa"/>
              <w:bottom w:w="5" w:type="dxa"/>
              <w:right w:w="5" w:type="dxa"/>
            </w:tcMar>
            <w:vAlign w:val="bottom"/>
            <w:hideMark/>
          </w:tcPr>
          <w:p w14:paraId="5FB00F0F" w14:textId="77777777" w:rsidR="00954279" w:rsidRDefault="00A66714">
            <w:pPr>
              <w:rPr>
                <w:color w:val="000000"/>
                <w:sz w:val="20"/>
                <w:szCs w:val="20"/>
              </w:rPr>
            </w:pPr>
            <w:r>
              <w:rPr>
                <w:color w:val="000000"/>
                <w:sz w:val="20"/>
                <w:szCs w:val="20"/>
              </w:rPr>
              <w:t>Canada</w:t>
            </w:r>
          </w:p>
        </w:tc>
        <w:tc>
          <w:tcPr>
            <w:tcW w:w="50" w:type="pct"/>
            <w:tcMar>
              <w:top w:w="5" w:type="dxa"/>
              <w:left w:w="5" w:type="dxa"/>
              <w:bottom w:w="5" w:type="dxa"/>
              <w:right w:w="5" w:type="dxa"/>
            </w:tcMar>
            <w:vAlign w:val="bottom"/>
            <w:hideMark/>
          </w:tcPr>
          <w:p w14:paraId="003E95B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C02F442"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8617334" w14:textId="77777777" w:rsidR="00954279" w:rsidRDefault="00A66714">
            <w:pPr>
              <w:jc w:val="right"/>
              <w:rPr>
                <w:color w:val="000000"/>
                <w:sz w:val="20"/>
                <w:szCs w:val="20"/>
              </w:rPr>
            </w:pPr>
            <w:r>
              <w:rPr>
                <w:b/>
                <w:bCs/>
                <w:color w:val="000000"/>
                <w:sz w:val="20"/>
                <w:szCs w:val="20"/>
              </w:rPr>
              <w:t>30</w:t>
            </w:r>
          </w:p>
        </w:tc>
        <w:tc>
          <w:tcPr>
            <w:tcW w:w="50" w:type="pct"/>
            <w:noWrap/>
            <w:tcMar>
              <w:top w:w="5" w:type="dxa"/>
              <w:left w:w="5" w:type="dxa"/>
              <w:bottom w:w="5" w:type="dxa"/>
              <w:right w:w="5" w:type="dxa"/>
            </w:tcMar>
            <w:vAlign w:val="bottom"/>
            <w:hideMark/>
          </w:tcPr>
          <w:p w14:paraId="6D8D510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16B64A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000F0C5"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F21A5CE" w14:textId="77777777" w:rsidR="00954279" w:rsidRDefault="00A66714">
            <w:pPr>
              <w:jc w:val="right"/>
              <w:rPr>
                <w:color w:val="000000"/>
                <w:sz w:val="20"/>
                <w:szCs w:val="20"/>
              </w:rPr>
            </w:pPr>
            <w:r>
              <w:rPr>
                <w:color w:val="000000"/>
                <w:sz w:val="20"/>
                <w:szCs w:val="20"/>
              </w:rPr>
              <w:t>28</w:t>
            </w:r>
          </w:p>
        </w:tc>
        <w:tc>
          <w:tcPr>
            <w:tcW w:w="50" w:type="pct"/>
            <w:noWrap/>
            <w:tcMar>
              <w:top w:w="5" w:type="dxa"/>
              <w:left w:w="5" w:type="dxa"/>
              <w:bottom w:w="5" w:type="dxa"/>
              <w:right w:w="5" w:type="dxa"/>
            </w:tcMar>
            <w:vAlign w:val="bottom"/>
            <w:hideMark/>
          </w:tcPr>
          <w:p w14:paraId="78E2D3EE"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0E95AA8"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347A8FD"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F2AB019" w14:textId="77777777" w:rsidR="00954279" w:rsidRDefault="00A66714">
            <w:pPr>
              <w:jc w:val="right"/>
              <w:rPr>
                <w:color w:val="000000"/>
                <w:sz w:val="20"/>
                <w:szCs w:val="20"/>
              </w:rPr>
            </w:pPr>
            <w:r>
              <w:rPr>
                <w:b/>
                <w:bCs/>
                <w:color w:val="000000"/>
                <w:sz w:val="20"/>
                <w:szCs w:val="20"/>
              </w:rPr>
              <w:t>62</w:t>
            </w:r>
          </w:p>
        </w:tc>
        <w:tc>
          <w:tcPr>
            <w:tcW w:w="50" w:type="pct"/>
            <w:noWrap/>
            <w:tcMar>
              <w:top w:w="5" w:type="dxa"/>
              <w:left w:w="5" w:type="dxa"/>
              <w:bottom w:w="5" w:type="dxa"/>
              <w:right w:w="5" w:type="dxa"/>
            </w:tcMar>
            <w:vAlign w:val="bottom"/>
            <w:hideMark/>
          </w:tcPr>
          <w:p w14:paraId="53B2A62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79CBBFA"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2E413D4"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2D973B9" w14:textId="77777777" w:rsidR="00954279" w:rsidRDefault="00A66714">
            <w:pPr>
              <w:jc w:val="right"/>
              <w:rPr>
                <w:color w:val="000000"/>
                <w:sz w:val="20"/>
                <w:szCs w:val="20"/>
              </w:rPr>
            </w:pPr>
            <w:r>
              <w:rPr>
                <w:color w:val="000000"/>
                <w:sz w:val="20"/>
                <w:szCs w:val="20"/>
              </w:rPr>
              <w:t>78</w:t>
            </w:r>
          </w:p>
        </w:tc>
        <w:tc>
          <w:tcPr>
            <w:tcW w:w="50" w:type="pct"/>
            <w:noWrap/>
            <w:tcMar>
              <w:top w:w="5" w:type="dxa"/>
              <w:left w:w="5" w:type="dxa"/>
              <w:bottom w:w="5" w:type="dxa"/>
              <w:right w:w="5" w:type="dxa"/>
            </w:tcMar>
            <w:vAlign w:val="bottom"/>
            <w:hideMark/>
          </w:tcPr>
          <w:p w14:paraId="0B395388" w14:textId="77777777" w:rsidR="00954279" w:rsidRDefault="00A66714">
            <w:pPr>
              <w:rPr>
                <w:color w:val="000000"/>
                <w:sz w:val="20"/>
                <w:szCs w:val="20"/>
              </w:rPr>
            </w:pPr>
            <w:r>
              <w:rPr>
                <w:color w:val="000000"/>
                <w:sz w:val="20"/>
                <w:szCs w:val="20"/>
              </w:rPr>
              <w:t> </w:t>
            </w:r>
          </w:p>
        </w:tc>
      </w:tr>
      <w:tr w:rsidR="00954279" w14:paraId="0CEEF6EB" w14:textId="77777777">
        <w:tc>
          <w:tcPr>
            <w:tcW w:w="0" w:type="auto"/>
            <w:tcMar>
              <w:top w:w="5" w:type="dxa"/>
              <w:left w:w="5" w:type="dxa"/>
              <w:bottom w:w="5" w:type="dxa"/>
              <w:right w:w="5" w:type="dxa"/>
            </w:tcMar>
            <w:vAlign w:val="bottom"/>
            <w:hideMark/>
          </w:tcPr>
          <w:p w14:paraId="6E5D1FCE" w14:textId="77777777" w:rsidR="00954279" w:rsidRDefault="00A66714">
            <w:pPr>
              <w:rPr>
                <w:color w:val="000000"/>
                <w:sz w:val="20"/>
                <w:szCs w:val="20"/>
              </w:rPr>
            </w:pPr>
            <w:r>
              <w:rPr>
                <w:color w:val="000000"/>
                <w:sz w:val="20"/>
                <w:szCs w:val="20"/>
              </w:rPr>
              <w:t>International</w:t>
            </w:r>
          </w:p>
        </w:tc>
        <w:tc>
          <w:tcPr>
            <w:tcW w:w="50" w:type="pct"/>
            <w:tcMar>
              <w:top w:w="5" w:type="dxa"/>
              <w:left w:w="5" w:type="dxa"/>
              <w:bottom w:w="5" w:type="dxa"/>
              <w:right w:w="5" w:type="dxa"/>
            </w:tcMar>
            <w:vAlign w:val="bottom"/>
            <w:hideMark/>
          </w:tcPr>
          <w:p w14:paraId="059A1C33"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4387579"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04FF4521" w14:textId="77777777" w:rsidR="00954279" w:rsidRDefault="00A66714">
            <w:pPr>
              <w:jc w:val="right"/>
              <w:rPr>
                <w:color w:val="000000"/>
                <w:sz w:val="20"/>
                <w:szCs w:val="20"/>
              </w:rPr>
            </w:pPr>
            <w:r>
              <w:rPr>
                <w:b/>
                <w:bCs/>
                <w:color w:val="000000"/>
                <w:sz w:val="20"/>
                <w:szCs w:val="20"/>
              </w:rPr>
              <w:t>98</w:t>
            </w:r>
          </w:p>
        </w:tc>
        <w:tc>
          <w:tcPr>
            <w:tcW w:w="50" w:type="pct"/>
            <w:noWrap/>
            <w:tcMar>
              <w:top w:w="5" w:type="dxa"/>
              <w:left w:w="5" w:type="dxa"/>
              <w:bottom w:w="20" w:type="dxa"/>
              <w:right w:w="5" w:type="dxa"/>
            </w:tcMar>
            <w:vAlign w:val="bottom"/>
            <w:hideMark/>
          </w:tcPr>
          <w:p w14:paraId="500BAFDF"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B66D048"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25144ED"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62CE3227" w14:textId="77777777" w:rsidR="00954279" w:rsidRDefault="00A66714">
            <w:pPr>
              <w:jc w:val="right"/>
              <w:rPr>
                <w:color w:val="000000"/>
                <w:sz w:val="20"/>
                <w:szCs w:val="20"/>
              </w:rPr>
            </w:pPr>
            <w:r>
              <w:rPr>
                <w:color w:val="000000"/>
                <w:sz w:val="20"/>
                <w:szCs w:val="20"/>
              </w:rPr>
              <w:t>100</w:t>
            </w:r>
          </w:p>
        </w:tc>
        <w:tc>
          <w:tcPr>
            <w:tcW w:w="50" w:type="pct"/>
            <w:noWrap/>
            <w:tcMar>
              <w:top w:w="5" w:type="dxa"/>
              <w:left w:w="5" w:type="dxa"/>
              <w:bottom w:w="20" w:type="dxa"/>
              <w:right w:w="5" w:type="dxa"/>
            </w:tcMar>
            <w:vAlign w:val="bottom"/>
            <w:hideMark/>
          </w:tcPr>
          <w:p w14:paraId="1B66FE40"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934AF4C"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535CC7A"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0BF2444F" w14:textId="77777777" w:rsidR="00954279" w:rsidRDefault="00A66714">
            <w:pPr>
              <w:jc w:val="right"/>
              <w:rPr>
                <w:color w:val="000000"/>
                <w:sz w:val="20"/>
                <w:szCs w:val="20"/>
              </w:rPr>
            </w:pPr>
            <w:r>
              <w:rPr>
                <w:b/>
                <w:bCs/>
                <w:color w:val="000000"/>
                <w:sz w:val="20"/>
                <w:szCs w:val="20"/>
              </w:rPr>
              <w:t>191</w:t>
            </w:r>
          </w:p>
        </w:tc>
        <w:tc>
          <w:tcPr>
            <w:tcW w:w="50" w:type="pct"/>
            <w:noWrap/>
            <w:tcMar>
              <w:top w:w="5" w:type="dxa"/>
              <w:left w:w="5" w:type="dxa"/>
              <w:bottom w:w="20" w:type="dxa"/>
              <w:right w:w="5" w:type="dxa"/>
            </w:tcMar>
            <w:vAlign w:val="bottom"/>
            <w:hideMark/>
          </w:tcPr>
          <w:p w14:paraId="683331F6"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F108B1A"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8B52B08"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2940896E" w14:textId="77777777" w:rsidR="00954279" w:rsidRDefault="00A66714">
            <w:pPr>
              <w:jc w:val="right"/>
              <w:rPr>
                <w:color w:val="000000"/>
                <w:sz w:val="20"/>
                <w:szCs w:val="20"/>
              </w:rPr>
            </w:pPr>
            <w:r>
              <w:rPr>
                <w:color w:val="000000"/>
                <w:sz w:val="20"/>
                <w:szCs w:val="20"/>
              </w:rPr>
              <w:t>206</w:t>
            </w:r>
          </w:p>
        </w:tc>
        <w:tc>
          <w:tcPr>
            <w:tcW w:w="50" w:type="pct"/>
            <w:noWrap/>
            <w:tcMar>
              <w:top w:w="5" w:type="dxa"/>
              <w:left w:w="5" w:type="dxa"/>
              <w:bottom w:w="20" w:type="dxa"/>
              <w:right w:w="5" w:type="dxa"/>
            </w:tcMar>
            <w:vAlign w:val="bottom"/>
            <w:hideMark/>
          </w:tcPr>
          <w:p w14:paraId="2BE50B4B" w14:textId="77777777" w:rsidR="00954279" w:rsidRDefault="00A66714">
            <w:pPr>
              <w:rPr>
                <w:color w:val="000000"/>
                <w:sz w:val="20"/>
                <w:szCs w:val="20"/>
              </w:rPr>
            </w:pPr>
            <w:r>
              <w:rPr>
                <w:color w:val="000000"/>
                <w:sz w:val="20"/>
                <w:szCs w:val="20"/>
              </w:rPr>
              <w:t> </w:t>
            </w:r>
          </w:p>
        </w:tc>
      </w:tr>
      <w:tr w:rsidR="00954279" w14:paraId="63BFF967" w14:textId="77777777">
        <w:tc>
          <w:tcPr>
            <w:tcW w:w="0" w:type="auto"/>
            <w:tcMar>
              <w:top w:w="5" w:type="dxa"/>
              <w:left w:w="5" w:type="dxa"/>
              <w:bottom w:w="5" w:type="dxa"/>
              <w:right w:w="5" w:type="dxa"/>
            </w:tcMar>
            <w:vAlign w:val="bottom"/>
            <w:hideMark/>
          </w:tcPr>
          <w:p w14:paraId="46835177" w14:textId="77777777" w:rsidR="00954279" w:rsidRDefault="00A66714">
            <w:pPr>
              <w:rPr>
                <w:color w:val="000000"/>
                <w:sz w:val="20"/>
                <w:szCs w:val="20"/>
              </w:rPr>
            </w:pPr>
            <w:r>
              <w:rPr>
                <w:color w:val="000000"/>
                <w:sz w:val="20"/>
                <w:szCs w:val="20"/>
              </w:rPr>
              <w:t>Consolidated sales</w:t>
            </w:r>
          </w:p>
        </w:tc>
        <w:tc>
          <w:tcPr>
            <w:tcW w:w="50" w:type="pct"/>
            <w:tcMar>
              <w:top w:w="5" w:type="dxa"/>
              <w:left w:w="5" w:type="dxa"/>
              <w:bottom w:w="5" w:type="dxa"/>
              <w:right w:w="5" w:type="dxa"/>
            </w:tcMar>
            <w:vAlign w:val="bottom"/>
            <w:hideMark/>
          </w:tcPr>
          <w:p w14:paraId="36D90FA2"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03985AE"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79CA3727" w14:textId="77777777" w:rsidR="00954279" w:rsidRDefault="00A66714">
            <w:pPr>
              <w:jc w:val="right"/>
              <w:rPr>
                <w:color w:val="000000"/>
                <w:sz w:val="20"/>
                <w:szCs w:val="20"/>
              </w:rPr>
            </w:pPr>
            <w:r>
              <w:rPr>
                <w:b/>
                <w:bCs/>
                <w:color w:val="000000"/>
                <w:sz w:val="20"/>
                <w:szCs w:val="20"/>
              </w:rPr>
              <w:t>686</w:t>
            </w:r>
          </w:p>
        </w:tc>
        <w:tc>
          <w:tcPr>
            <w:tcW w:w="50" w:type="pct"/>
            <w:noWrap/>
            <w:tcMar>
              <w:top w:w="5" w:type="dxa"/>
              <w:left w:w="5" w:type="dxa"/>
              <w:bottom w:w="50" w:type="dxa"/>
              <w:right w:w="5" w:type="dxa"/>
            </w:tcMar>
            <w:vAlign w:val="bottom"/>
            <w:hideMark/>
          </w:tcPr>
          <w:p w14:paraId="5DB2D64A"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0D3D04A"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8EA86F1"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6847A025" w14:textId="77777777" w:rsidR="00954279" w:rsidRDefault="00A66714">
            <w:pPr>
              <w:jc w:val="right"/>
              <w:rPr>
                <w:color w:val="000000"/>
                <w:sz w:val="20"/>
                <w:szCs w:val="20"/>
              </w:rPr>
            </w:pPr>
            <w:r>
              <w:rPr>
                <w:color w:val="000000"/>
                <w:sz w:val="20"/>
                <w:szCs w:val="20"/>
              </w:rPr>
              <w:t>602</w:t>
            </w:r>
          </w:p>
        </w:tc>
        <w:tc>
          <w:tcPr>
            <w:tcW w:w="50" w:type="pct"/>
            <w:noWrap/>
            <w:tcMar>
              <w:top w:w="5" w:type="dxa"/>
              <w:left w:w="5" w:type="dxa"/>
              <w:bottom w:w="50" w:type="dxa"/>
              <w:right w:w="5" w:type="dxa"/>
            </w:tcMar>
            <w:vAlign w:val="bottom"/>
            <w:hideMark/>
          </w:tcPr>
          <w:p w14:paraId="1ED7880E"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D8B480B"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357A85B"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04E2AD83" w14:textId="77777777" w:rsidR="00954279" w:rsidRDefault="00A66714">
            <w:pPr>
              <w:jc w:val="right"/>
              <w:rPr>
                <w:color w:val="000000"/>
                <w:sz w:val="20"/>
                <w:szCs w:val="20"/>
              </w:rPr>
            </w:pPr>
            <w:r>
              <w:rPr>
                <w:b/>
                <w:bCs/>
                <w:color w:val="000000"/>
                <w:sz w:val="20"/>
                <w:szCs w:val="20"/>
              </w:rPr>
              <w:t>1,295</w:t>
            </w:r>
          </w:p>
        </w:tc>
        <w:tc>
          <w:tcPr>
            <w:tcW w:w="50" w:type="pct"/>
            <w:noWrap/>
            <w:tcMar>
              <w:top w:w="5" w:type="dxa"/>
              <w:left w:w="5" w:type="dxa"/>
              <w:bottom w:w="50" w:type="dxa"/>
              <w:right w:w="5" w:type="dxa"/>
            </w:tcMar>
            <w:vAlign w:val="bottom"/>
            <w:hideMark/>
          </w:tcPr>
          <w:p w14:paraId="07273736"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67DC413"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1D7BBE2"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6C4FA2AB" w14:textId="77777777" w:rsidR="00954279" w:rsidRDefault="00A66714">
            <w:pPr>
              <w:jc w:val="right"/>
              <w:rPr>
                <w:color w:val="000000"/>
                <w:sz w:val="20"/>
                <w:szCs w:val="20"/>
              </w:rPr>
            </w:pPr>
            <w:r>
              <w:rPr>
                <w:color w:val="000000"/>
                <w:sz w:val="20"/>
                <w:szCs w:val="20"/>
              </w:rPr>
              <w:t>1,396</w:t>
            </w:r>
          </w:p>
        </w:tc>
        <w:tc>
          <w:tcPr>
            <w:tcW w:w="50" w:type="pct"/>
            <w:noWrap/>
            <w:tcMar>
              <w:top w:w="5" w:type="dxa"/>
              <w:left w:w="5" w:type="dxa"/>
              <w:bottom w:w="50" w:type="dxa"/>
              <w:right w:w="5" w:type="dxa"/>
            </w:tcMar>
            <w:vAlign w:val="bottom"/>
            <w:hideMark/>
          </w:tcPr>
          <w:p w14:paraId="46206498" w14:textId="77777777" w:rsidR="00954279" w:rsidRDefault="00A66714">
            <w:pPr>
              <w:rPr>
                <w:color w:val="000000"/>
                <w:sz w:val="20"/>
                <w:szCs w:val="20"/>
              </w:rPr>
            </w:pPr>
            <w:r>
              <w:rPr>
                <w:color w:val="000000"/>
                <w:sz w:val="20"/>
                <w:szCs w:val="20"/>
              </w:rPr>
              <w:t> </w:t>
            </w:r>
          </w:p>
        </w:tc>
      </w:tr>
      <w:tr w:rsidR="00954279" w14:paraId="1DB3B0B4" w14:textId="77777777">
        <w:tc>
          <w:tcPr>
            <w:tcW w:w="0" w:type="auto"/>
            <w:tcMar>
              <w:top w:w="5" w:type="dxa"/>
              <w:left w:w="5" w:type="dxa"/>
              <w:bottom w:w="5" w:type="dxa"/>
              <w:right w:w="5" w:type="dxa"/>
            </w:tcMar>
            <w:vAlign w:val="bottom"/>
            <w:hideMark/>
          </w:tcPr>
          <w:p w14:paraId="56CFCA9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C9D064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F07E8A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D75347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46BC03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4B9837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BF4B6A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61029B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51E284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0FC05D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F79892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48ED0B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5EAD85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D7B9C1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A1EECB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F6B758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888A877" w14:textId="77777777" w:rsidR="00954279" w:rsidRDefault="00A66714">
            <w:pPr>
              <w:rPr>
                <w:color w:val="000000"/>
                <w:sz w:val="20"/>
                <w:szCs w:val="20"/>
              </w:rPr>
            </w:pPr>
            <w:r>
              <w:rPr>
                <w:color w:val="000000"/>
                <w:sz w:val="20"/>
                <w:szCs w:val="20"/>
              </w:rPr>
              <w:t> </w:t>
            </w:r>
          </w:p>
        </w:tc>
      </w:tr>
      <w:tr w:rsidR="00954279" w14:paraId="5D3AA1FE" w14:textId="77777777">
        <w:tc>
          <w:tcPr>
            <w:tcW w:w="0" w:type="auto"/>
            <w:tcMar>
              <w:top w:w="5" w:type="dxa"/>
              <w:left w:w="5" w:type="dxa"/>
              <w:bottom w:w="5" w:type="dxa"/>
              <w:right w:w="5" w:type="dxa"/>
            </w:tcMar>
            <w:vAlign w:val="bottom"/>
            <w:hideMark/>
          </w:tcPr>
          <w:p w14:paraId="118EAA35" w14:textId="77777777" w:rsidR="00954279" w:rsidRDefault="00A66714">
            <w:pPr>
              <w:rPr>
                <w:color w:val="000000"/>
                <w:sz w:val="20"/>
                <w:szCs w:val="20"/>
              </w:rPr>
            </w:pPr>
            <w:r>
              <w:rPr>
                <w:b/>
                <w:bCs/>
                <w:color w:val="000000"/>
                <w:sz w:val="20"/>
                <w:szCs w:val="20"/>
              </w:rPr>
              <w:t>Operating income (loss)</w:t>
            </w:r>
          </w:p>
        </w:tc>
        <w:tc>
          <w:tcPr>
            <w:tcW w:w="0" w:type="auto"/>
            <w:tcMar>
              <w:top w:w="5" w:type="dxa"/>
              <w:left w:w="5" w:type="dxa"/>
              <w:bottom w:w="5" w:type="dxa"/>
              <w:right w:w="5" w:type="dxa"/>
            </w:tcMar>
            <w:vAlign w:val="bottom"/>
            <w:hideMark/>
          </w:tcPr>
          <w:p w14:paraId="29246B4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5353DB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68D800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D7571C5" w14:textId="77777777" w:rsidR="00954279" w:rsidRDefault="00A66714">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2D9A7B9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A85293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18A6A5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61E32CB" w14:textId="77777777" w:rsidR="00954279" w:rsidRDefault="00A66714">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3F8F6F8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CB5CAC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53049F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89292AD" w14:textId="77777777" w:rsidR="00954279" w:rsidRDefault="00A66714">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7A11B9A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50D495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9C25AB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01E80A8" w14:textId="77777777" w:rsidR="00954279" w:rsidRDefault="00A66714">
            <w:pPr>
              <w:rPr>
                <w:color w:val="000000"/>
                <w:sz w:val="20"/>
                <w:szCs w:val="20"/>
              </w:rPr>
            </w:pPr>
            <w:r>
              <w:rPr>
                <w:b/>
                <w:bCs/>
                <w:color w:val="000000"/>
                <w:sz w:val="20"/>
                <w:szCs w:val="20"/>
              </w:rPr>
              <w:t> </w:t>
            </w:r>
          </w:p>
        </w:tc>
      </w:tr>
      <w:tr w:rsidR="00954279" w14:paraId="5759576F" w14:textId="77777777">
        <w:tc>
          <w:tcPr>
            <w:tcW w:w="0" w:type="auto"/>
            <w:tcMar>
              <w:top w:w="5" w:type="dxa"/>
              <w:left w:w="5" w:type="dxa"/>
              <w:bottom w:w="5" w:type="dxa"/>
              <w:right w:w="5" w:type="dxa"/>
            </w:tcMar>
            <w:vAlign w:val="bottom"/>
            <w:hideMark/>
          </w:tcPr>
          <w:p w14:paraId="2D657BF2" w14:textId="77777777" w:rsidR="00954279" w:rsidRDefault="00A66714">
            <w:pPr>
              <w:rPr>
                <w:color w:val="000000"/>
                <w:sz w:val="20"/>
                <w:szCs w:val="20"/>
              </w:rPr>
            </w:pPr>
            <w:r>
              <w:rPr>
                <w:color w:val="000000"/>
                <w:sz w:val="20"/>
                <w:szCs w:val="20"/>
              </w:rPr>
              <w:t>U.S.</w:t>
            </w:r>
          </w:p>
        </w:tc>
        <w:tc>
          <w:tcPr>
            <w:tcW w:w="50" w:type="pct"/>
            <w:tcMar>
              <w:top w:w="5" w:type="dxa"/>
              <w:left w:w="5" w:type="dxa"/>
              <w:bottom w:w="5" w:type="dxa"/>
              <w:right w:w="5" w:type="dxa"/>
            </w:tcMar>
            <w:vAlign w:val="bottom"/>
            <w:hideMark/>
          </w:tcPr>
          <w:p w14:paraId="2950B142"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7ACE940"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5F7CFF89" w14:textId="77777777" w:rsidR="00954279" w:rsidRDefault="00A66714">
            <w:pPr>
              <w:jc w:val="right"/>
              <w:rPr>
                <w:color w:val="000000"/>
                <w:sz w:val="20"/>
                <w:szCs w:val="20"/>
              </w:rPr>
            </w:pPr>
            <w:r>
              <w:rPr>
                <w:b/>
                <w:bCs/>
                <w:color w:val="000000"/>
                <w:sz w:val="20"/>
                <w:szCs w:val="20"/>
              </w:rPr>
              <w:t>7</w:t>
            </w:r>
          </w:p>
        </w:tc>
        <w:tc>
          <w:tcPr>
            <w:tcW w:w="50" w:type="pct"/>
            <w:noWrap/>
            <w:tcMar>
              <w:top w:w="5" w:type="dxa"/>
              <w:left w:w="5" w:type="dxa"/>
              <w:bottom w:w="5" w:type="dxa"/>
              <w:right w:w="5" w:type="dxa"/>
            </w:tcMar>
            <w:vAlign w:val="bottom"/>
            <w:hideMark/>
          </w:tcPr>
          <w:p w14:paraId="596408F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DB85ED7"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51B5504"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14995E7C" w14:textId="77777777" w:rsidR="00954279" w:rsidRDefault="00A66714">
            <w:pPr>
              <w:jc w:val="right"/>
              <w:rPr>
                <w:color w:val="000000"/>
                <w:sz w:val="20"/>
                <w:szCs w:val="20"/>
              </w:rPr>
            </w:pPr>
            <w:r>
              <w:rPr>
                <w:color w:val="000000"/>
                <w:sz w:val="20"/>
                <w:szCs w:val="20"/>
              </w:rPr>
              <w:t>(226</w:t>
            </w:r>
          </w:p>
        </w:tc>
        <w:tc>
          <w:tcPr>
            <w:tcW w:w="50" w:type="pct"/>
            <w:noWrap/>
            <w:tcMar>
              <w:top w:w="5" w:type="dxa"/>
              <w:left w:w="5" w:type="dxa"/>
              <w:bottom w:w="5" w:type="dxa"/>
              <w:right w:w="5" w:type="dxa"/>
            </w:tcMar>
            <w:vAlign w:val="bottom"/>
            <w:hideMark/>
          </w:tcPr>
          <w:p w14:paraId="5ACA8154"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25D05BE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56214A4"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5EBEB71C" w14:textId="77777777" w:rsidR="00954279" w:rsidRDefault="00A66714">
            <w:pPr>
              <w:jc w:val="right"/>
              <w:rPr>
                <w:color w:val="000000"/>
                <w:sz w:val="20"/>
                <w:szCs w:val="20"/>
              </w:rPr>
            </w:pPr>
            <w:r>
              <w:rPr>
                <w:b/>
                <w:bCs/>
                <w:color w:val="000000"/>
                <w:sz w:val="20"/>
                <w:szCs w:val="20"/>
              </w:rPr>
              <w:t>6</w:t>
            </w:r>
          </w:p>
        </w:tc>
        <w:tc>
          <w:tcPr>
            <w:tcW w:w="50" w:type="pct"/>
            <w:noWrap/>
            <w:tcMar>
              <w:top w:w="5" w:type="dxa"/>
              <w:left w:w="5" w:type="dxa"/>
              <w:bottom w:w="5" w:type="dxa"/>
              <w:right w:w="5" w:type="dxa"/>
            </w:tcMar>
            <w:vAlign w:val="bottom"/>
            <w:hideMark/>
          </w:tcPr>
          <w:p w14:paraId="55839DB7"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546489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45B1A19"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1605241A" w14:textId="77777777" w:rsidR="00954279" w:rsidRDefault="00A66714">
            <w:pPr>
              <w:jc w:val="right"/>
              <w:rPr>
                <w:color w:val="000000"/>
                <w:sz w:val="20"/>
                <w:szCs w:val="20"/>
              </w:rPr>
            </w:pPr>
            <w:r>
              <w:rPr>
                <w:color w:val="000000"/>
                <w:sz w:val="20"/>
                <w:szCs w:val="20"/>
              </w:rPr>
              <w:t>(208</w:t>
            </w:r>
          </w:p>
        </w:tc>
        <w:tc>
          <w:tcPr>
            <w:tcW w:w="50" w:type="pct"/>
            <w:noWrap/>
            <w:tcMar>
              <w:top w:w="5" w:type="dxa"/>
              <w:left w:w="5" w:type="dxa"/>
              <w:bottom w:w="5" w:type="dxa"/>
              <w:right w:w="5" w:type="dxa"/>
            </w:tcMar>
            <w:vAlign w:val="bottom"/>
            <w:hideMark/>
          </w:tcPr>
          <w:p w14:paraId="5E46A5F4" w14:textId="77777777" w:rsidR="00954279" w:rsidRDefault="00A66714">
            <w:pPr>
              <w:rPr>
                <w:color w:val="000000"/>
                <w:sz w:val="20"/>
                <w:szCs w:val="20"/>
              </w:rPr>
            </w:pPr>
            <w:r>
              <w:rPr>
                <w:color w:val="000000"/>
                <w:sz w:val="20"/>
                <w:szCs w:val="20"/>
              </w:rPr>
              <w:t>)</w:t>
            </w:r>
          </w:p>
        </w:tc>
      </w:tr>
      <w:tr w:rsidR="00954279" w14:paraId="7D96E312" w14:textId="77777777">
        <w:tc>
          <w:tcPr>
            <w:tcW w:w="0" w:type="auto"/>
            <w:tcMar>
              <w:top w:w="5" w:type="dxa"/>
              <w:left w:w="5" w:type="dxa"/>
              <w:bottom w:w="5" w:type="dxa"/>
              <w:right w:w="5" w:type="dxa"/>
            </w:tcMar>
            <w:vAlign w:val="bottom"/>
            <w:hideMark/>
          </w:tcPr>
          <w:p w14:paraId="197C1657" w14:textId="77777777" w:rsidR="00954279" w:rsidRDefault="00A66714">
            <w:pPr>
              <w:rPr>
                <w:color w:val="000000"/>
                <w:sz w:val="20"/>
                <w:szCs w:val="20"/>
              </w:rPr>
            </w:pPr>
            <w:r>
              <w:rPr>
                <w:color w:val="000000"/>
                <w:sz w:val="20"/>
                <w:szCs w:val="20"/>
              </w:rPr>
              <w:t>Canada</w:t>
            </w:r>
          </w:p>
        </w:tc>
        <w:tc>
          <w:tcPr>
            <w:tcW w:w="50" w:type="pct"/>
            <w:tcMar>
              <w:top w:w="5" w:type="dxa"/>
              <w:left w:w="5" w:type="dxa"/>
              <w:bottom w:w="5" w:type="dxa"/>
              <w:right w:w="5" w:type="dxa"/>
            </w:tcMar>
            <w:vAlign w:val="bottom"/>
            <w:hideMark/>
          </w:tcPr>
          <w:p w14:paraId="4871D95A"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2AC320D"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3090D31" w14:textId="77777777" w:rsidR="00954279" w:rsidRDefault="00A66714">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7D4BDCE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2675EEA"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2B129B9"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19A7B91" w14:textId="77777777" w:rsidR="00954279" w:rsidRDefault="00A66714">
            <w:pPr>
              <w:jc w:val="right"/>
              <w:rPr>
                <w:color w:val="000000"/>
                <w:sz w:val="20"/>
                <w:szCs w:val="20"/>
              </w:rPr>
            </w:pPr>
            <w:r>
              <w:rPr>
                <w:color w:val="000000"/>
                <w:sz w:val="20"/>
                <w:szCs w:val="20"/>
              </w:rPr>
              <w:t>(2</w:t>
            </w:r>
          </w:p>
        </w:tc>
        <w:tc>
          <w:tcPr>
            <w:tcW w:w="50" w:type="pct"/>
            <w:noWrap/>
            <w:tcMar>
              <w:top w:w="5" w:type="dxa"/>
              <w:left w:w="5" w:type="dxa"/>
              <w:bottom w:w="5" w:type="dxa"/>
              <w:right w:w="5" w:type="dxa"/>
            </w:tcMar>
            <w:vAlign w:val="bottom"/>
            <w:hideMark/>
          </w:tcPr>
          <w:p w14:paraId="2E834FF4"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7E9F1B27"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8E1AD5E"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4C4AEEA" w14:textId="77777777" w:rsidR="00954279" w:rsidRDefault="00A66714">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48771096"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AC43292"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3D4C9FA"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5556BD7" w14:textId="77777777" w:rsidR="00954279" w:rsidRDefault="00A66714">
            <w:pPr>
              <w:jc w:val="right"/>
              <w:rPr>
                <w:color w:val="000000"/>
                <w:sz w:val="20"/>
                <w:szCs w:val="20"/>
              </w:rPr>
            </w:pPr>
            <w:r>
              <w:rPr>
                <w:color w:val="000000"/>
                <w:sz w:val="20"/>
                <w:szCs w:val="20"/>
              </w:rPr>
              <w:t>(2</w:t>
            </w:r>
          </w:p>
        </w:tc>
        <w:tc>
          <w:tcPr>
            <w:tcW w:w="50" w:type="pct"/>
            <w:noWrap/>
            <w:tcMar>
              <w:top w:w="5" w:type="dxa"/>
              <w:left w:w="5" w:type="dxa"/>
              <w:bottom w:w="5" w:type="dxa"/>
              <w:right w:w="5" w:type="dxa"/>
            </w:tcMar>
            <w:vAlign w:val="bottom"/>
            <w:hideMark/>
          </w:tcPr>
          <w:p w14:paraId="7916DFDC" w14:textId="77777777" w:rsidR="00954279" w:rsidRDefault="00A66714">
            <w:pPr>
              <w:rPr>
                <w:color w:val="000000"/>
                <w:sz w:val="20"/>
                <w:szCs w:val="20"/>
              </w:rPr>
            </w:pPr>
            <w:r>
              <w:rPr>
                <w:color w:val="000000"/>
                <w:sz w:val="20"/>
                <w:szCs w:val="20"/>
              </w:rPr>
              <w:t>)</w:t>
            </w:r>
          </w:p>
        </w:tc>
      </w:tr>
      <w:tr w:rsidR="00954279" w14:paraId="49F46751" w14:textId="77777777">
        <w:tc>
          <w:tcPr>
            <w:tcW w:w="0" w:type="auto"/>
            <w:tcMar>
              <w:top w:w="5" w:type="dxa"/>
              <w:left w:w="5" w:type="dxa"/>
              <w:bottom w:w="5" w:type="dxa"/>
              <w:right w:w="5" w:type="dxa"/>
            </w:tcMar>
            <w:vAlign w:val="bottom"/>
            <w:hideMark/>
          </w:tcPr>
          <w:p w14:paraId="209215F6" w14:textId="77777777" w:rsidR="00954279" w:rsidRDefault="00A66714">
            <w:pPr>
              <w:rPr>
                <w:color w:val="000000"/>
                <w:sz w:val="20"/>
                <w:szCs w:val="20"/>
              </w:rPr>
            </w:pPr>
            <w:r>
              <w:rPr>
                <w:color w:val="000000"/>
                <w:sz w:val="20"/>
                <w:szCs w:val="20"/>
              </w:rPr>
              <w:t>International</w:t>
            </w:r>
          </w:p>
        </w:tc>
        <w:tc>
          <w:tcPr>
            <w:tcW w:w="50" w:type="pct"/>
            <w:tcMar>
              <w:top w:w="5" w:type="dxa"/>
              <w:left w:w="5" w:type="dxa"/>
              <w:bottom w:w="5" w:type="dxa"/>
              <w:right w:w="5" w:type="dxa"/>
            </w:tcMar>
            <w:vAlign w:val="bottom"/>
            <w:hideMark/>
          </w:tcPr>
          <w:p w14:paraId="1F6151EA"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39045C9"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00D230AD" w14:textId="77777777" w:rsidR="00954279" w:rsidRDefault="00A66714">
            <w:pPr>
              <w:jc w:val="right"/>
              <w:rPr>
                <w:color w:val="000000"/>
                <w:sz w:val="20"/>
                <w:szCs w:val="20"/>
              </w:rPr>
            </w:pPr>
            <w:r>
              <w:rPr>
                <w:b/>
                <w:bCs/>
                <w:color w:val="000000"/>
                <w:sz w:val="20"/>
                <w:szCs w:val="20"/>
              </w:rPr>
              <w:t>3</w:t>
            </w:r>
          </w:p>
        </w:tc>
        <w:tc>
          <w:tcPr>
            <w:tcW w:w="50" w:type="pct"/>
            <w:noWrap/>
            <w:tcMar>
              <w:top w:w="5" w:type="dxa"/>
              <w:left w:w="5" w:type="dxa"/>
              <w:bottom w:w="20" w:type="dxa"/>
              <w:right w:w="5" w:type="dxa"/>
            </w:tcMar>
            <w:vAlign w:val="bottom"/>
            <w:hideMark/>
          </w:tcPr>
          <w:p w14:paraId="1AA20BAE"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5A6D9D8"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D000B52"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05BF34D7" w14:textId="77777777" w:rsidR="00954279" w:rsidRDefault="00A66714">
            <w:pPr>
              <w:jc w:val="right"/>
              <w:rPr>
                <w:color w:val="000000"/>
                <w:sz w:val="20"/>
                <w:szCs w:val="20"/>
              </w:rPr>
            </w:pPr>
            <w:r>
              <w:rPr>
                <w:color w:val="000000"/>
                <w:sz w:val="20"/>
                <w:szCs w:val="20"/>
              </w:rPr>
              <w:t>(61</w:t>
            </w:r>
          </w:p>
        </w:tc>
        <w:tc>
          <w:tcPr>
            <w:tcW w:w="50" w:type="pct"/>
            <w:noWrap/>
            <w:tcMar>
              <w:top w:w="5" w:type="dxa"/>
              <w:left w:w="5" w:type="dxa"/>
              <w:bottom w:w="20" w:type="dxa"/>
              <w:right w:w="5" w:type="dxa"/>
            </w:tcMar>
            <w:vAlign w:val="bottom"/>
            <w:hideMark/>
          </w:tcPr>
          <w:p w14:paraId="135ACCE3"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1D72DD75"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AA6A5CC"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46336A36" w14:textId="77777777" w:rsidR="00954279" w:rsidRDefault="00A66714">
            <w:pPr>
              <w:jc w:val="right"/>
              <w:rPr>
                <w:color w:val="000000"/>
                <w:sz w:val="20"/>
                <w:szCs w:val="20"/>
              </w:rPr>
            </w:pPr>
            <w:r>
              <w:rPr>
                <w:b/>
                <w:bCs/>
                <w:color w:val="000000"/>
                <w:sz w:val="20"/>
                <w:szCs w:val="20"/>
              </w:rPr>
              <w:t>7</w:t>
            </w:r>
          </w:p>
        </w:tc>
        <w:tc>
          <w:tcPr>
            <w:tcW w:w="50" w:type="pct"/>
            <w:noWrap/>
            <w:tcMar>
              <w:top w:w="5" w:type="dxa"/>
              <w:left w:w="5" w:type="dxa"/>
              <w:bottom w:w="20" w:type="dxa"/>
              <w:right w:w="5" w:type="dxa"/>
            </w:tcMar>
            <w:vAlign w:val="bottom"/>
            <w:hideMark/>
          </w:tcPr>
          <w:p w14:paraId="3D7E710F"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6C42551"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DD8583D"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0FBDDE66" w14:textId="77777777" w:rsidR="00954279" w:rsidRDefault="00A66714">
            <w:pPr>
              <w:jc w:val="right"/>
              <w:rPr>
                <w:color w:val="000000"/>
                <w:sz w:val="20"/>
                <w:szCs w:val="20"/>
              </w:rPr>
            </w:pPr>
            <w:r>
              <w:rPr>
                <w:color w:val="000000"/>
                <w:sz w:val="20"/>
                <w:szCs w:val="20"/>
              </w:rPr>
              <w:t>(57</w:t>
            </w:r>
          </w:p>
        </w:tc>
        <w:tc>
          <w:tcPr>
            <w:tcW w:w="50" w:type="pct"/>
            <w:noWrap/>
            <w:tcMar>
              <w:top w:w="5" w:type="dxa"/>
              <w:left w:w="5" w:type="dxa"/>
              <w:bottom w:w="20" w:type="dxa"/>
              <w:right w:w="5" w:type="dxa"/>
            </w:tcMar>
            <w:vAlign w:val="bottom"/>
            <w:hideMark/>
          </w:tcPr>
          <w:p w14:paraId="0209B86A" w14:textId="77777777" w:rsidR="00954279" w:rsidRDefault="00A66714">
            <w:pPr>
              <w:rPr>
                <w:color w:val="000000"/>
                <w:sz w:val="20"/>
                <w:szCs w:val="20"/>
              </w:rPr>
            </w:pPr>
            <w:r>
              <w:rPr>
                <w:color w:val="000000"/>
                <w:sz w:val="20"/>
                <w:szCs w:val="20"/>
              </w:rPr>
              <w:t>)</w:t>
            </w:r>
          </w:p>
        </w:tc>
      </w:tr>
      <w:tr w:rsidR="00954279" w14:paraId="537A713B" w14:textId="77777777">
        <w:tc>
          <w:tcPr>
            <w:tcW w:w="0" w:type="auto"/>
            <w:tcMar>
              <w:top w:w="5" w:type="dxa"/>
              <w:left w:w="5" w:type="dxa"/>
              <w:bottom w:w="5" w:type="dxa"/>
              <w:right w:w="5" w:type="dxa"/>
            </w:tcMar>
            <w:vAlign w:val="bottom"/>
            <w:hideMark/>
          </w:tcPr>
          <w:p w14:paraId="402C59BB" w14:textId="77777777" w:rsidR="00954279" w:rsidRDefault="00A66714">
            <w:pPr>
              <w:rPr>
                <w:color w:val="000000"/>
                <w:sz w:val="20"/>
                <w:szCs w:val="20"/>
              </w:rPr>
            </w:pPr>
            <w:r>
              <w:rPr>
                <w:color w:val="000000"/>
                <w:sz w:val="20"/>
                <w:szCs w:val="20"/>
              </w:rPr>
              <w:t>Total operating income (loss)</w:t>
            </w:r>
          </w:p>
        </w:tc>
        <w:tc>
          <w:tcPr>
            <w:tcW w:w="50" w:type="pct"/>
            <w:tcMar>
              <w:top w:w="5" w:type="dxa"/>
              <w:left w:w="5" w:type="dxa"/>
              <w:bottom w:w="5" w:type="dxa"/>
              <w:right w:w="5" w:type="dxa"/>
            </w:tcMar>
            <w:vAlign w:val="bottom"/>
            <w:hideMark/>
          </w:tcPr>
          <w:p w14:paraId="007B3A79"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27ED7C7"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7289A07" w14:textId="77777777" w:rsidR="00954279" w:rsidRDefault="00A66714">
            <w:pPr>
              <w:jc w:val="right"/>
              <w:rPr>
                <w:color w:val="000000"/>
                <w:sz w:val="20"/>
                <w:szCs w:val="20"/>
              </w:rPr>
            </w:pPr>
            <w:r>
              <w:rPr>
                <w:b/>
                <w:bCs/>
                <w:color w:val="000000"/>
                <w:sz w:val="20"/>
                <w:szCs w:val="20"/>
              </w:rPr>
              <w:t>10</w:t>
            </w:r>
          </w:p>
        </w:tc>
        <w:tc>
          <w:tcPr>
            <w:tcW w:w="50" w:type="pct"/>
            <w:noWrap/>
            <w:tcMar>
              <w:top w:w="5" w:type="dxa"/>
              <w:left w:w="5" w:type="dxa"/>
              <w:bottom w:w="5" w:type="dxa"/>
              <w:right w:w="5" w:type="dxa"/>
            </w:tcMar>
            <w:vAlign w:val="bottom"/>
            <w:hideMark/>
          </w:tcPr>
          <w:p w14:paraId="5BA9CE61"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C5F3A8A"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C559375"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A06A261" w14:textId="77777777" w:rsidR="00954279" w:rsidRDefault="00A66714">
            <w:pPr>
              <w:jc w:val="right"/>
              <w:rPr>
                <w:color w:val="000000"/>
                <w:sz w:val="20"/>
                <w:szCs w:val="20"/>
              </w:rPr>
            </w:pPr>
            <w:r>
              <w:rPr>
                <w:color w:val="000000"/>
                <w:sz w:val="20"/>
                <w:szCs w:val="20"/>
              </w:rPr>
              <w:t>(289</w:t>
            </w:r>
          </w:p>
        </w:tc>
        <w:tc>
          <w:tcPr>
            <w:tcW w:w="50" w:type="pct"/>
            <w:noWrap/>
            <w:tcMar>
              <w:top w:w="5" w:type="dxa"/>
              <w:left w:w="5" w:type="dxa"/>
              <w:bottom w:w="5" w:type="dxa"/>
              <w:right w:w="5" w:type="dxa"/>
            </w:tcMar>
            <w:vAlign w:val="bottom"/>
            <w:hideMark/>
          </w:tcPr>
          <w:p w14:paraId="7B9049E3"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696F83D2"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62100F4"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B2E7F88" w14:textId="77777777" w:rsidR="00954279" w:rsidRDefault="00A66714">
            <w:pPr>
              <w:jc w:val="right"/>
              <w:rPr>
                <w:color w:val="000000"/>
                <w:sz w:val="20"/>
                <w:szCs w:val="20"/>
              </w:rPr>
            </w:pPr>
            <w:r>
              <w:rPr>
                <w:b/>
                <w:bCs/>
                <w:color w:val="000000"/>
                <w:sz w:val="20"/>
                <w:szCs w:val="20"/>
              </w:rPr>
              <w:t>13</w:t>
            </w:r>
          </w:p>
        </w:tc>
        <w:tc>
          <w:tcPr>
            <w:tcW w:w="50" w:type="pct"/>
            <w:noWrap/>
            <w:tcMar>
              <w:top w:w="5" w:type="dxa"/>
              <w:left w:w="5" w:type="dxa"/>
              <w:bottom w:w="5" w:type="dxa"/>
              <w:right w:w="5" w:type="dxa"/>
            </w:tcMar>
            <w:vAlign w:val="bottom"/>
            <w:hideMark/>
          </w:tcPr>
          <w:p w14:paraId="71DF7E03"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5F231C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76D50ED"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7C66A91" w14:textId="77777777" w:rsidR="00954279" w:rsidRDefault="00A66714">
            <w:pPr>
              <w:jc w:val="right"/>
              <w:rPr>
                <w:color w:val="000000"/>
                <w:sz w:val="20"/>
                <w:szCs w:val="20"/>
              </w:rPr>
            </w:pPr>
            <w:r>
              <w:rPr>
                <w:color w:val="000000"/>
                <w:sz w:val="20"/>
                <w:szCs w:val="20"/>
              </w:rPr>
              <w:t>(267</w:t>
            </w:r>
          </w:p>
        </w:tc>
        <w:tc>
          <w:tcPr>
            <w:tcW w:w="50" w:type="pct"/>
            <w:noWrap/>
            <w:tcMar>
              <w:top w:w="5" w:type="dxa"/>
              <w:left w:w="5" w:type="dxa"/>
              <w:bottom w:w="5" w:type="dxa"/>
              <w:right w:w="5" w:type="dxa"/>
            </w:tcMar>
            <w:vAlign w:val="bottom"/>
            <w:hideMark/>
          </w:tcPr>
          <w:p w14:paraId="31F307AE" w14:textId="77777777" w:rsidR="00954279" w:rsidRDefault="00A66714">
            <w:pPr>
              <w:rPr>
                <w:color w:val="000000"/>
                <w:sz w:val="20"/>
                <w:szCs w:val="20"/>
              </w:rPr>
            </w:pPr>
            <w:r>
              <w:rPr>
                <w:color w:val="000000"/>
                <w:sz w:val="20"/>
                <w:szCs w:val="20"/>
              </w:rPr>
              <w:t>)</w:t>
            </w:r>
          </w:p>
        </w:tc>
      </w:tr>
      <w:tr w:rsidR="00954279" w14:paraId="78309BAC" w14:textId="77777777">
        <w:tc>
          <w:tcPr>
            <w:tcW w:w="0" w:type="auto"/>
            <w:tcMar>
              <w:top w:w="5" w:type="dxa"/>
              <w:left w:w="5" w:type="dxa"/>
              <w:bottom w:w="5" w:type="dxa"/>
              <w:right w:w="5" w:type="dxa"/>
            </w:tcMar>
            <w:vAlign w:val="bottom"/>
            <w:hideMark/>
          </w:tcPr>
          <w:p w14:paraId="1B56C82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B49C40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7F2396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290FDC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F65BC6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CFA6D5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E41E1A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07B645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8C63EB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861DBB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D36A30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419B33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8FE079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4773E2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D97F40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97A4BB2"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3B6D5B0" w14:textId="77777777" w:rsidR="00954279" w:rsidRDefault="00A66714">
            <w:pPr>
              <w:rPr>
                <w:color w:val="000000"/>
                <w:sz w:val="20"/>
                <w:szCs w:val="20"/>
              </w:rPr>
            </w:pPr>
            <w:r>
              <w:rPr>
                <w:color w:val="000000"/>
                <w:sz w:val="20"/>
                <w:szCs w:val="20"/>
              </w:rPr>
              <w:t> </w:t>
            </w:r>
          </w:p>
        </w:tc>
      </w:tr>
      <w:tr w:rsidR="00954279" w14:paraId="36D4FA2F" w14:textId="77777777">
        <w:tc>
          <w:tcPr>
            <w:tcW w:w="0" w:type="auto"/>
            <w:tcMar>
              <w:top w:w="5" w:type="dxa"/>
              <w:left w:w="5" w:type="dxa"/>
              <w:bottom w:w="5" w:type="dxa"/>
              <w:right w:w="5" w:type="dxa"/>
            </w:tcMar>
            <w:vAlign w:val="bottom"/>
            <w:hideMark/>
          </w:tcPr>
          <w:p w14:paraId="7BD11469" w14:textId="77777777" w:rsidR="00954279" w:rsidRDefault="00A66714">
            <w:pPr>
              <w:rPr>
                <w:color w:val="000000"/>
                <w:sz w:val="20"/>
                <w:szCs w:val="20"/>
              </w:rPr>
            </w:pPr>
            <w:r>
              <w:rPr>
                <w:b/>
                <w:bCs/>
                <w:color w:val="000000"/>
                <w:sz w:val="20"/>
                <w:szCs w:val="20"/>
              </w:rPr>
              <w:t>Interest expense</w:t>
            </w:r>
          </w:p>
        </w:tc>
        <w:tc>
          <w:tcPr>
            <w:tcW w:w="50" w:type="pct"/>
            <w:tcMar>
              <w:top w:w="5" w:type="dxa"/>
              <w:left w:w="5" w:type="dxa"/>
              <w:bottom w:w="5" w:type="dxa"/>
              <w:right w:w="5" w:type="dxa"/>
            </w:tcMar>
            <w:vAlign w:val="bottom"/>
            <w:hideMark/>
          </w:tcPr>
          <w:p w14:paraId="1F08F4F6"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5AA3BBD"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EC2883E" w14:textId="77777777" w:rsidR="00954279" w:rsidRDefault="00A66714">
            <w:pPr>
              <w:jc w:val="right"/>
              <w:rPr>
                <w:color w:val="000000"/>
                <w:sz w:val="20"/>
                <w:szCs w:val="20"/>
              </w:rPr>
            </w:pPr>
            <w:r>
              <w:rPr>
                <w:b/>
                <w:bCs/>
                <w:color w:val="000000"/>
                <w:sz w:val="20"/>
                <w:szCs w:val="20"/>
              </w:rPr>
              <w:t>(6</w:t>
            </w:r>
          </w:p>
        </w:tc>
        <w:tc>
          <w:tcPr>
            <w:tcW w:w="50" w:type="pct"/>
            <w:noWrap/>
            <w:tcMar>
              <w:top w:w="5" w:type="dxa"/>
              <w:left w:w="5" w:type="dxa"/>
              <w:bottom w:w="5" w:type="dxa"/>
              <w:right w:w="5" w:type="dxa"/>
            </w:tcMar>
            <w:vAlign w:val="bottom"/>
            <w:hideMark/>
          </w:tcPr>
          <w:p w14:paraId="67F19068"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393DD679"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459C0FE"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24D8C5D" w14:textId="77777777" w:rsidR="00954279" w:rsidRDefault="00A66714">
            <w:pPr>
              <w:jc w:val="right"/>
              <w:rPr>
                <w:color w:val="000000"/>
                <w:sz w:val="20"/>
                <w:szCs w:val="20"/>
              </w:rPr>
            </w:pPr>
            <w:r>
              <w:rPr>
                <w:color w:val="000000"/>
                <w:sz w:val="20"/>
                <w:szCs w:val="20"/>
              </w:rPr>
              <w:t>(7</w:t>
            </w:r>
          </w:p>
        </w:tc>
        <w:tc>
          <w:tcPr>
            <w:tcW w:w="50" w:type="pct"/>
            <w:noWrap/>
            <w:tcMar>
              <w:top w:w="5" w:type="dxa"/>
              <w:left w:w="5" w:type="dxa"/>
              <w:bottom w:w="5" w:type="dxa"/>
              <w:right w:w="5" w:type="dxa"/>
            </w:tcMar>
            <w:vAlign w:val="bottom"/>
            <w:hideMark/>
          </w:tcPr>
          <w:p w14:paraId="040EBF8E"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44D7500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326D5AC"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3DFDDE2" w14:textId="77777777" w:rsidR="00954279" w:rsidRDefault="00A66714">
            <w:pPr>
              <w:jc w:val="right"/>
              <w:rPr>
                <w:color w:val="000000"/>
                <w:sz w:val="20"/>
                <w:szCs w:val="20"/>
              </w:rPr>
            </w:pPr>
            <w:r>
              <w:rPr>
                <w:b/>
                <w:bCs/>
                <w:color w:val="000000"/>
                <w:sz w:val="20"/>
                <w:szCs w:val="20"/>
              </w:rPr>
              <w:t>(12</w:t>
            </w:r>
          </w:p>
        </w:tc>
        <w:tc>
          <w:tcPr>
            <w:tcW w:w="50" w:type="pct"/>
            <w:noWrap/>
            <w:tcMar>
              <w:top w:w="5" w:type="dxa"/>
              <w:left w:w="5" w:type="dxa"/>
              <w:bottom w:w="5" w:type="dxa"/>
              <w:right w:w="5" w:type="dxa"/>
            </w:tcMar>
            <w:vAlign w:val="bottom"/>
            <w:hideMark/>
          </w:tcPr>
          <w:p w14:paraId="4E4FFBFF" w14:textId="77777777" w:rsidR="00954279" w:rsidRDefault="00A66714">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6D8337C1"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DFEEA50"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76FDB01" w14:textId="77777777" w:rsidR="00954279" w:rsidRDefault="00A66714">
            <w:pPr>
              <w:jc w:val="right"/>
              <w:rPr>
                <w:color w:val="000000"/>
                <w:sz w:val="20"/>
                <w:szCs w:val="20"/>
              </w:rPr>
            </w:pPr>
            <w:r>
              <w:rPr>
                <w:color w:val="000000"/>
                <w:sz w:val="20"/>
                <w:szCs w:val="20"/>
              </w:rPr>
              <w:t>(15</w:t>
            </w:r>
          </w:p>
        </w:tc>
        <w:tc>
          <w:tcPr>
            <w:tcW w:w="50" w:type="pct"/>
            <w:noWrap/>
            <w:tcMar>
              <w:top w:w="5" w:type="dxa"/>
              <w:left w:w="5" w:type="dxa"/>
              <w:bottom w:w="5" w:type="dxa"/>
              <w:right w:w="5" w:type="dxa"/>
            </w:tcMar>
            <w:vAlign w:val="bottom"/>
            <w:hideMark/>
          </w:tcPr>
          <w:p w14:paraId="393163F8" w14:textId="77777777" w:rsidR="00954279" w:rsidRDefault="00A66714">
            <w:pPr>
              <w:rPr>
                <w:color w:val="000000"/>
                <w:sz w:val="20"/>
                <w:szCs w:val="20"/>
              </w:rPr>
            </w:pPr>
            <w:r>
              <w:rPr>
                <w:color w:val="000000"/>
                <w:sz w:val="20"/>
                <w:szCs w:val="20"/>
              </w:rPr>
              <w:t>)</w:t>
            </w:r>
          </w:p>
        </w:tc>
      </w:tr>
      <w:tr w:rsidR="00954279" w14:paraId="40100EBE" w14:textId="77777777">
        <w:tc>
          <w:tcPr>
            <w:tcW w:w="0" w:type="auto"/>
            <w:tcMar>
              <w:top w:w="5" w:type="dxa"/>
              <w:left w:w="5" w:type="dxa"/>
              <w:bottom w:w="5" w:type="dxa"/>
              <w:right w:w="5" w:type="dxa"/>
            </w:tcMar>
            <w:vAlign w:val="bottom"/>
            <w:hideMark/>
          </w:tcPr>
          <w:p w14:paraId="238EB5CB" w14:textId="77777777" w:rsidR="00954279" w:rsidRDefault="00A66714">
            <w:pPr>
              <w:rPr>
                <w:color w:val="000000"/>
                <w:sz w:val="20"/>
                <w:szCs w:val="20"/>
              </w:rPr>
            </w:pPr>
            <w:r>
              <w:rPr>
                <w:b/>
                <w:bCs/>
                <w:color w:val="000000"/>
                <w:sz w:val="20"/>
                <w:szCs w:val="20"/>
              </w:rPr>
              <w:t>Other, net</w:t>
            </w:r>
          </w:p>
        </w:tc>
        <w:tc>
          <w:tcPr>
            <w:tcW w:w="50" w:type="pct"/>
            <w:tcMar>
              <w:top w:w="5" w:type="dxa"/>
              <w:left w:w="5" w:type="dxa"/>
              <w:bottom w:w="5" w:type="dxa"/>
              <w:right w:w="5" w:type="dxa"/>
            </w:tcMar>
            <w:vAlign w:val="bottom"/>
            <w:hideMark/>
          </w:tcPr>
          <w:p w14:paraId="34E0E29F"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262B83E"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1042EB22" w14:textId="77777777" w:rsidR="00954279" w:rsidRDefault="00A66714">
            <w:pPr>
              <w:jc w:val="right"/>
              <w:rPr>
                <w:color w:val="000000"/>
                <w:sz w:val="20"/>
                <w:szCs w:val="20"/>
              </w:rPr>
            </w:pPr>
            <w:r>
              <w:rPr>
                <w:b/>
                <w:bCs/>
                <w:color w:val="000000"/>
                <w:sz w:val="20"/>
                <w:szCs w:val="20"/>
              </w:rPr>
              <w:t>1</w:t>
            </w:r>
          </w:p>
        </w:tc>
        <w:tc>
          <w:tcPr>
            <w:tcW w:w="50" w:type="pct"/>
            <w:noWrap/>
            <w:tcMar>
              <w:top w:w="5" w:type="dxa"/>
              <w:left w:w="5" w:type="dxa"/>
              <w:bottom w:w="20" w:type="dxa"/>
              <w:right w:w="5" w:type="dxa"/>
            </w:tcMar>
            <w:vAlign w:val="bottom"/>
            <w:hideMark/>
          </w:tcPr>
          <w:p w14:paraId="72432B33"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5DD380B"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2BBC2DA"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582F22A0" w14:textId="77777777" w:rsidR="00954279" w:rsidRDefault="00A66714">
            <w:pPr>
              <w:jc w:val="right"/>
              <w:rPr>
                <w:color w:val="000000"/>
                <w:sz w:val="20"/>
                <w:szCs w:val="20"/>
              </w:rPr>
            </w:pPr>
            <w:r>
              <w:rPr>
                <w:color w:val="000000"/>
                <w:sz w:val="20"/>
                <w:szCs w:val="20"/>
              </w:rPr>
              <w:t>(2</w:t>
            </w:r>
          </w:p>
        </w:tc>
        <w:tc>
          <w:tcPr>
            <w:tcW w:w="50" w:type="pct"/>
            <w:noWrap/>
            <w:tcMar>
              <w:top w:w="5" w:type="dxa"/>
              <w:left w:w="5" w:type="dxa"/>
              <w:bottom w:w="20" w:type="dxa"/>
              <w:right w:w="5" w:type="dxa"/>
            </w:tcMar>
            <w:vAlign w:val="bottom"/>
            <w:hideMark/>
          </w:tcPr>
          <w:p w14:paraId="23503083"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5661EA01"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55B0F18"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115EC052" w14:textId="77777777" w:rsidR="00954279" w:rsidRDefault="00A66714">
            <w:pPr>
              <w:jc w:val="right"/>
              <w:rPr>
                <w:color w:val="000000"/>
                <w:sz w:val="20"/>
                <w:szCs w:val="20"/>
              </w:rPr>
            </w:pPr>
            <w:r>
              <w:rPr>
                <w:b/>
                <w:bCs/>
                <w:color w:val="000000"/>
                <w:sz w:val="20"/>
                <w:szCs w:val="20"/>
              </w:rPr>
              <w:t>1</w:t>
            </w:r>
          </w:p>
        </w:tc>
        <w:tc>
          <w:tcPr>
            <w:tcW w:w="50" w:type="pct"/>
            <w:noWrap/>
            <w:tcMar>
              <w:top w:w="5" w:type="dxa"/>
              <w:left w:w="5" w:type="dxa"/>
              <w:bottom w:w="20" w:type="dxa"/>
              <w:right w:w="5" w:type="dxa"/>
            </w:tcMar>
            <w:vAlign w:val="bottom"/>
            <w:hideMark/>
          </w:tcPr>
          <w:p w14:paraId="7B04D0E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2CEC97F"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214BA9E"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0048230F" w14:textId="77777777" w:rsidR="00954279" w:rsidRDefault="00A66714">
            <w:pPr>
              <w:jc w:val="right"/>
              <w:rPr>
                <w:color w:val="000000"/>
                <w:sz w:val="20"/>
                <w:szCs w:val="20"/>
              </w:rPr>
            </w:pPr>
            <w:r>
              <w:rPr>
                <w:color w:val="000000"/>
                <w:sz w:val="20"/>
                <w:szCs w:val="20"/>
              </w:rPr>
              <w:t>(2</w:t>
            </w:r>
          </w:p>
        </w:tc>
        <w:tc>
          <w:tcPr>
            <w:tcW w:w="50" w:type="pct"/>
            <w:noWrap/>
            <w:tcMar>
              <w:top w:w="5" w:type="dxa"/>
              <w:left w:w="5" w:type="dxa"/>
              <w:bottom w:w="20" w:type="dxa"/>
              <w:right w:w="5" w:type="dxa"/>
            </w:tcMar>
            <w:vAlign w:val="bottom"/>
            <w:hideMark/>
          </w:tcPr>
          <w:p w14:paraId="6A75B0E4" w14:textId="77777777" w:rsidR="00954279" w:rsidRDefault="00A66714">
            <w:pPr>
              <w:rPr>
                <w:color w:val="000000"/>
                <w:sz w:val="20"/>
                <w:szCs w:val="20"/>
              </w:rPr>
            </w:pPr>
            <w:r>
              <w:rPr>
                <w:color w:val="000000"/>
                <w:sz w:val="20"/>
                <w:szCs w:val="20"/>
              </w:rPr>
              <w:t>)</w:t>
            </w:r>
          </w:p>
        </w:tc>
      </w:tr>
      <w:tr w:rsidR="00954279" w14:paraId="6199BE64" w14:textId="77777777">
        <w:tc>
          <w:tcPr>
            <w:tcW w:w="0" w:type="auto"/>
            <w:tcMar>
              <w:top w:w="5" w:type="dxa"/>
              <w:left w:w="5" w:type="dxa"/>
              <w:bottom w:w="5" w:type="dxa"/>
              <w:right w:w="5" w:type="dxa"/>
            </w:tcMar>
            <w:vAlign w:val="bottom"/>
            <w:hideMark/>
          </w:tcPr>
          <w:p w14:paraId="4312772D" w14:textId="77777777" w:rsidR="00954279" w:rsidRDefault="00A66714">
            <w:pPr>
              <w:rPr>
                <w:color w:val="000000"/>
                <w:sz w:val="20"/>
                <w:szCs w:val="20"/>
              </w:rPr>
            </w:pPr>
            <w:r>
              <w:rPr>
                <w:b/>
                <w:bCs/>
                <w:color w:val="000000"/>
                <w:sz w:val="20"/>
                <w:szCs w:val="20"/>
              </w:rPr>
              <w:t>Income (loss) before income taxes</w:t>
            </w:r>
          </w:p>
        </w:tc>
        <w:tc>
          <w:tcPr>
            <w:tcW w:w="50" w:type="pct"/>
            <w:tcMar>
              <w:top w:w="5" w:type="dxa"/>
              <w:left w:w="5" w:type="dxa"/>
              <w:bottom w:w="5" w:type="dxa"/>
              <w:right w:w="5" w:type="dxa"/>
            </w:tcMar>
            <w:vAlign w:val="bottom"/>
            <w:hideMark/>
          </w:tcPr>
          <w:p w14:paraId="3672BF42"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B200C82"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478CC6A5" w14:textId="77777777" w:rsidR="00954279" w:rsidRDefault="00A66714">
            <w:pPr>
              <w:jc w:val="right"/>
              <w:rPr>
                <w:color w:val="000000"/>
                <w:sz w:val="20"/>
                <w:szCs w:val="20"/>
              </w:rPr>
            </w:pPr>
            <w:r>
              <w:rPr>
                <w:b/>
                <w:bCs/>
                <w:color w:val="000000"/>
                <w:sz w:val="20"/>
                <w:szCs w:val="20"/>
              </w:rPr>
              <w:t>5</w:t>
            </w:r>
          </w:p>
        </w:tc>
        <w:tc>
          <w:tcPr>
            <w:tcW w:w="50" w:type="pct"/>
            <w:noWrap/>
            <w:tcMar>
              <w:top w:w="5" w:type="dxa"/>
              <w:left w:w="5" w:type="dxa"/>
              <w:bottom w:w="50" w:type="dxa"/>
              <w:right w:w="5" w:type="dxa"/>
            </w:tcMar>
            <w:vAlign w:val="bottom"/>
            <w:hideMark/>
          </w:tcPr>
          <w:p w14:paraId="7EAD85A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1EE209A"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7659D60"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60530ECA" w14:textId="77777777" w:rsidR="00954279" w:rsidRDefault="00A66714">
            <w:pPr>
              <w:jc w:val="right"/>
              <w:rPr>
                <w:color w:val="000000"/>
                <w:sz w:val="20"/>
                <w:szCs w:val="20"/>
              </w:rPr>
            </w:pPr>
            <w:r>
              <w:rPr>
                <w:color w:val="000000"/>
                <w:sz w:val="20"/>
                <w:szCs w:val="20"/>
              </w:rPr>
              <w:t>(298</w:t>
            </w:r>
          </w:p>
        </w:tc>
        <w:tc>
          <w:tcPr>
            <w:tcW w:w="50" w:type="pct"/>
            <w:noWrap/>
            <w:tcMar>
              <w:top w:w="5" w:type="dxa"/>
              <w:left w:w="5" w:type="dxa"/>
              <w:bottom w:w="50" w:type="dxa"/>
              <w:right w:w="5" w:type="dxa"/>
            </w:tcMar>
            <w:vAlign w:val="bottom"/>
            <w:hideMark/>
          </w:tcPr>
          <w:p w14:paraId="6D6B4DF2"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489A32B3"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E97EB8C"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053430A1" w14:textId="77777777" w:rsidR="00954279" w:rsidRDefault="00A66714">
            <w:pPr>
              <w:jc w:val="right"/>
              <w:rPr>
                <w:color w:val="000000"/>
                <w:sz w:val="20"/>
                <w:szCs w:val="20"/>
              </w:rPr>
            </w:pPr>
            <w:r>
              <w:rPr>
                <w:b/>
                <w:bCs/>
                <w:color w:val="000000"/>
                <w:sz w:val="20"/>
                <w:szCs w:val="20"/>
              </w:rPr>
              <w:t>2</w:t>
            </w:r>
          </w:p>
        </w:tc>
        <w:tc>
          <w:tcPr>
            <w:tcW w:w="50" w:type="pct"/>
            <w:noWrap/>
            <w:tcMar>
              <w:top w:w="5" w:type="dxa"/>
              <w:left w:w="5" w:type="dxa"/>
              <w:bottom w:w="50" w:type="dxa"/>
              <w:right w:w="5" w:type="dxa"/>
            </w:tcMar>
            <w:vAlign w:val="bottom"/>
            <w:hideMark/>
          </w:tcPr>
          <w:p w14:paraId="3E3A5101"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E4255E6"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1E63DC9"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68DD0AB4" w14:textId="77777777" w:rsidR="00954279" w:rsidRDefault="00A66714">
            <w:pPr>
              <w:jc w:val="right"/>
              <w:rPr>
                <w:color w:val="000000"/>
                <w:sz w:val="20"/>
                <w:szCs w:val="20"/>
              </w:rPr>
            </w:pPr>
            <w:r>
              <w:rPr>
                <w:color w:val="000000"/>
                <w:sz w:val="20"/>
                <w:szCs w:val="20"/>
              </w:rPr>
              <w:t>(284</w:t>
            </w:r>
          </w:p>
        </w:tc>
        <w:tc>
          <w:tcPr>
            <w:tcW w:w="50" w:type="pct"/>
            <w:noWrap/>
            <w:tcMar>
              <w:top w:w="5" w:type="dxa"/>
              <w:left w:w="5" w:type="dxa"/>
              <w:bottom w:w="50" w:type="dxa"/>
              <w:right w:w="5" w:type="dxa"/>
            </w:tcMar>
            <w:vAlign w:val="bottom"/>
            <w:hideMark/>
          </w:tcPr>
          <w:p w14:paraId="02F08E8F" w14:textId="77777777" w:rsidR="00954279" w:rsidRDefault="00A66714">
            <w:pPr>
              <w:rPr>
                <w:color w:val="000000"/>
                <w:sz w:val="20"/>
                <w:szCs w:val="20"/>
              </w:rPr>
            </w:pPr>
            <w:r>
              <w:rPr>
                <w:color w:val="000000"/>
                <w:sz w:val="20"/>
                <w:szCs w:val="20"/>
              </w:rPr>
              <w:t>)</w:t>
            </w:r>
          </w:p>
        </w:tc>
      </w:tr>
    </w:tbl>
    <w:p w14:paraId="6229F63E" w14:textId="77777777" w:rsidR="00954279" w:rsidRDefault="00A66714">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7559"/>
        <w:gridCol w:w="107"/>
        <w:gridCol w:w="110"/>
        <w:gridCol w:w="1295"/>
        <w:gridCol w:w="107"/>
        <w:gridCol w:w="107"/>
        <w:gridCol w:w="111"/>
        <w:gridCol w:w="1296"/>
        <w:gridCol w:w="108"/>
      </w:tblGrid>
      <w:tr w:rsidR="00954279" w14:paraId="5E2A4481" w14:textId="77777777">
        <w:tc>
          <w:tcPr>
            <w:tcW w:w="0" w:type="auto"/>
            <w:tcMar>
              <w:top w:w="5" w:type="dxa"/>
              <w:left w:w="5" w:type="dxa"/>
              <w:bottom w:w="5" w:type="dxa"/>
              <w:right w:w="5" w:type="dxa"/>
            </w:tcMar>
            <w:vAlign w:val="bottom"/>
            <w:hideMark/>
          </w:tcPr>
          <w:p w14:paraId="7ED8994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67D93E2"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2A9F2370" w14:textId="77777777" w:rsidR="00954279" w:rsidRDefault="00A66714">
            <w:pPr>
              <w:jc w:val="center"/>
              <w:rPr>
                <w:color w:val="000000"/>
                <w:sz w:val="20"/>
                <w:szCs w:val="20"/>
              </w:rPr>
            </w:pPr>
            <w:r>
              <w:rPr>
                <w:b/>
                <w:bCs/>
                <w:color w:val="000000"/>
                <w:sz w:val="20"/>
                <w:szCs w:val="20"/>
              </w:rPr>
              <w:t>June 30,</w:t>
            </w:r>
          </w:p>
        </w:tc>
        <w:tc>
          <w:tcPr>
            <w:tcW w:w="0" w:type="auto"/>
            <w:tcMar>
              <w:top w:w="5" w:type="dxa"/>
              <w:left w:w="5" w:type="dxa"/>
              <w:bottom w:w="5" w:type="dxa"/>
              <w:right w:w="5" w:type="dxa"/>
            </w:tcMar>
            <w:vAlign w:val="bottom"/>
            <w:hideMark/>
          </w:tcPr>
          <w:p w14:paraId="361F4D7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9EB9689"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0DFAEA7A" w14:textId="77777777" w:rsidR="00954279" w:rsidRDefault="00A66714">
            <w:pPr>
              <w:jc w:val="center"/>
              <w:rPr>
                <w:color w:val="000000"/>
                <w:sz w:val="20"/>
                <w:szCs w:val="20"/>
              </w:rPr>
            </w:pPr>
            <w:r>
              <w:rPr>
                <w:b/>
                <w:bCs/>
                <w:color w:val="000000"/>
                <w:sz w:val="20"/>
                <w:szCs w:val="20"/>
              </w:rPr>
              <w:t>December 31,</w:t>
            </w:r>
          </w:p>
        </w:tc>
        <w:tc>
          <w:tcPr>
            <w:tcW w:w="0" w:type="auto"/>
            <w:tcMar>
              <w:top w:w="5" w:type="dxa"/>
              <w:left w:w="5" w:type="dxa"/>
              <w:bottom w:w="5" w:type="dxa"/>
              <w:right w:w="5" w:type="dxa"/>
            </w:tcMar>
            <w:vAlign w:val="bottom"/>
            <w:hideMark/>
          </w:tcPr>
          <w:p w14:paraId="6E020297" w14:textId="77777777" w:rsidR="00954279" w:rsidRDefault="00A66714">
            <w:pPr>
              <w:rPr>
                <w:color w:val="000000"/>
                <w:sz w:val="20"/>
                <w:szCs w:val="20"/>
              </w:rPr>
            </w:pPr>
            <w:r>
              <w:rPr>
                <w:color w:val="000000"/>
                <w:sz w:val="20"/>
                <w:szCs w:val="20"/>
              </w:rPr>
              <w:t> </w:t>
            </w:r>
          </w:p>
        </w:tc>
      </w:tr>
      <w:tr w:rsidR="00954279" w14:paraId="6CD5E7D6" w14:textId="77777777">
        <w:tc>
          <w:tcPr>
            <w:tcW w:w="0" w:type="auto"/>
            <w:tcMar>
              <w:top w:w="5" w:type="dxa"/>
              <w:left w:w="5" w:type="dxa"/>
              <w:bottom w:w="5" w:type="dxa"/>
              <w:right w:w="5" w:type="dxa"/>
            </w:tcMar>
            <w:vAlign w:val="bottom"/>
            <w:hideMark/>
          </w:tcPr>
          <w:p w14:paraId="1692E73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CBC5D4E"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15441A5" w14:textId="77777777" w:rsidR="00954279" w:rsidRDefault="00A66714">
            <w:pPr>
              <w:jc w:val="center"/>
              <w:rPr>
                <w:color w:val="000000"/>
                <w:sz w:val="20"/>
                <w:szCs w:val="20"/>
              </w:rPr>
            </w:pPr>
            <w:r>
              <w:rPr>
                <w:b/>
                <w:bCs/>
                <w:color w:val="000000"/>
                <w:sz w:val="20"/>
                <w:szCs w:val="20"/>
              </w:rPr>
              <w:t>2021</w:t>
            </w:r>
          </w:p>
        </w:tc>
        <w:tc>
          <w:tcPr>
            <w:tcW w:w="0" w:type="auto"/>
            <w:tcMar>
              <w:top w:w="5" w:type="dxa"/>
              <w:left w:w="5" w:type="dxa"/>
              <w:bottom w:w="20" w:type="dxa"/>
              <w:right w:w="5" w:type="dxa"/>
            </w:tcMar>
            <w:vAlign w:val="bottom"/>
            <w:hideMark/>
          </w:tcPr>
          <w:p w14:paraId="1867154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5A849CB"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423BF88" w14:textId="77777777" w:rsidR="00954279" w:rsidRDefault="00A66714">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4A77B134" w14:textId="77777777" w:rsidR="00954279" w:rsidRDefault="00A66714">
            <w:pPr>
              <w:rPr>
                <w:color w:val="000000"/>
                <w:sz w:val="20"/>
                <w:szCs w:val="20"/>
              </w:rPr>
            </w:pPr>
            <w:r>
              <w:rPr>
                <w:color w:val="000000"/>
                <w:sz w:val="20"/>
                <w:szCs w:val="20"/>
              </w:rPr>
              <w:t> </w:t>
            </w:r>
          </w:p>
        </w:tc>
      </w:tr>
      <w:tr w:rsidR="00954279" w14:paraId="4322B844" w14:textId="77777777">
        <w:tc>
          <w:tcPr>
            <w:tcW w:w="3500" w:type="pct"/>
            <w:tcMar>
              <w:top w:w="5" w:type="dxa"/>
              <w:left w:w="5" w:type="dxa"/>
              <w:bottom w:w="5" w:type="dxa"/>
              <w:right w:w="5" w:type="dxa"/>
            </w:tcMar>
            <w:vAlign w:val="bottom"/>
            <w:hideMark/>
          </w:tcPr>
          <w:p w14:paraId="652BF5AD" w14:textId="77777777" w:rsidR="00954279" w:rsidRDefault="00A66714">
            <w:pPr>
              <w:rPr>
                <w:color w:val="000000"/>
                <w:sz w:val="20"/>
                <w:szCs w:val="20"/>
              </w:rPr>
            </w:pPr>
            <w:r>
              <w:rPr>
                <w:b/>
                <w:bCs/>
                <w:color w:val="000000"/>
                <w:sz w:val="20"/>
                <w:szCs w:val="20"/>
              </w:rPr>
              <w:t>Total assets</w:t>
            </w:r>
          </w:p>
        </w:tc>
        <w:tc>
          <w:tcPr>
            <w:tcW w:w="0" w:type="auto"/>
            <w:tcMar>
              <w:top w:w="5" w:type="dxa"/>
              <w:left w:w="5" w:type="dxa"/>
              <w:bottom w:w="5" w:type="dxa"/>
              <w:right w:w="5" w:type="dxa"/>
            </w:tcMar>
            <w:vAlign w:val="bottom"/>
            <w:hideMark/>
          </w:tcPr>
          <w:p w14:paraId="627CCE4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902713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DBEAC7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6EA33E2" w14:textId="77777777" w:rsidR="00954279" w:rsidRDefault="00A66714">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51D52DD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A4D12B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9D3960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52F5027" w14:textId="77777777" w:rsidR="00954279" w:rsidRDefault="00A66714">
            <w:pPr>
              <w:rPr>
                <w:color w:val="000000"/>
                <w:sz w:val="20"/>
                <w:szCs w:val="20"/>
              </w:rPr>
            </w:pPr>
            <w:r>
              <w:rPr>
                <w:b/>
                <w:bCs/>
                <w:color w:val="000000"/>
                <w:sz w:val="20"/>
                <w:szCs w:val="20"/>
              </w:rPr>
              <w:t> </w:t>
            </w:r>
          </w:p>
        </w:tc>
      </w:tr>
      <w:tr w:rsidR="00954279" w14:paraId="1E94BFE8" w14:textId="77777777">
        <w:tc>
          <w:tcPr>
            <w:tcW w:w="0" w:type="auto"/>
            <w:tcMar>
              <w:top w:w="5" w:type="dxa"/>
              <w:left w:w="5" w:type="dxa"/>
              <w:bottom w:w="5" w:type="dxa"/>
              <w:right w:w="5" w:type="dxa"/>
            </w:tcMar>
            <w:vAlign w:val="bottom"/>
            <w:hideMark/>
          </w:tcPr>
          <w:p w14:paraId="2603E936" w14:textId="77777777" w:rsidR="00954279" w:rsidRDefault="00A66714">
            <w:pPr>
              <w:rPr>
                <w:color w:val="000000"/>
                <w:sz w:val="20"/>
                <w:szCs w:val="20"/>
              </w:rPr>
            </w:pPr>
            <w:r>
              <w:rPr>
                <w:color w:val="000000"/>
                <w:sz w:val="20"/>
                <w:szCs w:val="20"/>
              </w:rPr>
              <w:t>U.S.</w:t>
            </w:r>
          </w:p>
        </w:tc>
        <w:tc>
          <w:tcPr>
            <w:tcW w:w="50" w:type="pct"/>
            <w:tcMar>
              <w:top w:w="5" w:type="dxa"/>
              <w:left w:w="5" w:type="dxa"/>
              <w:bottom w:w="5" w:type="dxa"/>
              <w:right w:w="5" w:type="dxa"/>
            </w:tcMar>
            <w:vAlign w:val="bottom"/>
            <w:hideMark/>
          </w:tcPr>
          <w:p w14:paraId="7F1694A8"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051DB48" w14:textId="77777777" w:rsidR="00954279" w:rsidRDefault="00A66714">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7F562282" w14:textId="77777777" w:rsidR="00954279" w:rsidRDefault="00A66714">
            <w:pPr>
              <w:jc w:val="right"/>
              <w:rPr>
                <w:color w:val="000000"/>
                <w:sz w:val="20"/>
                <w:szCs w:val="20"/>
              </w:rPr>
            </w:pPr>
            <w:r>
              <w:rPr>
                <w:b/>
                <w:bCs/>
                <w:color w:val="000000"/>
                <w:sz w:val="20"/>
                <w:szCs w:val="20"/>
              </w:rPr>
              <w:t>1,493</w:t>
            </w:r>
          </w:p>
        </w:tc>
        <w:tc>
          <w:tcPr>
            <w:tcW w:w="50" w:type="pct"/>
            <w:noWrap/>
            <w:tcMar>
              <w:top w:w="5" w:type="dxa"/>
              <w:left w:w="5" w:type="dxa"/>
              <w:bottom w:w="5" w:type="dxa"/>
              <w:right w:w="5" w:type="dxa"/>
            </w:tcMar>
            <w:vAlign w:val="bottom"/>
            <w:hideMark/>
          </w:tcPr>
          <w:p w14:paraId="2676CEC3"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6E6DA4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15145B6" w14:textId="77777777" w:rsidR="00954279" w:rsidRDefault="00A66714">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35EC487C" w14:textId="77777777" w:rsidR="00954279" w:rsidRDefault="00A66714">
            <w:pPr>
              <w:jc w:val="right"/>
              <w:rPr>
                <w:color w:val="000000"/>
                <w:sz w:val="20"/>
                <w:szCs w:val="20"/>
              </w:rPr>
            </w:pPr>
            <w:r>
              <w:rPr>
                <w:color w:val="000000"/>
                <w:sz w:val="20"/>
                <w:szCs w:val="20"/>
              </w:rPr>
              <w:t>1,506</w:t>
            </w:r>
          </w:p>
        </w:tc>
        <w:tc>
          <w:tcPr>
            <w:tcW w:w="50" w:type="pct"/>
            <w:noWrap/>
            <w:tcMar>
              <w:top w:w="5" w:type="dxa"/>
              <w:left w:w="5" w:type="dxa"/>
              <w:bottom w:w="5" w:type="dxa"/>
              <w:right w:w="5" w:type="dxa"/>
            </w:tcMar>
            <w:vAlign w:val="bottom"/>
            <w:hideMark/>
          </w:tcPr>
          <w:p w14:paraId="44A59011" w14:textId="77777777" w:rsidR="00954279" w:rsidRDefault="00A66714">
            <w:pPr>
              <w:rPr>
                <w:color w:val="000000"/>
                <w:sz w:val="20"/>
                <w:szCs w:val="20"/>
              </w:rPr>
            </w:pPr>
            <w:r>
              <w:rPr>
                <w:color w:val="000000"/>
                <w:sz w:val="20"/>
                <w:szCs w:val="20"/>
              </w:rPr>
              <w:t> </w:t>
            </w:r>
          </w:p>
        </w:tc>
      </w:tr>
      <w:tr w:rsidR="00954279" w14:paraId="45CFA23B" w14:textId="77777777">
        <w:tc>
          <w:tcPr>
            <w:tcW w:w="0" w:type="auto"/>
            <w:tcMar>
              <w:top w:w="5" w:type="dxa"/>
              <w:left w:w="5" w:type="dxa"/>
              <w:bottom w:w="5" w:type="dxa"/>
              <w:right w:w="5" w:type="dxa"/>
            </w:tcMar>
            <w:vAlign w:val="bottom"/>
            <w:hideMark/>
          </w:tcPr>
          <w:p w14:paraId="4B92F80E" w14:textId="77777777" w:rsidR="00954279" w:rsidRDefault="00A66714">
            <w:pPr>
              <w:rPr>
                <w:color w:val="000000"/>
                <w:sz w:val="20"/>
                <w:szCs w:val="20"/>
              </w:rPr>
            </w:pPr>
            <w:r>
              <w:rPr>
                <w:color w:val="000000"/>
                <w:sz w:val="20"/>
                <w:szCs w:val="20"/>
              </w:rPr>
              <w:t>Canada</w:t>
            </w:r>
          </w:p>
        </w:tc>
        <w:tc>
          <w:tcPr>
            <w:tcW w:w="50" w:type="pct"/>
            <w:tcMar>
              <w:top w:w="5" w:type="dxa"/>
              <w:left w:w="5" w:type="dxa"/>
              <w:bottom w:w="5" w:type="dxa"/>
              <w:right w:w="5" w:type="dxa"/>
            </w:tcMar>
            <w:vAlign w:val="bottom"/>
            <w:hideMark/>
          </w:tcPr>
          <w:p w14:paraId="6043039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5ED4473"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A6790AB" w14:textId="77777777" w:rsidR="00954279" w:rsidRDefault="00A66714">
            <w:pPr>
              <w:jc w:val="right"/>
              <w:rPr>
                <w:color w:val="000000"/>
                <w:sz w:val="20"/>
                <w:szCs w:val="20"/>
              </w:rPr>
            </w:pPr>
            <w:r>
              <w:rPr>
                <w:b/>
                <w:bCs/>
                <w:color w:val="000000"/>
                <w:sz w:val="20"/>
                <w:szCs w:val="20"/>
              </w:rPr>
              <w:t>49</w:t>
            </w:r>
          </w:p>
        </w:tc>
        <w:tc>
          <w:tcPr>
            <w:tcW w:w="50" w:type="pct"/>
            <w:noWrap/>
            <w:tcMar>
              <w:top w:w="5" w:type="dxa"/>
              <w:left w:w="5" w:type="dxa"/>
              <w:bottom w:w="5" w:type="dxa"/>
              <w:right w:w="5" w:type="dxa"/>
            </w:tcMar>
            <w:vAlign w:val="bottom"/>
            <w:hideMark/>
          </w:tcPr>
          <w:p w14:paraId="7225E65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303232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A694167"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2FECDE8" w14:textId="77777777" w:rsidR="00954279" w:rsidRDefault="00A66714">
            <w:pPr>
              <w:jc w:val="right"/>
              <w:rPr>
                <w:color w:val="000000"/>
                <w:sz w:val="20"/>
                <w:szCs w:val="20"/>
              </w:rPr>
            </w:pPr>
            <w:r>
              <w:rPr>
                <w:color w:val="000000"/>
                <w:sz w:val="20"/>
                <w:szCs w:val="20"/>
              </w:rPr>
              <w:t>53</w:t>
            </w:r>
          </w:p>
        </w:tc>
        <w:tc>
          <w:tcPr>
            <w:tcW w:w="50" w:type="pct"/>
            <w:noWrap/>
            <w:tcMar>
              <w:top w:w="5" w:type="dxa"/>
              <w:left w:w="5" w:type="dxa"/>
              <w:bottom w:w="5" w:type="dxa"/>
              <w:right w:w="5" w:type="dxa"/>
            </w:tcMar>
            <w:vAlign w:val="bottom"/>
            <w:hideMark/>
          </w:tcPr>
          <w:p w14:paraId="142E0DAF" w14:textId="77777777" w:rsidR="00954279" w:rsidRDefault="00A66714">
            <w:pPr>
              <w:rPr>
                <w:color w:val="000000"/>
                <w:sz w:val="20"/>
                <w:szCs w:val="20"/>
              </w:rPr>
            </w:pPr>
            <w:r>
              <w:rPr>
                <w:color w:val="000000"/>
                <w:sz w:val="20"/>
                <w:szCs w:val="20"/>
              </w:rPr>
              <w:t> </w:t>
            </w:r>
          </w:p>
        </w:tc>
      </w:tr>
      <w:tr w:rsidR="00954279" w14:paraId="2CEA01EF" w14:textId="77777777">
        <w:tc>
          <w:tcPr>
            <w:tcW w:w="0" w:type="auto"/>
            <w:tcMar>
              <w:top w:w="5" w:type="dxa"/>
              <w:left w:w="5" w:type="dxa"/>
              <w:bottom w:w="5" w:type="dxa"/>
              <w:right w:w="5" w:type="dxa"/>
            </w:tcMar>
            <w:vAlign w:val="bottom"/>
            <w:hideMark/>
          </w:tcPr>
          <w:p w14:paraId="498F78FD" w14:textId="77777777" w:rsidR="00954279" w:rsidRDefault="00A66714">
            <w:pPr>
              <w:rPr>
                <w:color w:val="000000"/>
                <w:sz w:val="20"/>
                <w:szCs w:val="20"/>
              </w:rPr>
            </w:pPr>
            <w:r>
              <w:rPr>
                <w:color w:val="000000"/>
                <w:sz w:val="20"/>
                <w:szCs w:val="20"/>
              </w:rPr>
              <w:t>International</w:t>
            </w:r>
          </w:p>
        </w:tc>
        <w:tc>
          <w:tcPr>
            <w:tcW w:w="50" w:type="pct"/>
            <w:tcMar>
              <w:top w:w="5" w:type="dxa"/>
              <w:left w:w="5" w:type="dxa"/>
              <w:bottom w:w="5" w:type="dxa"/>
              <w:right w:w="5" w:type="dxa"/>
            </w:tcMar>
            <w:vAlign w:val="bottom"/>
            <w:hideMark/>
          </w:tcPr>
          <w:p w14:paraId="20216DA9"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D78A783" w14:textId="77777777" w:rsidR="00954279" w:rsidRDefault="00A66714">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8BF327E" w14:textId="77777777" w:rsidR="00954279" w:rsidRDefault="00A66714">
            <w:pPr>
              <w:jc w:val="right"/>
              <w:rPr>
                <w:color w:val="000000"/>
                <w:sz w:val="20"/>
                <w:szCs w:val="20"/>
              </w:rPr>
            </w:pPr>
            <w:r>
              <w:rPr>
                <w:b/>
                <w:bCs/>
                <w:color w:val="000000"/>
                <w:sz w:val="20"/>
                <w:szCs w:val="20"/>
              </w:rPr>
              <w:t>203</w:t>
            </w:r>
          </w:p>
        </w:tc>
        <w:tc>
          <w:tcPr>
            <w:tcW w:w="50" w:type="pct"/>
            <w:noWrap/>
            <w:tcMar>
              <w:top w:w="5" w:type="dxa"/>
              <w:left w:w="5" w:type="dxa"/>
              <w:bottom w:w="20" w:type="dxa"/>
              <w:right w:w="5" w:type="dxa"/>
            </w:tcMar>
            <w:vAlign w:val="bottom"/>
            <w:hideMark/>
          </w:tcPr>
          <w:p w14:paraId="3A00E6D0"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FA387A3"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F975C65" w14:textId="77777777" w:rsidR="00954279" w:rsidRDefault="00A66714">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7CC062E8" w14:textId="77777777" w:rsidR="00954279" w:rsidRDefault="00A66714">
            <w:pPr>
              <w:jc w:val="right"/>
              <w:rPr>
                <w:color w:val="000000"/>
                <w:sz w:val="20"/>
                <w:szCs w:val="20"/>
              </w:rPr>
            </w:pPr>
            <w:r>
              <w:rPr>
                <w:color w:val="000000"/>
                <w:sz w:val="20"/>
                <w:szCs w:val="20"/>
              </w:rPr>
              <w:t>222</w:t>
            </w:r>
          </w:p>
        </w:tc>
        <w:tc>
          <w:tcPr>
            <w:tcW w:w="50" w:type="pct"/>
            <w:noWrap/>
            <w:tcMar>
              <w:top w:w="5" w:type="dxa"/>
              <w:left w:w="5" w:type="dxa"/>
              <w:bottom w:w="20" w:type="dxa"/>
              <w:right w:w="5" w:type="dxa"/>
            </w:tcMar>
            <w:vAlign w:val="bottom"/>
            <w:hideMark/>
          </w:tcPr>
          <w:p w14:paraId="7B9F64C6" w14:textId="77777777" w:rsidR="00954279" w:rsidRDefault="00A66714">
            <w:pPr>
              <w:rPr>
                <w:color w:val="000000"/>
                <w:sz w:val="20"/>
                <w:szCs w:val="20"/>
              </w:rPr>
            </w:pPr>
            <w:r>
              <w:rPr>
                <w:color w:val="000000"/>
                <w:sz w:val="20"/>
                <w:szCs w:val="20"/>
              </w:rPr>
              <w:t> </w:t>
            </w:r>
          </w:p>
        </w:tc>
      </w:tr>
      <w:tr w:rsidR="00954279" w14:paraId="5D14C677" w14:textId="77777777">
        <w:tc>
          <w:tcPr>
            <w:tcW w:w="0" w:type="auto"/>
            <w:tcMar>
              <w:top w:w="5" w:type="dxa"/>
              <w:left w:w="5" w:type="dxa"/>
              <w:bottom w:w="5" w:type="dxa"/>
              <w:right w:w="5" w:type="dxa"/>
            </w:tcMar>
            <w:vAlign w:val="bottom"/>
            <w:hideMark/>
          </w:tcPr>
          <w:p w14:paraId="2858E6FF" w14:textId="77777777" w:rsidR="00954279" w:rsidRDefault="00A66714">
            <w:pPr>
              <w:rPr>
                <w:color w:val="000000"/>
                <w:sz w:val="20"/>
                <w:szCs w:val="20"/>
              </w:rPr>
            </w:pPr>
            <w:r>
              <w:rPr>
                <w:color w:val="000000"/>
                <w:sz w:val="20"/>
                <w:szCs w:val="20"/>
              </w:rPr>
              <w:t>Total assets</w:t>
            </w:r>
          </w:p>
        </w:tc>
        <w:tc>
          <w:tcPr>
            <w:tcW w:w="50" w:type="pct"/>
            <w:tcMar>
              <w:top w:w="5" w:type="dxa"/>
              <w:left w:w="5" w:type="dxa"/>
              <w:bottom w:w="5" w:type="dxa"/>
              <w:right w:w="5" w:type="dxa"/>
            </w:tcMar>
            <w:vAlign w:val="bottom"/>
            <w:hideMark/>
          </w:tcPr>
          <w:p w14:paraId="75A28ED0"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84DBB05" w14:textId="77777777" w:rsidR="00954279" w:rsidRDefault="00A66714">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590C9997" w14:textId="77777777" w:rsidR="00954279" w:rsidRDefault="00A66714">
            <w:pPr>
              <w:jc w:val="right"/>
              <w:rPr>
                <w:color w:val="000000"/>
                <w:sz w:val="20"/>
                <w:szCs w:val="20"/>
              </w:rPr>
            </w:pPr>
            <w:r>
              <w:rPr>
                <w:b/>
                <w:bCs/>
                <w:color w:val="000000"/>
                <w:sz w:val="20"/>
                <w:szCs w:val="20"/>
              </w:rPr>
              <w:t>1,745</w:t>
            </w:r>
          </w:p>
        </w:tc>
        <w:tc>
          <w:tcPr>
            <w:tcW w:w="50" w:type="pct"/>
            <w:noWrap/>
            <w:tcMar>
              <w:top w:w="5" w:type="dxa"/>
              <w:left w:w="5" w:type="dxa"/>
              <w:bottom w:w="50" w:type="dxa"/>
              <w:right w:w="5" w:type="dxa"/>
            </w:tcMar>
            <w:vAlign w:val="bottom"/>
            <w:hideMark/>
          </w:tcPr>
          <w:p w14:paraId="536D098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9143BF1"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84C5E99" w14:textId="77777777" w:rsidR="00954279" w:rsidRDefault="00A66714">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64D5E973" w14:textId="77777777" w:rsidR="00954279" w:rsidRDefault="00A66714">
            <w:pPr>
              <w:jc w:val="right"/>
              <w:rPr>
                <w:color w:val="000000"/>
                <w:sz w:val="20"/>
                <w:szCs w:val="20"/>
              </w:rPr>
            </w:pPr>
            <w:r>
              <w:rPr>
                <w:color w:val="000000"/>
                <w:sz w:val="20"/>
                <w:szCs w:val="20"/>
              </w:rPr>
              <w:t>1,781</w:t>
            </w:r>
          </w:p>
        </w:tc>
        <w:tc>
          <w:tcPr>
            <w:tcW w:w="50" w:type="pct"/>
            <w:noWrap/>
            <w:tcMar>
              <w:top w:w="5" w:type="dxa"/>
              <w:left w:w="5" w:type="dxa"/>
              <w:bottom w:w="50" w:type="dxa"/>
              <w:right w:w="5" w:type="dxa"/>
            </w:tcMar>
            <w:vAlign w:val="bottom"/>
            <w:hideMark/>
          </w:tcPr>
          <w:p w14:paraId="7D69C0C2" w14:textId="77777777" w:rsidR="00954279" w:rsidRDefault="00A66714">
            <w:pPr>
              <w:rPr>
                <w:color w:val="000000"/>
                <w:sz w:val="20"/>
                <w:szCs w:val="20"/>
              </w:rPr>
            </w:pPr>
            <w:r>
              <w:rPr>
                <w:color w:val="000000"/>
                <w:sz w:val="20"/>
                <w:szCs w:val="20"/>
              </w:rPr>
              <w:t> </w:t>
            </w:r>
          </w:p>
        </w:tc>
      </w:tr>
    </w:tbl>
    <w:p w14:paraId="010EA3F8" w14:textId="77777777" w:rsidR="00954279" w:rsidRDefault="00A66714">
      <w:pPr>
        <w:ind w:left="144" w:right="144"/>
        <w:rPr>
          <w:sz w:val="20"/>
          <w:szCs w:val="20"/>
        </w:rPr>
      </w:pPr>
      <w:r>
        <w:rPr>
          <w:sz w:val="20"/>
          <w:szCs w:val="20"/>
        </w:rPr>
        <w:t> </w:t>
      </w:r>
    </w:p>
    <w:p w14:paraId="29B50151" w14:textId="77777777" w:rsidR="00954279" w:rsidRDefault="00A66714">
      <w:pPr>
        <w:ind w:left="144" w:right="144"/>
        <w:rPr>
          <w:sz w:val="20"/>
          <w:szCs w:val="20"/>
        </w:rPr>
      </w:pPr>
      <w:r>
        <w:rPr>
          <w:sz w:val="20"/>
          <w:szCs w:val="20"/>
        </w:rPr>
        <w:t>Our sales by product line are as follows (in millions):</w:t>
      </w:r>
    </w:p>
    <w:p w14:paraId="200037F3" w14:textId="77777777" w:rsidR="00954279" w:rsidRDefault="00A66714">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5615"/>
        <w:gridCol w:w="107"/>
        <w:gridCol w:w="111"/>
        <w:gridCol w:w="971"/>
        <w:gridCol w:w="107"/>
        <w:gridCol w:w="107"/>
        <w:gridCol w:w="111"/>
        <w:gridCol w:w="971"/>
        <w:gridCol w:w="107"/>
        <w:gridCol w:w="107"/>
        <w:gridCol w:w="110"/>
        <w:gridCol w:w="971"/>
        <w:gridCol w:w="107"/>
        <w:gridCol w:w="108"/>
        <w:gridCol w:w="110"/>
        <w:gridCol w:w="972"/>
        <w:gridCol w:w="108"/>
      </w:tblGrid>
      <w:tr w:rsidR="00954279" w14:paraId="47F71AEF" w14:textId="77777777">
        <w:tc>
          <w:tcPr>
            <w:tcW w:w="0" w:type="auto"/>
            <w:tcMar>
              <w:top w:w="5" w:type="dxa"/>
              <w:left w:w="5" w:type="dxa"/>
              <w:bottom w:w="5" w:type="dxa"/>
              <w:right w:w="5" w:type="dxa"/>
            </w:tcMar>
            <w:vAlign w:val="bottom"/>
            <w:hideMark/>
          </w:tcPr>
          <w:p w14:paraId="436F3B1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D3B6A7E" w14:textId="77777777" w:rsidR="00954279" w:rsidRDefault="00A66714">
            <w:pPr>
              <w:rPr>
                <w:color w:val="000000"/>
                <w:sz w:val="20"/>
                <w:szCs w:val="20"/>
              </w:rPr>
            </w:pPr>
            <w:r>
              <w:rPr>
                <w:color w:val="000000"/>
                <w:sz w:val="20"/>
                <w:szCs w:val="20"/>
              </w:rPr>
              <w:t> </w:t>
            </w:r>
          </w:p>
        </w:tc>
        <w:tc>
          <w:tcPr>
            <w:tcW w:w="0" w:type="auto"/>
            <w:gridSpan w:val="6"/>
            <w:tcBorders>
              <w:bottom w:val="single" w:sz="6" w:space="0" w:color="000000"/>
            </w:tcBorders>
            <w:tcMar>
              <w:top w:w="5" w:type="dxa"/>
              <w:left w:w="5" w:type="dxa"/>
              <w:bottom w:w="8" w:type="dxa"/>
              <w:right w:w="5" w:type="dxa"/>
            </w:tcMar>
            <w:vAlign w:val="bottom"/>
            <w:hideMark/>
          </w:tcPr>
          <w:p w14:paraId="0B712052" w14:textId="77777777" w:rsidR="00954279" w:rsidRDefault="00A66714">
            <w:pPr>
              <w:jc w:val="center"/>
              <w:rPr>
                <w:color w:val="000000"/>
                <w:sz w:val="20"/>
                <w:szCs w:val="20"/>
              </w:rPr>
            </w:pPr>
            <w:r>
              <w:rPr>
                <w:b/>
                <w:bCs/>
                <w:color w:val="000000"/>
                <w:sz w:val="20"/>
                <w:szCs w:val="20"/>
              </w:rPr>
              <w:t>Three Months Ended</w:t>
            </w:r>
          </w:p>
        </w:tc>
        <w:tc>
          <w:tcPr>
            <w:tcW w:w="0" w:type="auto"/>
            <w:tcMar>
              <w:top w:w="5" w:type="dxa"/>
              <w:left w:w="5" w:type="dxa"/>
              <w:bottom w:w="20" w:type="dxa"/>
              <w:right w:w="5" w:type="dxa"/>
            </w:tcMar>
            <w:vAlign w:val="bottom"/>
            <w:hideMark/>
          </w:tcPr>
          <w:p w14:paraId="0DF1944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7D21AE6" w14:textId="77777777" w:rsidR="00954279" w:rsidRDefault="00A66714">
            <w:pPr>
              <w:rPr>
                <w:color w:val="000000"/>
                <w:sz w:val="20"/>
                <w:szCs w:val="20"/>
              </w:rPr>
            </w:pPr>
            <w:r>
              <w:rPr>
                <w:color w:val="000000"/>
                <w:sz w:val="20"/>
                <w:szCs w:val="20"/>
              </w:rPr>
              <w:t> </w:t>
            </w:r>
          </w:p>
        </w:tc>
        <w:tc>
          <w:tcPr>
            <w:tcW w:w="0" w:type="auto"/>
            <w:gridSpan w:val="6"/>
            <w:tcBorders>
              <w:bottom w:val="single" w:sz="6" w:space="0" w:color="000000"/>
            </w:tcBorders>
            <w:tcMar>
              <w:top w:w="5" w:type="dxa"/>
              <w:left w:w="5" w:type="dxa"/>
              <w:bottom w:w="8" w:type="dxa"/>
              <w:right w:w="5" w:type="dxa"/>
            </w:tcMar>
            <w:vAlign w:val="bottom"/>
            <w:hideMark/>
          </w:tcPr>
          <w:p w14:paraId="225E9863" w14:textId="77777777" w:rsidR="00954279" w:rsidRDefault="00A66714">
            <w:pPr>
              <w:jc w:val="center"/>
              <w:rPr>
                <w:color w:val="000000"/>
                <w:sz w:val="20"/>
                <w:szCs w:val="20"/>
              </w:rPr>
            </w:pPr>
            <w:r>
              <w:rPr>
                <w:b/>
                <w:bCs/>
                <w:color w:val="000000"/>
                <w:sz w:val="20"/>
                <w:szCs w:val="20"/>
              </w:rPr>
              <w:t>Six Months Ended</w:t>
            </w:r>
          </w:p>
        </w:tc>
        <w:tc>
          <w:tcPr>
            <w:tcW w:w="0" w:type="auto"/>
            <w:tcMar>
              <w:top w:w="5" w:type="dxa"/>
              <w:left w:w="5" w:type="dxa"/>
              <w:bottom w:w="20" w:type="dxa"/>
              <w:right w:w="5" w:type="dxa"/>
            </w:tcMar>
            <w:vAlign w:val="bottom"/>
            <w:hideMark/>
          </w:tcPr>
          <w:p w14:paraId="2208D599" w14:textId="77777777" w:rsidR="00954279" w:rsidRDefault="00A66714">
            <w:pPr>
              <w:rPr>
                <w:color w:val="000000"/>
                <w:sz w:val="20"/>
                <w:szCs w:val="20"/>
              </w:rPr>
            </w:pPr>
            <w:r>
              <w:rPr>
                <w:color w:val="000000"/>
                <w:sz w:val="20"/>
                <w:szCs w:val="20"/>
              </w:rPr>
              <w:t> </w:t>
            </w:r>
          </w:p>
        </w:tc>
      </w:tr>
      <w:tr w:rsidR="00954279" w14:paraId="78BCD1F9" w14:textId="77777777">
        <w:tc>
          <w:tcPr>
            <w:tcW w:w="0" w:type="auto"/>
            <w:tcMar>
              <w:top w:w="5" w:type="dxa"/>
              <w:left w:w="5" w:type="dxa"/>
              <w:bottom w:w="5" w:type="dxa"/>
              <w:right w:w="5" w:type="dxa"/>
            </w:tcMar>
            <w:vAlign w:val="bottom"/>
            <w:hideMark/>
          </w:tcPr>
          <w:p w14:paraId="6DD1202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ACC915B"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64F10149" w14:textId="77777777" w:rsidR="00954279" w:rsidRDefault="00A66714">
            <w:pPr>
              <w:jc w:val="center"/>
              <w:rPr>
                <w:color w:val="000000"/>
                <w:sz w:val="20"/>
                <w:szCs w:val="20"/>
              </w:rPr>
            </w:pPr>
            <w:r>
              <w:rPr>
                <w:b/>
                <w:bCs/>
                <w:color w:val="000000"/>
                <w:sz w:val="20"/>
                <w:szCs w:val="20"/>
              </w:rPr>
              <w:t>June 30,</w:t>
            </w:r>
          </w:p>
        </w:tc>
        <w:tc>
          <w:tcPr>
            <w:tcW w:w="0" w:type="auto"/>
            <w:tcMar>
              <w:top w:w="5" w:type="dxa"/>
              <w:left w:w="5" w:type="dxa"/>
              <w:bottom w:w="5" w:type="dxa"/>
              <w:right w:w="5" w:type="dxa"/>
            </w:tcMar>
            <w:vAlign w:val="bottom"/>
            <w:hideMark/>
          </w:tcPr>
          <w:p w14:paraId="0CCB345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AA30FB8"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0C9EEF32" w14:textId="77777777" w:rsidR="00954279" w:rsidRDefault="00A66714">
            <w:pPr>
              <w:jc w:val="center"/>
              <w:rPr>
                <w:color w:val="000000"/>
                <w:sz w:val="20"/>
                <w:szCs w:val="20"/>
              </w:rPr>
            </w:pPr>
            <w:r>
              <w:rPr>
                <w:b/>
                <w:bCs/>
                <w:color w:val="000000"/>
                <w:sz w:val="20"/>
                <w:szCs w:val="20"/>
              </w:rPr>
              <w:t>June 30,</w:t>
            </w:r>
          </w:p>
        </w:tc>
        <w:tc>
          <w:tcPr>
            <w:tcW w:w="0" w:type="auto"/>
            <w:tcMar>
              <w:top w:w="5" w:type="dxa"/>
              <w:left w:w="5" w:type="dxa"/>
              <w:bottom w:w="5" w:type="dxa"/>
              <w:right w:w="5" w:type="dxa"/>
            </w:tcMar>
            <w:vAlign w:val="bottom"/>
            <w:hideMark/>
          </w:tcPr>
          <w:p w14:paraId="484B137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336FFA6"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6FFA2BFD" w14:textId="77777777" w:rsidR="00954279" w:rsidRDefault="00A66714">
            <w:pPr>
              <w:jc w:val="center"/>
              <w:rPr>
                <w:color w:val="000000"/>
                <w:sz w:val="20"/>
                <w:szCs w:val="20"/>
              </w:rPr>
            </w:pPr>
            <w:r>
              <w:rPr>
                <w:b/>
                <w:bCs/>
                <w:color w:val="000000"/>
                <w:sz w:val="20"/>
                <w:szCs w:val="20"/>
              </w:rPr>
              <w:t>June 30,</w:t>
            </w:r>
          </w:p>
        </w:tc>
        <w:tc>
          <w:tcPr>
            <w:tcW w:w="0" w:type="auto"/>
            <w:tcMar>
              <w:top w:w="5" w:type="dxa"/>
              <w:left w:w="5" w:type="dxa"/>
              <w:bottom w:w="5" w:type="dxa"/>
              <w:right w:w="5" w:type="dxa"/>
            </w:tcMar>
            <w:vAlign w:val="bottom"/>
            <w:hideMark/>
          </w:tcPr>
          <w:p w14:paraId="6B767AF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B57BEBA"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303CC88D" w14:textId="77777777" w:rsidR="00954279" w:rsidRDefault="00A66714">
            <w:pPr>
              <w:jc w:val="center"/>
              <w:rPr>
                <w:color w:val="000000"/>
                <w:sz w:val="20"/>
                <w:szCs w:val="20"/>
              </w:rPr>
            </w:pPr>
            <w:r>
              <w:rPr>
                <w:b/>
                <w:bCs/>
                <w:color w:val="000000"/>
                <w:sz w:val="20"/>
                <w:szCs w:val="20"/>
              </w:rPr>
              <w:t>June 30,</w:t>
            </w:r>
          </w:p>
        </w:tc>
        <w:tc>
          <w:tcPr>
            <w:tcW w:w="0" w:type="auto"/>
            <w:tcMar>
              <w:top w:w="5" w:type="dxa"/>
              <w:left w:w="5" w:type="dxa"/>
              <w:bottom w:w="5" w:type="dxa"/>
              <w:right w:w="5" w:type="dxa"/>
            </w:tcMar>
            <w:vAlign w:val="bottom"/>
            <w:hideMark/>
          </w:tcPr>
          <w:p w14:paraId="26E6A10A" w14:textId="77777777" w:rsidR="00954279" w:rsidRDefault="00A66714">
            <w:pPr>
              <w:rPr>
                <w:color w:val="000000"/>
                <w:sz w:val="20"/>
                <w:szCs w:val="20"/>
              </w:rPr>
            </w:pPr>
            <w:r>
              <w:rPr>
                <w:color w:val="000000"/>
                <w:sz w:val="20"/>
                <w:szCs w:val="20"/>
              </w:rPr>
              <w:t> </w:t>
            </w:r>
          </w:p>
        </w:tc>
      </w:tr>
      <w:tr w:rsidR="00954279" w14:paraId="4291E825" w14:textId="77777777">
        <w:tc>
          <w:tcPr>
            <w:tcW w:w="2600" w:type="pct"/>
            <w:tcBorders>
              <w:bottom w:val="single" w:sz="12" w:space="0" w:color="000000"/>
            </w:tcBorders>
            <w:tcMar>
              <w:top w:w="5" w:type="dxa"/>
              <w:left w:w="5" w:type="dxa"/>
              <w:bottom w:w="15" w:type="dxa"/>
              <w:right w:w="5" w:type="dxa"/>
            </w:tcMar>
            <w:vAlign w:val="bottom"/>
            <w:hideMark/>
          </w:tcPr>
          <w:p w14:paraId="7ED03963" w14:textId="77777777" w:rsidR="00954279" w:rsidRDefault="00A66714">
            <w:pPr>
              <w:jc w:val="center"/>
              <w:rPr>
                <w:color w:val="000000"/>
                <w:sz w:val="20"/>
                <w:szCs w:val="20"/>
              </w:rPr>
            </w:pPr>
            <w:r>
              <w:rPr>
                <w:b/>
                <w:bCs/>
                <w:color w:val="000000"/>
                <w:sz w:val="20"/>
                <w:szCs w:val="20"/>
              </w:rPr>
              <w:t>Type</w:t>
            </w:r>
          </w:p>
        </w:tc>
        <w:tc>
          <w:tcPr>
            <w:tcW w:w="0" w:type="auto"/>
            <w:tcMar>
              <w:top w:w="5" w:type="dxa"/>
              <w:left w:w="5" w:type="dxa"/>
              <w:bottom w:w="5" w:type="dxa"/>
              <w:right w:w="5" w:type="dxa"/>
            </w:tcMar>
            <w:vAlign w:val="bottom"/>
            <w:hideMark/>
          </w:tcPr>
          <w:p w14:paraId="15367597"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549E79D" w14:textId="77777777" w:rsidR="00954279" w:rsidRDefault="00A66714">
            <w:pPr>
              <w:jc w:val="center"/>
              <w:rPr>
                <w:color w:val="000000"/>
                <w:sz w:val="20"/>
                <w:szCs w:val="20"/>
              </w:rPr>
            </w:pPr>
            <w:r>
              <w:rPr>
                <w:b/>
                <w:bCs/>
                <w:color w:val="000000"/>
                <w:sz w:val="20"/>
                <w:szCs w:val="20"/>
              </w:rPr>
              <w:t>2021</w:t>
            </w:r>
          </w:p>
        </w:tc>
        <w:tc>
          <w:tcPr>
            <w:tcW w:w="0" w:type="auto"/>
            <w:tcMar>
              <w:top w:w="5" w:type="dxa"/>
              <w:left w:w="5" w:type="dxa"/>
              <w:bottom w:w="20" w:type="dxa"/>
              <w:right w:w="5" w:type="dxa"/>
            </w:tcMar>
            <w:vAlign w:val="bottom"/>
            <w:hideMark/>
          </w:tcPr>
          <w:p w14:paraId="5F474FF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DD4BAEF"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75143FBB" w14:textId="77777777" w:rsidR="00954279" w:rsidRDefault="00A66714">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24DDF22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19EA5F1"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E50F31A" w14:textId="77777777" w:rsidR="00954279" w:rsidRDefault="00A66714">
            <w:pPr>
              <w:jc w:val="center"/>
              <w:rPr>
                <w:color w:val="000000"/>
                <w:sz w:val="20"/>
                <w:szCs w:val="20"/>
              </w:rPr>
            </w:pPr>
            <w:r>
              <w:rPr>
                <w:b/>
                <w:bCs/>
                <w:color w:val="000000"/>
                <w:sz w:val="20"/>
                <w:szCs w:val="20"/>
              </w:rPr>
              <w:t>2021</w:t>
            </w:r>
          </w:p>
        </w:tc>
        <w:tc>
          <w:tcPr>
            <w:tcW w:w="0" w:type="auto"/>
            <w:tcMar>
              <w:top w:w="5" w:type="dxa"/>
              <w:left w:w="5" w:type="dxa"/>
              <w:bottom w:w="20" w:type="dxa"/>
              <w:right w:w="5" w:type="dxa"/>
            </w:tcMar>
            <w:vAlign w:val="bottom"/>
            <w:hideMark/>
          </w:tcPr>
          <w:p w14:paraId="328B23A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EE3BD93"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21EC6634" w14:textId="77777777" w:rsidR="00954279" w:rsidRDefault="00A66714">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05199C68" w14:textId="77777777" w:rsidR="00954279" w:rsidRDefault="00A66714">
            <w:pPr>
              <w:rPr>
                <w:color w:val="000000"/>
                <w:sz w:val="20"/>
                <w:szCs w:val="20"/>
              </w:rPr>
            </w:pPr>
            <w:r>
              <w:rPr>
                <w:color w:val="000000"/>
                <w:sz w:val="20"/>
                <w:szCs w:val="20"/>
              </w:rPr>
              <w:t> </w:t>
            </w:r>
          </w:p>
        </w:tc>
      </w:tr>
      <w:tr w:rsidR="00954279" w14:paraId="0A04301C" w14:textId="77777777">
        <w:tc>
          <w:tcPr>
            <w:tcW w:w="0" w:type="auto"/>
            <w:tcMar>
              <w:top w:w="5" w:type="dxa"/>
              <w:left w:w="5" w:type="dxa"/>
              <w:bottom w:w="5" w:type="dxa"/>
              <w:right w:w="5" w:type="dxa"/>
            </w:tcMar>
            <w:vAlign w:val="bottom"/>
            <w:hideMark/>
          </w:tcPr>
          <w:p w14:paraId="7283AD47" w14:textId="77777777" w:rsidR="00954279" w:rsidRDefault="00A66714">
            <w:pPr>
              <w:rPr>
                <w:color w:val="000000"/>
                <w:sz w:val="20"/>
                <w:szCs w:val="20"/>
              </w:rPr>
            </w:pPr>
            <w:r>
              <w:rPr>
                <w:color w:val="000000"/>
                <w:sz w:val="20"/>
                <w:szCs w:val="20"/>
              </w:rPr>
              <w:t>Line pipe</w:t>
            </w:r>
          </w:p>
        </w:tc>
        <w:tc>
          <w:tcPr>
            <w:tcW w:w="50" w:type="pct"/>
            <w:tcMar>
              <w:top w:w="5" w:type="dxa"/>
              <w:left w:w="5" w:type="dxa"/>
              <w:bottom w:w="5" w:type="dxa"/>
              <w:right w:w="5" w:type="dxa"/>
            </w:tcMar>
            <w:vAlign w:val="bottom"/>
            <w:hideMark/>
          </w:tcPr>
          <w:p w14:paraId="409B74D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6DDC28F"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247D9DC0" w14:textId="77777777" w:rsidR="00954279" w:rsidRDefault="00A66714">
            <w:pPr>
              <w:jc w:val="right"/>
              <w:rPr>
                <w:color w:val="000000"/>
                <w:sz w:val="20"/>
                <w:szCs w:val="20"/>
              </w:rPr>
            </w:pPr>
            <w:r>
              <w:rPr>
                <w:b/>
                <w:bCs/>
                <w:color w:val="000000"/>
                <w:sz w:val="20"/>
                <w:szCs w:val="20"/>
              </w:rPr>
              <w:t>100</w:t>
            </w:r>
          </w:p>
        </w:tc>
        <w:tc>
          <w:tcPr>
            <w:tcW w:w="50" w:type="pct"/>
            <w:noWrap/>
            <w:tcMar>
              <w:top w:w="5" w:type="dxa"/>
              <w:left w:w="5" w:type="dxa"/>
              <w:bottom w:w="5" w:type="dxa"/>
              <w:right w:w="5" w:type="dxa"/>
            </w:tcMar>
            <w:vAlign w:val="bottom"/>
            <w:hideMark/>
          </w:tcPr>
          <w:p w14:paraId="0219924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A0CE111"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B232304"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1E033921" w14:textId="77777777" w:rsidR="00954279" w:rsidRDefault="00A66714">
            <w:pPr>
              <w:jc w:val="right"/>
              <w:rPr>
                <w:color w:val="000000"/>
                <w:sz w:val="20"/>
                <w:szCs w:val="20"/>
              </w:rPr>
            </w:pPr>
            <w:r>
              <w:rPr>
                <w:color w:val="000000"/>
                <w:sz w:val="20"/>
                <w:szCs w:val="20"/>
              </w:rPr>
              <w:t>80</w:t>
            </w:r>
          </w:p>
        </w:tc>
        <w:tc>
          <w:tcPr>
            <w:tcW w:w="50" w:type="pct"/>
            <w:noWrap/>
            <w:tcMar>
              <w:top w:w="5" w:type="dxa"/>
              <w:left w:w="5" w:type="dxa"/>
              <w:bottom w:w="5" w:type="dxa"/>
              <w:right w:w="5" w:type="dxa"/>
            </w:tcMar>
            <w:vAlign w:val="bottom"/>
            <w:hideMark/>
          </w:tcPr>
          <w:p w14:paraId="7CB3774F"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BF5071E"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21EAF49"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7E3775DB" w14:textId="77777777" w:rsidR="00954279" w:rsidRDefault="00A66714">
            <w:pPr>
              <w:jc w:val="right"/>
              <w:rPr>
                <w:color w:val="000000"/>
                <w:sz w:val="20"/>
                <w:szCs w:val="20"/>
              </w:rPr>
            </w:pPr>
            <w:r>
              <w:rPr>
                <w:b/>
                <w:bCs/>
                <w:color w:val="000000"/>
                <w:sz w:val="20"/>
                <w:szCs w:val="20"/>
              </w:rPr>
              <w:t>165</w:t>
            </w:r>
          </w:p>
        </w:tc>
        <w:tc>
          <w:tcPr>
            <w:tcW w:w="50" w:type="pct"/>
            <w:noWrap/>
            <w:tcMar>
              <w:top w:w="5" w:type="dxa"/>
              <w:left w:w="5" w:type="dxa"/>
              <w:bottom w:w="5" w:type="dxa"/>
              <w:right w:w="5" w:type="dxa"/>
            </w:tcMar>
            <w:vAlign w:val="bottom"/>
            <w:hideMark/>
          </w:tcPr>
          <w:p w14:paraId="30B159CE"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ECF086F"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7834093"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51510E5C" w14:textId="77777777" w:rsidR="00954279" w:rsidRDefault="00A66714">
            <w:pPr>
              <w:jc w:val="right"/>
              <w:rPr>
                <w:color w:val="000000"/>
                <w:sz w:val="20"/>
                <w:szCs w:val="20"/>
              </w:rPr>
            </w:pPr>
            <w:r>
              <w:rPr>
                <w:color w:val="000000"/>
                <w:sz w:val="20"/>
                <w:szCs w:val="20"/>
              </w:rPr>
              <w:t>180</w:t>
            </w:r>
          </w:p>
        </w:tc>
        <w:tc>
          <w:tcPr>
            <w:tcW w:w="50" w:type="pct"/>
            <w:noWrap/>
            <w:tcMar>
              <w:top w:w="5" w:type="dxa"/>
              <w:left w:w="5" w:type="dxa"/>
              <w:bottom w:w="5" w:type="dxa"/>
              <w:right w:w="5" w:type="dxa"/>
            </w:tcMar>
            <w:vAlign w:val="bottom"/>
            <w:hideMark/>
          </w:tcPr>
          <w:p w14:paraId="2DA0B9C9" w14:textId="77777777" w:rsidR="00954279" w:rsidRDefault="00A66714">
            <w:pPr>
              <w:rPr>
                <w:color w:val="000000"/>
                <w:sz w:val="20"/>
                <w:szCs w:val="20"/>
              </w:rPr>
            </w:pPr>
            <w:r>
              <w:rPr>
                <w:color w:val="000000"/>
                <w:sz w:val="20"/>
                <w:szCs w:val="20"/>
              </w:rPr>
              <w:t> </w:t>
            </w:r>
          </w:p>
        </w:tc>
      </w:tr>
      <w:tr w:rsidR="00954279" w14:paraId="3C7E28F0" w14:textId="77777777">
        <w:tc>
          <w:tcPr>
            <w:tcW w:w="0" w:type="auto"/>
            <w:tcMar>
              <w:top w:w="5" w:type="dxa"/>
              <w:left w:w="5" w:type="dxa"/>
              <w:bottom w:w="5" w:type="dxa"/>
              <w:right w:w="5" w:type="dxa"/>
            </w:tcMar>
            <w:vAlign w:val="bottom"/>
            <w:hideMark/>
          </w:tcPr>
          <w:p w14:paraId="5DB65EB6" w14:textId="77777777" w:rsidR="00954279" w:rsidRDefault="00A66714">
            <w:pPr>
              <w:rPr>
                <w:color w:val="000000"/>
                <w:sz w:val="20"/>
                <w:szCs w:val="20"/>
              </w:rPr>
            </w:pPr>
            <w:r>
              <w:rPr>
                <w:color w:val="000000"/>
                <w:sz w:val="20"/>
                <w:szCs w:val="20"/>
              </w:rPr>
              <w:t>Carbon fittings and flanges</w:t>
            </w:r>
          </w:p>
        </w:tc>
        <w:tc>
          <w:tcPr>
            <w:tcW w:w="50" w:type="pct"/>
            <w:tcMar>
              <w:top w:w="5" w:type="dxa"/>
              <w:left w:w="5" w:type="dxa"/>
              <w:bottom w:w="5" w:type="dxa"/>
              <w:right w:w="5" w:type="dxa"/>
            </w:tcMar>
            <w:vAlign w:val="bottom"/>
            <w:hideMark/>
          </w:tcPr>
          <w:p w14:paraId="385C6354"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B5B66FB"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0C8A8061" w14:textId="77777777" w:rsidR="00954279" w:rsidRDefault="00A66714">
            <w:pPr>
              <w:jc w:val="right"/>
              <w:rPr>
                <w:color w:val="000000"/>
                <w:sz w:val="20"/>
                <w:szCs w:val="20"/>
              </w:rPr>
            </w:pPr>
            <w:r>
              <w:rPr>
                <w:b/>
                <w:bCs/>
                <w:color w:val="000000"/>
                <w:sz w:val="20"/>
                <w:szCs w:val="20"/>
              </w:rPr>
              <w:t>88</w:t>
            </w:r>
          </w:p>
        </w:tc>
        <w:tc>
          <w:tcPr>
            <w:tcW w:w="50" w:type="pct"/>
            <w:noWrap/>
            <w:tcMar>
              <w:top w:w="5" w:type="dxa"/>
              <w:left w:w="5" w:type="dxa"/>
              <w:bottom w:w="20" w:type="dxa"/>
              <w:right w:w="5" w:type="dxa"/>
            </w:tcMar>
            <w:vAlign w:val="bottom"/>
            <w:hideMark/>
          </w:tcPr>
          <w:p w14:paraId="386BD0DF"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B38C75E"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C451825"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31BC29B8" w14:textId="77777777" w:rsidR="00954279" w:rsidRDefault="00A66714">
            <w:pPr>
              <w:jc w:val="right"/>
              <w:rPr>
                <w:color w:val="000000"/>
                <w:sz w:val="20"/>
                <w:szCs w:val="20"/>
              </w:rPr>
            </w:pPr>
            <w:r>
              <w:rPr>
                <w:color w:val="000000"/>
                <w:sz w:val="20"/>
                <w:szCs w:val="20"/>
              </w:rPr>
              <w:t>73</w:t>
            </w:r>
          </w:p>
        </w:tc>
        <w:tc>
          <w:tcPr>
            <w:tcW w:w="50" w:type="pct"/>
            <w:noWrap/>
            <w:tcMar>
              <w:top w:w="5" w:type="dxa"/>
              <w:left w:w="5" w:type="dxa"/>
              <w:bottom w:w="20" w:type="dxa"/>
              <w:right w:w="5" w:type="dxa"/>
            </w:tcMar>
            <w:vAlign w:val="bottom"/>
            <w:hideMark/>
          </w:tcPr>
          <w:p w14:paraId="1A994F70"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6893C21"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9D4798E"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474825EF" w14:textId="77777777" w:rsidR="00954279" w:rsidRDefault="00A66714">
            <w:pPr>
              <w:jc w:val="right"/>
              <w:rPr>
                <w:color w:val="000000"/>
                <w:sz w:val="20"/>
                <w:szCs w:val="20"/>
              </w:rPr>
            </w:pPr>
            <w:r>
              <w:rPr>
                <w:b/>
                <w:bCs/>
                <w:color w:val="000000"/>
                <w:sz w:val="20"/>
                <w:szCs w:val="20"/>
              </w:rPr>
              <w:t>173</w:t>
            </w:r>
          </w:p>
        </w:tc>
        <w:tc>
          <w:tcPr>
            <w:tcW w:w="50" w:type="pct"/>
            <w:noWrap/>
            <w:tcMar>
              <w:top w:w="5" w:type="dxa"/>
              <w:left w:w="5" w:type="dxa"/>
              <w:bottom w:w="20" w:type="dxa"/>
              <w:right w:w="5" w:type="dxa"/>
            </w:tcMar>
            <w:vAlign w:val="bottom"/>
            <w:hideMark/>
          </w:tcPr>
          <w:p w14:paraId="35E42A80"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D3F40D4"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EA6ADB3"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6B629E11" w14:textId="77777777" w:rsidR="00954279" w:rsidRDefault="00A66714">
            <w:pPr>
              <w:jc w:val="right"/>
              <w:rPr>
                <w:color w:val="000000"/>
                <w:sz w:val="20"/>
                <w:szCs w:val="20"/>
              </w:rPr>
            </w:pPr>
            <w:r>
              <w:rPr>
                <w:color w:val="000000"/>
                <w:sz w:val="20"/>
                <w:szCs w:val="20"/>
              </w:rPr>
              <w:t>188</w:t>
            </w:r>
          </w:p>
        </w:tc>
        <w:tc>
          <w:tcPr>
            <w:tcW w:w="50" w:type="pct"/>
            <w:noWrap/>
            <w:tcMar>
              <w:top w:w="5" w:type="dxa"/>
              <w:left w:w="5" w:type="dxa"/>
              <w:bottom w:w="20" w:type="dxa"/>
              <w:right w:w="5" w:type="dxa"/>
            </w:tcMar>
            <w:vAlign w:val="bottom"/>
            <w:hideMark/>
          </w:tcPr>
          <w:p w14:paraId="4156DD8C" w14:textId="77777777" w:rsidR="00954279" w:rsidRDefault="00A66714">
            <w:pPr>
              <w:rPr>
                <w:color w:val="000000"/>
                <w:sz w:val="20"/>
                <w:szCs w:val="20"/>
              </w:rPr>
            </w:pPr>
            <w:r>
              <w:rPr>
                <w:color w:val="000000"/>
                <w:sz w:val="20"/>
                <w:szCs w:val="20"/>
              </w:rPr>
              <w:t> </w:t>
            </w:r>
          </w:p>
        </w:tc>
      </w:tr>
      <w:tr w:rsidR="00954279" w14:paraId="3FBAA1E8" w14:textId="77777777">
        <w:tc>
          <w:tcPr>
            <w:tcW w:w="0" w:type="auto"/>
            <w:tcMar>
              <w:top w:w="5" w:type="dxa"/>
              <w:left w:w="5" w:type="dxa"/>
              <w:bottom w:w="5" w:type="dxa"/>
              <w:right w:w="5" w:type="dxa"/>
            </w:tcMar>
            <w:vAlign w:val="bottom"/>
            <w:hideMark/>
          </w:tcPr>
          <w:p w14:paraId="4EF55A4D" w14:textId="77777777" w:rsidR="00954279" w:rsidRDefault="00A66714">
            <w:pPr>
              <w:rPr>
                <w:color w:val="000000"/>
                <w:sz w:val="20"/>
                <w:szCs w:val="20"/>
              </w:rPr>
            </w:pPr>
            <w:r>
              <w:rPr>
                <w:color w:val="000000"/>
                <w:sz w:val="20"/>
                <w:szCs w:val="20"/>
              </w:rPr>
              <w:t>Total carbon pipe, fittings and flanges</w:t>
            </w:r>
          </w:p>
        </w:tc>
        <w:tc>
          <w:tcPr>
            <w:tcW w:w="50" w:type="pct"/>
            <w:tcMar>
              <w:top w:w="5" w:type="dxa"/>
              <w:left w:w="5" w:type="dxa"/>
              <w:bottom w:w="5" w:type="dxa"/>
              <w:right w:w="5" w:type="dxa"/>
            </w:tcMar>
            <w:vAlign w:val="bottom"/>
            <w:hideMark/>
          </w:tcPr>
          <w:p w14:paraId="3596110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917A683"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B5BC42E" w14:textId="77777777" w:rsidR="00954279" w:rsidRDefault="00A66714">
            <w:pPr>
              <w:jc w:val="right"/>
              <w:rPr>
                <w:color w:val="000000"/>
                <w:sz w:val="20"/>
                <w:szCs w:val="20"/>
              </w:rPr>
            </w:pPr>
            <w:r>
              <w:rPr>
                <w:b/>
                <w:bCs/>
                <w:color w:val="000000"/>
                <w:sz w:val="20"/>
                <w:szCs w:val="20"/>
              </w:rPr>
              <w:t>188</w:t>
            </w:r>
          </w:p>
        </w:tc>
        <w:tc>
          <w:tcPr>
            <w:tcW w:w="50" w:type="pct"/>
            <w:noWrap/>
            <w:tcMar>
              <w:top w:w="5" w:type="dxa"/>
              <w:left w:w="5" w:type="dxa"/>
              <w:bottom w:w="5" w:type="dxa"/>
              <w:right w:w="5" w:type="dxa"/>
            </w:tcMar>
            <w:vAlign w:val="bottom"/>
            <w:hideMark/>
          </w:tcPr>
          <w:p w14:paraId="0A821BB0"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C6CF5E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B222C8E"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9141FAD" w14:textId="77777777" w:rsidR="00954279" w:rsidRDefault="00A66714">
            <w:pPr>
              <w:jc w:val="right"/>
              <w:rPr>
                <w:color w:val="000000"/>
                <w:sz w:val="20"/>
                <w:szCs w:val="20"/>
              </w:rPr>
            </w:pPr>
            <w:r>
              <w:rPr>
                <w:color w:val="000000"/>
                <w:sz w:val="20"/>
                <w:szCs w:val="20"/>
              </w:rPr>
              <w:t>153</w:t>
            </w:r>
          </w:p>
        </w:tc>
        <w:tc>
          <w:tcPr>
            <w:tcW w:w="50" w:type="pct"/>
            <w:noWrap/>
            <w:tcMar>
              <w:top w:w="5" w:type="dxa"/>
              <w:left w:w="5" w:type="dxa"/>
              <w:bottom w:w="5" w:type="dxa"/>
              <w:right w:w="5" w:type="dxa"/>
            </w:tcMar>
            <w:vAlign w:val="bottom"/>
            <w:hideMark/>
          </w:tcPr>
          <w:p w14:paraId="040FEC6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1EC892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A575CD1"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4906CE8" w14:textId="77777777" w:rsidR="00954279" w:rsidRDefault="00A66714">
            <w:pPr>
              <w:jc w:val="right"/>
              <w:rPr>
                <w:color w:val="000000"/>
                <w:sz w:val="20"/>
                <w:szCs w:val="20"/>
              </w:rPr>
            </w:pPr>
            <w:r>
              <w:rPr>
                <w:b/>
                <w:bCs/>
                <w:color w:val="000000"/>
                <w:sz w:val="20"/>
                <w:szCs w:val="20"/>
              </w:rPr>
              <w:t>338</w:t>
            </w:r>
          </w:p>
        </w:tc>
        <w:tc>
          <w:tcPr>
            <w:tcW w:w="50" w:type="pct"/>
            <w:noWrap/>
            <w:tcMar>
              <w:top w:w="5" w:type="dxa"/>
              <w:left w:w="5" w:type="dxa"/>
              <w:bottom w:w="5" w:type="dxa"/>
              <w:right w:w="5" w:type="dxa"/>
            </w:tcMar>
            <w:vAlign w:val="bottom"/>
            <w:hideMark/>
          </w:tcPr>
          <w:p w14:paraId="53AED5D9"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54ED04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B9A1E72"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28EDAA7" w14:textId="77777777" w:rsidR="00954279" w:rsidRDefault="00A66714">
            <w:pPr>
              <w:jc w:val="right"/>
              <w:rPr>
                <w:color w:val="000000"/>
                <w:sz w:val="20"/>
                <w:szCs w:val="20"/>
              </w:rPr>
            </w:pPr>
            <w:r>
              <w:rPr>
                <w:color w:val="000000"/>
                <w:sz w:val="20"/>
                <w:szCs w:val="20"/>
              </w:rPr>
              <w:t>368</w:t>
            </w:r>
          </w:p>
        </w:tc>
        <w:tc>
          <w:tcPr>
            <w:tcW w:w="50" w:type="pct"/>
            <w:noWrap/>
            <w:tcMar>
              <w:top w:w="5" w:type="dxa"/>
              <w:left w:w="5" w:type="dxa"/>
              <w:bottom w:w="5" w:type="dxa"/>
              <w:right w:w="5" w:type="dxa"/>
            </w:tcMar>
            <w:vAlign w:val="bottom"/>
            <w:hideMark/>
          </w:tcPr>
          <w:p w14:paraId="0D66E70D" w14:textId="77777777" w:rsidR="00954279" w:rsidRDefault="00A66714">
            <w:pPr>
              <w:rPr>
                <w:color w:val="000000"/>
                <w:sz w:val="20"/>
                <w:szCs w:val="20"/>
              </w:rPr>
            </w:pPr>
            <w:r>
              <w:rPr>
                <w:color w:val="000000"/>
                <w:sz w:val="20"/>
                <w:szCs w:val="20"/>
              </w:rPr>
              <w:t> </w:t>
            </w:r>
          </w:p>
        </w:tc>
      </w:tr>
      <w:tr w:rsidR="00954279" w14:paraId="0845A0E7" w14:textId="77777777">
        <w:tc>
          <w:tcPr>
            <w:tcW w:w="0" w:type="auto"/>
            <w:tcMar>
              <w:top w:w="5" w:type="dxa"/>
              <w:left w:w="5" w:type="dxa"/>
              <w:bottom w:w="5" w:type="dxa"/>
              <w:right w:w="5" w:type="dxa"/>
            </w:tcMar>
            <w:vAlign w:val="bottom"/>
            <w:hideMark/>
          </w:tcPr>
          <w:p w14:paraId="75E2265B" w14:textId="77777777" w:rsidR="00954279" w:rsidRDefault="00A66714">
            <w:pPr>
              <w:rPr>
                <w:color w:val="000000"/>
                <w:sz w:val="20"/>
                <w:szCs w:val="20"/>
              </w:rPr>
            </w:pPr>
            <w:r>
              <w:rPr>
                <w:color w:val="000000"/>
                <w:sz w:val="20"/>
                <w:szCs w:val="20"/>
              </w:rPr>
              <w:t>Valves, automation, measurement and instrumentation</w:t>
            </w:r>
          </w:p>
        </w:tc>
        <w:tc>
          <w:tcPr>
            <w:tcW w:w="50" w:type="pct"/>
            <w:tcMar>
              <w:top w:w="5" w:type="dxa"/>
              <w:left w:w="5" w:type="dxa"/>
              <w:bottom w:w="5" w:type="dxa"/>
              <w:right w:w="5" w:type="dxa"/>
            </w:tcMar>
            <w:vAlign w:val="bottom"/>
            <w:hideMark/>
          </w:tcPr>
          <w:p w14:paraId="7FE67288"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6C4C6D0"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60BF9B3" w14:textId="77777777" w:rsidR="00954279" w:rsidRDefault="00A66714">
            <w:pPr>
              <w:jc w:val="right"/>
              <w:rPr>
                <w:color w:val="000000"/>
                <w:sz w:val="20"/>
                <w:szCs w:val="20"/>
              </w:rPr>
            </w:pPr>
            <w:r>
              <w:rPr>
                <w:b/>
                <w:bCs/>
                <w:color w:val="000000"/>
                <w:sz w:val="20"/>
                <w:szCs w:val="20"/>
              </w:rPr>
              <w:t>243</w:t>
            </w:r>
          </w:p>
        </w:tc>
        <w:tc>
          <w:tcPr>
            <w:tcW w:w="50" w:type="pct"/>
            <w:noWrap/>
            <w:tcMar>
              <w:top w:w="5" w:type="dxa"/>
              <w:left w:w="5" w:type="dxa"/>
              <w:bottom w:w="5" w:type="dxa"/>
              <w:right w:w="5" w:type="dxa"/>
            </w:tcMar>
            <w:vAlign w:val="bottom"/>
            <w:hideMark/>
          </w:tcPr>
          <w:p w14:paraId="1476FD3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3DD7290"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180C5A5"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42B21C8" w14:textId="77777777" w:rsidR="00954279" w:rsidRDefault="00A66714">
            <w:pPr>
              <w:jc w:val="right"/>
              <w:rPr>
                <w:color w:val="000000"/>
                <w:sz w:val="20"/>
                <w:szCs w:val="20"/>
              </w:rPr>
            </w:pPr>
            <w:r>
              <w:rPr>
                <w:color w:val="000000"/>
                <w:sz w:val="20"/>
                <w:szCs w:val="20"/>
              </w:rPr>
              <w:t>249</w:t>
            </w:r>
          </w:p>
        </w:tc>
        <w:tc>
          <w:tcPr>
            <w:tcW w:w="50" w:type="pct"/>
            <w:noWrap/>
            <w:tcMar>
              <w:top w:w="5" w:type="dxa"/>
              <w:left w:w="5" w:type="dxa"/>
              <w:bottom w:w="5" w:type="dxa"/>
              <w:right w:w="5" w:type="dxa"/>
            </w:tcMar>
            <w:vAlign w:val="bottom"/>
            <w:hideMark/>
          </w:tcPr>
          <w:p w14:paraId="15BBE381"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4138A47"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CACAB65"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7382738" w14:textId="77777777" w:rsidR="00954279" w:rsidRDefault="00A66714">
            <w:pPr>
              <w:jc w:val="right"/>
              <w:rPr>
                <w:color w:val="000000"/>
                <w:sz w:val="20"/>
                <w:szCs w:val="20"/>
              </w:rPr>
            </w:pPr>
            <w:r>
              <w:rPr>
                <w:b/>
                <w:bCs/>
                <w:color w:val="000000"/>
                <w:sz w:val="20"/>
                <w:szCs w:val="20"/>
              </w:rPr>
              <w:t>484</w:t>
            </w:r>
          </w:p>
        </w:tc>
        <w:tc>
          <w:tcPr>
            <w:tcW w:w="50" w:type="pct"/>
            <w:noWrap/>
            <w:tcMar>
              <w:top w:w="5" w:type="dxa"/>
              <w:left w:w="5" w:type="dxa"/>
              <w:bottom w:w="5" w:type="dxa"/>
              <w:right w:w="5" w:type="dxa"/>
            </w:tcMar>
            <w:vAlign w:val="bottom"/>
            <w:hideMark/>
          </w:tcPr>
          <w:p w14:paraId="70456DE7"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296199A"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360E4F7"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73C9E29" w14:textId="77777777" w:rsidR="00954279" w:rsidRDefault="00A66714">
            <w:pPr>
              <w:jc w:val="right"/>
              <w:rPr>
                <w:color w:val="000000"/>
                <w:sz w:val="20"/>
                <w:szCs w:val="20"/>
              </w:rPr>
            </w:pPr>
            <w:r>
              <w:rPr>
                <w:color w:val="000000"/>
                <w:sz w:val="20"/>
                <w:szCs w:val="20"/>
              </w:rPr>
              <w:t>572</w:t>
            </w:r>
          </w:p>
        </w:tc>
        <w:tc>
          <w:tcPr>
            <w:tcW w:w="50" w:type="pct"/>
            <w:noWrap/>
            <w:tcMar>
              <w:top w:w="5" w:type="dxa"/>
              <w:left w:w="5" w:type="dxa"/>
              <w:bottom w:w="5" w:type="dxa"/>
              <w:right w:w="5" w:type="dxa"/>
            </w:tcMar>
            <w:vAlign w:val="bottom"/>
            <w:hideMark/>
          </w:tcPr>
          <w:p w14:paraId="6B8C8134" w14:textId="77777777" w:rsidR="00954279" w:rsidRDefault="00A66714">
            <w:pPr>
              <w:rPr>
                <w:color w:val="000000"/>
                <w:sz w:val="20"/>
                <w:szCs w:val="20"/>
              </w:rPr>
            </w:pPr>
            <w:r>
              <w:rPr>
                <w:color w:val="000000"/>
                <w:sz w:val="20"/>
                <w:szCs w:val="20"/>
              </w:rPr>
              <w:t> </w:t>
            </w:r>
          </w:p>
        </w:tc>
      </w:tr>
      <w:tr w:rsidR="00954279" w14:paraId="69459440" w14:textId="77777777">
        <w:tc>
          <w:tcPr>
            <w:tcW w:w="0" w:type="auto"/>
            <w:tcMar>
              <w:top w:w="5" w:type="dxa"/>
              <w:left w:w="5" w:type="dxa"/>
              <w:bottom w:w="5" w:type="dxa"/>
              <w:right w:w="5" w:type="dxa"/>
            </w:tcMar>
            <w:vAlign w:val="bottom"/>
            <w:hideMark/>
          </w:tcPr>
          <w:p w14:paraId="723A7EE1" w14:textId="77777777" w:rsidR="00954279" w:rsidRDefault="00A66714">
            <w:pPr>
              <w:rPr>
                <w:color w:val="000000"/>
                <w:sz w:val="20"/>
                <w:szCs w:val="20"/>
              </w:rPr>
            </w:pPr>
            <w:r>
              <w:rPr>
                <w:color w:val="000000"/>
                <w:sz w:val="20"/>
                <w:szCs w:val="20"/>
              </w:rPr>
              <w:t>Gas products</w:t>
            </w:r>
          </w:p>
        </w:tc>
        <w:tc>
          <w:tcPr>
            <w:tcW w:w="50" w:type="pct"/>
            <w:tcMar>
              <w:top w:w="5" w:type="dxa"/>
              <w:left w:w="5" w:type="dxa"/>
              <w:bottom w:w="5" w:type="dxa"/>
              <w:right w:w="5" w:type="dxa"/>
            </w:tcMar>
            <w:vAlign w:val="bottom"/>
            <w:hideMark/>
          </w:tcPr>
          <w:p w14:paraId="49226A16"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84C9AA5"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DD57ED0" w14:textId="77777777" w:rsidR="00954279" w:rsidRDefault="00A66714">
            <w:pPr>
              <w:jc w:val="right"/>
              <w:rPr>
                <w:color w:val="000000"/>
                <w:sz w:val="20"/>
                <w:szCs w:val="20"/>
              </w:rPr>
            </w:pPr>
            <w:r>
              <w:rPr>
                <w:b/>
                <w:bCs/>
                <w:color w:val="000000"/>
                <w:sz w:val="20"/>
                <w:szCs w:val="20"/>
              </w:rPr>
              <w:t>162</w:t>
            </w:r>
          </w:p>
        </w:tc>
        <w:tc>
          <w:tcPr>
            <w:tcW w:w="50" w:type="pct"/>
            <w:noWrap/>
            <w:tcMar>
              <w:top w:w="5" w:type="dxa"/>
              <w:left w:w="5" w:type="dxa"/>
              <w:bottom w:w="5" w:type="dxa"/>
              <w:right w:w="5" w:type="dxa"/>
            </w:tcMar>
            <w:vAlign w:val="bottom"/>
            <w:hideMark/>
          </w:tcPr>
          <w:p w14:paraId="426EC75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EE2C713"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CFBF5A6"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90BC1A9" w14:textId="77777777" w:rsidR="00954279" w:rsidRDefault="00A66714">
            <w:pPr>
              <w:jc w:val="right"/>
              <w:rPr>
                <w:color w:val="000000"/>
                <w:sz w:val="20"/>
                <w:szCs w:val="20"/>
              </w:rPr>
            </w:pPr>
            <w:r>
              <w:rPr>
                <w:color w:val="000000"/>
                <w:sz w:val="20"/>
                <w:szCs w:val="20"/>
              </w:rPr>
              <w:t>114</w:t>
            </w:r>
          </w:p>
        </w:tc>
        <w:tc>
          <w:tcPr>
            <w:tcW w:w="50" w:type="pct"/>
            <w:noWrap/>
            <w:tcMar>
              <w:top w:w="5" w:type="dxa"/>
              <w:left w:w="5" w:type="dxa"/>
              <w:bottom w:w="5" w:type="dxa"/>
              <w:right w:w="5" w:type="dxa"/>
            </w:tcMar>
            <w:vAlign w:val="bottom"/>
            <w:hideMark/>
          </w:tcPr>
          <w:p w14:paraId="531160D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CBDCA7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80DECD5"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94395E6" w14:textId="77777777" w:rsidR="00954279" w:rsidRDefault="00A66714">
            <w:pPr>
              <w:jc w:val="right"/>
              <w:rPr>
                <w:color w:val="000000"/>
                <w:sz w:val="20"/>
                <w:szCs w:val="20"/>
              </w:rPr>
            </w:pPr>
            <w:r>
              <w:rPr>
                <w:b/>
                <w:bCs/>
                <w:color w:val="000000"/>
                <w:sz w:val="20"/>
                <w:szCs w:val="20"/>
              </w:rPr>
              <w:t>296</w:t>
            </w:r>
          </w:p>
        </w:tc>
        <w:tc>
          <w:tcPr>
            <w:tcW w:w="50" w:type="pct"/>
            <w:noWrap/>
            <w:tcMar>
              <w:top w:w="5" w:type="dxa"/>
              <w:left w:w="5" w:type="dxa"/>
              <w:bottom w:w="5" w:type="dxa"/>
              <w:right w:w="5" w:type="dxa"/>
            </w:tcMar>
            <w:vAlign w:val="bottom"/>
            <w:hideMark/>
          </w:tcPr>
          <w:p w14:paraId="40DA6F66"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6F0638A"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F27638D"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522D776" w14:textId="77777777" w:rsidR="00954279" w:rsidRDefault="00A66714">
            <w:pPr>
              <w:jc w:val="right"/>
              <w:rPr>
                <w:color w:val="000000"/>
                <w:sz w:val="20"/>
                <w:szCs w:val="20"/>
              </w:rPr>
            </w:pPr>
            <w:r>
              <w:rPr>
                <w:color w:val="000000"/>
                <w:sz w:val="20"/>
                <w:szCs w:val="20"/>
              </w:rPr>
              <w:t>248</w:t>
            </w:r>
          </w:p>
        </w:tc>
        <w:tc>
          <w:tcPr>
            <w:tcW w:w="50" w:type="pct"/>
            <w:noWrap/>
            <w:tcMar>
              <w:top w:w="5" w:type="dxa"/>
              <w:left w:w="5" w:type="dxa"/>
              <w:bottom w:w="5" w:type="dxa"/>
              <w:right w:w="5" w:type="dxa"/>
            </w:tcMar>
            <w:vAlign w:val="bottom"/>
            <w:hideMark/>
          </w:tcPr>
          <w:p w14:paraId="64B0AF65" w14:textId="77777777" w:rsidR="00954279" w:rsidRDefault="00A66714">
            <w:pPr>
              <w:rPr>
                <w:color w:val="000000"/>
                <w:sz w:val="20"/>
                <w:szCs w:val="20"/>
              </w:rPr>
            </w:pPr>
            <w:r>
              <w:rPr>
                <w:color w:val="000000"/>
                <w:sz w:val="20"/>
                <w:szCs w:val="20"/>
              </w:rPr>
              <w:t> </w:t>
            </w:r>
          </w:p>
        </w:tc>
      </w:tr>
      <w:tr w:rsidR="00954279" w14:paraId="5AC5B6FE" w14:textId="77777777">
        <w:tc>
          <w:tcPr>
            <w:tcW w:w="0" w:type="auto"/>
            <w:tcMar>
              <w:top w:w="5" w:type="dxa"/>
              <w:left w:w="5" w:type="dxa"/>
              <w:bottom w:w="5" w:type="dxa"/>
              <w:right w:w="5" w:type="dxa"/>
            </w:tcMar>
            <w:vAlign w:val="bottom"/>
            <w:hideMark/>
          </w:tcPr>
          <w:p w14:paraId="2D553DEF" w14:textId="77777777" w:rsidR="00954279" w:rsidRDefault="00A66714">
            <w:pPr>
              <w:rPr>
                <w:color w:val="000000"/>
                <w:sz w:val="20"/>
                <w:szCs w:val="20"/>
              </w:rPr>
            </w:pPr>
            <w:r>
              <w:rPr>
                <w:color w:val="000000"/>
                <w:sz w:val="20"/>
                <w:szCs w:val="20"/>
              </w:rPr>
              <w:t>Stainless steel and alloy pipe and fittings</w:t>
            </w:r>
          </w:p>
        </w:tc>
        <w:tc>
          <w:tcPr>
            <w:tcW w:w="50" w:type="pct"/>
            <w:tcMar>
              <w:top w:w="5" w:type="dxa"/>
              <w:left w:w="5" w:type="dxa"/>
              <w:bottom w:w="5" w:type="dxa"/>
              <w:right w:w="5" w:type="dxa"/>
            </w:tcMar>
            <w:vAlign w:val="bottom"/>
            <w:hideMark/>
          </w:tcPr>
          <w:p w14:paraId="3A35B5C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98B0608"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57334FA" w14:textId="77777777" w:rsidR="00954279" w:rsidRDefault="00A66714">
            <w:pPr>
              <w:jc w:val="right"/>
              <w:rPr>
                <w:color w:val="000000"/>
                <w:sz w:val="20"/>
                <w:szCs w:val="20"/>
              </w:rPr>
            </w:pPr>
            <w:r>
              <w:rPr>
                <w:b/>
                <w:bCs/>
                <w:color w:val="000000"/>
                <w:sz w:val="20"/>
                <w:szCs w:val="20"/>
              </w:rPr>
              <w:t>36</w:t>
            </w:r>
          </w:p>
        </w:tc>
        <w:tc>
          <w:tcPr>
            <w:tcW w:w="50" w:type="pct"/>
            <w:noWrap/>
            <w:tcMar>
              <w:top w:w="5" w:type="dxa"/>
              <w:left w:w="5" w:type="dxa"/>
              <w:bottom w:w="5" w:type="dxa"/>
              <w:right w:w="5" w:type="dxa"/>
            </w:tcMar>
            <w:vAlign w:val="bottom"/>
            <w:hideMark/>
          </w:tcPr>
          <w:p w14:paraId="4FC42D0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3FFD642"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8CB79B7"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1095638" w14:textId="77777777" w:rsidR="00954279" w:rsidRDefault="00A66714">
            <w:pPr>
              <w:jc w:val="right"/>
              <w:rPr>
                <w:color w:val="000000"/>
                <w:sz w:val="20"/>
                <w:szCs w:val="20"/>
              </w:rPr>
            </w:pPr>
            <w:r>
              <w:rPr>
                <w:color w:val="000000"/>
                <w:sz w:val="20"/>
                <w:szCs w:val="20"/>
              </w:rPr>
              <w:t>30</w:t>
            </w:r>
          </w:p>
        </w:tc>
        <w:tc>
          <w:tcPr>
            <w:tcW w:w="50" w:type="pct"/>
            <w:noWrap/>
            <w:tcMar>
              <w:top w:w="5" w:type="dxa"/>
              <w:left w:w="5" w:type="dxa"/>
              <w:bottom w:w="5" w:type="dxa"/>
              <w:right w:w="5" w:type="dxa"/>
            </w:tcMar>
            <w:vAlign w:val="bottom"/>
            <w:hideMark/>
          </w:tcPr>
          <w:p w14:paraId="4E3D7C2F"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7D1E8BF"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ADAC0C7"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5226084" w14:textId="77777777" w:rsidR="00954279" w:rsidRDefault="00A66714">
            <w:pPr>
              <w:jc w:val="right"/>
              <w:rPr>
                <w:color w:val="000000"/>
                <w:sz w:val="20"/>
                <w:szCs w:val="20"/>
              </w:rPr>
            </w:pPr>
            <w:r>
              <w:rPr>
                <w:b/>
                <w:bCs/>
                <w:color w:val="000000"/>
                <w:sz w:val="20"/>
                <w:szCs w:val="20"/>
              </w:rPr>
              <w:t>65</w:t>
            </w:r>
          </w:p>
        </w:tc>
        <w:tc>
          <w:tcPr>
            <w:tcW w:w="50" w:type="pct"/>
            <w:noWrap/>
            <w:tcMar>
              <w:top w:w="5" w:type="dxa"/>
              <w:left w:w="5" w:type="dxa"/>
              <w:bottom w:w="5" w:type="dxa"/>
              <w:right w:w="5" w:type="dxa"/>
            </w:tcMar>
            <w:vAlign w:val="bottom"/>
            <w:hideMark/>
          </w:tcPr>
          <w:p w14:paraId="42DD9A12"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A6C7097"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D2838B5"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B144827" w14:textId="77777777" w:rsidR="00954279" w:rsidRDefault="00A66714">
            <w:pPr>
              <w:jc w:val="right"/>
              <w:rPr>
                <w:color w:val="000000"/>
                <w:sz w:val="20"/>
                <w:szCs w:val="20"/>
              </w:rPr>
            </w:pPr>
            <w:r>
              <w:rPr>
                <w:color w:val="000000"/>
                <w:sz w:val="20"/>
                <w:szCs w:val="20"/>
              </w:rPr>
              <w:t>67</w:t>
            </w:r>
          </w:p>
        </w:tc>
        <w:tc>
          <w:tcPr>
            <w:tcW w:w="50" w:type="pct"/>
            <w:noWrap/>
            <w:tcMar>
              <w:top w:w="5" w:type="dxa"/>
              <w:left w:w="5" w:type="dxa"/>
              <w:bottom w:w="5" w:type="dxa"/>
              <w:right w:w="5" w:type="dxa"/>
            </w:tcMar>
            <w:vAlign w:val="bottom"/>
            <w:hideMark/>
          </w:tcPr>
          <w:p w14:paraId="6420D62F" w14:textId="77777777" w:rsidR="00954279" w:rsidRDefault="00A66714">
            <w:pPr>
              <w:rPr>
                <w:color w:val="000000"/>
                <w:sz w:val="20"/>
                <w:szCs w:val="20"/>
              </w:rPr>
            </w:pPr>
            <w:r>
              <w:rPr>
                <w:color w:val="000000"/>
                <w:sz w:val="20"/>
                <w:szCs w:val="20"/>
              </w:rPr>
              <w:t> </w:t>
            </w:r>
          </w:p>
        </w:tc>
      </w:tr>
      <w:tr w:rsidR="00954279" w14:paraId="61C5492E" w14:textId="77777777">
        <w:tc>
          <w:tcPr>
            <w:tcW w:w="0" w:type="auto"/>
            <w:tcMar>
              <w:top w:w="5" w:type="dxa"/>
              <w:left w:w="5" w:type="dxa"/>
              <w:bottom w:w="5" w:type="dxa"/>
              <w:right w:w="5" w:type="dxa"/>
            </w:tcMar>
            <w:vAlign w:val="bottom"/>
            <w:hideMark/>
          </w:tcPr>
          <w:p w14:paraId="6E0A1A05" w14:textId="77777777" w:rsidR="00954279" w:rsidRDefault="00A66714">
            <w:pPr>
              <w:rPr>
                <w:color w:val="000000"/>
                <w:sz w:val="20"/>
                <w:szCs w:val="20"/>
              </w:rPr>
            </w:pPr>
            <w:r>
              <w:rPr>
                <w:color w:val="000000"/>
                <w:sz w:val="20"/>
                <w:szCs w:val="20"/>
              </w:rPr>
              <w:t>General products</w:t>
            </w:r>
          </w:p>
        </w:tc>
        <w:tc>
          <w:tcPr>
            <w:tcW w:w="50" w:type="pct"/>
            <w:tcMar>
              <w:top w:w="5" w:type="dxa"/>
              <w:left w:w="5" w:type="dxa"/>
              <w:bottom w:w="5" w:type="dxa"/>
              <w:right w:w="5" w:type="dxa"/>
            </w:tcMar>
            <w:vAlign w:val="bottom"/>
            <w:hideMark/>
          </w:tcPr>
          <w:p w14:paraId="1495134D"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6123096"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72DECC7F" w14:textId="77777777" w:rsidR="00954279" w:rsidRDefault="00A66714">
            <w:pPr>
              <w:jc w:val="right"/>
              <w:rPr>
                <w:color w:val="000000"/>
                <w:sz w:val="20"/>
                <w:szCs w:val="20"/>
              </w:rPr>
            </w:pPr>
            <w:r>
              <w:rPr>
                <w:b/>
                <w:bCs/>
                <w:color w:val="000000"/>
                <w:sz w:val="20"/>
                <w:szCs w:val="20"/>
              </w:rPr>
              <w:t>57</w:t>
            </w:r>
          </w:p>
        </w:tc>
        <w:tc>
          <w:tcPr>
            <w:tcW w:w="50" w:type="pct"/>
            <w:noWrap/>
            <w:tcMar>
              <w:top w:w="5" w:type="dxa"/>
              <w:left w:w="5" w:type="dxa"/>
              <w:bottom w:w="20" w:type="dxa"/>
              <w:right w:w="5" w:type="dxa"/>
            </w:tcMar>
            <w:vAlign w:val="bottom"/>
            <w:hideMark/>
          </w:tcPr>
          <w:p w14:paraId="6858147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6158AC6"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3797F3B"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7712E833" w14:textId="77777777" w:rsidR="00954279" w:rsidRDefault="00A66714">
            <w:pPr>
              <w:jc w:val="right"/>
              <w:rPr>
                <w:color w:val="000000"/>
                <w:sz w:val="20"/>
                <w:szCs w:val="20"/>
              </w:rPr>
            </w:pPr>
            <w:r>
              <w:rPr>
                <w:color w:val="000000"/>
                <w:sz w:val="20"/>
                <w:szCs w:val="20"/>
              </w:rPr>
              <w:t>56</w:t>
            </w:r>
          </w:p>
        </w:tc>
        <w:tc>
          <w:tcPr>
            <w:tcW w:w="50" w:type="pct"/>
            <w:noWrap/>
            <w:tcMar>
              <w:top w:w="5" w:type="dxa"/>
              <w:left w:w="5" w:type="dxa"/>
              <w:bottom w:w="20" w:type="dxa"/>
              <w:right w:w="5" w:type="dxa"/>
            </w:tcMar>
            <w:vAlign w:val="bottom"/>
            <w:hideMark/>
          </w:tcPr>
          <w:p w14:paraId="2B62F0B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DB8ECC1"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A5F66E8"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08FB8E01" w14:textId="77777777" w:rsidR="00954279" w:rsidRDefault="00A66714">
            <w:pPr>
              <w:jc w:val="right"/>
              <w:rPr>
                <w:color w:val="000000"/>
                <w:sz w:val="20"/>
                <w:szCs w:val="20"/>
              </w:rPr>
            </w:pPr>
            <w:r>
              <w:rPr>
                <w:b/>
                <w:bCs/>
                <w:color w:val="000000"/>
                <w:sz w:val="20"/>
                <w:szCs w:val="20"/>
              </w:rPr>
              <w:t>112</w:t>
            </w:r>
          </w:p>
        </w:tc>
        <w:tc>
          <w:tcPr>
            <w:tcW w:w="50" w:type="pct"/>
            <w:noWrap/>
            <w:tcMar>
              <w:top w:w="5" w:type="dxa"/>
              <w:left w:w="5" w:type="dxa"/>
              <w:bottom w:w="20" w:type="dxa"/>
              <w:right w:w="5" w:type="dxa"/>
            </w:tcMar>
            <w:vAlign w:val="bottom"/>
            <w:hideMark/>
          </w:tcPr>
          <w:p w14:paraId="358366E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D104C2C"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546DEB2"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4ADA1AAB" w14:textId="77777777" w:rsidR="00954279" w:rsidRDefault="00A66714">
            <w:pPr>
              <w:jc w:val="right"/>
              <w:rPr>
                <w:color w:val="000000"/>
                <w:sz w:val="20"/>
                <w:szCs w:val="20"/>
              </w:rPr>
            </w:pPr>
            <w:r>
              <w:rPr>
                <w:color w:val="000000"/>
                <w:sz w:val="20"/>
                <w:szCs w:val="20"/>
              </w:rPr>
              <w:t>141</w:t>
            </w:r>
          </w:p>
        </w:tc>
        <w:tc>
          <w:tcPr>
            <w:tcW w:w="50" w:type="pct"/>
            <w:noWrap/>
            <w:tcMar>
              <w:top w:w="5" w:type="dxa"/>
              <w:left w:w="5" w:type="dxa"/>
              <w:bottom w:w="20" w:type="dxa"/>
              <w:right w:w="5" w:type="dxa"/>
            </w:tcMar>
            <w:vAlign w:val="bottom"/>
            <w:hideMark/>
          </w:tcPr>
          <w:p w14:paraId="2C3E0151" w14:textId="77777777" w:rsidR="00954279" w:rsidRDefault="00A66714">
            <w:pPr>
              <w:rPr>
                <w:color w:val="000000"/>
                <w:sz w:val="20"/>
                <w:szCs w:val="20"/>
              </w:rPr>
            </w:pPr>
            <w:r>
              <w:rPr>
                <w:color w:val="000000"/>
                <w:sz w:val="20"/>
                <w:szCs w:val="20"/>
              </w:rPr>
              <w:t> </w:t>
            </w:r>
          </w:p>
        </w:tc>
      </w:tr>
      <w:tr w:rsidR="00954279" w14:paraId="18853408" w14:textId="77777777">
        <w:tc>
          <w:tcPr>
            <w:tcW w:w="0" w:type="auto"/>
            <w:tcMar>
              <w:top w:w="5" w:type="dxa"/>
              <w:left w:w="5" w:type="dxa"/>
              <w:bottom w:w="5" w:type="dxa"/>
              <w:right w:w="5" w:type="dxa"/>
            </w:tcMar>
            <w:vAlign w:val="bottom"/>
            <w:hideMark/>
          </w:tcPr>
          <w:p w14:paraId="689551D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3725132"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3A1B0B3"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3D048C15" w14:textId="77777777" w:rsidR="00954279" w:rsidRDefault="00A66714">
            <w:pPr>
              <w:jc w:val="right"/>
              <w:rPr>
                <w:color w:val="000000"/>
                <w:sz w:val="20"/>
                <w:szCs w:val="20"/>
              </w:rPr>
            </w:pPr>
            <w:r>
              <w:rPr>
                <w:b/>
                <w:bCs/>
                <w:color w:val="000000"/>
                <w:sz w:val="20"/>
                <w:szCs w:val="20"/>
              </w:rPr>
              <w:t>686</w:t>
            </w:r>
          </w:p>
        </w:tc>
        <w:tc>
          <w:tcPr>
            <w:tcW w:w="50" w:type="pct"/>
            <w:noWrap/>
            <w:tcMar>
              <w:top w:w="5" w:type="dxa"/>
              <w:left w:w="5" w:type="dxa"/>
              <w:bottom w:w="50" w:type="dxa"/>
              <w:right w:w="5" w:type="dxa"/>
            </w:tcMar>
            <w:vAlign w:val="bottom"/>
            <w:hideMark/>
          </w:tcPr>
          <w:p w14:paraId="727EDF49"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848F5AC"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2058E97"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5A3C1F28" w14:textId="77777777" w:rsidR="00954279" w:rsidRDefault="00A66714">
            <w:pPr>
              <w:jc w:val="right"/>
              <w:rPr>
                <w:color w:val="000000"/>
                <w:sz w:val="20"/>
                <w:szCs w:val="20"/>
              </w:rPr>
            </w:pPr>
            <w:r>
              <w:rPr>
                <w:color w:val="000000"/>
                <w:sz w:val="20"/>
                <w:szCs w:val="20"/>
              </w:rPr>
              <w:t>602</w:t>
            </w:r>
          </w:p>
        </w:tc>
        <w:tc>
          <w:tcPr>
            <w:tcW w:w="50" w:type="pct"/>
            <w:noWrap/>
            <w:tcMar>
              <w:top w:w="5" w:type="dxa"/>
              <w:left w:w="5" w:type="dxa"/>
              <w:bottom w:w="50" w:type="dxa"/>
              <w:right w:w="5" w:type="dxa"/>
            </w:tcMar>
            <w:vAlign w:val="bottom"/>
            <w:hideMark/>
          </w:tcPr>
          <w:p w14:paraId="4F841560"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934E788"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DA31637"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1497EC3D" w14:textId="77777777" w:rsidR="00954279" w:rsidRDefault="00A66714">
            <w:pPr>
              <w:jc w:val="right"/>
              <w:rPr>
                <w:color w:val="000000"/>
                <w:sz w:val="20"/>
                <w:szCs w:val="20"/>
              </w:rPr>
            </w:pPr>
            <w:r>
              <w:rPr>
                <w:b/>
                <w:bCs/>
                <w:color w:val="000000"/>
                <w:sz w:val="20"/>
                <w:szCs w:val="20"/>
              </w:rPr>
              <w:t>1,295</w:t>
            </w:r>
          </w:p>
        </w:tc>
        <w:tc>
          <w:tcPr>
            <w:tcW w:w="50" w:type="pct"/>
            <w:noWrap/>
            <w:tcMar>
              <w:top w:w="5" w:type="dxa"/>
              <w:left w:w="5" w:type="dxa"/>
              <w:bottom w:w="50" w:type="dxa"/>
              <w:right w:w="5" w:type="dxa"/>
            </w:tcMar>
            <w:vAlign w:val="bottom"/>
            <w:hideMark/>
          </w:tcPr>
          <w:p w14:paraId="234E92B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8602771"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BD5D82B"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15D2B35A" w14:textId="77777777" w:rsidR="00954279" w:rsidRDefault="00A66714">
            <w:pPr>
              <w:jc w:val="right"/>
              <w:rPr>
                <w:color w:val="000000"/>
                <w:sz w:val="20"/>
                <w:szCs w:val="20"/>
              </w:rPr>
            </w:pPr>
            <w:r>
              <w:rPr>
                <w:color w:val="000000"/>
                <w:sz w:val="20"/>
                <w:szCs w:val="20"/>
              </w:rPr>
              <w:t>1,396</w:t>
            </w:r>
          </w:p>
        </w:tc>
        <w:tc>
          <w:tcPr>
            <w:tcW w:w="50" w:type="pct"/>
            <w:noWrap/>
            <w:tcMar>
              <w:top w:w="5" w:type="dxa"/>
              <w:left w:w="5" w:type="dxa"/>
              <w:bottom w:w="50" w:type="dxa"/>
              <w:right w:w="5" w:type="dxa"/>
            </w:tcMar>
            <w:vAlign w:val="bottom"/>
            <w:hideMark/>
          </w:tcPr>
          <w:p w14:paraId="4F375358" w14:textId="77777777" w:rsidR="00954279" w:rsidRDefault="00A66714">
            <w:pPr>
              <w:rPr>
                <w:color w:val="000000"/>
                <w:sz w:val="20"/>
                <w:szCs w:val="20"/>
              </w:rPr>
            </w:pPr>
            <w:r>
              <w:rPr>
                <w:color w:val="000000"/>
                <w:sz w:val="20"/>
                <w:szCs w:val="20"/>
              </w:rPr>
              <w:t> </w:t>
            </w:r>
          </w:p>
        </w:tc>
      </w:tr>
    </w:tbl>
    <w:p w14:paraId="4929E14F" w14:textId="77777777" w:rsidR="00954279" w:rsidRDefault="00A66714">
      <w:pPr>
        <w:ind w:left="144" w:right="144"/>
        <w:jc w:val="center"/>
        <w:rPr>
          <w:sz w:val="20"/>
          <w:szCs w:val="20"/>
        </w:rPr>
      </w:pPr>
      <w:r>
        <w:rPr>
          <w:sz w:val="20"/>
          <w:szCs w:val="20"/>
        </w:rPr>
        <w:t> </w:t>
      </w:r>
    </w:p>
    <w:p w14:paraId="66B57BB3" w14:textId="77777777" w:rsidR="00954279" w:rsidRDefault="00A66714">
      <w:pPr>
        <w:ind w:left="144" w:right="144"/>
        <w:jc w:val="center"/>
        <w:rPr>
          <w:sz w:val="20"/>
          <w:szCs w:val="20"/>
        </w:rPr>
      </w:pPr>
      <w:r>
        <w:rPr>
          <w:sz w:val="20"/>
          <w:szCs w:val="20"/>
        </w:rPr>
        <w:t>13</w:t>
      </w:r>
    </w:p>
    <w:p w14:paraId="5B57605C" w14:textId="77777777" w:rsidR="00954279" w:rsidRDefault="00A66714">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42189D90" w14:textId="77777777" w:rsidR="00954279" w:rsidRDefault="00A66714">
      <w:pPr>
        <w:ind w:left="144" w:right="144"/>
        <w:rPr>
          <w:sz w:val="20"/>
          <w:szCs w:val="20"/>
        </w:rPr>
      </w:pPr>
      <w:r>
        <w:rPr>
          <w:sz w:val="20"/>
          <w:szCs w:val="20"/>
        </w:rPr>
        <w:t> </w:t>
      </w:r>
    </w:p>
    <w:p w14:paraId="4561659E" w14:textId="77777777" w:rsidR="00954279" w:rsidRDefault="00A66714">
      <w:pPr>
        <w:ind w:left="144" w:right="144"/>
        <w:rPr>
          <w:sz w:val="20"/>
          <w:szCs w:val="20"/>
        </w:rPr>
      </w:pPr>
      <w:r>
        <w:rPr>
          <w:sz w:val="20"/>
          <w:szCs w:val="20"/>
        </w:rPr>
        <w:t> </w:t>
      </w:r>
    </w:p>
    <w:p w14:paraId="4484431A" w14:textId="77777777" w:rsidR="00954279" w:rsidRDefault="00A66714">
      <w:pPr>
        <w:ind w:left="144" w:right="144"/>
        <w:rPr>
          <w:sz w:val="20"/>
          <w:szCs w:val="20"/>
        </w:rPr>
      </w:pPr>
      <w:r>
        <w:rPr>
          <w:b/>
          <w:bCs/>
          <w:sz w:val="20"/>
          <w:szCs w:val="20"/>
          <w:u w:val="single"/>
        </w:rPr>
        <w:t>NOTE 10 – FAIR VALUE MEASUREMENTS</w:t>
      </w:r>
    </w:p>
    <w:p w14:paraId="210F1B15" w14:textId="77777777" w:rsidR="00954279" w:rsidRDefault="00A66714">
      <w:pPr>
        <w:ind w:left="144" w:right="144"/>
        <w:rPr>
          <w:sz w:val="20"/>
          <w:szCs w:val="20"/>
        </w:rPr>
      </w:pPr>
      <w:r>
        <w:rPr>
          <w:sz w:val="20"/>
          <w:szCs w:val="20"/>
        </w:rPr>
        <w:t> </w:t>
      </w:r>
    </w:p>
    <w:p w14:paraId="5B8EB7EA" w14:textId="77777777" w:rsidR="00954279" w:rsidRDefault="00A66714">
      <w:pPr>
        <w:ind w:left="144" w:right="144"/>
        <w:rPr>
          <w:sz w:val="20"/>
          <w:szCs w:val="20"/>
        </w:rPr>
      </w:pPr>
      <w:r>
        <w:rPr>
          <w:sz w:val="20"/>
          <w:szCs w:val="20"/>
        </w:rPr>
        <w:t>From time to time, we use derivative financial instruments to help manage our exposure to interest rate risk and fluctuations in foreign currencies.</w:t>
      </w:r>
    </w:p>
    <w:p w14:paraId="0D326A32" w14:textId="77777777" w:rsidR="00954279" w:rsidRDefault="00A66714">
      <w:pPr>
        <w:ind w:left="144" w:right="144"/>
        <w:rPr>
          <w:sz w:val="20"/>
          <w:szCs w:val="20"/>
        </w:rPr>
      </w:pPr>
      <w:r>
        <w:rPr>
          <w:sz w:val="20"/>
          <w:szCs w:val="20"/>
        </w:rPr>
        <w:t> </w:t>
      </w:r>
    </w:p>
    <w:p w14:paraId="6220C000" w14:textId="77777777" w:rsidR="00954279" w:rsidRDefault="00A66714">
      <w:pPr>
        <w:ind w:left="144" w:right="144"/>
        <w:rPr>
          <w:sz w:val="20"/>
          <w:szCs w:val="20"/>
        </w:rPr>
      </w:pPr>
      <w:r>
        <w:rPr>
          <w:b/>
          <w:bCs/>
          <w:sz w:val="20"/>
          <w:szCs w:val="20"/>
          <w:u w:val="single"/>
        </w:rPr>
        <w:t>Interest Rate Swap</w:t>
      </w:r>
      <w:r>
        <w:rPr>
          <w:b/>
          <w:bCs/>
          <w:sz w:val="20"/>
          <w:szCs w:val="20"/>
        </w:rPr>
        <w:t xml:space="preserve">: </w:t>
      </w:r>
      <w:r>
        <w:rPr>
          <w:sz w:val="20"/>
          <w:szCs w:val="20"/>
        </w:rPr>
        <w:t>In March 2018, we entered into a five year interest rate swap that became effective on March 31, 2018, with a notional amount of $250 million from which the Company will receive payments at 1-month LIBOR and make monthly payments at a fixed rate of 2.7145% with settlement and reset dates on or near the last business day of each month until maturity. The fair value of the swap at inception was zero.</w:t>
      </w:r>
    </w:p>
    <w:p w14:paraId="1D72B6EA" w14:textId="77777777" w:rsidR="00954279" w:rsidRDefault="00A66714">
      <w:pPr>
        <w:ind w:left="144" w:right="144"/>
        <w:rPr>
          <w:sz w:val="20"/>
          <w:szCs w:val="20"/>
        </w:rPr>
      </w:pPr>
      <w:r>
        <w:rPr>
          <w:sz w:val="20"/>
          <w:szCs w:val="20"/>
        </w:rPr>
        <w:t> </w:t>
      </w:r>
    </w:p>
    <w:p w14:paraId="54DFEC99" w14:textId="77777777" w:rsidR="00954279" w:rsidRDefault="00A66714">
      <w:pPr>
        <w:ind w:left="144" w:right="144"/>
        <w:rPr>
          <w:sz w:val="20"/>
          <w:szCs w:val="20"/>
        </w:rPr>
      </w:pPr>
      <w:r>
        <w:rPr>
          <w:sz w:val="20"/>
          <w:szCs w:val="20"/>
        </w:rPr>
        <w:t>We have designated the interest rate swap as an effective cash flow hedge utilizing the guidance under ASU 2017-12. As such, the valuation of the interest rate swap is recorded as an asset or liability, and the gain or loss on the derivative is recorded as a component of other comprehensive income. Interest rate swap agreements are reported on the accompanying balance sheets at fair value utilizing observable Level 2 inputs such as yield curves and other market-based factors. We obtain dealer quotations to value our interest rate swap agreements. The fair value of our interest rate swap is estimated based on the present value of the difference between expected cash flows calculated at the contracted interest rates and the expected cash flows at current market interest rates. The fair value of the interest rate swap was a liability of $11 million and $14 million as of June 30, 2021 and December 31, 2020, respectively.</w:t>
      </w:r>
    </w:p>
    <w:p w14:paraId="2D848F43" w14:textId="77777777" w:rsidR="00954279" w:rsidRDefault="00A66714">
      <w:pPr>
        <w:ind w:left="144" w:right="144"/>
        <w:rPr>
          <w:sz w:val="20"/>
          <w:szCs w:val="20"/>
        </w:rPr>
      </w:pPr>
      <w:r>
        <w:rPr>
          <w:sz w:val="20"/>
          <w:szCs w:val="20"/>
        </w:rPr>
        <w:t> </w:t>
      </w:r>
    </w:p>
    <w:p w14:paraId="5178C379" w14:textId="77777777" w:rsidR="00954279" w:rsidRDefault="00A66714">
      <w:pPr>
        <w:ind w:left="144" w:right="144"/>
        <w:rPr>
          <w:sz w:val="20"/>
          <w:szCs w:val="20"/>
        </w:rPr>
      </w:pPr>
      <w:r>
        <w:rPr>
          <w:b/>
          <w:bCs/>
          <w:sz w:val="20"/>
          <w:szCs w:val="20"/>
          <w:u w:val="single"/>
        </w:rPr>
        <w:t>Foreign Exchange Forward Contracts</w:t>
      </w:r>
      <w:r>
        <w:rPr>
          <w:b/>
          <w:bCs/>
          <w:sz w:val="20"/>
          <w:szCs w:val="20"/>
        </w:rPr>
        <w:t xml:space="preserve">: </w:t>
      </w:r>
      <w:r>
        <w:rPr>
          <w:sz w:val="20"/>
          <w:szCs w:val="20"/>
        </w:rPr>
        <w:t>Foreign exchange forward contracts are reported at fair value utilizing Level 2 inputs, as the fair value is based on broker quotes for the same or similar derivative instruments. Our foreign exchange derivative instruments are freestanding, have not been designated as hedges and, accordingly, changes in their fair market value are recorded in earnings. The total notional amount of our forward foreign exchange contracts and options was approximately $2 million and $3 million at June 30, 2021 and December 31, 2020, respectively. The fair value of our foreign exchange contracts was not material as of June 30, 2021 and December 31, 2020.</w:t>
      </w:r>
    </w:p>
    <w:p w14:paraId="20EFD366" w14:textId="77777777" w:rsidR="00954279" w:rsidRDefault="00A66714">
      <w:pPr>
        <w:ind w:left="144" w:right="144"/>
        <w:rPr>
          <w:sz w:val="20"/>
          <w:szCs w:val="20"/>
        </w:rPr>
      </w:pPr>
      <w:r>
        <w:rPr>
          <w:sz w:val="20"/>
          <w:szCs w:val="20"/>
        </w:rPr>
        <w:t> </w:t>
      </w:r>
    </w:p>
    <w:p w14:paraId="2B8DACC0" w14:textId="0EF0B191" w:rsidR="00954279" w:rsidRDefault="00A66714">
      <w:pPr>
        <w:ind w:left="144" w:right="144"/>
        <w:rPr>
          <w:sz w:val="20"/>
          <w:szCs w:val="20"/>
        </w:rPr>
      </w:pPr>
      <w:r>
        <w:rPr>
          <w:sz w:val="20"/>
          <w:szCs w:val="20"/>
        </w:rPr>
        <w:t>With the exception of long-term debt, the fair values of our financial instruments, including cash and cash equivalents, accounts receivable, trade accounts payable and accrued liabilities approximate carrying value. The carrying value of our debt was $297</w:t>
      </w:r>
      <w:r w:rsidR="007118B7">
        <w:rPr>
          <w:sz w:val="20"/>
          <w:szCs w:val="20"/>
        </w:rPr>
        <w:t> </w:t>
      </w:r>
      <w:r>
        <w:rPr>
          <w:sz w:val="20"/>
          <w:szCs w:val="20"/>
        </w:rPr>
        <w:t>million and $383 million at June 30, 2021 and December 31, 2020, respectively. We estimate the fair value of the Term Loan using Level 2 inputs, or quoted market prices. The fair value of our debt was $297 million and $372 million at June 30, 2021 and December 31, 2020 respectively.</w:t>
      </w:r>
    </w:p>
    <w:p w14:paraId="7528FA2B" w14:textId="77777777" w:rsidR="00954279" w:rsidRDefault="00A66714">
      <w:pPr>
        <w:ind w:left="144" w:right="144"/>
        <w:rPr>
          <w:sz w:val="20"/>
          <w:szCs w:val="20"/>
        </w:rPr>
      </w:pPr>
      <w:r>
        <w:rPr>
          <w:sz w:val="20"/>
          <w:szCs w:val="20"/>
        </w:rPr>
        <w:t> </w:t>
      </w:r>
    </w:p>
    <w:p w14:paraId="40123B35" w14:textId="77777777" w:rsidR="00954279" w:rsidRDefault="00A66714">
      <w:pPr>
        <w:ind w:left="144" w:right="144"/>
        <w:rPr>
          <w:sz w:val="20"/>
          <w:szCs w:val="20"/>
        </w:rPr>
      </w:pPr>
      <w:r>
        <w:rPr>
          <w:sz w:val="20"/>
          <w:szCs w:val="20"/>
        </w:rPr>
        <w:t> </w:t>
      </w:r>
    </w:p>
    <w:p w14:paraId="16763633" w14:textId="77777777" w:rsidR="00954279" w:rsidRDefault="00A66714">
      <w:pPr>
        <w:ind w:left="144" w:right="144"/>
        <w:rPr>
          <w:sz w:val="20"/>
          <w:szCs w:val="20"/>
        </w:rPr>
      </w:pPr>
      <w:r>
        <w:rPr>
          <w:b/>
          <w:bCs/>
          <w:sz w:val="20"/>
          <w:szCs w:val="20"/>
          <w:u w:val="single"/>
        </w:rPr>
        <w:t xml:space="preserve">NOTE 11 – COMMITMENTS AND CONTINGENCIES </w:t>
      </w:r>
    </w:p>
    <w:p w14:paraId="500A031D" w14:textId="77777777" w:rsidR="00954279" w:rsidRDefault="00A66714">
      <w:pPr>
        <w:ind w:left="144" w:right="144"/>
        <w:rPr>
          <w:sz w:val="20"/>
          <w:szCs w:val="20"/>
        </w:rPr>
      </w:pPr>
      <w:r>
        <w:rPr>
          <w:sz w:val="20"/>
          <w:szCs w:val="20"/>
        </w:rPr>
        <w:t> </w:t>
      </w:r>
    </w:p>
    <w:p w14:paraId="2B265F68" w14:textId="77777777" w:rsidR="00954279" w:rsidRDefault="00A66714">
      <w:pPr>
        <w:ind w:left="144" w:right="144"/>
        <w:rPr>
          <w:sz w:val="20"/>
          <w:szCs w:val="20"/>
        </w:rPr>
      </w:pPr>
      <w:r>
        <w:rPr>
          <w:b/>
          <w:bCs/>
          <w:i/>
          <w:iCs/>
          <w:sz w:val="20"/>
          <w:szCs w:val="20"/>
        </w:rPr>
        <w:t xml:space="preserve">Litigation </w:t>
      </w:r>
    </w:p>
    <w:p w14:paraId="7A26D386" w14:textId="77777777" w:rsidR="00954279" w:rsidRDefault="00A66714">
      <w:pPr>
        <w:ind w:left="144" w:right="144"/>
        <w:rPr>
          <w:sz w:val="20"/>
          <w:szCs w:val="20"/>
        </w:rPr>
      </w:pPr>
      <w:r>
        <w:rPr>
          <w:sz w:val="20"/>
          <w:szCs w:val="20"/>
        </w:rPr>
        <w:t> </w:t>
      </w:r>
    </w:p>
    <w:p w14:paraId="3E8DA51B" w14:textId="77777777" w:rsidR="00954279" w:rsidRDefault="00A66714">
      <w:pPr>
        <w:ind w:left="144" w:right="144"/>
        <w:rPr>
          <w:sz w:val="20"/>
          <w:szCs w:val="20"/>
        </w:rPr>
      </w:pPr>
      <w:r>
        <w:rPr>
          <w:i/>
          <w:iCs/>
          <w:sz w:val="20"/>
          <w:szCs w:val="20"/>
        </w:rPr>
        <w:t>Asbestos Claims.</w:t>
      </w:r>
      <w:r>
        <w:rPr>
          <w:sz w:val="20"/>
          <w:szCs w:val="20"/>
        </w:rPr>
        <w:t>  We are one of many defendants in lawsuits that plaintiffs have brought seeking damages for personal injuries that exposure to asbestos allegedly caused. Plaintiffs and their family members have brought these lawsuits against a large volume of defendant entities as a result of the defendants’ manufacture, distribution, supply or other involvement with asbestos, asbestos containing-products or equipment or activities that allegedly caused plaintiffs to be exposed to asbestos. These plaintiffs typically assert exposure to asbestos as a consequence of third-party manufactured products that our MRC Global (US) Inc. subsidiary purportedly distributed. As of June 30, 2021, we are named a defendant in approximately 586 lawsuits involving approximately 1,152 claims. No asbestos lawsuit has resulted in a judgment against us to date, with a majority being settled, dismissed or otherwise resolved. Applicable third-party insurance has substantially covered these claims, and insurance should continue to cover a substantial majority of existing and anticipated future claims. Accordingly, we have recorded a liability for our estimate of the most likely settlement of asserted claims and a related receivable from insurers for our estimated recovery, to the extent we believe that the amounts of recovery are probable. It is not possible to predict the outcome of these claims and proceedings. However, in our opinion, the likelihood that the ultimate disposition of any of these claims and legal proceedings will have a material adverse effect on our consolidated financial statements is remote.</w:t>
      </w:r>
    </w:p>
    <w:p w14:paraId="5B03C629" w14:textId="77777777" w:rsidR="00954279" w:rsidRDefault="00A66714">
      <w:pPr>
        <w:ind w:left="144" w:right="144"/>
        <w:rPr>
          <w:sz w:val="20"/>
          <w:szCs w:val="20"/>
        </w:rPr>
      </w:pPr>
      <w:r>
        <w:rPr>
          <w:sz w:val="20"/>
          <w:szCs w:val="20"/>
        </w:rPr>
        <w:t> </w:t>
      </w:r>
    </w:p>
    <w:p w14:paraId="3AD60C6E" w14:textId="77777777" w:rsidR="00954279" w:rsidRDefault="00A66714">
      <w:pPr>
        <w:ind w:left="144" w:right="144"/>
        <w:rPr>
          <w:sz w:val="20"/>
          <w:szCs w:val="20"/>
        </w:rPr>
      </w:pPr>
      <w:r>
        <w:rPr>
          <w:i/>
          <w:iCs/>
          <w:sz w:val="20"/>
          <w:szCs w:val="20"/>
        </w:rPr>
        <w:t>Other Legal Claims and Proceedings.</w:t>
      </w:r>
      <w:r>
        <w:rPr>
          <w:sz w:val="20"/>
          <w:szCs w:val="20"/>
        </w:rPr>
        <w:t>  From time to time, we have been subject to various claims and involved in legal proceedings incidental to the nature of our businesses. We maintain insurance coverage to reduce financial risk associated with certain of these claims and proceedings. It is not possible to predict the outcome of these claims and proceedings. However, in our opinion, the likelihood that the ultimate disposition of any of these claims and legal proceedings will have a material adverse effect on our consolidated financial statements is remote.</w:t>
      </w:r>
    </w:p>
    <w:p w14:paraId="40A7A344" w14:textId="77777777" w:rsidR="00954279" w:rsidRDefault="00A66714">
      <w:pPr>
        <w:ind w:left="144" w:right="144"/>
        <w:rPr>
          <w:sz w:val="20"/>
          <w:szCs w:val="20"/>
        </w:rPr>
      </w:pPr>
      <w:r>
        <w:rPr>
          <w:sz w:val="20"/>
          <w:szCs w:val="20"/>
        </w:rPr>
        <w:t> </w:t>
      </w:r>
    </w:p>
    <w:p w14:paraId="7F5A410A" w14:textId="77777777" w:rsidR="00954279" w:rsidRDefault="00A66714">
      <w:pPr>
        <w:ind w:left="144" w:right="144"/>
        <w:rPr>
          <w:sz w:val="20"/>
          <w:szCs w:val="20"/>
        </w:rPr>
      </w:pPr>
      <w:r>
        <w:rPr>
          <w:sz w:val="20"/>
          <w:szCs w:val="20"/>
        </w:rPr>
        <w:t> </w:t>
      </w:r>
    </w:p>
    <w:p w14:paraId="447E1558" w14:textId="77777777" w:rsidR="00954279" w:rsidRDefault="00A66714">
      <w:pPr>
        <w:ind w:left="144" w:right="144"/>
        <w:jc w:val="center"/>
        <w:rPr>
          <w:sz w:val="20"/>
          <w:szCs w:val="20"/>
        </w:rPr>
      </w:pPr>
      <w:r>
        <w:rPr>
          <w:sz w:val="20"/>
          <w:szCs w:val="20"/>
        </w:rPr>
        <w:t>14</w:t>
      </w:r>
    </w:p>
    <w:p w14:paraId="34059C6C" w14:textId="77777777" w:rsidR="00954279" w:rsidRDefault="00A66714">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253AFAE1" w14:textId="77777777" w:rsidR="00DB5415" w:rsidRDefault="00DB5415">
      <w:pPr>
        <w:ind w:left="144" w:right="144"/>
        <w:rPr>
          <w:i/>
          <w:iCs/>
          <w:sz w:val="20"/>
          <w:szCs w:val="20"/>
        </w:rPr>
      </w:pPr>
    </w:p>
    <w:p w14:paraId="564EB1B3" w14:textId="06D49A95" w:rsidR="00954279" w:rsidRDefault="00DB5415">
      <w:pPr>
        <w:ind w:left="144" w:right="144"/>
        <w:rPr>
          <w:sz w:val="20"/>
          <w:szCs w:val="20"/>
        </w:rPr>
      </w:pPr>
      <w:r>
        <w:rPr>
          <w:i/>
          <w:iCs/>
          <w:sz w:val="20"/>
          <w:szCs w:val="20"/>
        </w:rPr>
        <w:t>Product Claims.</w:t>
      </w:r>
      <w:r>
        <w:rPr>
          <w:sz w:val="20"/>
          <w:szCs w:val="20"/>
        </w:rPr>
        <w:t>  From time to time, in the ordinary course of our business, our customers may claim that the products that we distribute are either defective or require repair or replacement under warranties that either we or the manufacturer may provide to the customer. These proceedings are, in the opinion of management, ordinary and routine matters incidental to our normal business. Our purchase orders with our suppliers generally require the manufacturer to indemnify us against any product liability claims, leaving the manufacturer ultimately responsible for these claims. In many cases, state, provincial or foreign law provides protection to distributors for these sorts of claims, shifting the responsibility to the manufacturer. In some cases, we could be required to repair or replace the products for the benefit of our customer and seek our recovery from the manufacturer for our expense. In our opinion, the likelihood that the ultimate disposition of any of these claims and legal proceedings will have a material adverse effect on our consolidated financial statements is remote.</w:t>
      </w:r>
    </w:p>
    <w:p w14:paraId="68D37584" w14:textId="77777777" w:rsidR="00DB5415" w:rsidRDefault="00DB5415">
      <w:pPr>
        <w:ind w:left="144" w:right="144"/>
        <w:rPr>
          <w:sz w:val="20"/>
          <w:szCs w:val="20"/>
        </w:rPr>
      </w:pPr>
    </w:p>
    <w:p w14:paraId="24041165" w14:textId="77777777" w:rsidR="00954279" w:rsidRDefault="00A66714">
      <w:pPr>
        <w:ind w:left="144" w:right="144"/>
        <w:rPr>
          <w:sz w:val="20"/>
          <w:szCs w:val="20"/>
        </w:rPr>
      </w:pPr>
      <w:r>
        <w:rPr>
          <w:b/>
          <w:bCs/>
          <w:i/>
          <w:iCs/>
          <w:sz w:val="20"/>
          <w:szCs w:val="20"/>
        </w:rPr>
        <w:t>Customer Contracts</w:t>
      </w:r>
    </w:p>
    <w:p w14:paraId="4B1C22B6" w14:textId="77777777" w:rsidR="00954279" w:rsidRDefault="00A66714">
      <w:pPr>
        <w:ind w:left="144" w:right="144"/>
        <w:rPr>
          <w:sz w:val="20"/>
          <w:szCs w:val="20"/>
        </w:rPr>
      </w:pPr>
      <w:r>
        <w:rPr>
          <w:sz w:val="20"/>
          <w:szCs w:val="20"/>
        </w:rPr>
        <w:t> </w:t>
      </w:r>
    </w:p>
    <w:p w14:paraId="116C83DA" w14:textId="77777777" w:rsidR="00954279" w:rsidRDefault="00A66714">
      <w:pPr>
        <w:ind w:left="144" w:right="144"/>
        <w:rPr>
          <w:sz w:val="20"/>
          <w:szCs w:val="20"/>
        </w:rPr>
      </w:pPr>
      <w:r>
        <w:rPr>
          <w:sz w:val="20"/>
          <w:szCs w:val="20"/>
        </w:rPr>
        <w:t>We have contracts and agreements with many of our customers that dictate certain terms of our sales arrangements (pricing, deliverables, etc.). While we make every effort to abide by the terms of these contracts, certain provisions are complex and often subject to varying interpretations. Under the terms of these contracts, our customers have the right to audit our adherence to the contract terms. Historically, any settlements that have resulted from these customer audits have not been material to our consolidated financial statements.</w:t>
      </w:r>
    </w:p>
    <w:p w14:paraId="0B0AEC9C" w14:textId="77777777" w:rsidR="00954279" w:rsidRDefault="00A66714">
      <w:pPr>
        <w:ind w:left="144" w:right="144"/>
        <w:rPr>
          <w:sz w:val="20"/>
          <w:szCs w:val="20"/>
        </w:rPr>
      </w:pPr>
      <w:r>
        <w:rPr>
          <w:sz w:val="20"/>
          <w:szCs w:val="20"/>
        </w:rPr>
        <w:t> </w:t>
      </w:r>
    </w:p>
    <w:p w14:paraId="3D23C8CE" w14:textId="77777777" w:rsidR="00954279" w:rsidRDefault="00A66714">
      <w:pPr>
        <w:ind w:left="144" w:right="144"/>
        <w:rPr>
          <w:sz w:val="20"/>
          <w:szCs w:val="20"/>
        </w:rPr>
      </w:pPr>
      <w:r>
        <w:rPr>
          <w:b/>
          <w:bCs/>
          <w:i/>
          <w:iCs/>
          <w:sz w:val="20"/>
          <w:szCs w:val="20"/>
        </w:rPr>
        <w:t>Purchase Commitments</w:t>
      </w:r>
    </w:p>
    <w:p w14:paraId="20DB6027" w14:textId="77777777" w:rsidR="00954279" w:rsidRDefault="00A66714">
      <w:pPr>
        <w:ind w:left="144" w:right="144"/>
        <w:rPr>
          <w:sz w:val="20"/>
          <w:szCs w:val="20"/>
        </w:rPr>
      </w:pPr>
      <w:r>
        <w:rPr>
          <w:sz w:val="20"/>
          <w:szCs w:val="20"/>
        </w:rPr>
        <w:t> </w:t>
      </w:r>
    </w:p>
    <w:p w14:paraId="1B047F6D" w14:textId="77777777" w:rsidR="00954279" w:rsidRDefault="00A66714">
      <w:pPr>
        <w:ind w:left="144" w:right="144"/>
        <w:rPr>
          <w:sz w:val="20"/>
          <w:szCs w:val="20"/>
        </w:rPr>
      </w:pPr>
      <w:r>
        <w:rPr>
          <w:sz w:val="20"/>
          <w:szCs w:val="20"/>
        </w:rPr>
        <w:t>We have purchase obligations consisting primarily of inventory purchases made in the normal course of business to meet operating needs. While our vendors often allow us to cancel these purchase orders without penalty, in certain cases, cancellations may subject us to cancellation fees or penalties depending on the terms of the contract.</w:t>
      </w:r>
    </w:p>
    <w:p w14:paraId="16994879" w14:textId="77777777" w:rsidR="00954279" w:rsidRDefault="00A66714">
      <w:pPr>
        <w:ind w:left="144" w:right="144"/>
        <w:rPr>
          <w:sz w:val="20"/>
          <w:szCs w:val="20"/>
        </w:rPr>
      </w:pPr>
      <w:r>
        <w:rPr>
          <w:sz w:val="20"/>
          <w:szCs w:val="20"/>
        </w:rPr>
        <w:t> </w:t>
      </w:r>
    </w:p>
    <w:p w14:paraId="117E1590" w14:textId="77777777" w:rsidR="00954279" w:rsidRDefault="00A66714">
      <w:pPr>
        <w:ind w:left="144" w:right="144"/>
        <w:jc w:val="center"/>
        <w:rPr>
          <w:sz w:val="20"/>
          <w:szCs w:val="20"/>
        </w:rPr>
      </w:pPr>
      <w:r>
        <w:rPr>
          <w:sz w:val="20"/>
          <w:szCs w:val="20"/>
        </w:rPr>
        <w:t>15</w:t>
      </w:r>
    </w:p>
    <w:p w14:paraId="2D0DF35B" w14:textId="77777777" w:rsidR="00954279" w:rsidRDefault="00A66714">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0B3DACD3" w14:textId="77777777" w:rsidR="00954279" w:rsidRDefault="00A66714">
      <w:pPr>
        <w:ind w:left="144" w:right="144"/>
        <w:rPr>
          <w:sz w:val="20"/>
          <w:szCs w:val="20"/>
        </w:rPr>
      </w:pPr>
      <w:r>
        <w:rPr>
          <w:sz w:val="20"/>
          <w:szCs w:val="20"/>
        </w:rPr>
        <w:t> </w:t>
      </w:r>
    </w:p>
    <w:p w14:paraId="581BC80F" w14:textId="77777777" w:rsidR="00954279" w:rsidRDefault="00A66714">
      <w:pPr>
        <w:ind w:left="144" w:right="144"/>
        <w:rPr>
          <w:sz w:val="20"/>
          <w:szCs w:val="20"/>
        </w:rPr>
      </w:pPr>
      <w:r>
        <w:rPr>
          <w:sz w:val="20"/>
          <w:szCs w:val="20"/>
        </w:rPr>
        <w:t> </w:t>
      </w:r>
    </w:p>
    <w:p w14:paraId="3CD6C423" w14:textId="77777777" w:rsidR="00954279" w:rsidRDefault="00A66714">
      <w:pPr>
        <w:ind w:left="144" w:right="144"/>
        <w:rPr>
          <w:sz w:val="20"/>
          <w:szCs w:val="20"/>
        </w:rPr>
      </w:pPr>
      <w:bookmarkStart w:id="20" w:name="Item2_MDA"/>
      <w:bookmarkEnd w:id="20"/>
      <w:r>
        <w:rPr>
          <w:b/>
          <w:bCs/>
          <w:i/>
          <w:iCs/>
          <w:sz w:val="20"/>
          <w:szCs w:val="20"/>
        </w:rPr>
        <w:t>ITEM 2. MANAGEMENT’S DISCUSSION AND ANALYSIS OF FINANCIAL CONDITION AND RESULTS OF OPERATIONS</w:t>
      </w:r>
    </w:p>
    <w:p w14:paraId="162F40A5" w14:textId="77777777" w:rsidR="00954279" w:rsidRDefault="00A66714">
      <w:pPr>
        <w:ind w:left="144" w:right="144"/>
        <w:rPr>
          <w:sz w:val="20"/>
          <w:szCs w:val="20"/>
        </w:rPr>
      </w:pPr>
      <w:r>
        <w:rPr>
          <w:sz w:val="20"/>
          <w:szCs w:val="20"/>
        </w:rPr>
        <w:t> </w:t>
      </w:r>
    </w:p>
    <w:p w14:paraId="2DCFA9D2" w14:textId="77777777" w:rsidR="00954279" w:rsidRDefault="00A66714">
      <w:pPr>
        <w:ind w:left="144" w:right="144"/>
        <w:rPr>
          <w:sz w:val="20"/>
          <w:szCs w:val="20"/>
        </w:rPr>
      </w:pPr>
      <w:r>
        <w:rPr>
          <w:i/>
          <w:iCs/>
          <w:sz w:val="20"/>
          <w:szCs w:val="20"/>
        </w:rPr>
        <w:t xml:space="preserve">You should read the following discussion and analysis of our financial condition and results of operations in conjunction with our financial statements and related notes included elsewhere in this report. This discussion and analysis contains forward-looking statements that involve risks, uncertainties and assumptions. As used in this Form 10-Q, unless otherwise indicated or the context otherwise requires, all references to the “Company,” “MRC Global,” “we,” “our” or “us” refer to MRC Global Inc. and its consolidated subsidiaries. </w:t>
      </w:r>
    </w:p>
    <w:p w14:paraId="12B2B9C1" w14:textId="77777777" w:rsidR="00954279" w:rsidRDefault="00A66714">
      <w:pPr>
        <w:ind w:left="144" w:right="144"/>
        <w:rPr>
          <w:sz w:val="20"/>
          <w:szCs w:val="20"/>
        </w:rPr>
      </w:pPr>
      <w:r>
        <w:rPr>
          <w:sz w:val="20"/>
          <w:szCs w:val="20"/>
        </w:rPr>
        <w:t> </w:t>
      </w:r>
    </w:p>
    <w:p w14:paraId="6D8CDA22" w14:textId="77777777" w:rsidR="00954279" w:rsidRDefault="00A66714">
      <w:pPr>
        <w:ind w:left="144" w:right="144"/>
        <w:rPr>
          <w:sz w:val="20"/>
          <w:szCs w:val="20"/>
        </w:rPr>
      </w:pPr>
      <w:r>
        <w:rPr>
          <w:b/>
          <w:bCs/>
          <w:sz w:val="20"/>
          <w:szCs w:val="20"/>
        </w:rPr>
        <w:t>Cautionary Note Regarding Forward-Looking Statements</w:t>
      </w:r>
    </w:p>
    <w:p w14:paraId="4F992CF5" w14:textId="77777777" w:rsidR="00954279" w:rsidRDefault="00A66714">
      <w:pPr>
        <w:ind w:left="144" w:right="144"/>
        <w:rPr>
          <w:sz w:val="20"/>
          <w:szCs w:val="20"/>
        </w:rPr>
      </w:pPr>
      <w:r>
        <w:rPr>
          <w:sz w:val="20"/>
          <w:szCs w:val="20"/>
        </w:rPr>
        <w:t> </w:t>
      </w:r>
    </w:p>
    <w:p w14:paraId="425E8E57" w14:textId="77777777" w:rsidR="00954279" w:rsidRDefault="00A66714">
      <w:pPr>
        <w:ind w:left="144" w:right="144"/>
        <w:rPr>
          <w:sz w:val="20"/>
          <w:szCs w:val="20"/>
        </w:rPr>
      </w:pPr>
      <w:r>
        <w:rPr>
          <w:sz w:val="20"/>
          <w:szCs w:val="20"/>
        </w:rPr>
        <w:t>Management’s Discussion and Analysis of Financial Condition and Results of Operations (as well as other sections of this Quarterly Report on Form 10-Q) contain forward-looking statements</w:t>
      </w:r>
      <w:r>
        <w:rPr>
          <w:i/>
          <w:iCs/>
          <w:sz w:val="20"/>
          <w:szCs w:val="20"/>
        </w:rPr>
        <w:t xml:space="preserve"> </w:t>
      </w:r>
      <w:r>
        <w:rPr>
          <w:sz w:val="20"/>
          <w:szCs w:val="20"/>
        </w:rPr>
        <w:t>within the meaning of Section 27A of the Securities Act of 1933, as amended (the “Securities Act”), and Section 21E of the Securities Exchange Act of 1934, as amended (the “Exchange Act”). Forward-looking statements include those preceded by, followed by or including the words “will,” “expect,” “intended,” “anticipated,” “believe,” “project,” “forecast,” “propose,” “plan,” “estimate,” “enable” and similar expressions, including, for example, statements about our business strategy, our industry, our future profitability, growth in the industry sectors we serve, our expectations, beliefs, plans, strategies, objectives, prospects and assumptions, and estimates and projections of future activity and trends in the oil and natural gas industry. These forward-looking statements are not guarantees of future performance. These statements are based on management’s expectations that involve a number of business risks and uncertainties, any of which could cause actual results to differ materially from those expressed in or implied by the forward-looking statements. These statements involve known and unknown risks, uncertainties and other factors, most of which are difficult to predict and many of which are beyond our control, including the factors described under “Risk Factors,” that may cause our actual results and performance to be materially different from any future results or performance expressed or implied by these forward-looking statements. Such risks and uncertainties include, among other things:</w:t>
      </w:r>
    </w:p>
    <w:p w14:paraId="4087898E" w14:textId="77777777" w:rsidR="00954279" w:rsidRDefault="00A66714">
      <w:pPr>
        <w:ind w:left="1123" w:right="144" w:hanging="360"/>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954279" w14:paraId="7920332D" w14:textId="77777777">
        <w:tc>
          <w:tcPr>
            <w:tcW w:w="720" w:type="dxa"/>
            <w:tcMar>
              <w:top w:w="5" w:type="dxa"/>
              <w:left w:w="5" w:type="dxa"/>
              <w:bottom w:w="5" w:type="dxa"/>
              <w:right w:w="5" w:type="dxa"/>
            </w:tcMar>
            <w:hideMark/>
          </w:tcPr>
          <w:p w14:paraId="2AB4E048" w14:textId="77777777" w:rsidR="00954279" w:rsidRDefault="00A66714">
            <w:pPr>
              <w:rPr>
                <w:color w:val="000000"/>
              </w:rPr>
            </w:pPr>
            <w:r>
              <w:rPr>
                <w:color w:val="000000"/>
              </w:rPr>
              <w:t> </w:t>
            </w:r>
          </w:p>
        </w:tc>
        <w:tc>
          <w:tcPr>
            <w:tcW w:w="540" w:type="dxa"/>
            <w:tcMar>
              <w:top w:w="5" w:type="dxa"/>
              <w:left w:w="5" w:type="dxa"/>
              <w:bottom w:w="5" w:type="dxa"/>
              <w:right w:w="5" w:type="dxa"/>
            </w:tcMar>
            <w:hideMark/>
          </w:tcPr>
          <w:p w14:paraId="780CFFDF" w14:textId="77777777" w:rsidR="00954279" w:rsidRDefault="00A66714">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25C1066C" w14:textId="77777777" w:rsidR="00954279" w:rsidRDefault="00A66714">
            <w:pPr>
              <w:rPr>
                <w:color w:val="000000"/>
                <w:sz w:val="20"/>
                <w:szCs w:val="20"/>
              </w:rPr>
            </w:pPr>
            <w:r>
              <w:rPr>
                <w:color w:val="000000"/>
                <w:sz w:val="20"/>
                <w:szCs w:val="20"/>
              </w:rPr>
              <w:t>decreases in oil and natural gas prices;</w:t>
            </w:r>
          </w:p>
        </w:tc>
      </w:tr>
    </w:tbl>
    <w:p w14:paraId="63582C4C" w14:textId="77777777" w:rsidR="00954279" w:rsidRDefault="0095427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954279" w14:paraId="3C5DEEF1" w14:textId="77777777">
        <w:tc>
          <w:tcPr>
            <w:tcW w:w="720" w:type="dxa"/>
            <w:tcMar>
              <w:top w:w="5" w:type="dxa"/>
              <w:left w:w="5" w:type="dxa"/>
              <w:bottom w:w="5" w:type="dxa"/>
              <w:right w:w="5" w:type="dxa"/>
            </w:tcMar>
            <w:hideMark/>
          </w:tcPr>
          <w:p w14:paraId="48A84FA1" w14:textId="77777777" w:rsidR="00954279" w:rsidRDefault="00A66714">
            <w:pPr>
              <w:rPr>
                <w:color w:val="000000"/>
              </w:rPr>
            </w:pPr>
            <w:r>
              <w:rPr>
                <w:color w:val="000000"/>
              </w:rPr>
              <w:t> </w:t>
            </w:r>
          </w:p>
        </w:tc>
        <w:tc>
          <w:tcPr>
            <w:tcW w:w="540" w:type="dxa"/>
            <w:tcMar>
              <w:top w:w="5" w:type="dxa"/>
              <w:left w:w="5" w:type="dxa"/>
              <w:bottom w:w="5" w:type="dxa"/>
              <w:right w:w="5" w:type="dxa"/>
            </w:tcMar>
            <w:hideMark/>
          </w:tcPr>
          <w:p w14:paraId="7C039C2A" w14:textId="77777777" w:rsidR="00954279" w:rsidRDefault="00A66714">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318AFECE" w14:textId="77777777" w:rsidR="00954279" w:rsidRDefault="00A66714">
            <w:pPr>
              <w:rPr>
                <w:color w:val="000000"/>
                <w:sz w:val="20"/>
                <w:szCs w:val="20"/>
              </w:rPr>
            </w:pPr>
            <w:r>
              <w:rPr>
                <w:color w:val="000000"/>
                <w:sz w:val="20"/>
                <w:szCs w:val="20"/>
              </w:rPr>
              <w:t>decreases in oil and natural gas industry expenditure levels, which may result from decreased oil and natural gas prices or other factors;</w:t>
            </w:r>
          </w:p>
        </w:tc>
      </w:tr>
    </w:tbl>
    <w:p w14:paraId="7AA45FAD" w14:textId="77777777" w:rsidR="00954279" w:rsidRDefault="0095427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954279" w14:paraId="58614EB4" w14:textId="77777777">
        <w:tc>
          <w:tcPr>
            <w:tcW w:w="720" w:type="dxa"/>
            <w:tcMar>
              <w:top w:w="5" w:type="dxa"/>
              <w:left w:w="5" w:type="dxa"/>
              <w:bottom w:w="5" w:type="dxa"/>
              <w:right w:w="5" w:type="dxa"/>
            </w:tcMar>
            <w:hideMark/>
          </w:tcPr>
          <w:p w14:paraId="0EF75EAC" w14:textId="77777777" w:rsidR="00954279" w:rsidRDefault="00A66714">
            <w:pPr>
              <w:rPr>
                <w:color w:val="000000"/>
              </w:rPr>
            </w:pPr>
            <w:r>
              <w:rPr>
                <w:color w:val="000000"/>
              </w:rPr>
              <w:t> </w:t>
            </w:r>
          </w:p>
        </w:tc>
        <w:tc>
          <w:tcPr>
            <w:tcW w:w="540" w:type="dxa"/>
            <w:tcMar>
              <w:top w:w="5" w:type="dxa"/>
              <w:left w:w="5" w:type="dxa"/>
              <w:bottom w:w="5" w:type="dxa"/>
              <w:right w:w="5" w:type="dxa"/>
            </w:tcMar>
            <w:hideMark/>
          </w:tcPr>
          <w:p w14:paraId="42F79279" w14:textId="77777777" w:rsidR="00954279" w:rsidRDefault="00A66714">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2EBB0952" w14:textId="77777777" w:rsidR="00954279" w:rsidRDefault="00A66714">
            <w:pPr>
              <w:rPr>
                <w:color w:val="000000"/>
                <w:sz w:val="20"/>
                <w:szCs w:val="20"/>
              </w:rPr>
            </w:pPr>
            <w:r>
              <w:rPr>
                <w:color w:val="000000"/>
                <w:sz w:val="20"/>
                <w:szCs w:val="20"/>
              </w:rPr>
              <w:t>U.S. and international general economic conditions;</w:t>
            </w:r>
          </w:p>
        </w:tc>
      </w:tr>
    </w:tbl>
    <w:p w14:paraId="281526E9" w14:textId="77777777" w:rsidR="00954279" w:rsidRDefault="0095427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954279" w14:paraId="5C97A080" w14:textId="77777777">
        <w:tc>
          <w:tcPr>
            <w:tcW w:w="720" w:type="dxa"/>
            <w:tcMar>
              <w:top w:w="5" w:type="dxa"/>
              <w:left w:w="5" w:type="dxa"/>
              <w:bottom w:w="5" w:type="dxa"/>
              <w:right w:w="5" w:type="dxa"/>
            </w:tcMar>
            <w:hideMark/>
          </w:tcPr>
          <w:p w14:paraId="4E82721D" w14:textId="77777777" w:rsidR="00954279" w:rsidRDefault="00A66714">
            <w:pPr>
              <w:rPr>
                <w:color w:val="000000"/>
              </w:rPr>
            </w:pPr>
            <w:r>
              <w:rPr>
                <w:color w:val="000000"/>
              </w:rPr>
              <w:t> </w:t>
            </w:r>
          </w:p>
        </w:tc>
        <w:tc>
          <w:tcPr>
            <w:tcW w:w="540" w:type="dxa"/>
            <w:tcMar>
              <w:top w:w="5" w:type="dxa"/>
              <w:left w:w="5" w:type="dxa"/>
              <w:bottom w:w="5" w:type="dxa"/>
              <w:right w:w="5" w:type="dxa"/>
            </w:tcMar>
            <w:hideMark/>
          </w:tcPr>
          <w:p w14:paraId="7D60A896" w14:textId="77777777" w:rsidR="00954279" w:rsidRDefault="00A66714">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00306B79" w14:textId="77777777" w:rsidR="00954279" w:rsidRDefault="00A66714">
            <w:pPr>
              <w:rPr>
                <w:color w:val="000000"/>
                <w:sz w:val="20"/>
                <w:szCs w:val="20"/>
              </w:rPr>
            </w:pPr>
            <w:r>
              <w:rPr>
                <w:color w:val="000000"/>
                <w:sz w:val="20"/>
                <w:szCs w:val="20"/>
              </w:rPr>
              <w:t>our ability to compete successfully with other companies in our industry;</w:t>
            </w:r>
          </w:p>
        </w:tc>
      </w:tr>
    </w:tbl>
    <w:p w14:paraId="3FF53A66" w14:textId="77777777" w:rsidR="00954279" w:rsidRDefault="0095427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954279" w14:paraId="0FBC2596" w14:textId="77777777">
        <w:tc>
          <w:tcPr>
            <w:tcW w:w="720" w:type="dxa"/>
            <w:tcMar>
              <w:top w:w="5" w:type="dxa"/>
              <w:left w:w="5" w:type="dxa"/>
              <w:bottom w:w="5" w:type="dxa"/>
              <w:right w:w="5" w:type="dxa"/>
            </w:tcMar>
            <w:hideMark/>
          </w:tcPr>
          <w:p w14:paraId="3DCE327F" w14:textId="77777777" w:rsidR="00954279" w:rsidRDefault="00A66714">
            <w:pPr>
              <w:rPr>
                <w:color w:val="000000"/>
              </w:rPr>
            </w:pPr>
            <w:r>
              <w:rPr>
                <w:color w:val="000000"/>
              </w:rPr>
              <w:t> </w:t>
            </w:r>
          </w:p>
        </w:tc>
        <w:tc>
          <w:tcPr>
            <w:tcW w:w="540" w:type="dxa"/>
            <w:tcMar>
              <w:top w:w="5" w:type="dxa"/>
              <w:left w:w="5" w:type="dxa"/>
              <w:bottom w:w="5" w:type="dxa"/>
              <w:right w:w="5" w:type="dxa"/>
            </w:tcMar>
            <w:hideMark/>
          </w:tcPr>
          <w:p w14:paraId="2A740B01" w14:textId="77777777" w:rsidR="00954279" w:rsidRDefault="00A66714">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40D6E92C" w14:textId="77777777" w:rsidR="00954279" w:rsidRDefault="00A66714">
            <w:pPr>
              <w:rPr>
                <w:color w:val="000000"/>
                <w:sz w:val="20"/>
                <w:szCs w:val="20"/>
              </w:rPr>
            </w:pPr>
            <w:r>
              <w:rPr>
                <w:color w:val="000000"/>
                <w:sz w:val="20"/>
                <w:szCs w:val="20"/>
              </w:rPr>
              <w:t>the risk that manufacturers of the products we distribute will sell a substantial amount of goods directly to end users in the industry sectors we serve;</w:t>
            </w:r>
          </w:p>
        </w:tc>
      </w:tr>
    </w:tbl>
    <w:p w14:paraId="3FFAB4D9" w14:textId="77777777" w:rsidR="00954279" w:rsidRDefault="0095427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954279" w14:paraId="5C5B86E9" w14:textId="77777777">
        <w:tc>
          <w:tcPr>
            <w:tcW w:w="720" w:type="dxa"/>
            <w:tcMar>
              <w:top w:w="5" w:type="dxa"/>
              <w:left w:w="5" w:type="dxa"/>
              <w:bottom w:w="5" w:type="dxa"/>
              <w:right w:w="5" w:type="dxa"/>
            </w:tcMar>
            <w:hideMark/>
          </w:tcPr>
          <w:p w14:paraId="0FF8BC01" w14:textId="77777777" w:rsidR="00954279" w:rsidRDefault="00A66714">
            <w:pPr>
              <w:rPr>
                <w:color w:val="000000"/>
              </w:rPr>
            </w:pPr>
            <w:r>
              <w:rPr>
                <w:color w:val="000000"/>
              </w:rPr>
              <w:t> </w:t>
            </w:r>
          </w:p>
        </w:tc>
        <w:tc>
          <w:tcPr>
            <w:tcW w:w="540" w:type="dxa"/>
            <w:tcMar>
              <w:top w:w="5" w:type="dxa"/>
              <w:left w:w="5" w:type="dxa"/>
              <w:bottom w:w="5" w:type="dxa"/>
              <w:right w:w="5" w:type="dxa"/>
            </w:tcMar>
            <w:hideMark/>
          </w:tcPr>
          <w:p w14:paraId="54513DAA" w14:textId="77777777" w:rsidR="00954279" w:rsidRDefault="00A66714">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4BB791A7" w14:textId="77777777" w:rsidR="00954279" w:rsidRDefault="00A66714">
            <w:pPr>
              <w:rPr>
                <w:color w:val="000000"/>
                <w:sz w:val="20"/>
                <w:szCs w:val="20"/>
              </w:rPr>
            </w:pPr>
            <w:r>
              <w:rPr>
                <w:color w:val="000000"/>
                <w:sz w:val="20"/>
                <w:szCs w:val="20"/>
              </w:rPr>
              <w:t>unexpected supply shortages;</w:t>
            </w:r>
          </w:p>
        </w:tc>
      </w:tr>
    </w:tbl>
    <w:p w14:paraId="3E539148" w14:textId="77777777" w:rsidR="00954279" w:rsidRDefault="0095427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954279" w14:paraId="673E6E96" w14:textId="77777777">
        <w:tc>
          <w:tcPr>
            <w:tcW w:w="720" w:type="dxa"/>
            <w:tcMar>
              <w:top w:w="5" w:type="dxa"/>
              <w:left w:w="5" w:type="dxa"/>
              <w:bottom w:w="5" w:type="dxa"/>
              <w:right w:w="5" w:type="dxa"/>
            </w:tcMar>
            <w:hideMark/>
          </w:tcPr>
          <w:p w14:paraId="26F93B91" w14:textId="77777777" w:rsidR="00954279" w:rsidRDefault="00A66714">
            <w:pPr>
              <w:rPr>
                <w:color w:val="000000"/>
              </w:rPr>
            </w:pPr>
            <w:r>
              <w:rPr>
                <w:color w:val="000000"/>
              </w:rPr>
              <w:t> </w:t>
            </w:r>
          </w:p>
        </w:tc>
        <w:tc>
          <w:tcPr>
            <w:tcW w:w="540" w:type="dxa"/>
            <w:tcMar>
              <w:top w:w="5" w:type="dxa"/>
              <w:left w:w="5" w:type="dxa"/>
              <w:bottom w:w="5" w:type="dxa"/>
              <w:right w:w="5" w:type="dxa"/>
            </w:tcMar>
            <w:hideMark/>
          </w:tcPr>
          <w:p w14:paraId="426EFD4C" w14:textId="77777777" w:rsidR="00954279" w:rsidRDefault="00A66714">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36F81B5C" w14:textId="77777777" w:rsidR="00954279" w:rsidRDefault="00A66714">
            <w:pPr>
              <w:rPr>
                <w:color w:val="000000"/>
                <w:sz w:val="20"/>
                <w:szCs w:val="20"/>
              </w:rPr>
            </w:pPr>
            <w:r>
              <w:rPr>
                <w:color w:val="000000"/>
                <w:sz w:val="20"/>
                <w:szCs w:val="20"/>
              </w:rPr>
              <w:t>cost increases by our suppliers;</w:t>
            </w:r>
          </w:p>
        </w:tc>
      </w:tr>
    </w:tbl>
    <w:p w14:paraId="61256C59" w14:textId="77777777" w:rsidR="00954279" w:rsidRDefault="0095427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954279" w14:paraId="1F0F027D" w14:textId="77777777">
        <w:tc>
          <w:tcPr>
            <w:tcW w:w="720" w:type="dxa"/>
            <w:tcMar>
              <w:top w:w="5" w:type="dxa"/>
              <w:left w:w="5" w:type="dxa"/>
              <w:bottom w:w="5" w:type="dxa"/>
              <w:right w:w="5" w:type="dxa"/>
            </w:tcMar>
            <w:hideMark/>
          </w:tcPr>
          <w:p w14:paraId="73BA75D5" w14:textId="77777777" w:rsidR="00954279" w:rsidRDefault="00A66714">
            <w:pPr>
              <w:rPr>
                <w:color w:val="000000"/>
              </w:rPr>
            </w:pPr>
            <w:r>
              <w:rPr>
                <w:color w:val="000000"/>
              </w:rPr>
              <w:t> </w:t>
            </w:r>
          </w:p>
        </w:tc>
        <w:tc>
          <w:tcPr>
            <w:tcW w:w="540" w:type="dxa"/>
            <w:tcMar>
              <w:top w:w="5" w:type="dxa"/>
              <w:left w:w="5" w:type="dxa"/>
              <w:bottom w:w="5" w:type="dxa"/>
              <w:right w:w="5" w:type="dxa"/>
            </w:tcMar>
            <w:hideMark/>
          </w:tcPr>
          <w:p w14:paraId="534774F9" w14:textId="77777777" w:rsidR="00954279" w:rsidRDefault="00A66714">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775F5363" w14:textId="77777777" w:rsidR="00954279" w:rsidRDefault="00A66714">
            <w:pPr>
              <w:rPr>
                <w:color w:val="000000"/>
                <w:sz w:val="20"/>
                <w:szCs w:val="20"/>
              </w:rPr>
            </w:pPr>
            <w:r>
              <w:rPr>
                <w:color w:val="000000"/>
                <w:sz w:val="20"/>
                <w:szCs w:val="20"/>
              </w:rPr>
              <w:t>our lack of long-term contracts with most of our suppliers;</w:t>
            </w:r>
          </w:p>
        </w:tc>
      </w:tr>
    </w:tbl>
    <w:p w14:paraId="1DDF4343" w14:textId="77777777" w:rsidR="00954279" w:rsidRDefault="0095427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954279" w14:paraId="400026E9" w14:textId="77777777">
        <w:tc>
          <w:tcPr>
            <w:tcW w:w="720" w:type="dxa"/>
            <w:tcMar>
              <w:top w:w="5" w:type="dxa"/>
              <w:left w:w="5" w:type="dxa"/>
              <w:bottom w:w="5" w:type="dxa"/>
              <w:right w:w="5" w:type="dxa"/>
            </w:tcMar>
            <w:hideMark/>
          </w:tcPr>
          <w:p w14:paraId="1924309E" w14:textId="77777777" w:rsidR="00954279" w:rsidRDefault="00A66714">
            <w:pPr>
              <w:rPr>
                <w:color w:val="000000"/>
              </w:rPr>
            </w:pPr>
            <w:r>
              <w:rPr>
                <w:color w:val="000000"/>
              </w:rPr>
              <w:t> </w:t>
            </w:r>
          </w:p>
        </w:tc>
        <w:tc>
          <w:tcPr>
            <w:tcW w:w="540" w:type="dxa"/>
            <w:tcMar>
              <w:top w:w="5" w:type="dxa"/>
              <w:left w:w="5" w:type="dxa"/>
              <w:bottom w:w="5" w:type="dxa"/>
              <w:right w:w="5" w:type="dxa"/>
            </w:tcMar>
            <w:hideMark/>
          </w:tcPr>
          <w:p w14:paraId="1C69D79F" w14:textId="77777777" w:rsidR="00954279" w:rsidRDefault="00A66714">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2381A769" w14:textId="77777777" w:rsidR="00954279" w:rsidRDefault="00A66714">
            <w:pPr>
              <w:rPr>
                <w:color w:val="000000"/>
                <w:sz w:val="20"/>
                <w:szCs w:val="20"/>
              </w:rPr>
            </w:pPr>
            <w:r>
              <w:rPr>
                <w:color w:val="000000"/>
                <w:sz w:val="20"/>
                <w:szCs w:val="20"/>
              </w:rPr>
              <w:t>suppliers’ price reductions of products that we sell, which could cause the value of our inventory to decline;</w:t>
            </w:r>
          </w:p>
        </w:tc>
      </w:tr>
    </w:tbl>
    <w:p w14:paraId="60E18239" w14:textId="77777777" w:rsidR="00954279" w:rsidRDefault="0095427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954279" w14:paraId="09963ADD" w14:textId="77777777">
        <w:tc>
          <w:tcPr>
            <w:tcW w:w="720" w:type="dxa"/>
            <w:tcMar>
              <w:top w:w="5" w:type="dxa"/>
              <w:left w:w="5" w:type="dxa"/>
              <w:bottom w:w="5" w:type="dxa"/>
              <w:right w:w="5" w:type="dxa"/>
            </w:tcMar>
            <w:hideMark/>
          </w:tcPr>
          <w:p w14:paraId="464DACC8" w14:textId="77777777" w:rsidR="00954279" w:rsidRDefault="00A66714">
            <w:pPr>
              <w:rPr>
                <w:color w:val="000000"/>
              </w:rPr>
            </w:pPr>
            <w:r>
              <w:rPr>
                <w:color w:val="000000"/>
              </w:rPr>
              <w:t> </w:t>
            </w:r>
          </w:p>
        </w:tc>
        <w:tc>
          <w:tcPr>
            <w:tcW w:w="540" w:type="dxa"/>
            <w:tcMar>
              <w:top w:w="5" w:type="dxa"/>
              <w:left w:w="5" w:type="dxa"/>
              <w:bottom w:w="5" w:type="dxa"/>
              <w:right w:w="5" w:type="dxa"/>
            </w:tcMar>
            <w:hideMark/>
          </w:tcPr>
          <w:p w14:paraId="2CEA59F6" w14:textId="77777777" w:rsidR="00954279" w:rsidRDefault="00A66714">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3589FC06" w14:textId="77777777" w:rsidR="00954279" w:rsidRDefault="00A66714">
            <w:pPr>
              <w:rPr>
                <w:color w:val="000000"/>
                <w:sz w:val="20"/>
                <w:szCs w:val="20"/>
              </w:rPr>
            </w:pPr>
            <w:r>
              <w:rPr>
                <w:color w:val="000000"/>
                <w:sz w:val="20"/>
                <w:szCs w:val="20"/>
              </w:rPr>
              <w:t>decreases in steel prices, which could significantly lower our profit;</w:t>
            </w:r>
          </w:p>
        </w:tc>
      </w:tr>
    </w:tbl>
    <w:p w14:paraId="635CEB1A" w14:textId="77777777" w:rsidR="00954279" w:rsidRDefault="0095427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954279" w14:paraId="4A4307EE" w14:textId="77777777">
        <w:tc>
          <w:tcPr>
            <w:tcW w:w="720" w:type="dxa"/>
            <w:tcMar>
              <w:top w:w="5" w:type="dxa"/>
              <w:left w:w="5" w:type="dxa"/>
              <w:bottom w:w="5" w:type="dxa"/>
              <w:right w:w="5" w:type="dxa"/>
            </w:tcMar>
            <w:hideMark/>
          </w:tcPr>
          <w:p w14:paraId="7EB434D6" w14:textId="77777777" w:rsidR="00954279" w:rsidRDefault="00A66714">
            <w:pPr>
              <w:rPr>
                <w:color w:val="000000"/>
              </w:rPr>
            </w:pPr>
            <w:r>
              <w:rPr>
                <w:color w:val="000000"/>
              </w:rPr>
              <w:t> </w:t>
            </w:r>
          </w:p>
        </w:tc>
        <w:tc>
          <w:tcPr>
            <w:tcW w:w="540" w:type="dxa"/>
            <w:tcMar>
              <w:top w:w="5" w:type="dxa"/>
              <w:left w:w="5" w:type="dxa"/>
              <w:bottom w:w="5" w:type="dxa"/>
              <w:right w:w="5" w:type="dxa"/>
            </w:tcMar>
            <w:hideMark/>
          </w:tcPr>
          <w:p w14:paraId="625BE143" w14:textId="77777777" w:rsidR="00954279" w:rsidRDefault="00A66714">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79DDBA5A" w14:textId="77777777" w:rsidR="00954279" w:rsidRDefault="00A66714">
            <w:pPr>
              <w:rPr>
                <w:color w:val="000000"/>
                <w:sz w:val="20"/>
                <w:szCs w:val="20"/>
              </w:rPr>
            </w:pPr>
            <w:r>
              <w:rPr>
                <w:color w:val="000000"/>
                <w:sz w:val="20"/>
                <w:szCs w:val="20"/>
              </w:rPr>
              <w:t>increases in steel prices, which we may be unable to pass along to our customers which could significantly lower our profit;</w:t>
            </w:r>
          </w:p>
        </w:tc>
      </w:tr>
    </w:tbl>
    <w:p w14:paraId="08940B68" w14:textId="77777777" w:rsidR="00954279" w:rsidRDefault="0095427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954279" w14:paraId="22D10860" w14:textId="77777777">
        <w:tc>
          <w:tcPr>
            <w:tcW w:w="720" w:type="dxa"/>
            <w:tcMar>
              <w:top w:w="5" w:type="dxa"/>
              <w:left w:w="5" w:type="dxa"/>
              <w:bottom w:w="5" w:type="dxa"/>
              <w:right w:w="5" w:type="dxa"/>
            </w:tcMar>
            <w:hideMark/>
          </w:tcPr>
          <w:p w14:paraId="3286555F" w14:textId="77777777" w:rsidR="00954279" w:rsidRDefault="00A66714">
            <w:pPr>
              <w:rPr>
                <w:color w:val="000000"/>
              </w:rPr>
            </w:pPr>
            <w:r>
              <w:rPr>
                <w:color w:val="000000"/>
              </w:rPr>
              <w:t> </w:t>
            </w:r>
          </w:p>
        </w:tc>
        <w:tc>
          <w:tcPr>
            <w:tcW w:w="540" w:type="dxa"/>
            <w:tcMar>
              <w:top w:w="5" w:type="dxa"/>
              <w:left w:w="5" w:type="dxa"/>
              <w:bottom w:w="5" w:type="dxa"/>
              <w:right w:w="5" w:type="dxa"/>
            </w:tcMar>
            <w:hideMark/>
          </w:tcPr>
          <w:p w14:paraId="6685E704" w14:textId="77777777" w:rsidR="00954279" w:rsidRDefault="00A66714">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39FC6590" w14:textId="77777777" w:rsidR="00954279" w:rsidRDefault="00A66714">
            <w:pPr>
              <w:rPr>
                <w:color w:val="000000"/>
                <w:sz w:val="20"/>
                <w:szCs w:val="20"/>
              </w:rPr>
            </w:pPr>
            <w:r>
              <w:rPr>
                <w:color w:val="000000"/>
                <w:sz w:val="20"/>
                <w:szCs w:val="20"/>
              </w:rPr>
              <w:t>our lack of long-term contracts with many of our customers and our lack of contracts with customers that require minimum purchase volumes;</w:t>
            </w:r>
          </w:p>
        </w:tc>
      </w:tr>
    </w:tbl>
    <w:p w14:paraId="483B1428" w14:textId="77777777" w:rsidR="00954279" w:rsidRDefault="0095427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954279" w14:paraId="45E8FCA1" w14:textId="77777777">
        <w:tc>
          <w:tcPr>
            <w:tcW w:w="720" w:type="dxa"/>
            <w:tcMar>
              <w:top w:w="5" w:type="dxa"/>
              <w:left w:w="5" w:type="dxa"/>
              <w:bottom w:w="5" w:type="dxa"/>
              <w:right w:w="5" w:type="dxa"/>
            </w:tcMar>
            <w:hideMark/>
          </w:tcPr>
          <w:p w14:paraId="1D810EBC" w14:textId="77777777" w:rsidR="00954279" w:rsidRDefault="00A66714">
            <w:pPr>
              <w:rPr>
                <w:color w:val="000000"/>
              </w:rPr>
            </w:pPr>
            <w:r>
              <w:rPr>
                <w:color w:val="000000"/>
              </w:rPr>
              <w:t> </w:t>
            </w:r>
          </w:p>
        </w:tc>
        <w:tc>
          <w:tcPr>
            <w:tcW w:w="540" w:type="dxa"/>
            <w:tcMar>
              <w:top w:w="5" w:type="dxa"/>
              <w:left w:w="5" w:type="dxa"/>
              <w:bottom w:w="5" w:type="dxa"/>
              <w:right w:w="5" w:type="dxa"/>
            </w:tcMar>
            <w:hideMark/>
          </w:tcPr>
          <w:p w14:paraId="7B1F11B8" w14:textId="77777777" w:rsidR="00954279" w:rsidRDefault="00A66714">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71F7AE5C" w14:textId="77777777" w:rsidR="00954279" w:rsidRDefault="00A66714">
            <w:pPr>
              <w:rPr>
                <w:color w:val="000000"/>
                <w:sz w:val="20"/>
                <w:szCs w:val="20"/>
              </w:rPr>
            </w:pPr>
            <w:r>
              <w:rPr>
                <w:color w:val="000000"/>
                <w:sz w:val="20"/>
                <w:szCs w:val="20"/>
              </w:rPr>
              <w:t>changes in our customer and product mix;</w:t>
            </w:r>
          </w:p>
        </w:tc>
      </w:tr>
    </w:tbl>
    <w:p w14:paraId="1630740C" w14:textId="77777777" w:rsidR="00954279" w:rsidRDefault="0095427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954279" w14:paraId="47307F3E" w14:textId="77777777">
        <w:tc>
          <w:tcPr>
            <w:tcW w:w="720" w:type="dxa"/>
            <w:tcMar>
              <w:top w:w="5" w:type="dxa"/>
              <w:left w:w="5" w:type="dxa"/>
              <w:bottom w:w="5" w:type="dxa"/>
              <w:right w:w="5" w:type="dxa"/>
            </w:tcMar>
            <w:hideMark/>
          </w:tcPr>
          <w:p w14:paraId="5BE0B5BE" w14:textId="77777777" w:rsidR="00954279" w:rsidRDefault="00A66714">
            <w:pPr>
              <w:rPr>
                <w:color w:val="000000"/>
              </w:rPr>
            </w:pPr>
            <w:r>
              <w:rPr>
                <w:color w:val="000000"/>
              </w:rPr>
              <w:t> </w:t>
            </w:r>
          </w:p>
        </w:tc>
        <w:tc>
          <w:tcPr>
            <w:tcW w:w="540" w:type="dxa"/>
            <w:tcMar>
              <w:top w:w="5" w:type="dxa"/>
              <w:left w:w="5" w:type="dxa"/>
              <w:bottom w:w="5" w:type="dxa"/>
              <w:right w:w="5" w:type="dxa"/>
            </w:tcMar>
            <w:hideMark/>
          </w:tcPr>
          <w:p w14:paraId="56A91B81" w14:textId="77777777" w:rsidR="00954279" w:rsidRDefault="00A66714">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309109C4" w14:textId="77777777" w:rsidR="00954279" w:rsidRDefault="00A66714">
            <w:pPr>
              <w:rPr>
                <w:color w:val="000000"/>
                <w:sz w:val="20"/>
                <w:szCs w:val="20"/>
              </w:rPr>
            </w:pPr>
            <w:r>
              <w:rPr>
                <w:color w:val="000000"/>
                <w:sz w:val="20"/>
                <w:szCs w:val="20"/>
              </w:rPr>
              <w:t>risks related to our customers’ creditworthiness;</w:t>
            </w:r>
          </w:p>
        </w:tc>
      </w:tr>
    </w:tbl>
    <w:p w14:paraId="2A8E3B9A" w14:textId="77777777" w:rsidR="00954279" w:rsidRDefault="0095427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954279" w14:paraId="5EAEE7B1" w14:textId="77777777">
        <w:tc>
          <w:tcPr>
            <w:tcW w:w="720" w:type="dxa"/>
            <w:tcMar>
              <w:top w:w="5" w:type="dxa"/>
              <w:left w:w="5" w:type="dxa"/>
              <w:bottom w:w="5" w:type="dxa"/>
              <w:right w:w="5" w:type="dxa"/>
            </w:tcMar>
            <w:hideMark/>
          </w:tcPr>
          <w:p w14:paraId="2D9140C3" w14:textId="77777777" w:rsidR="00954279" w:rsidRDefault="00A66714">
            <w:pPr>
              <w:rPr>
                <w:color w:val="000000"/>
              </w:rPr>
            </w:pPr>
            <w:r>
              <w:rPr>
                <w:color w:val="000000"/>
              </w:rPr>
              <w:t> </w:t>
            </w:r>
          </w:p>
        </w:tc>
        <w:tc>
          <w:tcPr>
            <w:tcW w:w="540" w:type="dxa"/>
            <w:tcMar>
              <w:top w:w="5" w:type="dxa"/>
              <w:left w:w="5" w:type="dxa"/>
              <w:bottom w:w="5" w:type="dxa"/>
              <w:right w:w="5" w:type="dxa"/>
            </w:tcMar>
            <w:hideMark/>
          </w:tcPr>
          <w:p w14:paraId="386E4D0F" w14:textId="77777777" w:rsidR="00954279" w:rsidRDefault="00A66714">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7A8F1894" w14:textId="77777777" w:rsidR="00954279" w:rsidRDefault="00A66714">
            <w:pPr>
              <w:rPr>
                <w:color w:val="000000"/>
                <w:sz w:val="20"/>
                <w:szCs w:val="20"/>
              </w:rPr>
            </w:pPr>
            <w:r>
              <w:rPr>
                <w:color w:val="000000"/>
                <w:sz w:val="20"/>
                <w:szCs w:val="20"/>
              </w:rPr>
              <w:t>the success of our acquisition strategies;</w:t>
            </w:r>
          </w:p>
        </w:tc>
      </w:tr>
    </w:tbl>
    <w:p w14:paraId="76FB49F0" w14:textId="77777777" w:rsidR="00954279" w:rsidRDefault="0095427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954279" w14:paraId="27B780F8" w14:textId="77777777">
        <w:tc>
          <w:tcPr>
            <w:tcW w:w="720" w:type="dxa"/>
            <w:tcMar>
              <w:top w:w="5" w:type="dxa"/>
              <w:left w:w="5" w:type="dxa"/>
              <w:bottom w:w="5" w:type="dxa"/>
              <w:right w:w="5" w:type="dxa"/>
            </w:tcMar>
            <w:hideMark/>
          </w:tcPr>
          <w:p w14:paraId="215077D2" w14:textId="77777777" w:rsidR="00954279" w:rsidRDefault="00A66714">
            <w:pPr>
              <w:rPr>
                <w:color w:val="000000"/>
              </w:rPr>
            </w:pPr>
            <w:r>
              <w:rPr>
                <w:color w:val="000000"/>
              </w:rPr>
              <w:t> </w:t>
            </w:r>
          </w:p>
        </w:tc>
        <w:tc>
          <w:tcPr>
            <w:tcW w:w="540" w:type="dxa"/>
            <w:tcMar>
              <w:top w:w="5" w:type="dxa"/>
              <w:left w:w="5" w:type="dxa"/>
              <w:bottom w:w="5" w:type="dxa"/>
              <w:right w:w="5" w:type="dxa"/>
            </w:tcMar>
            <w:hideMark/>
          </w:tcPr>
          <w:p w14:paraId="2711820A" w14:textId="77777777" w:rsidR="00954279" w:rsidRDefault="00A66714">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65B68FCC" w14:textId="77777777" w:rsidR="00954279" w:rsidRDefault="00A66714">
            <w:pPr>
              <w:rPr>
                <w:color w:val="000000"/>
                <w:sz w:val="20"/>
                <w:szCs w:val="20"/>
              </w:rPr>
            </w:pPr>
            <w:r>
              <w:rPr>
                <w:color w:val="000000"/>
                <w:sz w:val="20"/>
                <w:szCs w:val="20"/>
              </w:rPr>
              <w:t>the potential adverse effects associated with integrating acquisitions into our business and whether these acquisitions will yield their intended benefits;</w:t>
            </w:r>
          </w:p>
        </w:tc>
      </w:tr>
    </w:tbl>
    <w:p w14:paraId="45DB673C" w14:textId="77777777" w:rsidR="00954279" w:rsidRDefault="0095427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954279" w14:paraId="6D5DF77E" w14:textId="77777777">
        <w:tc>
          <w:tcPr>
            <w:tcW w:w="720" w:type="dxa"/>
            <w:tcMar>
              <w:top w:w="5" w:type="dxa"/>
              <w:left w:w="5" w:type="dxa"/>
              <w:bottom w:w="5" w:type="dxa"/>
              <w:right w:w="5" w:type="dxa"/>
            </w:tcMar>
            <w:hideMark/>
          </w:tcPr>
          <w:p w14:paraId="0D144B08" w14:textId="77777777" w:rsidR="00954279" w:rsidRDefault="00A66714">
            <w:pPr>
              <w:rPr>
                <w:color w:val="000000"/>
              </w:rPr>
            </w:pPr>
            <w:r>
              <w:rPr>
                <w:color w:val="000000"/>
              </w:rPr>
              <w:t> </w:t>
            </w:r>
          </w:p>
        </w:tc>
        <w:tc>
          <w:tcPr>
            <w:tcW w:w="540" w:type="dxa"/>
            <w:tcMar>
              <w:top w:w="5" w:type="dxa"/>
              <w:left w:w="5" w:type="dxa"/>
              <w:bottom w:w="5" w:type="dxa"/>
              <w:right w:w="5" w:type="dxa"/>
            </w:tcMar>
            <w:hideMark/>
          </w:tcPr>
          <w:p w14:paraId="5E8F2A67" w14:textId="77777777" w:rsidR="00954279" w:rsidRDefault="00A66714">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355A899C" w14:textId="77777777" w:rsidR="00954279" w:rsidRDefault="00A66714">
            <w:pPr>
              <w:rPr>
                <w:color w:val="000000"/>
                <w:sz w:val="20"/>
                <w:szCs w:val="20"/>
              </w:rPr>
            </w:pPr>
            <w:r>
              <w:rPr>
                <w:color w:val="000000"/>
                <w:sz w:val="20"/>
                <w:szCs w:val="20"/>
              </w:rPr>
              <w:t>our significant indebtedness;</w:t>
            </w:r>
          </w:p>
        </w:tc>
      </w:tr>
    </w:tbl>
    <w:p w14:paraId="48EC8419" w14:textId="77777777" w:rsidR="00954279" w:rsidRDefault="0095427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954279" w14:paraId="539E0E7F" w14:textId="77777777">
        <w:tc>
          <w:tcPr>
            <w:tcW w:w="720" w:type="dxa"/>
            <w:tcMar>
              <w:top w:w="5" w:type="dxa"/>
              <w:left w:w="5" w:type="dxa"/>
              <w:bottom w:w="5" w:type="dxa"/>
              <w:right w:w="5" w:type="dxa"/>
            </w:tcMar>
            <w:hideMark/>
          </w:tcPr>
          <w:p w14:paraId="34949F81" w14:textId="77777777" w:rsidR="00954279" w:rsidRDefault="00A66714">
            <w:pPr>
              <w:rPr>
                <w:color w:val="000000"/>
              </w:rPr>
            </w:pPr>
            <w:r>
              <w:rPr>
                <w:color w:val="000000"/>
              </w:rPr>
              <w:t> </w:t>
            </w:r>
          </w:p>
        </w:tc>
        <w:tc>
          <w:tcPr>
            <w:tcW w:w="540" w:type="dxa"/>
            <w:tcMar>
              <w:top w:w="5" w:type="dxa"/>
              <w:left w:w="5" w:type="dxa"/>
              <w:bottom w:w="5" w:type="dxa"/>
              <w:right w:w="5" w:type="dxa"/>
            </w:tcMar>
            <w:hideMark/>
          </w:tcPr>
          <w:p w14:paraId="44B7EB55" w14:textId="77777777" w:rsidR="00954279" w:rsidRDefault="00A66714">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5ECC030E" w14:textId="77777777" w:rsidR="00954279" w:rsidRDefault="00A66714">
            <w:pPr>
              <w:rPr>
                <w:color w:val="000000"/>
                <w:sz w:val="20"/>
                <w:szCs w:val="20"/>
              </w:rPr>
            </w:pPr>
            <w:r>
              <w:rPr>
                <w:color w:val="000000"/>
                <w:sz w:val="20"/>
                <w:szCs w:val="20"/>
              </w:rPr>
              <w:t>the dependence on our subsidiaries for cash to meet our obligations;</w:t>
            </w:r>
          </w:p>
        </w:tc>
      </w:tr>
    </w:tbl>
    <w:p w14:paraId="719EF2E1" w14:textId="77777777" w:rsidR="00954279" w:rsidRDefault="0095427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954279" w14:paraId="5EF8D65C" w14:textId="77777777">
        <w:tc>
          <w:tcPr>
            <w:tcW w:w="720" w:type="dxa"/>
            <w:tcMar>
              <w:top w:w="5" w:type="dxa"/>
              <w:left w:w="5" w:type="dxa"/>
              <w:bottom w:w="5" w:type="dxa"/>
              <w:right w:w="5" w:type="dxa"/>
            </w:tcMar>
            <w:hideMark/>
          </w:tcPr>
          <w:p w14:paraId="79D88C48" w14:textId="77777777" w:rsidR="00954279" w:rsidRDefault="00A66714">
            <w:pPr>
              <w:rPr>
                <w:color w:val="000000"/>
              </w:rPr>
            </w:pPr>
            <w:r>
              <w:rPr>
                <w:color w:val="000000"/>
              </w:rPr>
              <w:t> </w:t>
            </w:r>
          </w:p>
        </w:tc>
        <w:tc>
          <w:tcPr>
            <w:tcW w:w="540" w:type="dxa"/>
            <w:tcMar>
              <w:top w:w="5" w:type="dxa"/>
              <w:left w:w="5" w:type="dxa"/>
              <w:bottom w:w="5" w:type="dxa"/>
              <w:right w:w="5" w:type="dxa"/>
            </w:tcMar>
            <w:hideMark/>
          </w:tcPr>
          <w:p w14:paraId="038AB1C0" w14:textId="77777777" w:rsidR="00954279" w:rsidRDefault="00A66714">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7AD1D582" w14:textId="77777777" w:rsidR="00954279" w:rsidRDefault="00A66714">
            <w:pPr>
              <w:rPr>
                <w:color w:val="000000"/>
                <w:sz w:val="20"/>
                <w:szCs w:val="20"/>
              </w:rPr>
            </w:pPr>
            <w:r>
              <w:rPr>
                <w:color w:val="000000"/>
                <w:sz w:val="20"/>
                <w:szCs w:val="20"/>
              </w:rPr>
              <w:t>changes in our credit profile;</w:t>
            </w:r>
          </w:p>
        </w:tc>
      </w:tr>
    </w:tbl>
    <w:p w14:paraId="0B446443" w14:textId="77777777" w:rsidR="00954279" w:rsidRDefault="0095427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954279" w14:paraId="714B5227" w14:textId="77777777">
        <w:tc>
          <w:tcPr>
            <w:tcW w:w="720" w:type="dxa"/>
            <w:tcMar>
              <w:top w:w="5" w:type="dxa"/>
              <w:left w:w="5" w:type="dxa"/>
              <w:bottom w:w="5" w:type="dxa"/>
              <w:right w:w="5" w:type="dxa"/>
            </w:tcMar>
            <w:hideMark/>
          </w:tcPr>
          <w:p w14:paraId="59C713D6" w14:textId="77777777" w:rsidR="00954279" w:rsidRDefault="00A66714">
            <w:pPr>
              <w:rPr>
                <w:color w:val="000000"/>
              </w:rPr>
            </w:pPr>
            <w:r>
              <w:rPr>
                <w:color w:val="000000"/>
              </w:rPr>
              <w:t> </w:t>
            </w:r>
          </w:p>
        </w:tc>
        <w:tc>
          <w:tcPr>
            <w:tcW w:w="540" w:type="dxa"/>
            <w:tcMar>
              <w:top w:w="5" w:type="dxa"/>
              <w:left w:w="5" w:type="dxa"/>
              <w:bottom w:w="5" w:type="dxa"/>
              <w:right w:w="5" w:type="dxa"/>
            </w:tcMar>
            <w:hideMark/>
          </w:tcPr>
          <w:p w14:paraId="4550ED1B" w14:textId="77777777" w:rsidR="00954279" w:rsidRDefault="00A66714">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4CA50205" w14:textId="77777777" w:rsidR="00954279" w:rsidRDefault="00A66714">
            <w:pPr>
              <w:rPr>
                <w:color w:val="000000"/>
                <w:sz w:val="20"/>
                <w:szCs w:val="20"/>
              </w:rPr>
            </w:pPr>
            <w:r>
              <w:rPr>
                <w:color w:val="000000"/>
                <w:sz w:val="20"/>
                <w:szCs w:val="20"/>
              </w:rPr>
              <w:t>a decline in demand for or adverse change in the value of certain of the products we distribute if tariffs and duties on these products are imposed or lifted;</w:t>
            </w:r>
          </w:p>
        </w:tc>
      </w:tr>
    </w:tbl>
    <w:p w14:paraId="719BA849" w14:textId="77777777" w:rsidR="00954279" w:rsidRDefault="0095427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954279" w14:paraId="629C77A6" w14:textId="77777777">
        <w:tc>
          <w:tcPr>
            <w:tcW w:w="720" w:type="dxa"/>
            <w:tcMar>
              <w:top w:w="5" w:type="dxa"/>
              <w:left w:w="5" w:type="dxa"/>
              <w:bottom w:w="5" w:type="dxa"/>
              <w:right w:w="5" w:type="dxa"/>
            </w:tcMar>
            <w:hideMark/>
          </w:tcPr>
          <w:p w14:paraId="7B93FE1D" w14:textId="77777777" w:rsidR="00954279" w:rsidRDefault="00A66714">
            <w:pPr>
              <w:rPr>
                <w:color w:val="000000"/>
              </w:rPr>
            </w:pPr>
            <w:r>
              <w:rPr>
                <w:color w:val="000000"/>
              </w:rPr>
              <w:t> </w:t>
            </w:r>
          </w:p>
        </w:tc>
        <w:tc>
          <w:tcPr>
            <w:tcW w:w="540" w:type="dxa"/>
            <w:tcMar>
              <w:top w:w="5" w:type="dxa"/>
              <w:left w:w="5" w:type="dxa"/>
              <w:bottom w:w="5" w:type="dxa"/>
              <w:right w:w="5" w:type="dxa"/>
            </w:tcMar>
            <w:hideMark/>
          </w:tcPr>
          <w:p w14:paraId="778899A4" w14:textId="77777777" w:rsidR="00954279" w:rsidRDefault="00A66714">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4E7B1333" w14:textId="77777777" w:rsidR="00954279" w:rsidRDefault="00A66714">
            <w:pPr>
              <w:rPr>
                <w:color w:val="000000"/>
                <w:sz w:val="20"/>
                <w:szCs w:val="20"/>
              </w:rPr>
            </w:pPr>
            <w:r>
              <w:rPr>
                <w:color w:val="000000"/>
                <w:sz w:val="20"/>
                <w:szCs w:val="20"/>
              </w:rPr>
              <w:t>significant substitution of alternative fuels for oil and gas;</w:t>
            </w:r>
          </w:p>
        </w:tc>
      </w:tr>
    </w:tbl>
    <w:p w14:paraId="27A6F944" w14:textId="77777777" w:rsidR="00954279" w:rsidRDefault="00A66714">
      <w:pPr>
        <w:ind w:left="1123" w:right="144" w:hanging="360"/>
        <w:rPr>
          <w:sz w:val="20"/>
          <w:szCs w:val="20"/>
        </w:rPr>
      </w:pPr>
      <w:r>
        <w:rPr>
          <w:sz w:val="20"/>
          <w:szCs w:val="20"/>
        </w:rPr>
        <w:t> </w:t>
      </w:r>
    </w:p>
    <w:p w14:paraId="4BB57700" w14:textId="77777777" w:rsidR="00954279" w:rsidRDefault="00A66714">
      <w:pPr>
        <w:ind w:left="144" w:right="144"/>
        <w:jc w:val="center"/>
        <w:rPr>
          <w:sz w:val="20"/>
          <w:szCs w:val="20"/>
        </w:rPr>
      </w:pPr>
      <w:r>
        <w:rPr>
          <w:sz w:val="20"/>
          <w:szCs w:val="20"/>
        </w:rPr>
        <w:t>16</w:t>
      </w:r>
    </w:p>
    <w:p w14:paraId="0BA317EA" w14:textId="77777777" w:rsidR="00954279" w:rsidRDefault="00A66714">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0AD9287B" w14:textId="77777777" w:rsidR="00954279" w:rsidRDefault="00A66714">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954279" w14:paraId="4026DB36" w14:textId="77777777">
        <w:tc>
          <w:tcPr>
            <w:tcW w:w="720" w:type="dxa"/>
            <w:tcMar>
              <w:top w:w="5" w:type="dxa"/>
              <w:left w:w="5" w:type="dxa"/>
              <w:bottom w:w="5" w:type="dxa"/>
              <w:right w:w="5" w:type="dxa"/>
            </w:tcMar>
            <w:hideMark/>
          </w:tcPr>
          <w:p w14:paraId="47F29A33" w14:textId="77777777" w:rsidR="00954279" w:rsidRDefault="00A66714">
            <w:pPr>
              <w:rPr>
                <w:color w:val="000000"/>
              </w:rPr>
            </w:pPr>
            <w:r>
              <w:rPr>
                <w:color w:val="000000"/>
              </w:rPr>
              <w:t> </w:t>
            </w:r>
          </w:p>
        </w:tc>
        <w:tc>
          <w:tcPr>
            <w:tcW w:w="540" w:type="dxa"/>
            <w:tcMar>
              <w:top w:w="5" w:type="dxa"/>
              <w:left w:w="5" w:type="dxa"/>
              <w:bottom w:w="5" w:type="dxa"/>
              <w:right w:w="5" w:type="dxa"/>
            </w:tcMar>
            <w:hideMark/>
          </w:tcPr>
          <w:p w14:paraId="4112741D" w14:textId="77777777" w:rsidR="00954279" w:rsidRDefault="00A66714">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7BFD515A" w14:textId="77777777" w:rsidR="00954279" w:rsidRDefault="00A66714">
            <w:pPr>
              <w:rPr>
                <w:color w:val="000000"/>
                <w:sz w:val="20"/>
                <w:szCs w:val="20"/>
              </w:rPr>
            </w:pPr>
            <w:r>
              <w:rPr>
                <w:color w:val="000000"/>
                <w:sz w:val="20"/>
                <w:szCs w:val="20"/>
              </w:rPr>
              <w:t>environmental, health and safety laws and regulations and the interpretation or implementation thereof;</w:t>
            </w:r>
          </w:p>
        </w:tc>
      </w:tr>
    </w:tbl>
    <w:p w14:paraId="2DB487A7" w14:textId="77777777" w:rsidR="00954279" w:rsidRDefault="0095427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954279" w14:paraId="4DD11BB8" w14:textId="77777777">
        <w:tc>
          <w:tcPr>
            <w:tcW w:w="720" w:type="dxa"/>
            <w:tcMar>
              <w:top w:w="5" w:type="dxa"/>
              <w:left w:w="5" w:type="dxa"/>
              <w:bottom w:w="5" w:type="dxa"/>
              <w:right w:w="5" w:type="dxa"/>
            </w:tcMar>
            <w:hideMark/>
          </w:tcPr>
          <w:p w14:paraId="01C4CDC4" w14:textId="77777777" w:rsidR="00954279" w:rsidRDefault="00A66714">
            <w:pPr>
              <w:rPr>
                <w:color w:val="000000"/>
              </w:rPr>
            </w:pPr>
            <w:r>
              <w:rPr>
                <w:color w:val="000000"/>
              </w:rPr>
              <w:t> </w:t>
            </w:r>
          </w:p>
        </w:tc>
        <w:tc>
          <w:tcPr>
            <w:tcW w:w="540" w:type="dxa"/>
            <w:tcMar>
              <w:top w:w="5" w:type="dxa"/>
              <w:left w:w="5" w:type="dxa"/>
              <w:bottom w:w="5" w:type="dxa"/>
              <w:right w:w="5" w:type="dxa"/>
            </w:tcMar>
            <w:hideMark/>
          </w:tcPr>
          <w:p w14:paraId="76167F3D" w14:textId="77777777" w:rsidR="00954279" w:rsidRDefault="00A66714">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581C395A" w14:textId="77777777" w:rsidR="00954279" w:rsidRDefault="00A66714">
            <w:pPr>
              <w:rPr>
                <w:color w:val="000000"/>
                <w:sz w:val="20"/>
                <w:szCs w:val="20"/>
              </w:rPr>
            </w:pPr>
            <w:r>
              <w:rPr>
                <w:color w:val="000000"/>
                <w:sz w:val="20"/>
                <w:szCs w:val="20"/>
              </w:rPr>
              <w:t>the sufficiency of our insurance policies to cover losses, including liabilities arising from litigation;</w:t>
            </w:r>
          </w:p>
        </w:tc>
      </w:tr>
    </w:tbl>
    <w:p w14:paraId="6A213C81" w14:textId="77777777" w:rsidR="00954279" w:rsidRDefault="0095427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954279" w14:paraId="22C2B2A1" w14:textId="77777777">
        <w:tc>
          <w:tcPr>
            <w:tcW w:w="720" w:type="dxa"/>
            <w:tcMar>
              <w:top w:w="5" w:type="dxa"/>
              <w:left w:w="5" w:type="dxa"/>
              <w:bottom w:w="5" w:type="dxa"/>
              <w:right w:w="5" w:type="dxa"/>
            </w:tcMar>
            <w:hideMark/>
          </w:tcPr>
          <w:p w14:paraId="181B18D4" w14:textId="77777777" w:rsidR="00954279" w:rsidRDefault="00A66714">
            <w:pPr>
              <w:rPr>
                <w:color w:val="000000"/>
              </w:rPr>
            </w:pPr>
            <w:r>
              <w:rPr>
                <w:color w:val="000000"/>
              </w:rPr>
              <w:t> </w:t>
            </w:r>
          </w:p>
        </w:tc>
        <w:tc>
          <w:tcPr>
            <w:tcW w:w="540" w:type="dxa"/>
            <w:tcMar>
              <w:top w:w="5" w:type="dxa"/>
              <w:left w:w="5" w:type="dxa"/>
              <w:bottom w:w="5" w:type="dxa"/>
              <w:right w:w="5" w:type="dxa"/>
            </w:tcMar>
            <w:hideMark/>
          </w:tcPr>
          <w:p w14:paraId="62942912" w14:textId="77777777" w:rsidR="00954279" w:rsidRDefault="00A66714">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68F8903F" w14:textId="77777777" w:rsidR="00954279" w:rsidRDefault="00A66714">
            <w:pPr>
              <w:rPr>
                <w:color w:val="000000"/>
                <w:sz w:val="20"/>
                <w:szCs w:val="20"/>
              </w:rPr>
            </w:pPr>
            <w:r>
              <w:rPr>
                <w:color w:val="000000"/>
                <w:sz w:val="20"/>
                <w:szCs w:val="20"/>
              </w:rPr>
              <w:t>product liability claims against us;</w:t>
            </w:r>
          </w:p>
        </w:tc>
      </w:tr>
    </w:tbl>
    <w:p w14:paraId="224B99FD" w14:textId="77777777" w:rsidR="00954279" w:rsidRDefault="0095427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954279" w14:paraId="10FF2A5C" w14:textId="77777777">
        <w:tc>
          <w:tcPr>
            <w:tcW w:w="720" w:type="dxa"/>
            <w:tcMar>
              <w:top w:w="5" w:type="dxa"/>
              <w:left w:w="5" w:type="dxa"/>
              <w:bottom w:w="5" w:type="dxa"/>
              <w:right w:w="5" w:type="dxa"/>
            </w:tcMar>
            <w:hideMark/>
          </w:tcPr>
          <w:p w14:paraId="495F4E09" w14:textId="77777777" w:rsidR="00954279" w:rsidRDefault="00A66714">
            <w:pPr>
              <w:rPr>
                <w:color w:val="000000"/>
              </w:rPr>
            </w:pPr>
            <w:r>
              <w:rPr>
                <w:color w:val="000000"/>
              </w:rPr>
              <w:t> </w:t>
            </w:r>
          </w:p>
        </w:tc>
        <w:tc>
          <w:tcPr>
            <w:tcW w:w="540" w:type="dxa"/>
            <w:tcMar>
              <w:top w:w="5" w:type="dxa"/>
              <w:left w:w="5" w:type="dxa"/>
              <w:bottom w:w="5" w:type="dxa"/>
              <w:right w:w="5" w:type="dxa"/>
            </w:tcMar>
            <w:hideMark/>
          </w:tcPr>
          <w:p w14:paraId="684181EA" w14:textId="77777777" w:rsidR="00954279" w:rsidRDefault="00A66714">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3421D543" w14:textId="77777777" w:rsidR="00954279" w:rsidRDefault="00A66714">
            <w:pPr>
              <w:rPr>
                <w:color w:val="000000"/>
                <w:sz w:val="20"/>
                <w:szCs w:val="20"/>
              </w:rPr>
            </w:pPr>
            <w:r>
              <w:rPr>
                <w:color w:val="000000"/>
                <w:sz w:val="20"/>
                <w:szCs w:val="20"/>
              </w:rPr>
              <w:t>pending or future asbestos-related claims against us;</w:t>
            </w:r>
          </w:p>
        </w:tc>
      </w:tr>
    </w:tbl>
    <w:p w14:paraId="2808B5AF" w14:textId="77777777" w:rsidR="00954279" w:rsidRDefault="0095427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954279" w14:paraId="04C4F7D5" w14:textId="77777777">
        <w:tc>
          <w:tcPr>
            <w:tcW w:w="720" w:type="dxa"/>
            <w:tcMar>
              <w:top w:w="5" w:type="dxa"/>
              <w:left w:w="5" w:type="dxa"/>
              <w:bottom w:w="5" w:type="dxa"/>
              <w:right w:w="5" w:type="dxa"/>
            </w:tcMar>
            <w:hideMark/>
          </w:tcPr>
          <w:p w14:paraId="712EBF22" w14:textId="77777777" w:rsidR="00954279" w:rsidRDefault="00A66714">
            <w:pPr>
              <w:rPr>
                <w:color w:val="000000"/>
              </w:rPr>
            </w:pPr>
            <w:r>
              <w:rPr>
                <w:color w:val="000000"/>
              </w:rPr>
              <w:t> </w:t>
            </w:r>
          </w:p>
        </w:tc>
        <w:tc>
          <w:tcPr>
            <w:tcW w:w="540" w:type="dxa"/>
            <w:tcMar>
              <w:top w:w="5" w:type="dxa"/>
              <w:left w:w="5" w:type="dxa"/>
              <w:bottom w:w="5" w:type="dxa"/>
              <w:right w:w="5" w:type="dxa"/>
            </w:tcMar>
            <w:hideMark/>
          </w:tcPr>
          <w:p w14:paraId="29675CE9" w14:textId="77777777" w:rsidR="00954279" w:rsidRDefault="00A66714">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7D641D4C" w14:textId="77777777" w:rsidR="00954279" w:rsidRDefault="00A66714">
            <w:pPr>
              <w:rPr>
                <w:color w:val="000000"/>
                <w:sz w:val="20"/>
                <w:szCs w:val="20"/>
              </w:rPr>
            </w:pPr>
            <w:r>
              <w:rPr>
                <w:color w:val="000000"/>
                <w:sz w:val="20"/>
                <w:szCs w:val="20"/>
              </w:rPr>
              <w:t>the potential loss of key personnel;</w:t>
            </w:r>
          </w:p>
        </w:tc>
      </w:tr>
    </w:tbl>
    <w:p w14:paraId="13644660" w14:textId="77777777" w:rsidR="00954279" w:rsidRDefault="0095427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954279" w14:paraId="4AEE0B8D" w14:textId="77777777">
        <w:tc>
          <w:tcPr>
            <w:tcW w:w="720" w:type="dxa"/>
            <w:tcMar>
              <w:top w:w="5" w:type="dxa"/>
              <w:left w:w="5" w:type="dxa"/>
              <w:bottom w:w="5" w:type="dxa"/>
              <w:right w:w="5" w:type="dxa"/>
            </w:tcMar>
            <w:hideMark/>
          </w:tcPr>
          <w:p w14:paraId="08EC99DC" w14:textId="77777777" w:rsidR="00954279" w:rsidRDefault="00A66714">
            <w:pPr>
              <w:rPr>
                <w:color w:val="000000"/>
              </w:rPr>
            </w:pPr>
            <w:r>
              <w:rPr>
                <w:color w:val="000000"/>
              </w:rPr>
              <w:t> </w:t>
            </w:r>
          </w:p>
        </w:tc>
        <w:tc>
          <w:tcPr>
            <w:tcW w:w="540" w:type="dxa"/>
            <w:tcMar>
              <w:top w:w="5" w:type="dxa"/>
              <w:left w:w="5" w:type="dxa"/>
              <w:bottom w:w="5" w:type="dxa"/>
              <w:right w:w="5" w:type="dxa"/>
            </w:tcMar>
            <w:hideMark/>
          </w:tcPr>
          <w:p w14:paraId="77D73D3F" w14:textId="77777777" w:rsidR="00954279" w:rsidRDefault="00A66714">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1755A029" w14:textId="77777777" w:rsidR="00954279" w:rsidRDefault="00A66714">
            <w:pPr>
              <w:rPr>
                <w:color w:val="000000"/>
                <w:sz w:val="20"/>
                <w:szCs w:val="20"/>
              </w:rPr>
            </w:pPr>
            <w:r>
              <w:rPr>
                <w:color w:val="000000"/>
                <w:sz w:val="20"/>
                <w:szCs w:val="20"/>
              </w:rPr>
              <w:t>adverse health events, such as a pandemic;</w:t>
            </w:r>
          </w:p>
        </w:tc>
      </w:tr>
    </w:tbl>
    <w:p w14:paraId="293E0514" w14:textId="77777777" w:rsidR="00954279" w:rsidRDefault="0095427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954279" w14:paraId="53E59100" w14:textId="77777777">
        <w:tc>
          <w:tcPr>
            <w:tcW w:w="720" w:type="dxa"/>
            <w:tcMar>
              <w:top w:w="5" w:type="dxa"/>
              <w:left w:w="5" w:type="dxa"/>
              <w:bottom w:w="5" w:type="dxa"/>
              <w:right w:w="5" w:type="dxa"/>
            </w:tcMar>
            <w:hideMark/>
          </w:tcPr>
          <w:p w14:paraId="4B559679" w14:textId="77777777" w:rsidR="00954279" w:rsidRDefault="00A66714">
            <w:pPr>
              <w:rPr>
                <w:color w:val="000000"/>
              </w:rPr>
            </w:pPr>
            <w:r>
              <w:rPr>
                <w:color w:val="000000"/>
              </w:rPr>
              <w:t> </w:t>
            </w:r>
          </w:p>
        </w:tc>
        <w:tc>
          <w:tcPr>
            <w:tcW w:w="540" w:type="dxa"/>
            <w:tcMar>
              <w:top w:w="5" w:type="dxa"/>
              <w:left w:w="5" w:type="dxa"/>
              <w:bottom w:w="5" w:type="dxa"/>
              <w:right w:w="5" w:type="dxa"/>
            </w:tcMar>
            <w:hideMark/>
          </w:tcPr>
          <w:p w14:paraId="2D7A815E" w14:textId="77777777" w:rsidR="00954279" w:rsidRDefault="00A66714">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4FC1ABB8" w14:textId="77777777" w:rsidR="00954279" w:rsidRDefault="00A66714">
            <w:pPr>
              <w:rPr>
                <w:color w:val="000000"/>
                <w:sz w:val="20"/>
                <w:szCs w:val="20"/>
              </w:rPr>
            </w:pPr>
            <w:r>
              <w:rPr>
                <w:color w:val="000000"/>
                <w:sz w:val="20"/>
                <w:szCs w:val="20"/>
              </w:rPr>
              <w:t>interruption in the proper functioning of our information systems;</w:t>
            </w:r>
          </w:p>
        </w:tc>
      </w:tr>
    </w:tbl>
    <w:p w14:paraId="28F8A111" w14:textId="77777777" w:rsidR="00954279" w:rsidRDefault="0095427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954279" w14:paraId="0FC15860" w14:textId="77777777">
        <w:tc>
          <w:tcPr>
            <w:tcW w:w="720" w:type="dxa"/>
            <w:tcMar>
              <w:top w:w="5" w:type="dxa"/>
              <w:left w:w="5" w:type="dxa"/>
              <w:bottom w:w="5" w:type="dxa"/>
              <w:right w:w="5" w:type="dxa"/>
            </w:tcMar>
            <w:hideMark/>
          </w:tcPr>
          <w:p w14:paraId="6547CA83" w14:textId="77777777" w:rsidR="00954279" w:rsidRDefault="00A66714">
            <w:pPr>
              <w:rPr>
                <w:color w:val="000000"/>
              </w:rPr>
            </w:pPr>
            <w:r>
              <w:rPr>
                <w:color w:val="000000"/>
              </w:rPr>
              <w:t> </w:t>
            </w:r>
          </w:p>
        </w:tc>
        <w:tc>
          <w:tcPr>
            <w:tcW w:w="540" w:type="dxa"/>
            <w:tcMar>
              <w:top w:w="5" w:type="dxa"/>
              <w:left w:w="5" w:type="dxa"/>
              <w:bottom w:w="5" w:type="dxa"/>
              <w:right w:w="5" w:type="dxa"/>
            </w:tcMar>
            <w:hideMark/>
          </w:tcPr>
          <w:p w14:paraId="0E30EC6B" w14:textId="77777777" w:rsidR="00954279" w:rsidRDefault="00A66714">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05EA7CC5" w14:textId="77777777" w:rsidR="00954279" w:rsidRDefault="00A66714">
            <w:pPr>
              <w:rPr>
                <w:color w:val="000000"/>
                <w:sz w:val="20"/>
                <w:szCs w:val="20"/>
              </w:rPr>
            </w:pPr>
            <w:r>
              <w:rPr>
                <w:color w:val="000000"/>
                <w:sz w:val="20"/>
                <w:szCs w:val="20"/>
              </w:rPr>
              <w:t>the occurrence of cybersecurity incidents;</w:t>
            </w:r>
          </w:p>
        </w:tc>
      </w:tr>
    </w:tbl>
    <w:p w14:paraId="0768274E" w14:textId="77777777" w:rsidR="00954279" w:rsidRDefault="0095427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954279" w14:paraId="1186620E" w14:textId="77777777">
        <w:tc>
          <w:tcPr>
            <w:tcW w:w="720" w:type="dxa"/>
            <w:tcMar>
              <w:top w:w="5" w:type="dxa"/>
              <w:left w:w="5" w:type="dxa"/>
              <w:bottom w:w="5" w:type="dxa"/>
              <w:right w:w="5" w:type="dxa"/>
            </w:tcMar>
            <w:hideMark/>
          </w:tcPr>
          <w:p w14:paraId="41B8994D" w14:textId="77777777" w:rsidR="00954279" w:rsidRDefault="00A66714">
            <w:pPr>
              <w:rPr>
                <w:color w:val="000000"/>
              </w:rPr>
            </w:pPr>
            <w:r>
              <w:rPr>
                <w:color w:val="000000"/>
              </w:rPr>
              <w:t> </w:t>
            </w:r>
          </w:p>
        </w:tc>
        <w:tc>
          <w:tcPr>
            <w:tcW w:w="540" w:type="dxa"/>
            <w:tcMar>
              <w:top w:w="5" w:type="dxa"/>
              <w:left w:w="5" w:type="dxa"/>
              <w:bottom w:w="5" w:type="dxa"/>
              <w:right w:w="5" w:type="dxa"/>
            </w:tcMar>
            <w:hideMark/>
          </w:tcPr>
          <w:p w14:paraId="61DE0121" w14:textId="77777777" w:rsidR="00954279" w:rsidRDefault="00A66714">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1CDE26E2" w14:textId="77777777" w:rsidR="00954279" w:rsidRDefault="00A66714">
            <w:pPr>
              <w:rPr>
                <w:color w:val="000000"/>
                <w:sz w:val="20"/>
                <w:szCs w:val="20"/>
              </w:rPr>
            </w:pPr>
            <w:r>
              <w:rPr>
                <w:color w:val="000000"/>
                <w:sz w:val="20"/>
                <w:szCs w:val="20"/>
              </w:rPr>
              <w:t>loss of third-party transportation providers;</w:t>
            </w:r>
          </w:p>
        </w:tc>
      </w:tr>
    </w:tbl>
    <w:p w14:paraId="6B6C5E2B" w14:textId="77777777" w:rsidR="00954279" w:rsidRDefault="0095427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954279" w14:paraId="014694B8" w14:textId="77777777">
        <w:tc>
          <w:tcPr>
            <w:tcW w:w="720" w:type="dxa"/>
            <w:tcMar>
              <w:top w:w="5" w:type="dxa"/>
              <w:left w:w="5" w:type="dxa"/>
              <w:bottom w:w="5" w:type="dxa"/>
              <w:right w:w="5" w:type="dxa"/>
            </w:tcMar>
            <w:hideMark/>
          </w:tcPr>
          <w:p w14:paraId="37658278" w14:textId="77777777" w:rsidR="00954279" w:rsidRDefault="00A66714">
            <w:pPr>
              <w:rPr>
                <w:color w:val="000000"/>
              </w:rPr>
            </w:pPr>
            <w:r>
              <w:rPr>
                <w:color w:val="000000"/>
              </w:rPr>
              <w:t> </w:t>
            </w:r>
          </w:p>
        </w:tc>
        <w:tc>
          <w:tcPr>
            <w:tcW w:w="540" w:type="dxa"/>
            <w:tcMar>
              <w:top w:w="5" w:type="dxa"/>
              <w:left w:w="5" w:type="dxa"/>
              <w:bottom w:w="5" w:type="dxa"/>
              <w:right w:w="5" w:type="dxa"/>
            </w:tcMar>
            <w:hideMark/>
          </w:tcPr>
          <w:p w14:paraId="4C4B1055" w14:textId="77777777" w:rsidR="00954279" w:rsidRDefault="00A66714">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76BE6571" w14:textId="77777777" w:rsidR="00954279" w:rsidRDefault="00A66714">
            <w:pPr>
              <w:rPr>
                <w:color w:val="000000"/>
                <w:sz w:val="20"/>
                <w:szCs w:val="20"/>
              </w:rPr>
            </w:pPr>
            <w:r>
              <w:rPr>
                <w:color w:val="000000"/>
                <w:sz w:val="20"/>
                <w:szCs w:val="20"/>
              </w:rPr>
              <w:t>potential inability to obtain necessary capital;</w:t>
            </w:r>
          </w:p>
        </w:tc>
      </w:tr>
    </w:tbl>
    <w:p w14:paraId="0BC40348" w14:textId="77777777" w:rsidR="00954279" w:rsidRDefault="0095427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954279" w14:paraId="6EF572FA" w14:textId="77777777">
        <w:tc>
          <w:tcPr>
            <w:tcW w:w="720" w:type="dxa"/>
            <w:tcMar>
              <w:top w:w="5" w:type="dxa"/>
              <w:left w:w="5" w:type="dxa"/>
              <w:bottom w:w="5" w:type="dxa"/>
              <w:right w:w="5" w:type="dxa"/>
            </w:tcMar>
            <w:hideMark/>
          </w:tcPr>
          <w:p w14:paraId="79BE899E" w14:textId="77777777" w:rsidR="00954279" w:rsidRDefault="00A66714">
            <w:pPr>
              <w:rPr>
                <w:color w:val="000000"/>
              </w:rPr>
            </w:pPr>
            <w:r>
              <w:rPr>
                <w:color w:val="000000"/>
              </w:rPr>
              <w:t> </w:t>
            </w:r>
          </w:p>
        </w:tc>
        <w:tc>
          <w:tcPr>
            <w:tcW w:w="540" w:type="dxa"/>
            <w:tcMar>
              <w:top w:w="5" w:type="dxa"/>
              <w:left w:w="5" w:type="dxa"/>
              <w:bottom w:w="5" w:type="dxa"/>
              <w:right w:w="5" w:type="dxa"/>
            </w:tcMar>
            <w:hideMark/>
          </w:tcPr>
          <w:p w14:paraId="1DB25B0A" w14:textId="77777777" w:rsidR="00954279" w:rsidRDefault="00A66714">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5E5B4867" w14:textId="77777777" w:rsidR="00954279" w:rsidRDefault="00A66714">
            <w:pPr>
              <w:rPr>
                <w:color w:val="000000"/>
                <w:sz w:val="20"/>
                <w:szCs w:val="20"/>
              </w:rPr>
            </w:pPr>
            <w:r>
              <w:rPr>
                <w:color w:val="000000"/>
                <w:sz w:val="20"/>
                <w:szCs w:val="20"/>
              </w:rPr>
              <w:t>risks related to adverse weather events or natural disasters;</w:t>
            </w:r>
          </w:p>
        </w:tc>
      </w:tr>
    </w:tbl>
    <w:p w14:paraId="5948DFAC" w14:textId="77777777" w:rsidR="00954279" w:rsidRDefault="0095427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954279" w14:paraId="171A9A3C" w14:textId="77777777">
        <w:tc>
          <w:tcPr>
            <w:tcW w:w="720" w:type="dxa"/>
            <w:tcMar>
              <w:top w:w="5" w:type="dxa"/>
              <w:left w:w="5" w:type="dxa"/>
              <w:bottom w:w="5" w:type="dxa"/>
              <w:right w:w="5" w:type="dxa"/>
            </w:tcMar>
            <w:hideMark/>
          </w:tcPr>
          <w:p w14:paraId="5BB9B741" w14:textId="77777777" w:rsidR="00954279" w:rsidRDefault="00A66714">
            <w:pPr>
              <w:rPr>
                <w:color w:val="000000"/>
              </w:rPr>
            </w:pPr>
            <w:r>
              <w:rPr>
                <w:color w:val="000000"/>
              </w:rPr>
              <w:t> </w:t>
            </w:r>
          </w:p>
        </w:tc>
        <w:tc>
          <w:tcPr>
            <w:tcW w:w="540" w:type="dxa"/>
            <w:tcMar>
              <w:top w:w="5" w:type="dxa"/>
              <w:left w:w="5" w:type="dxa"/>
              <w:bottom w:w="5" w:type="dxa"/>
              <w:right w:w="5" w:type="dxa"/>
            </w:tcMar>
            <w:hideMark/>
          </w:tcPr>
          <w:p w14:paraId="7EB8166C" w14:textId="77777777" w:rsidR="00954279" w:rsidRDefault="00A66714">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774116F5" w14:textId="77777777" w:rsidR="00954279" w:rsidRDefault="00A66714">
            <w:pPr>
              <w:rPr>
                <w:color w:val="000000"/>
                <w:sz w:val="20"/>
                <w:szCs w:val="20"/>
              </w:rPr>
            </w:pPr>
            <w:r>
              <w:rPr>
                <w:color w:val="000000"/>
                <w:sz w:val="20"/>
                <w:szCs w:val="20"/>
              </w:rPr>
              <w:t>impairment of our goodwill or other intangible assets;</w:t>
            </w:r>
          </w:p>
        </w:tc>
      </w:tr>
    </w:tbl>
    <w:p w14:paraId="729BB28E" w14:textId="77777777" w:rsidR="00954279" w:rsidRDefault="0095427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954279" w14:paraId="108E37E8" w14:textId="77777777">
        <w:tc>
          <w:tcPr>
            <w:tcW w:w="720" w:type="dxa"/>
            <w:tcMar>
              <w:top w:w="5" w:type="dxa"/>
              <w:left w:w="5" w:type="dxa"/>
              <w:bottom w:w="5" w:type="dxa"/>
              <w:right w:w="5" w:type="dxa"/>
            </w:tcMar>
            <w:hideMark/>
          </w:tcPr>
          <w:p w14:paraId="5A1DEBB8" w14:textId="77777777" w:rsidR="00954279" w:rsidRDefault="00A66714">
            <w:pPr>
              <w:rPr>
                <w:color w:val="000000"/>
              </w:rPr>
            </w:pPr>
            <w:r>
              <w:rPr>
                <w:color w:val="000000"/>
              </w:rPr>
              <w:t> </w:t>
            </w:r>
          </w:p>
        </w:tc>
        <w:tc>
          <w:tcPr>
            <w:tcW w:w="540" w:type="dxa"/>
            <w:tcMar>
              <w:top w:w="5" w:type="dxa"/>
              <w:left w:w="5" w:type="dxa"/>
              <w:bottom w:w="5" w:type="dxa"/>
              <w:right w:w="5" w:type="dxa"/>
            </w:tcMar>
            <w:hideMark/>
          </w:tcPr>
          <w:p w14:paraId="48E8CEAE" w14:textId="77777777" w:rsidR="00954279" w:rsidRDefault="00A66714">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264DC513" w14:textId="77777777" w:rsidR="00954279" w:rsidRDefault="00A66714">
            <w:pPr>
              <w:rPr>
                <w:color w:val="000000"/>
                <w:sz w:val="20"/>
                <w:szCs w:val="20"/>
              </w:rPr>
            </w:pPr>
            <w:r>
              <w:rPr>
                <w:color w:val="000000"/>
                <w:sz w:val="20"/>
                <w:szCs w:val="20"/>
              </w:rPr>
              <w:t>adverse changes in political or economic conditions in the countries in which we operate;</w:t>
            </w:r>
          </w:p>
        </w:tc>
      </w:tr>
    </w:tbl>
    <w:p w14:paraId="3B037621" w14:textId="77777777" w:rsidR="00954279" w:rsidRDefault="0095427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954279" w14:paraId="44D6E8B0" w14:textId="77777777">
        <w:tc>
          <w:tcPr>
            <w:tcW w:w="720" w:type="dxa"/>
            <w:tcMar>
              <w:top w:w="5" w:type="dxa"/>
              <w:left w:w="5" w:type="dxa"/>
              <w:bottom w:w="5" w:type="dxa"/>
              <w:right w:w="5" w:type="dxa"/>
            </w:tcMar>
            <w:hideMark/>
          </w:tcPr>
          <w:p w14:paraId="0ED7A855" w14:textId="77777777" w:rsidR="00954279" w:rsidRDefault="00A66714">
            <w:pPr>
              <w:rPr>
                <w:color w:val="000000"/>
              </w:rPr>
            </w:pPr>
            <w:r>
              <w:rPr>
                <w:color w:val="000000"/>
              </w:rPr>
              <w:t> </w:t>
            </w:r>
          </w:p>
        </w:tc>
        <w:tc>
          <w:tcPr>
            <w:tcW w:w="540" w:type="dxa"/>
            <w:tcMar>
              <w:top w:w="5" w:type="dxa"/>
              <w:left w:w="5" w:type="dxa"/>
              <w:bottom w:w="5" w:type="dxa"/>
              <w:right w:w="5" w:type="dxa"/>
            </w:tcMar>
            <w:hideMark/>
          </w:tcPr>
          <w:p w14:paraId="02617E47" w14:textId="77777777" w:rsidR="00954279" w:rsidRDefault="00A66714">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71362283" w14:textId="77777777" w:rsidR="00954279" w:rsidRDefault="00A66714">
            <w:pPr>
              <w:rPr>
                <w:color w:val="000000"/>
                <w:sz w:val="20"/>
                <w:szCs w:val="20"/>
              </w:rPr>
            </w:pPr>
            <w:r>
              <w:rPr>
                <w:color w:val="000000"/>
                <w:sz w:val="20"/>
                <w:szCs w:val="20"/>
              </w:rPr>
              <w:t>exposure to U.S. and international laws and regulations, including the Foreign Corrupt Practices Act and the U.K. Bribery Act and other economic sanctions programs;</w:t>
            </w:r>
          </w:p>
        </w:tc>
      </w:tr>
    </w:tbl>
    <w:p w14:paraId="03A9847A" w14:textId="77777777" w:rsidR="00954279" w:rsidRDefault="0095427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954279" w14:paraId="03EC9C73" w14:textId="77777777">
        <w:tc>
          <w:tcPr>
            <w:tcW w:w="720" w:type="dxa"/>
            <w:tcMar>
              <w:top w:w="5" w:type="dxa"/>
              <w:left w:w="5" w:type="dxa"/>
              <w:bottom w:w="5" w:type="dxa"/>
              <w:right w:w="5" w:type="dxa"/>
            </w:tcMar>
            <w:hideMark/>
          </w:tcPr>
          <w:p w14:paraId="194BFC50" w14:textId="77777777" w:rsidR="00954279" w:rsidRDefault="00A66714">
            <w:pPr>
              <w:rPr>
                <w:color w:val="000000"/>
              </w:rPr>
            </w:pPr>
            <w:r>
              <w:rPr>
                <w:color w:val="000000"/>
              </w:rPr>
              <w:t> </w:t>
            </w:r>
          </w:p>
        </w:tc>
        <w:tc>
          <w:tcPr>
            <w:tcW w:w="540" w:type="dxa"/>
            <w:tcMar>
              <w:top w:w="5" w:type="dxa"/>
              <w:left w:w="5" w:type="dxa"/>
              <w:bottom w:w="5" w:type="dxa"/>
              <w:right w:w="5" w:type="dxa"/>
            </w:tcMar>
            <w:hideMark/>
          </w:tcPr>
          <w:p w14:paraId="131B4130" w14:textId="77777777" w:rsidR="00954279" w:rsidRDefault="00A66714">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17A083CA" w14:textId="77777777" w:rsidR="00954279" w:rsidRDefault="00A66714">
            <w:pPr>
              <w:rPr>
                <w:color w:val="000000"/>
                <w:sz w:val="20"/>
                <w:szCs w:val="20"/>
              </w:rPr>
            </w:pPr>
            <w:r>
              <w:rPr>
                <w:color w:val="000000"/>
                <w:sz w:val="20"/>
                <w:szCs w:val="20"/>
              </w:rPr>
              <w:t>risks associated with international instability and geopolitical developments, including armed conflicts and terrorism;</w:t>
            </w:r>
          </w:p>
        </w:tc>
      </w:tr>
    </w:tbl>
    <w:p w14:paraId="273AA6DE" w14:textId="77777777" w:rsidR="00954279" w:rsidRDefault="0095427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954279" w14:paraId="5FA69BF5" w14:textId="77777777">
        <w:tc>
          <w:tcPr>
            <w:tcW w:w="720" w:type="dxa"/>
            <w:tcMar>
              <w:top w:w="5" w:type="dxa"/>
              <w:left w:w="5" w:type="dxa"/>
              <w:bottom w:w="5" w:type="dxa"/>
              <w:right w:w="5" w:type="dxa"/>
            </w:tcMar>
            <w:hideMark/>
          </w:tcPr>
          <w:p w14:paraId="10206A3E" w14:textId="77777777" w:rsidR="00954279" w:rsidRDefault="00A66714">
            <w:pPr>
              <w:rPr>
                <w:color w:val="000000"/>
              </w:rPr>
            </w:pPr>
            <w:r>
              <w:rPr>
                <w:color w:val="000000"/>
              </w:rPr>
              <w:t> </w:t>
            </w:r>
          </w:p>
        </w:tc>
        <w:tc>
          <w:tcPr>
            <w:tcW w:w="540" w:type="dxa"/>
            <w:tcMar>
              <w:top w:w="5" w:type="dxa"/>
              <w:left w:w="5" w:type="dxa"/>
              <w:bottom w:w="5" w:type="dxa"/>
              <w:right w:w="5" w:type="dxa"/>
            </w:tcMar>
            <w:hideMark/>
          </w:tcPr>
          <w:p w14:paraId="46988CF6" w14:textId="77777777" w:rsidR="00954279" w:rsidRDefault="00A66714">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65649B4C" w14:textId="77777777" w:rsidR="00954279" w:rsidRDefault="00A66714">
            <w:pPr>
              <w:rPr>
                <w:color w:val="000000"/>
                <w:sz w:val="20"/>
                <w:szCs w:val="20"/>
              </w:rPr>
            </w:pPr>
            <w:r>
              <w:rPr>
                <w:color w:val="000000"/>
                <w:sz w:val="20"/>
                <w:szCs w:val="20"/>
              </w:rPr>
              <w:t>risks relating to ongoing evaluations of internal controls required by Section 404 of the Sarbanes-Oxley Act;</w:t>
            </w:r>
          </w:p>
        </w:tc>
      </w:tr>
    </w:tbl>
    <w:p w14:paraId="15B9EEAE" w14:textId="77777777" w:rsidR="00954279" w:rsidRDefault="0095427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954279" w14:paraId="6D8A891A" w14:textId="77777777">
        <w:tc>
          <w:tcPr>
            <w:tcW w:w="720" w:type="dxa"/>
            <w:tcMar>
              <w:top w:w="5" w:type="dxa"/>
              <w:left w:w="5" w:type="dxa"/>
              <w:bottom w:w="5" w:type="dxa"/>
              <w:right w:w="5" w:type="dxa"/>
            </w:tcMar>
            <w:hideMark/>
          </w:tcPr>
          <w:p w14:paraId="19065989" w14:textId="77777777" w:rsidR="00954279" w:rsidRDefault="00A66714">
            <w:pPr>
              <w:rPr>
                <w:color w:val="000000"/>
              </w:rPr>
            </w:pPr>
            <w:r>
              <w:rPr>
                <w:color w:val="000000"/>
              </w:rPr>
              <w:t> </w:t>
            </w:r>
          </w:p>
        </w:tc>
        <w:tc>
          <w:tcPr>
            <w:tcW w:w="540" w:type="dxa"/>
            <w:tcMar>
              <w:top w:w="5" w:type="dxa"/>
              <w:left w:w="5" w:type="dxa"/>
              <w:bottom w:w="5" w:type="dxa"/>
              <w:right w:w="5" w:type="dxa"/>
            </w:tcMar>
            <w:hideMark/>
          </w:tcPr>
          <w:p w14:paraId="23A5ABD2" w14:textId="77777777" w:rsidR="00954279" w:rsidRDefault="00A66714">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25BD62F8" w14:textId="77777777" w:rsidR="00954279" w:rsidRDefault="00A66714">
            <w:pPr>
              <w:rPr>
                <w:color w:val="000000"/>
                <w:sz w:val="20"/>
                <w:szCs w:val="20"/>
              </w:rPr>
            </w:pPr>
            <w:r>
              <w:rPr>
                <w:color w:val="000000"/>
                <w:sz w:val="20"/>
                <w:szCs w:val="20"/>
              </w:rPr>
              <w:t>our intention not to pay dividends; and</w:t>
            </w:r>
          </w:p>
        </w:tc>
      </w:tr>
    </w:tbl>
    <w:p w14:paraId="76BA8F72" w14:textId="77777777" w:rsidR="00954279" w:rsidRDefault="0095427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954279" w14:paraId="695A5109" w14:textId="77777777">
        <w:tc>
          <w:tcPr>
            <w:tcW w:w="720" w:type="dxa"/>
            <w:tcMar>
              <w:top w:w="5" w:type="dxa"/>
              <w:left w:w="5" w:type="dxa"/>
              <w:bottom w:w="5" w:type="dxa"/>
              <w:right w:w="5" w:type="dxa"/>
            </w:tcMar>
            <w:hideMark/>
          </w:tcPr>
          <w:p w14:paraId="6E1E02EB" w14:textId="77777777" w:rsidR="00954279" w:rsidRDefault="00A66714">
            <w:pPr>
              <w:rPr>
                <w:color w:val="000000"/>
              </w:rPr>
            </w:pPr>
            <w:r>
              <w:rPr>
                <w:color w:val="000000"/>
              </w:rPr>
              <w:t> </w:t>
            </w:r>
          </w:p>
        </w:tc>
        <w:tc>
          <w:tcPr>
            <w:tcW w:w="540" w:type="dxa"/>
            <w:tcMar>
              <w:top w:w="5" w:type="dxa"/>
              <w:left w:w="5" w:type="dxa"/>
              <w:bottom w:w="5" w:type="dxa"/>
              <w:right w:w="5" w:type="dxa"/>
            </w:tcMar>
            <w:hideMark/>
          </w:tcPr>
          <w:p w14:paraId="1062F0FA" w14:textId="77777777" w:rsidR="00954279" w:rsidRDefault="00A66714">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3EC3672F" w14:textId="77777777" w:rsidR="00954279" w:rsidRDefault="00A66714">
            <w:pPr>
              <w:rPr>
                <w:color w:val="000000"/>
                <w:sz w:val="20"/>
                <w:szCs w:val="20"/>
              </w:rPr>
            </w:pPr>
            <w:r>
              <w:rPr>
                <w:color w:val="000000"/>
                <w:sz w:val="20"/>
                <w:szCs w:val="20"/>
              </w:rPr>
              <w:t>risks related to changing laws and regulations, including trade policies and tariffs.</w:t>
            </w:r>
          </w:p>
        </w:tc>
      </w:tr>
    </w:tbl>
    <w:p w14:paraId="48E3B3BD" w14:textId="77777777" w:rsidR="00954279" w:rsidRDefault="00A66714">
      <w:pPr>
        <w:ind w:left="144" w:right="144"/>
        <w:rPr>
          <w:sz w:val="20"/>
          <w:szCs w:val="20"/>
        </w:rPr>
      </w:pPr>
      <w:r>
        <w:rPr>
          <w:sz w:val="20"/>
          <w:szCs w:val="20"/>
        </w:rPr>
        <w:t> </w:t>
      </w:r>
    </w:p>
    <w:p w14:paraId="627341F5" w14:textId="77777777" w:rsidR="00954279" w:rsidRDefault="00A66714">
      <w:pPr>
        <w:ind w:left="144" w:right="144"/>
        <w:rPr>
          <w:sz w:val="20"/>
          <w:szCs w:val="20"/>
        </w:rPr>
      </w:pPr>
      <w:r>
        <w:rPr>
          <w:sz w:val="20"/>
          <w:szCs w:val="20"/>
        </w:rPr>
        <w:t>Undue reliance should not be placed on our forward-looking statements. Although forward-looking statements reflect our good faith beliefs, reliance should not be placed on forward-looking statements because they involve known and unknown risks, uncertainties and other factors, which may cause our actual results, performance or achievements to differ materially from anticipated future results, performance or achievements expressed or implied by such forward-looking statements. We undertake no obligation to publicly update or revise any forward-looking statement, whether as a result of new information, future events, changed circumstances or otherwise, except to the extent law requires.</w:t>
      </w:r>
    </w:p>
    <w:p w14:paraId="7AB64E35" w14:textId="77777777" w:rsidR="00954279" w:rsidRDefault="00A66714">
      <w:pPr>
        <w:ind w:left="144" w:right="144"/>
        <w:rPr>
          <w:sz w:val="20"/>
          <w:szCs w:val="20"/>
        </w:rPr>
      </w:pPr>
      <w:r>
        <w:rPr>
          <w:sz w:val="20"/>
          <w:szCs w:val="20"/>
        </w:rPr>
        <w:t> </w:t>
      </w:r>
    </w:p>
    <w:p w14:paraId="3EE35146" w14:textId="77777777" w:rsidR="00954279" w:rsidRDefault="00A66714">
      <w:pPr>
        <w:ind w:left="144" w:right="144"/>
        <w:rPr>
          <w:sz w:val="20"/>
          <w:szCs w:val="20"/>
        </w:rPr>
      </w:pPr>
      <w:r>
        <w:rPr>
          <w:b/>
          <w:bCs/>
          <w:sz w:val="20"/>
          <w:szCs w:val="20"/>
        </w:rPr>
        <w:t xml:space="preserve">Overview </w:t>
      </w:r>
    </w:p>
    <w:p w14:paraId="31B1B463" w14:textId="77777777" w:rsidR="00954279" w:rsidRDefault="00A66714">
      <w:pPr>
        <w:ind w:left="144" w:right="144"/>
        <w:rPr>
          <w:sz w:val="20"/>
          <w:szCs w:val="20"/>
        </w:rPr>
      </w:pPr>
      <w:r>
        <w:rPr>
          <w:sz w:val="20"/>
          <w:szCs w:val="20"/>
        </w:rPr>
        <w:t> </w:t>
      </w:r>
    </w:p>
    <w:p w14:paraId="0961F829" w14:textId="77777777" w:rsidR="00954279" w:rsidRDefault="00A66714">
      <w:pPr>
        <w:ind w:left="144" w:right="144"/>
        <w:rPr>
          <w:sz w:val="20"/>
          <w:szCs w:val="20"/>
        </w:rPr>
      </w:pPr>
      <w:r>
        <w:rPr>
          <w:sz w:val="20"/>
          <w:szCs w:val="20"/>
        </w:rPr>
        <w:t>We are the leading global distributor of pipe, valves, and fittings ("PVF") and other infrastructure products and services to diversified energy and industrial end-markets. We provide innovative supply chain solutions, technical product expertise and a robust digital platform to customers globally through our leading position across each of our diversified end-markets including the following sectors:</w:t>
      </w:r>
    </w:p>
    <w:p w14:paraId="0E79E73B" w14:textId="77777777" w:rsidR="00954279" w:rsidRDefault="00A66714">
      <w:pPr>
        <w:ind w:left="144" w:right="144"/>
        <w:rPr>
          <w:sz w:val="20"/>
          <w:szCs w:val="20"/>
        </w:rPr>
      </w:pPr>
      <w:r>
        <w:rPr>
          <w:sz w:val="20"/>
          <w:szCs w:val="20"/>
        </w:rPr>
        <w:t> </w:t>
      </w:r>
    </w:p>
    <w:tbl>
      <w:tblPr>
        <w:tblW w:w="5000" w:type="pct"/>
        <w:jc w:val="center"/>
        <w:tblCellMar>
          <w:left w:w="0" w:type="dxa"/>
          <w:right w:w="0" w:type="dxa"/>
        </w:tblCellMar>
        <w:tblLook w:val="04A0" w:firstRow="1" w:lastRow="0" w:firstColumn="1" w:lastColumn="0" w:noHBand="0" w:noVBand="1"/>
      </w:tblPr>
      <w:tblGrid>
        <w:gridCol w:w="363"/>
        <w:gridCol w:w="288"/>
        <w:gridCol w:w="10149"/>
      </w:tblGrid>
      <w:tr w:rsidR="00954279" w14:paraId="7C54021B" w14:textId="77777777">
        <w:trPr>
          <w:jc w:val="center"/>
        </w:trPr>
        <w:tc>
          <w:tcPr>
            <w:tcW w:w="705" w:type="dxa"/>
            <w:tcMar>
              <w:top w:w="5" w:type="dxa"/>
              <w:left w:w="5" w:type="dxa"/>
              <w:bottom w:w="5" w:type="dxa"/>
              <w:right w:w="5" w:type="dxa"/>
            </w:tcMar>
            <w:vAlign w:val="center"/>
            <w:hideMark/>
          </w:tcPr>
          <w:p w14:paraId="75A88DF5" w14:textId="77777777" w:rsidR="00954279" w:rsidRDefault="00A66714">
            <w:pPr>
              <w:rPr>
                <w:color w:val="000000"/>
                <w:sz w:val="20"/>
                <w:szCs w:val="20"/>
              </w:rPr>
            </w:pPr>
            <w:r>
              <w:rPr>
                <w:color w:val="000000"/>
                <w:sz w:val="20"/>
                <w:szCs w:val="20"/>
              </w:rPr>
              <w:t> </w:t>
            </w:r>
          </w:p>
        </w:tc>
        <w:tc>
          <w:tcPr>
            <w:tcW w:w="465" w:type="dxa"/>
            <w:tcMar>
              <w:top w:w="5" w:type="dxa"/>
              <w:left w:w="5" w:type="dxa"/>
              <w:bottom w:w="5" w:type="dxa"/>
              <w:right w:w="5" w:type="dxa"/>
            </w:tcMar>
            <w:vAlign w:val="center"/>
            <w:hideMark/>
          </w:tcPr>
          <w:p w14:paraId="5E5AF3CD" w14:textId="77777777" w:rsidR="00954279" w:rsidRDefault="00A66714">
            <w:pPr>
              <w:rPr>
                <w:color w:val="000000"/>
                <w:sz w:val="20"/>
                <w:szCs w:val="20"/>
              </w:rPr>
            </w:pPr>
            <w:r>
              <w:rPr>
                <w:color w:val="000000"/>
                <w:sz w:val="20"/>
                <w:szCs w:val="20"/>
              </w:rPr>
              <w:t>●</w:t>
            </w:r>
          </w:p>
        </w:tc>
        <w:tc>
          <w:tcPr>
            <w:tcW w:w="20325" w:type="dxa"/>
            <w:tcMar>
              <w:top w:w="5" w:type="dxa"/>
              <w:left w:w="5" w:type="dxa"/>
              <w:bottom w:w="5" w:type="dxa"/>
              <w:right w:w="5" w:type="dxa"/>
            </w:tcMar>
            <w:vAlign w:val="center"/>
            <w:hideMark/>
          </w:tcPr>
          <w:p w14:paraId="6247ECCB" w14:textId="77777777" w:rsidR="00954279" w:rsidRDefault="00A66714">
            <w:pPr>
              <w:rPr>
                <w:color w:val="000000"/>
                <w:sz w:val="20"/>
                <w:szCs w:val="20"/>
              </w:rPr>
            </w:pPr>
            <w:r>
              <w:rPr>
                <w:color w:val="000000"/>
                <w:sz w:val="20"/>
                <w:szCs w:val="20"/>
              </w:rPr>
              <w:t>gas utilities (storage and distribution of natural gas)</w:t>
            </w:r>
          </w:p>
        </w:tc>
      </w:tr>
      <w:tr w:rsidR="00954279" w14:paraId="17F941A3" w14:textId="77777777">
        <w:trPr>
          <w:jc w:val="center"/>
        </w:trPr>
        <w:tc>
          <w:tcPr>
            <w:tcW w:w="705" w:type="dxa"/>
            <w:tcMar>
              <w:top w:w="5" w:type="dxa"/>
              <w:left w:w="5" w:type="dxa"/>
              <w:bottom w:w="5" w:type="dxa"/>
              <w:right w:w="5" w:type="dxa"/>
            </w:tcMar>
            <w:vAlign w:val="center"/>
            <w:hideMark/>
          </w:tcPr>
          <w:p w14:paraId="3DE1C842" w14:textId="77777777" w:rsidR="00954279" w:rsidRDefault="00A66714">
            <w:pPr>
              <w:rPr>
                <w:color w:val="000000"/>
                <w:sz w:val="20"/>
                <w:szCs w:val="20"/>
              </w:rPr>
            </w:pPr>
            <w:r>
              <w:rPr>
                <w:color w:val="000000"/>
                <w:sz w:val="20"/>
                <w:szCs w:val="20"/>
              </w:rPr>
              <w:t> </w:t>
            </w:r>
          </w:p>
        </w:tc>
        <w:tc>
          <w:tcPr>
            <w:tcW w:w="465" w:type="dxa"/>
            <w:tcMar>
              <w:top w:w="5" w:type="dxa"/>
              <w:left w:w="5" w:type="dxa"/>
              <w:bottom w:w="5" w:type="dxa"/>
              <w:right w:w="5" w:type="dxa"/>
            </w:tcMar>
            <w:vAlign w:val="center"/>
            <w:hideMark/>
          </w:tcPr>
          <w:p w14:paraId="19CC6EF6" w14:textId="77777777" w:rsidR="00954279" w:rsidRDefault="00A66714">
            <w:pPr>
              <w:rPr>
                <w:color w:val="000000"/>
                <w:sz w:val="20"/>
                <w:szCs w:val="20"/>
              </w:rPr>
            </w:pPr>
            <w:r>
              <w:rPr>
                <w:color w:val="000000"/>
                <w:sz w:val="20"/>
                <w:szCs w:val="20"/>
              </w:rPr>
              <w:t>●</w:t>
            </w:r>
          </w:p>
        </w:tc>
        <w:tc>
          <w:tcPr>
            <w:tcW w:w="20325" w:type="dxa"/>
            <w:tcMar>
              <w:top w:w="5" w:type="dxa"/>
              <w:left w:w="5" w:type="dxa"/>
              <w:bottom w:w="5" w:type="dxa"/>
              <w:right w:w="5" w:type="dxa"/>
            </w:tcMar>
            <w:vAlign w:val="center"/>
            <w:hideMark/>
          </w:tcPr>
          <w:p w14:paraId="52C984D2" w14:textId="77777777" w:rsidR="00954279" w:rsidRDefault="00A66714">
            <w:pPr>
              <w:rPr>
                <w:color w:val="000000"/>
                <w:sz w:val="20"/>
                <w:szCs w:val="20"/>
              </w:rPr>
            </w:pPr>
            <w:r>
              <w:rPr>
                <w:color w:val="000000"/>
                <w:sz w:val="20"/>
                <w:szCs w:val="20"/>
              </w:rPr>
              <w:t>downstream and industrial (crude oil refining and petrochemical and chemical processing and general industrials)</w:t>
            </w:r>
          </w:p>
        </w:tc>
      </w:tr>
      <w:tr w:rsidR="00954279" w14:paraId="5CFB5C7F" w14:textId="77777777">
        <w:trPr>
          <w:jc w:val="center"/>
        </w:trPr>
        <w:tc>
          <w:tcPr>
            <w:tcW w:w="705" w:type="dxa"/>
            <w:tcMar>
              <w:top w:w="5" w:type="dxa"/>
              <w:left w:w="5" w:type="dxa"/>
              <w:bottom w:w="5" w:type="dxa"/>
              <w:right w:w="5" w:type="dxa"/>
            </w:tcMar>
            <w:vAlign w:val="center"/>
            <w:hideMark/>
          </w:tcPr>
          <w:p w14:paraId="5057B96B" w14:textId="77777777" w:rsidR="00954279" w:rsidRDefault="00A66714">
            <w:pPr>
              <w:rPr>
                <w:color w:val="000000"/>
                <w:sz w:val="20"/>
                <w:szCs w:val="20"/>
              </w:rPr>
            </w:pPr>
            <w:r>
              <w:rPr>
                <w:color w:val="000000"/>
                <w:sz w:val="20"/>
                <w:szCs w:val="20"/>
              </w:rPr>
              <w:t> </w:t>
            </w:r>
          </w:p>
        </w:tc>
        <w:tc>
          <w:tcPr>
            <w:tcW w:w="465" w:type="dxa"/>
            <w:tcMar>
              <w:top w:w="5" w:type="dxa"/>
              <w:left w:w="5" w:type="dxa"/>
              <w:bottom w:w="5" w:type="dxa"/>
              <w:right w:w="5" w:type="dxa"/>
            </w:tcMar>
            <w:vAlign w:val="center"/>
            <w:hideMark/>
          </w:tcPr>
          <w:p w14:paraId="50712858" w14:textId="77777777" w:rsidR="00954279" w:rsidRDefault="00A66714">
            <w:pPr>
              <w:rPr>
                <w:color w:val="000000"/>
                <w:sz w:val="20"/>
                <w:szCs w:val="20"/>
              </w:rPr>
            </w:pPr>
            <w:r>
              <w:rPr>
                <w:color w:val="000000"/>
                <w:sz w:val="20"/>
                <w:szCs w:val="20"/>
              </w:rPr>
              <w:t>●</w:t>
            </w:r>
          </w:p>
        </w:tc>
        <w:tc>
          <w:tcPr>
            <w:tcW w:w="20325" w:type="dxa"/>
            <w:tcMar>
              <w:top w:w="5" w:type="dxa"/>
              <w:left w:w="5" w:type="dxa"/>
              <w:bottom w:w="5" w:type="dxa"/>
              <w:right w:w="5" w:type="dxa"/>
            </w:tcMar>
            <w:vAlign w:val="center"/>
            <w:hideMark/>
          </w:tcPr>
          <w:p w14:paraId="20259615" w14:textId="77777777" w:rsidR="00954279" w:rsidRDefault="00A66714">
            <w:pPr>
              <w:rPr>
                <w:color w:val="000000"/>
                <w:sz w:val="20"/>
                <w:szCs w:val="20"/>
              </w:rPr>
            </w:pPr>
            <w:r>
              <w:rPr>
                <w:color w:val="000000"/>
                <w:sz w:val="20"/>
                <w:szCs w:val="20"/>
              </w:rPr>
              <w:t>upstream production (exploration, production and extraction of underground oil and gas)</w:t>
            </w:r>
          </w:p>
        </w:tc>
      </w:tr>
      <w:tr w:rsidR="00954279" w14:paraId="7FAEDB4E" w14:textId="77777777">
        <w:trPr>
          <w:jc w:val="center"/>
        </w:trPr>
        <w:tc>
          <w:tcPr>
            <w:tcW w:w="705" w:type="dxa"/>
            <w:tcMar>
              <w:top w:w="5" w:type="dxa"/>
              <w:left w:w="5" w:type="dxa"/>
              <w:bottom w:w="5" w:type="dxa"/>
              <w:right w:w="5" w:type="dxa"/>
            </w:tcMar>
            <w:vAlign w:val="center"/>
            <w:hideMark/>
          </w:tcPr>
          <w:p w14:paraId="32186F2C" w14:textId="77777777" w:rsidR="00954279" w:rsidRDefault="00A66714">
            <w:pPr>
              <w:rPr>
                <w:color w:val="000000"/>
                <w:sz w:val="20"/>
                <w:szCs w:val="20"/>
              </w:rPr>
            </w:pPr>
            <w:r>
              <w:rPr>
                <w:color w:val="000000"/>
                <w:sz w:val="20"/>
                <w:szCs w:val="20"/>
              </w:rPr>
              <w:t> </w:t>
            </w:r>
          </w:p>
        </w:tc>
        <w:tc>
          <w:tcPr>
            <w:tcW w:w="465" w:type="dxa"/>
            <w:tcMar>
              <w:top w:w="5" w:type="dxa"/>
              <w:left w:w="5" w:type="dxa"/>
              <w:bottom w:w="5" w:type="dxa"/>
              <w:right w:w="5" w:type="dxa"/>
            </w:tcMar>
            <w:vAlign w:val="center"/>
            <w:hideMark/>
          </w:tcPr>
          <w:p w14:paraId="6E6DA833" w14:textId="77777777" w:rsidR="00954279" w:rsidRDefault="00A66714">
            <w:pPr>
              <w:rPr>
                <w:color w:val="000000"/>
                <w:sz w:val="20"/>
                <w:szCs w:val="20"/>
              </w:rPr>
            </w:pPr>
            <w:r>
              <w:rPr>
                <w:color w:val="000000"/>
                <w:sz w:val="20"/>
                <w:szCs w:val="20"/>
              </w:rPr>
              <w:t>●</w:t>
            </w:r>
          </w:p>
        </w:tc>
        <w:tc>
          <w:tcPr>
            <w:tcW w:w="20325" w:type="dxa"/>
            <w:tcMar>
              <w:top w:w="5" w:type="dxa"/>
              <w:left w:w="5" w:type="dxa"/>
              <w:bottom w:w="5" w:type="dxa"/>
              <w:right w:w="5" w:type="dxa"/>
            </w:tcMar>
            <w:vAlign w:val="center"/>
            <w:hideMark/>
          </w:tcPr>
          <w:p w14:paraId="7FDA95B9" w14:textId="77777777" w:rsidR="00954279" w:rsidRDefault="00A66714">
            <w:pPr>
              <w:rPr>
                <w:color w:val="000000"/>
                <w:sz w:val="20"/>
                <w:szCs w:val="20"/>
              </w:rPr>
            </w:pPr>
            <w:r>
              <w:rPr>
                <w:color w:val="000000"/>
                <w:sz w:val="20"/>
                <w:szCs w:val="20"/>
              </w:rPr>
              <w:t>midstream pipeline (gathering, processing and transmission of oil and gas)</w:t>
            </w:r>
          </w:p>
        </w:tc>
      </w:tr>
    </w:tbl>
    <w:p w14:paraId="72203E56" w14:textId="77777777" w:rsidR="00954279" w:rsidRDefault="00A66714">
      <w:pPr>
        <w:ind w:left="144" w:right="144"/>
        <w:rPr>
          <w:sz w:val="20"/>
          <w:szCs w:val="20"/>
        </w:rPr>
      </w:pPr>
      <w:r>
        <w:rPr>
          <w:sz w:val="20"/>
          <w:szCs w:val="20"/>
        </w:rPr>
        <w:t> </w:t>
      </w:r>
    </w:p>
    <w:p w14:paraId="5A0464F3" w14:textId="77777777" w:rsidR="00954279" w:rsidRDefault="00A66714">
      <w:pPr>
        <w:ind w:left="144" w:right="144"/>
        <w:rPr>
          <w:sz w:val="20"/>
          <w:szCs w:val="20"/>
        </w:rPr>
      </w:pPr>
      <w:r>
        <w:rPr>
          <w:sz w:val="20"/>
          <w:szCs w:val="20"/>
        </w:rPr>
        <w:t>We offer over 200,000 SKUs, including an extensive array of PVF, oilfield supply, valve automation and modification, measurement, instrumentation and other general and specialty products from our global network of over 10,000 suppliers. With over 100 years of experience, our over 2,500 employees serve approximately 12,000 customers through approximately 220 service locations including regional distribution centers, branches, corporate offices and third party pipe yards, where we often deploy pipe near customer locations.</w:t>
      </w:r>
    </w:p>
    <w:p w14:paraId="75A193EB" w14:textId="77777777" w:rsidR="00954279" w:rsidRDefault="00A66714">
      <w:pPr>
        <w:ind w:left="144" w:right="144"/>
        <w:rPr>
          <w:sz w:val="20"/>
          <w:szCs w:val="20"/>
        </w:rPr>
      </w:pPr>
      <w:r>
        <w:rPr>
          <w:sz w:val="20"/>
          <w:szCs w:val="20"/>
        </w:rPr>
        <w:t> </w:t>
      </w:r>
    </w:p>
    <w:p w14:paraId="52B48FD0" w14:textId="77777777" w:rsidR="00954279" w:rsidRDefault="00A66714">
      <w:pPr>
        <w:ind w:left="144" w:right="144"/>
        <w:jc w:val="center"/>
        <w:rPr>
          <w:sz w:val="20"/>
          <w:szCs w:val="20"/>
        </w:rPr>
      </w:pPr>
      <w:r>
        <w:rPr>
          <w:sz w:val="20"/>
          <w:szCs w:val="20"/>
        </w:rPr>
        <w:t>17</w:t>
      </w:r>
    </w:p>
    <w:p w14:paraId="73FDF8B3" w14:textId="66FC02E0" w:rsidR="00954279" w:rsidRDefault="00A66714">
      <w:pPr>
        <w:ind w:left="144" w:right="144"/>
        <w:rPr>
          <w:sz w:val="20"/>
          <w:szCs w:val="20"/>
        </w:rPr>
      </w:pPr>
      <w:r>
        <w:rPr>
          <w:sz w:val="20"/>
          <w:szCs w:val="20"/>
        </w:rPr>
        <w:br w:type="page"/>
      </w:r>
    </w:p>
    <w:p w14:paraId="79934874" w14:textId="0DFE2AF3" w:rsidR="00954279" w:rsidRDefault="00A66714">
      <w:pPr>
        <w:ind w:left="144" w:right="144"/>
        <w:rPr>
          <w:sz w:val="20"/>
          <w:szCs w:val="20"/>
        </w:rPr>
      </w:pPr>
      <w:r>
        <w:rPr>
          <w:b/>
          <w:bCs/>
          <w:sz w:val="20"/>
          <w:szCs w:val="20"/>
        </w:rPr>
        <w:lastRenderedPageBreak/>
        <w:t xml:space="preserve">Key Drivers of Our Business </w:t>
      </w:r>
    </w:p>
    <w:p w14:paraId="224F8E3E" w14:textId="77777777" w:rsidR="00954279" w:rsidRDefault="00A66714" w:rsidP="007118B7">
      <w:pPr>
        <w:spacing w:line="120" w:lineRule="auto"/>
        <w:ind w:left="144" w:right="144"/>
        <w:rPr>
          <w:sz w:val="20"/>
          <w:szCs w:val="20"/>
        </w:rPr>
      </w:pPr>
      <w:r>
        <w:rPr>
          <w:sz w:val="20"/>
          <w:szCs w:val="20"/>
        </w:rPr>
        <w:t> </w:t>
      </w:r>
    </w:p>
    <w:p w14:paraId="61109CFD" w14:textId="77777777" w:rsidR="00954279" w:rsidRDefault="00A66714">
      <w:pPr>
        <w:ind w:left="144" w:right="144"/>
        <w:rPr>
          <w:sz w:val="20"/>
          <w:szCs w:val="20"/>
        </w:rPr>
      </w:pPr>
      <w:r>
        <w:rPr>
          <w:sz w:val="20"/>
          <w:szCs w:val="20"/>
        </w:rPr>
        <w:t>Our revenue is predominantly derived from the sale of PVF and other oilfield and industrial supplies to energy and industrial users globally. Our business is, therefore, dependent upon both the current conditions and future prospects in the energy industry and, in particular, maintenance and expansionary operating and capital expenditures by our customers in the gas utilities, downstream and industrial, upstream production and midstream pipeline sectors of the industry. Long-term growth in spending has been driven by several factors, including demand growth for petroleum and petroleum derived products, underinvestment in global energy infrastructure, growth in shale and unconventional exploration and production (“E&amp;P”) activity, and anticipated strength in the oil, natural gas, refined products and petrochemical sectors. The outlook for future oil, natural gas, refined products and petrochemical PVF spending is influenced by numerous factors, including the following:</w:t>
      </w:r>
    </w:p>
    <w:tbl>
      <w:tblPr>
        <w:tblW w:w="5500" w:type="pct"/>
        <w:tblInd w:w="-450" w:type="dxa"/>
        <w:tblCellMar>
          <w:left w:w="0" w:type="dxa"/>
          <w:right w:w="0" w:type="dxa"/>
        </w:tblCellMar>
        <w:tblLook w:val="04A0" w:firstRow="1" w:lastRow="0" w:firstColumn="1" w:lastColumn="0" w:noHBand="0" w:noVBand="1"/>
      </w:tblPr>
      <w:tblGrid>
        <w:gridCol w:w="450"/>
        <w:gridCol w:w="270"/>
        <w:gridCol w:w="11160"/>
      </w:tblGrid>
      <w:tr w:rsidR="00954279" w14:paraId="6E5455C6" w14:textId="77777777" w:rsidTr="007118B7">
        <w:tc>
          <w:tcPr>
            <w:tcW w:w="450" w:type="dxa"/>
            <w:tcMar>
              <w:top w:w="5" w:type="dxa"/>
              <w:left w:w="5" w:type="dxa"/>
              <w:bottom w:w="5" w:type="dxa"/>
              <w:right w:w="5" w:type="dxa"/>
            </w:tcMar>
            <w:hideMark/>
          </w:tcPr>
          <w:p w14:paraId="661E63C0" w14:textId="77777777" w:rsidR="00954279" w:rsidRDefault="00A66714">
            <w:pPr>
              <w:rPr>
                <w:color w:val="000000"/>
              </w:rPr>
            </w:pPr>
            <w:r>
              <w:rPr>
                <w:color w:val="000000"/>
              </w:rPr>
              <w:t> </w:t>
            </w:r>
          </w:p>
        </w:tc>
        <w:tc>
          <w:tcPr>
            <w:tcW w:w="270" w:type="dxa"/>
            <w:tcMar>
              <w:top w:w="5" w:type="dxa"/>
              <w:left w:w="5" w:type="dxa"/>
              <w:bottom w:w="5" w:type="dxa"/>
              <w:right w:w="5" w:type="dxa"/>
            </w:tcMar>
            <w:hideMark/>
          </w:tcPr>
          <w:p w14:paraId="36E5B7EF" w14:textId="77777777" w:rsidR="00954279" w:rsidRDefault="00A66714">
            <w:pPr>
              <w:rPr>
                <w:color w:val="000000"/>
                <w:sz w:val="20"/>
                <w:szCs w:val="20"/>
              </w:rPr>
            </w:pPr>
            <w:r>
              <w:rPr>
                <w:color w:val="000000"/>
                <w:sz w:val="20"/>
                <w:szCs w:val="20"/>
              </w:rPr>
              <w:t>●</w:t>
            </w:r>
            <w:r>
              <w:rPr>
                <w:i/>
                <w:iCs/>
                <w:color w:val="000000"/>
                <w:sz w:val="20"/>
                <w:szCs w:val="20"/>
              </w:rPr>
              <w:t xml:space="preserve"> </w:t>
            </w:r>
          </w:p>
        </w:tc>
        <w:tc>
          <w:tcPr>
            <w:tcW w:w="11160" w:type="dxa"/>
            <w:tcMar>
              <w:top w:w="5" w:type="dxa"/>
              <w:left w:w="5" w:type="dxa"/>
              <w:bottom w:w="5" w:type="dxa"/>
              <w:right w:w="5" w:type="dxa"/>
            </w:tcMar>
            <w:hideMark/>
          </w:tcPr>
          <w:p w14:paraId="25CE16FB" w14:textId="77777777" w:rsidR="00954279" w:rsidRDefault="00A66714">
            <w:pPr>
              <w:rPr>
                <w:color w:val="000000"/>
                <w:sz w:val="20"/>
                <w:szCs w:val="20"/>
              </w:rPr>
            </w:pPr>
            <w:r>
              <w:rPr>
                <w:i/>
                <w:iCs/>
                <w:color w:val="000000"/>
                <w:sz w:val="20"/>
                <w:szCs w:val="20"/>
              </w:rPr>
              <w:t>Energy Infrastructure Integrity and Modernization. </w:t>
            </w:r>
            <w:r>
              <w:rPr>
                <w:color w:val="000000"/>
                <w:sz w:val="20"/>
                <w:szCs w:val="20"/>
              </w:rPr>
              <w:t>Ongoing maintenance and upgrading of existing energy facilities, pipelines and other infrastructure equipment is a meaningful driver for business across the sectors we serve. This is particularly true for gas utilities which is currently our largest sector by sales. Activity with customers in this market is dependent on new residential and commercial development as well as upgrades of existing infrastructure. Maintenance of an aging network of pipelines is a critical requirement for these customers irrespective of broader economic conditions. As a result, this business tends to be more stable over time and moves independently of commodity prices.  </w:t>
            </w:r>
          </w:p>
        </w:tc>
      </w:tr>
    </w:tbl>
    <w:p w14:paraId="346B8EC8" w14:textId="77777777" w:rsidR="00954279" w:rsidRDefault="00954279">
      <w:pPr>
        <w:rPr>
          <w:vanish/>
        </w:rPr>
      </w:pPr>
    </w:p>
    <w:tbl>
      <w:tblPr>
        <w:tblW w:w="5500" w:type="pct"/>
        <w:tblInd w:w="-450" w:type="dxa"/>
        <w:tblCellMar>
          <w:left w:w="0" w:type="dxa"/>
          <w:right w:w="0" w:type="dxa"/>
        </w:tblCellMar>
        <w:tblLook w:val="04A0" w:firstRow="1" w:lastRow="0" w:firstColumn="1" w:lastColumn="0" w:noHBand="0" w:noVBand="1"/>
      </w:tblPr>
      <w:tblGrid>
        <w:gridCol w:w="450"/>
        <w:gridCol w:w="270"/>
        <w:gridCol w:w="11160"/>
      </w:tblGrid>
      <w:tr w:rsidR="00954279" w14:paraId="36A0A35C" w14:textId="77777777" w:rsidTr="007118B7">
        <w:tc>
          <w:tcPr>
            <w:tcW w:w="450" w:type="dxa"/>
            <w:tcMar>
              <w:top w:w="5" w:type="dxa"/>
              <w:left w:w="5" w:type="dxa"/>
              <w:bottom w:w="5" w:type="dxa"/>
              <w:right w:w="5" w:type="dxa"/>
            </w:tcMar>
            <w:vAlign w:val="center"/>
            <w:hideMark/>
          </w:tcPr>
          <w:p w14:paraId="2F192CCB" w14:textId="77777777" w:rsidR="00954279" w:rsidRDefault="00A66714">
            <w:pPr>
              <w:rPr>
                <w:color w:val="000000"/>
              </w:rPr>
            </w:pPr>
            <w:r>
              <w:rPr>
                <w:color w:val="000000"/>
              </w:rPr>
              <w:t> </w:t>
            </w:r>
          </w:p>
        </w:tc>
        <w:tc>
          <w:tcPr>
            <w:tcW w:w="270" w:type="dxa"/>
            <w:tcMar>
              <w:top w:w="5" w:type="dxa"/>
              <w:left w:w="5" w:type="dxa"/>
              <w:bottom w:w="5" w:type="dxa"/>
              <w:right w:w="5" w:type="dxa"/>
            </w:tcMar>
            <w:hideMark/>
          </w:tcPr>
          <w:p w14:paraId="73D836DE" w14:textId="77777777" w:rsidR="00954279" w:rsidRDefault="00A66714">
            <w:pPr>
              <w:rPr>
                <w:color w:val="000000"/>
                <w:sz w:val="20"/>
                <w:szCs w:val="20"/>
              </w:rPr>
            </w:pPr>
            <w:r>
              <w:rPr>
                <w:color w:val="000000"/>
                <w:sz w:val="20"/>
                <w:szCs w:val="20"/>
              </w:rPr>
              <w:t>●</w:t>
            </w:r>
          </w:p>
        </w:tc>
        <w:tc>
          <w:tcPr>
            <w:tcW w:w="11160" w:type="dxa"/>
            <w:tcMar>
              <w:top w:w="5" w:type="dxa"/>
              <w:left w:w="5" w:type="dxa"/>
              <w:bottom w:w="5" w:type="dxa"/>
              <w:right w:w="5" w:type="dxa"/>
            </w:tcMar>
            <w:vAlign w:val="center"/>
            <w:hideMark/>
          </w:tcPr>
          <w:p w14:paraId="48BDDBA8" w14:textId="77777777" w:rsidR="00954279" w:rsidRDefault="00A66714">
            <w:pPr>
              <w:rPr>
                <w:color w:val="000000"/>
                <w:sz w:val="20"/>
                <w:szCs w:val="20"/>
              </w:rPr>
            </w:pPr>
            <w:r>
              <w:rPr>
                <w:i/>
                <w:iCs/>
                <w:color w:val="000000"/>
                <w:sz w:val="20"/>
                <w:szCs w:val="20"/>
              </w:rPr>
              <w:t>Oil and Natural Gas Demand and Prices</w:t>
            </w:r>
            <w:r>
              <w:rPr>
                <w:color w:val="000000"/>
                <w:sz w:val="20"/>
                <w:szCs w:val="20"/>
              </w:rPr>
              <w:t>. Sales of PVF and related infrastructure products to the oil and natural gas industry constitute a significant portion of our sales. As a result, we depend upon the oil and natural gas industry and its ability and willingness to make maintenance and capital expenditures to explore for, produce and process oil, natural gas and refined products. Demand for oil and natural gas along with both current and projected prices and the costs necessary to produce oil and gas, impact other drivers of our business, including capital spending by customers, additions to and maintenance of pipelines, refinery utilization and petrochemical processing activity.</w:t>
            </w:r>
          </w:p>
        </w:tc>
      </w:tr>
      <w:tr w:rsidR="00954279" w14:paraId="0455C149" w14:textId="77777777" w:rsidTr="007118B7">
        <w:tc>
          <w:tcPr>
            <w:tcW w:w="450" w:type="dxa"/>
            <w:tcMar>
              <w:top w:w="5" w:type="dxa"/>
              <w:left w:w="5" w:type="dxa"/>
              <w:bottom w:w="5" w:type="dxa"/>
              <w:right w:w="5" w:type="dxa"/>
            </w:tcMar>
            <w:hideMark/>
          </w:tcPr>
          <w:p w14:paraId="428F839D" w14:textId="77777777" w:rsidR="00954279" w:rsidRDefault="00A66714">
            <w:pPr>
              <w:rPr>
                <w:color w:val="000000"/>
              </w:rPr>
            </w:pPr>
            <w:r>
              <w:rPr>
                <w:color w:val="000000"/>
              </w:rPr>
              <w:t> </w:t>
            </w:r>
          </w:p>
        </w:tc>
        <w:tc>
          <w:tcPr>
            <w:tcW w:w="270" w:type="dxa"/>
            <w:tcMar>
              <w:top w:w="5" w:type="dxa"/>
              <w:left w:w="5" w:type="dxa"/>
              <w:bottom w:w="5" w:type="dxa"/>
              <w:right w:w="5" w:type="dxa"/>
            </w:tcMar>
            <w:hideMark/>
          </w:tcPr>
          <w:p w14:paraId="16B8F6D4" w14:textId="77777777" w:rsidR="00954279" w:rsidRDefault="00A66714">
            <w:pPr>
              <w:rPr>
                <w:color w:val="000000"/>
                <w:sz w:val="20"/>
                <w:szCs w:val="20"/>
              </w:rPr>
            </w:pPr>
            <w:r>
              <w:rPr>
                <w:color w:val="000000"/>
                <w:sz w:val="20"/>
                <w:szCs w:val="20"/>
              </w:rPr>
              <w:t>●</w:t>
            </w:r>
          </w:p>
        </w:tc>
        <w:tc>
          <w:tcPr>
            <w:tcW w:w="11160" w:type="dxa"/>
            <w:tcMar>
              <w:top w:w="5" w:type="dxa"/>
              <w:left w:w="5" w:type="dxa"/>
              <w:bottom w:w="5" w:type="dxa"/>
              <w:right w:w="5" w:type="dxa"/>
            </w:tcMar>
            <w:hideMark/>
          </w:tcPr>
          <w:p w14:paraId="50E1DFDB" w14:textId="77777777" w:rsidR="00954279" w:rsidRDefault="00A66714">
            <w:pPr>
              <w:rPr>
                <w:color w:val="000000"/>
                <w:sz w:val="20"/>
                <w:szCs w:val="20"/>
              </w:rPr>
            </w:pPr>
            <w:r>
              <w:rPr>
                <w:i/>
                <w:iCs/>
                <w:color w:val="000000"/>
                <w:sz w:val="20"/>
                <w:szCs w:val="20"/>
              </w:rPr>
              <w:t>Economic Conditions</w:t>
            </w:r>
            <w:r>
              <w:rPr>
                <w:color w:val="000000"/>
                <w:sz w:val="20"/>
                <w:szCs w:val="20"/>
              </w:rPr>
              <w:t>. Changes in the general economy or in the energy sector (domestically or internationally) can cause demand for fuels, feedstocks and petroleum-derived products to vary thereby causing demand for the products we distribute to materially change.</w:t>
            </w:r>
          </w:p>
        </w:tc>
      </w:tr>
    </w:tbl>
    <w:p w14:paraId="68E4B022" w14:textId="77777777" w:rsidR="00954279" w:rsidRDefault="00954279">
      <w:pPr>
        <w:rPr>
          <w:vanish/>
        </w:rPr>
      </w:pPr>
    </w:p>
    <w:tbl>
      <w:tblPr>
        <w:tblW w:w="5500" w:type="pct"/>
        <w:tblInd w:w="-450" w:type="dxa"/>
        <w:tblCellMar>
          <w:left w:w="0" w:type="dxa"/>
          <w:right w:w="0" w:type="dxa"/>
        </w:tblCellMar>
        <w:tblLook w:val="04A0" w:firstRow="1" w:lastRow="0" w:firstColumn="1" w:lastColumn="0" w:noHBand="0" w:noVBand="1"/>
      </w:tblPr>
      <w:tblGrid>
        <w:gridCol w:w="450"/>
        <w:gridCol w:w="270"/>
        <w:gridCol w:w="11160"/>
      </w:tblGrid>
      <w:tr w:rsidR="00954279" w14:paraId="7A78207E" w14:textId="77777777" w:rsidTr="007118B7">
        <w:tc>
          <w:tcPr>
            <w:tcW w:w="450" w:type="dxa"/>
            <w:tcMar>
              <w:top w:w="5" w:type="dxa"/>
              <w:left w:w="5" w:type="dxa"/>
              <w:bottom w:w="5" w:type="dxa"/>
              <w:right w:w="5" w:type="dxa"/>
            </w:tcMar>
            <w:hideMark/>
          </w:tcPr>
          <w:p w14:paraId="414F1721" w14:textId="77777777" w:rsidR="00954279" w:rsidRDefault="00A66714">
            <w:pPr>
              <w:rPr>
                <w:color w:val="000000"/>
              </w:rPr>
            </w:pPr>
            <w:r>
              <w:rPr>
                <w:color w:val="000000"/>
              </w:rPr>
              <w:t> </w:t>
            </w:r>
          </w:p>
        </w:tc>
        <w:tc>
          <w:tcPr>
            <w:tcW w:w="270" w:type="dxa"/>
            <w:tcMar>
              <w:top w:w="5" w:type="dxa"/>
              <w:left w:w="5" w:type="dxa"/>
              <w:bottom w:w="5" w:type="dxa"/>
              <w:right w:w="5" w:type="dxa"/>
            </w:tcMar>
            <w:hideMark/>
          </w:tcPr>
          <w:p w14:paraId="12372E66" w14:textId="77777777" w:rsidR="00954279" w:rsidRDefault="00A66714">
            <w:pPr>
              <w:rPr>
                <w:color w:val="000000"/>
                <w:sz w:val="20"/>
                <w:szCs w:val="20"/>
              </w:rPr>
            </w:pPr>
            <w:r>
              <w:rPr>
                <w:color w:val="000000"/>
                <w:sz w:val="20"/>
                <w:szCs w:val="20"/>
              </w:rPr>
              <w:t>●</w:t>
            </w:r>
            <w:r>
              <w:rPr>
                <w:i/>
                <w:iCs/>
                <w:color w:val="000000"/>
                <w:sz w:val="20"/>
                <w:szCs w:val="20"/>
              </w:rPr>
              <w:t xml:space="preserve"> </w:t>
            </w:r>
          </w:p>
        </w:tc>
        <w:tc>
          <w:tcPr>
            <w:tcW w:w="11160" w:type="dxa"/>
            <w:tcMar>
              <w:top w:w="5" w:type="dxa"/>
              <w:left w:w="5" w:type="dxa"/>
              <w:bottom w:w="5" w:type="dxa"/>
              <w:right w:w="5" w:type="dxa"/>
            </w:tcMar>
            <w:hideMark/>
          </w:tcPr>
          <w:p w14:paraId="69FBC316" w14:textId="77777777" w:rsidR="00954279" w:rsidRDefault="00A66714">
            <w:pPr>
              <w:rPr>
                <w:color w:val="000000"/>
                <w:sz w:val="20"/>
                <w:szCs w:val="20"/>
              </w:rPr>
            </w:pPr>
            <w:r>
              <w:rPr>
                <w:i/>
                <w:iCs/>
                <w:color w:val="000000"/>
                <w:sz w:val="20"/>
                <w:szCs w:val="20"/>
              </w:rPr>
              <w:t>Manufacturer and Distributor Inventory Levels of PVF and Related Products</w:t>
            </w:r>
            <w:r>
              <w:rPr>
                <w:color w:val="000000"/>
                <w:sz w:val="20"/>
                <w:szCs w:val="20"/>
              </w:rPr>
              <w:t>. Manufacturer and distributor inventory levels of PVF and related products can change significantly from period to period. Increased inventory levels by manufacturers or other distributors can cause an oversupply of PVF and related products in the industry sectors we serve and reduce the prices that we are able to charge for the products we distribute. Reduced prices, in turn, would likely reduce our profitability. Conversely, decreased manufacturer inventory levels may ultimately lead to increased demand for our products and would likely result in increased sales volumes and overall profitability.</w:t>
            </w:r>
          </w:p>
        </w:tc>
      </w:tr>
    </w:tbl>
    <w:p w14:paraId="6D838B7D" w14:textId="77777777" w:rsidR="00954279" w:rsidRDefault="00954279">
      <w:pPr>
        <w:rPr>
          <w:vanish/>
        </w:rPr>
      </w:pPr>
    </w:p>
    <w:tbl>
      <w:tblPr>
        <w:tblW w:w="5500" w:type="pct"/>
        <w:tblInd w:w="-450" w:type="dxa"/>
        <w:tblCellMar>
          <w:left w:w="0" w:type="dxa"/>
          <w:right w:w="0" w:type="dxa"/>
        </w:tblCellMar>
        <w:tblLook w:val="04A0" w:firstRow="1" w:lastRow="0" w:firstColumn="1" w:lastColumn="0" w:noHBand="0" w:noVBand="1"/>
      </w:tblPr>
      <w:tblGrid>
        <w:gridCol w:w="450"/>
        <w:gridCol w:w="270"/>
        <w:gridCol w:w="11160"/>
      </w:tblGrid>
      <w:tr w:rsidR="00954279" w14:paraId="6DE03BB6" w14:textId="77777777" w:rsidTr="007118B7">
        <w:tc>
          <w:tcPr>
            <w:tcW w:w="450" w:type="dxa"/>
            <w:tcMar>
              <w:top w:w="5" w:type="dxa"/>
              <w:left w:w="5" w:type="dxa"/>
              <w:bottom w:w="5" w:type="dxa"/>
              <w:right w:w="5" w:type="dxa"/>
            </w:tcMar>
            <w:hideMark/>
          </w:tcPr>
          <w:p w14:paraId="20C9D141" w14:textId="77777777" w:rsidR="00954279" w:rsidRDefault="00A66714">
            <w:pPr>
              <w:rPr>
                <w:color w:val="000000"/>
              </w:rPr>
            </w:pPr>
            <w:r>
              <w:rPr>
                <w:color w:val="000000"/>
              </w:rPr>
              <w:t> </w:t>
            </w:r>
          </w:p>
        </w:tc>
        <w:tc>
          <w:tcPr>
            <w:tcW w:w="270" w:type="dxa"/>
            <w:tcMar>
              <w:top w:w="5" w:type="dxa"/>
              <w:left w:w="5" w:type="dxa"/>
              <w:bottom w:w="5" w:type="dxa"/>
              <w:right w:w="5" w:type="dxa"/>
            </w:tcMar>
            <w:hideMark/>
          </w:tcPr>
          <w:p w14:paraId="796D5E3C" w14:textId="77777777" w:rsidR="00954279" w:rsidRDefault="00A66714">
            <w:pPr>
              <w:rPr>
                <w:color w:val="000000"/>
                <w:sz w:val="20"/>
                <w:szCs w:val="20"/>
              </w:rPr>
            </w:pPr>
            <w:r>
              <w:rPr>
                <w:color w:val="000000"/>
                <w:sz w:val="20"/>
                <w:szCs w:val="20"/>
              </w:rPr>
              <w:t>●</w:t>
            </w:r>
            <w:r>
              <w:rPr>
                <w:i/>
                <w:iCs/>
                <w:color w:val="000000"/>
                <w:sz w:val="20"/>
                <w:szCs w:val="20"/>
              </w:rPr>
              <w:t xml:space="preserve"> </w:t>
            </w:r>
          </w:p>
        </w:tc>
        <w:tc>
          <w:tcPr>
            <w:tcW w:w="11160" w:type="dxa"/>
            <w:tcMar>
              <w:top w:w="5" w:type="dxa"/>
              <w:left w:w="5" w:type="dxa"/>
              <w:bottom w:w="5" w:type="dxa"/>
              <w:right w:w="5" w:type="dxa"/>
            </w:tcMar>
            <w:hideMark/>
          </w:tcPr>
          <w:p w14:paraId="73C529C4" w14:textId="77777777" w:rsidR="00954279" w:rsidRDefault="00A66714">
            <w:pPr>
              <w:rPr>
                <w:color w:val="000000"/>
                <w:sz w:val="20"/>
                <w:szCs w:val="20"/>
              </w:rPr>
            </w:pPr>
            <w:r>
              <w:rPr>
                <w:i/>
                <w:iCs/>
                <w:color w:val="000000"/>
                <w:sz w:val="20"/>
                <w:szCs w:val="20"/>
              </w:rPr>
              <w:t>Steel Prices, Availability and Demand</w:t>
            </w:r>
            <w:r>
              <w:rPr>
                <w:color w:val="000000"/>
                <w:sz w:val="20"/>
                <w:szCs w:val="20"/>
              </w:rPr>
              <w:t>. Fluctuations in steel prices can lead to volatility in the pricing of the products we distribute, especially carbon steel line pipe products, which can influence the buying patterns of our customers. A majority of the products we distribute contain various types of steel. The worldwide supply and demand for these products, or other steel products that we do not supply, impacts the pricing and availability of our products and, ultimately, our sales and operating profitability. Additionally, supply chain disruptions with key manufacturers or in markets in which we source products can impact the availability of inventory we require to support our customers. Furthermore, logistical challenges, including inflation and availability of freight providers and containers for shipping can also significantly impact our profitability and inventory lead-times.</w:t>
            </w:r>
          </w:p>
        </w:tc>
      </w:tr>
    </w:tbl>
    <w:p w14:paraId="4E5FAA87" w14:textId="77777777" w:rsidR="00954279" w:rsidRDefault="00A66714" w:rsidP="007118B7">
      <w:pPr>
        <w:spacing w:line="120" w:lineRule="auto"/>
        <w:ind w:left="144" w:right="144"/>
        <w:rPr>
          <w:sz w:val="20"/>
          <w:szCs w:val="20"/>
        </w:rPr>
      </w:pPr>
      <w:r>
        <w:rPr>
          <w:sz w:val="20"/>
          <w:szCs w:val="20"/>
        </w:rPr>
        <w:t> </w:t>
      </w:r>
    </w:p>
    <w:p w14:paraId="471DEF29" w14:textId="77777777" w:rsidR="00954279" w:rsidRDefault="00A66714">
      <w:pPr>
        <w:ind w:left="144" w:right="144"/>
        <w:rPr>
          <w:sz w:val="20"/>
          <w:szCs w:val="20"/>
        </w:rPr>
      </w:pPr>
      <w:r>
        <w:rPr>
          <w:b/>
          <w:bCs/>
          <w:sz w:val="20"/>
          <w:szCs w:val="20"/>
        </w:rPr>
        <w:t xml:space="preserve">Recent Trends and Outlook </w:t>
      </w:r>
    </w:p>
    <w:p w14:paraId="626CC3DF" w14:textId="77777777" w:rsidR="00954279" w:rsidRDefault="00A66714" w:rsidP="007118B7">
      <w:pPr>
        <w:spacing w:line="120" w:lineRule="auto"/>
        <w:ind w:left="144" w:right="144"/>
        <w:rPr>
          <w:sz w:val="20"/>
          <w:szCs w:val="20"/>
        </w:rPr>
      </w:pPr>
      <w:r>
        <w:rPr>
          <w:sz w:val="20"/>
          <w:szCs w:val="20"/>
        </w:rPr>
        <w:t> </w:t>
      </w:r>
    </w:p>
    <w:p w14:paraId="01A322E6" w14:textId="77777777" w:rsidR="00954279" w:rsidRDefault="00A66714">
      <w:pPr>
        <w:ind w:left="144" w:right="144"/>
        <w:rPr>
          <w:sz w:val="20"/>
          <w:szCs w:val="20"/>
        </w:rPr>
      </w:pPr>
      <w:r>
        <w:rPr>
          <w:sz w:val="20"/>
          <w:szCs w:val="20"/>
        </w:rPr>
        <w:t xml:space="preserve">During the first </w:t>
      </w:r>
      <w:bookmarkStart w:id="21" w:name="led65144F20207261598474012141"/>
      <w:r>
        <w:rPr>
          <w:sz w:val="20"/>
          <w:szCs w:val="20"/>
        </w:rPr>
        <w:t xml:space="preserve">six months of 2021, the average oil price of West Texas Intermediate (“WTI”) increased to $62.21 per barrel from $36.58 per barrel in the first six months of </w:t>
      </w:r>
      <w:bookmarkStart w:id="22" w:name="led65141F20205261593203196950"/>
      <w:r>
        <w:rPr>
          <w:sz w:val="20"/>
          <w:szCs w:val="20"/>
        </w:rPr>
        <w:t>2020. Natural gas prices increased to an average price of $3.22/MMBtu (Henry Hub) for the first six months of 2021 compared to $1.80/MMBtu (Henry Hub) for the first six months of 2020.</w:t>
      </w:r>
      <w:r>
        <w:rPr>
          <w:b/>
          <w:bCs/>
          <w:sz w:val="20"/>
          <w:szCs w:val="20"/>
        </w:rPr>
        <w:t xml:space="preserve"> </w:t>
      </w:r>
      <w:r>
        <w:rPr>
          <w:sz w:val="20"/>
          <w:szCs w:val="20"/>
        </w:rPr>
        <w:t>North American drilling rig activity decreased 24% in the six months ended June 30, 2021, as compared to the same period of 2020. U.S. well completions were up 3% in the six months ended June 30, 2021, compared to the same period in 2020.</w:t>
      </w:r>
    </w:p>
    <w:p w14:paraId="6A7E7FB5" w14:textId="77777777" w:rsidR="00954279" w:rsidRDefault="00A66714" w:rsidP="007118B7">
      <w:pPr>
        <w:spacing w:line="120" w:lineRule="auto"/>
        <w:ind w:left="144" w:right="144"/>
        <w:rPr>
          <w:sz w:val="20"/>
          <w:szCs w:val="20"/>
        </w:rPr>
      </w:pPr>
      <w:r>
        <w:rPr>
          <w:sz w:val="20"/>
          <w:szCs w:val="20"/>
        </w:rPr>
        <w:t> </w:t>
      </w:r>
    </w:p>
    <w:p w14:paraId="11F63EC4" w14:textId="77777777" w:rsidR="00954279" w:rsidRDefault="00A66714">
      <w:pPr>
        <w:ind w:left="144" w:right="144"/>
        <w:rPr>
          <w:sz w:val="20"/>
          <w:szCs w:val="20"/>
        </w:rPr>
      </w:pPr>
      <w:r>
        <w:rPr>
          <w:sz w:val="20"/>
          <w:szCs w:val="20"/>
        </w:rPr>
        <w:t>The energy industry, and our business in turn, is cyclical in nature. In the first half of 2020, demand for oil and natural gas declined sharply because of the COVID-19 pandemic. This resulted in lower commodity prices, which, in turn, led to a significant decline in oil and gas industry spending. Based on an average of industry research estimates, there was a decrease in oil and gas industry spending in 2020 of 32% globally, including approximately 45% in the U.S. upstream production market. These reductions in spending directly impacted both the upstream production and midstream pipeline components of our business. In addition, our customers in the downstream and industrial sector deferred turnarounds and routine maintenance as well as idled facilities to preserve liquidity and comply with COVID-19 related limitations on employee activities. Furthermore, approximately 80% of our business is concentrated in the U.S. where the majority of industry spending reductions occurred.</w:t>
      </w:r>
    </w:p>
    <w:p w14:paraId="2ED29562" w14:textId="77777777" w:rsidR="00954279" w:rsidRDefault="00A66714" w:rsidP="007118B7">
      <w:pPr>
        <w:spacing w:line="120" w:lineRule="auto"/>
        <w:ind w:left="144" w:right="144"/>
        <w:rPr>
          <w:sz w:val="20"/>
          <w:szCs w:val="20"/>
        </w:rPr>
      </w:pPr>
      <w:r>
        <w:rPr>
          <w:sz w:val="20"/>
          <w:szCs w:val="20"/>
        </w:rPr>
        <w:t> </w:t>
      </w:r>
    </w:p>
    <w:p w14:paraId="5FB9A292" w14:textId="0C5995BB" w:rsidR="00954279" w:rsidRDefault="00A66714">
      <w:pPr>
        <w:ind w:left="144" w:right="144"/>
        <w:rPr>
          <w:sz w:val="20"/>
          <w:szCs w:val="20"/>
        </w:rPr>
      </w:pPr>
      <w:r>
        <w:rPr>
          <w:sz w:val="20"/>
          <w:szCs w:val="20"/>
        </w:rPr>
        <w:t>In the first half of 2021, we began to see an improvement in the demand for oil and natural gas as the roll out of the COVID-19 vaccinations gradually improved around the globe and pandemic restrictions eased. The increasing optimism related to demand recovery has led to higher commodity prices and although demand levels remain below pre-pandemic levels, there is growing confidence of returning to 2019 levels in the coming years. Also contributing to the improvement in oil prices has been cooperation within OPEC to implement production cuts over the last year; however, it was recently announced that OPEC intends to increase production beginning in August 2021 that will continue into late 2022 to match increasing demand expectations. Demand recovery could still possibly slow or pause as a result of additional waves of pandemic outbreak or heightened pandemic control measures. Over the longer term, we could also experience a structural shift in the global economy and its demand for oil and natural gas as a result of changes in the way people work, travel and interact.</w:t>
      </w:r>
    </w:p>
    <w:p w14:paraId="63D1E738" w14:textId="77777777" w:rsidR="007118B7" w:rsidRDefault="007118B7">
      <w:pPr>
        <w:ind w:left="144" w:right="144"/>
        <w:rPr>
          <w:sz w:val="20"/>
          <w:szCs w:val="20"/>
        </w:rPr>
      </w:pPr>
    </w:p>
    <w:p w14:paraId="61239635" w14:textId="77777777" w:rsidR="00954279" w:rsidRDefault="00A66714">
      <w:pPr>
        <w:ind w:left="144" w:right="144"/>
        <w:jc w:val="center"/>
        <w:rPr>
          <w:sz w:val="20"/>
          <w:szCs w:val="20"/>
        </w:rPr>
      </w:pPr>
      <w:r>
        <w:rPr>
          <w:sz w:val="20"/>
          <w:szCs w:val="20"/>
        </w:rPr>
        <w:t>18</w:t>
      </w:r>
    </w:p>
    <w:p w14:paraId="2D464A71" w14:textId="77777777" w:rsidR="00954279" w:rsidRDefault="00A66714">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741B2CDB" w14:textId="77777777" w:rsidR="007118B7" w:rsidRDefault="007118B7" w:rsidP="007118B7">
      <w:pPr>
        <w:spacing w:line="120" w:lineRule="auto"/>
        <w:ind w:left="144" w:right="144"/>
        <w:rPr>
          <w:sz w:val="20"/>
          <w:szCs w:val="20"/>
        </w:rPr>
      </w:pPr>
      <w:r>
        <w:rPr>
          <w:sz w:val="20"/>
          <w:szCs w:val="20"/>
        </w:rPr>
        <w:t> </w:t>
      </w:r>
    </w:p>
    <w:p w14:paraId="5194C91D" w14:textId="77777777" w:rsidR="007118B7" w:rsidRDefault="007118B7" w:rsidP="007118B7">
      <w:pPr>
        <w:ind w:left="144" w:right="144"/>
        <w:rPr>
          <w:sz w:val="20"/>
          <w:szCs w:val="20"/>
        </w:rPr>
      </w:pPr>
      <w:r>
        <w:rPr>
          <w:sz w:val="20"/>
          <w:szCs w:val="20"/>
        </w:rPr>
        <w:t>Notwithstanding the ongoing uncertainty, we experienced a 5% sequential growth in sales in the first quarter of 2021 as compared to the fourth quarter of 2020, followed by a 13% sequential growth in the second quarter of 2021. North American rig count, which is a leading indicator of activity levels, increased by 31% from the fourth quarter of 2020 to the second quarter of 2021. Recent spending plan estimates by sell-side research analysts indicate U.S. upstream spending in 2021 will be higher compared to 2020, although the percentage increases can vary significantly by customer and we expect a continued focus on capital discipline by oil and gas exploration and production operators. For example, the majority of rig count and completion activity increases to date have been led by private operators, which historically have not been our primary customer base. Despite this we have seen a substantial improvement in both our upstream and midstream sectors in the first half of 2021. </w:t>
      </w:r>
    </w:p>
    <w:p w14:paraId="7CA2AD0F" w14:textId="5E054CA1" w:rsidR="00954279" w:rsidRDefault="007118B7" w:rsidP="007118B7">
      <w:pPr>
        <w:ind w:left="144" w:right="144"/>
        <w:rPr>
          <w:sz w:val="20"/>
          <w:szCs w:val="20"/>
        </w:rPr>
      </w:pPr>
      <w:r>
        <w:rPr>
          <w:sz w:val="20"/>
          <w:szCs w:val="20"/>
        </w:rPr>
        <w:t> </w:t>
      </w:r>
      <w:r w:rsidR="00A66714">
        <w:rPr>
          <w:sz w:val="20"/>
          <w:szCs w:val="20"/>
        </w:rPr>
        <w:t> </w:t>
      </w:r>
    </w:p>
    <w:p w14:paraId="07D61AC1" w14:textId="77777777" w:rsidR="00954279" w:rsidRDefault="00A66714">
      <w:pPr>
        <w:ind w:left="144" w:right="144"/>
        <w:rPr>
          <w:sz w:val="20"/>
          <w:szCs w:val="20"/>
        </w:rPr>
      </w:pPr>
      <w:r>
        <w:rPr>
          <w:sz w:val="20"/>
          <w:szCs w:val="20"/>
        </w:rPr>
        <w:t>Our gas utility business had the most significant contribution to our revenue improvement in the second quarter of 2021, with an increase of 28% compared to the first quarter. This continues to be our largest sector making up approximately 39% of our total company revenue in the second quarter of 2021. This business, which is largely independent of oil and gas commodity prices, was also initially impacted by certain customer activity delays due to COVID-19 concerns but did not experience any material budget cuts or project cancellations. This sector is expected to have the most significant revenue improvement in 2021 with a double-digit percentage increase compared to 2020 due to increased customer activity levels as pandemic restrictions ease and customers continue to execute their integrity upgrade programs.</w:t>
      </w:r>
    </w:p>
    <w:p w14:paraId="3BCD0CCB" w14:textId="77777777" w:rsidR="00954279" w:rsidRDefault="00A66714">
      <w:pPr>
        <w:ind w:left="144" w:right="144"/>
        <w:rPr>
          <w:sz w:val="20"/>
          <w:szCs w:val="20"/>
        </w:rPr>
      </w:pPr>
      <w:r>
        <w:rPr>
          <w:sz w:val="20"/>
          <w:szCs w:val="20"/>
        </w:rPr>
        <w:t> </w:t>
      </w:r>
    </w:p>
    <w:p w14:paraId="4470A7CE" w14:textId="77777777" w:rsidR="00954279" w:rsidRDefault="00A66714">
      <w:pPr>
        <w:ind w:left="144" w:right="144"/>
        <w:rPr>
          <w:sz w:val="20"/>
          <w:szCs w:val="20"/>
        </w:rPr>
      </w:pPr>
      <w:r>
        <w:rPr>
          <w:sz w:val="20"/>
          <w:szCs w:val="20"/>
        </w:rPr>
        <w:t>In January 2021, a new U.S. President took office and a new U.S. Congress was seated. Both have publicly stated a desire to support alternative energy sources such as solar, wind and “green” hydrogen, reduce U.S. emissions of greenhouse gases and generally address climate change. To that end, the new administration has implemented executive orders for the U.S. to rejoin the Paris Agreement, which presumably will require the U.S. to set greenhouse gas reduction goals and enact policies to meet those goals. It has also announced an aggressive policy agenda to change the tax system, increase corporate and other income taxes, modify the relationships between the United States and other countries and make changes that reverse actions taken by the prior President. Until specific laws are passed, executive actions are taken or federal regulatory action is enacted, it is unclear what impact these policies will have on our business. However, we believe that carbon-based energy will continue to play a critical role in supporting economic growth, particularly in developing countries, and that oil and gas demand will continue to be significant in the coming decades. The U.S. EIA in its Reference Case published in the Annual Energy Outlook 2021 projects U.S. energy consumption rising by 17% between 2020 and 2050. Even as the EIA projects in its Reference Case that renewables become the fastest growing energy source by 2050, the EIA also projects petroleum and other liquids demand in the U.S. to rise by 16% in that timeframe and natural gas to rise more than 22% after reaching a trough in 2021. While the U.S. EIA has not recently published a global outlook, its U.S. Reference Case suggests increasing world demand for hydrocarbons may also increase. This would require an increase in oil and gas to meet the rise in demand from current levels, which would continue to provide a robust market for our existing goods and services. Furthermore, our largest customers are among the leading investors in renewable energy technology. As they further rebalance their capital investment from traditional, carbon-based energy to alternative sources, we expect to continue to supply them and enhance our product and service offerings as needed to support their changing requirements, including in areas such as carbon capture, biofuels and wind.</w:t>
      </w:r>
    </w:p>
    <w:p w14:paraId="30E25E6E" w14:textId="77777777" w:rsidR="00954279" w:rsidRDefault="00A66714">
      <w:pPr>
        <w:ind w:left="144" w:right="144"/>
        <w:rPr>
          <w:sz w:val="20"/>
          <w:szCs w:val="20"/>
        </w:rPr>
      </w:pPr>
      <w:r>
        <w:rPr>
          <w:sz w:val="20"/>
          <w:szCs w:val="20"/>
        </w:rPr>
        <w:t> </w:t>
      </w:r>
    </w:p>
    <w:p w14:paraId="774D7E92" w14:textId="77777777" w:rsidR="00954279" w:rsidRDefault="00A66714">
      <w:pPr>
        <w:ind w:left="144" w:right="144"/>
        <w:rPr>
          <w:sz w:val="20"/>
          <w:szCs w:val="20"/>
        </w:rPr>
      </w:pPr>
      <w:r>
        <w:rPr>
          <w:sz w:val="20"/>
          <w:szCs w:val="20"/>
        </w:rPr>
        <w:t>During the COVID-19 pandemic crisis, we have continued to operate our business. Our warehouses and regional distribution centers have remained open. Under various isolation orders by national, state, provincial and local governments, we have been exempted as an "essential' business as the products we sell are necessary for the maintenance and functioning of the energy infrastructure. We have taken measures to safeguard the health and welfare of our employees. As the COVID-19 vaccines have become more widely distributed, we have begun to reopen our offices. In the U.S., in particular, all of our offices are open under appropriate safety measures. </w:t>
      </w:r>
    </w:p>
    <w:p w14:paraId="72FD945B" w14:textId="77777777" w:rsidR="00954279" w:rsidRDefault="00A66714">
      <w:pPr>
        <w:ind w:left="144" w:right="144"/>
        <w:rPr>
          <w:sz w:val="20"/>
          <w:szCs w:val="20"/>
        </w:rPr>
      </w:pPr>
      <w:r>
        <w:rPr>
          <w:sz w:val="20"/>
          <w:szCs w:val="20"/>
        </w:rPr>
        <w:t> </w:t>
      </w:r>
    </w:p>
    <w:p w14:paraId="053167DD" w14:textId="77777777" w:rsidR="00954279" w:rsidRDefault="00A66714">
      <w:pPr>
        <w:ind w:left="144" w:right="144"/>
        <w:rPr>
          <w:sz w:val="20"/>
          <w:szCs w:val="20"/>
        </w:rPr>
      </w:pPr>
      <w:r>
        <w:rPr>
          <w:sz w:val="20"/>
          <w:szCs w:val="20"/>
        </w:rPr>
        <w:t>As of July 12, 2021, of our approximate 2,500 employees, we had 5 employees with current cases of COVID-19. We monitor guidelines of the U.S. Centers for Disease Control ("CDC") and other authorities on an ongoing basis, and as various governmental isolation orders evolve, we continue to review our operational plans to continue operating our business while addressing the health and safety of our employees and those with whom our business comes into contact.</w:t>
      </w:r>
    </w:p>
    <w:p w14:paraId="536A460D" w14:textId="7877253F" w:rsidR="00954279" w:rsidRDefault="00A66714">
      <w:pPr>
        <w:ind w:left="144" w:right="144"/>
        <w:rPr>
          <w:sz w:val="20"/>
          <w:szCs w:val="20"/>
        </w:rPr>
      </w:pPr>
      <w:r>
        <w:rPr>
          <w:sz w:val="20"/>
          <w:szCs w:val="20"/>
        </w:rPr>
        <w:t> </w:t>
      </w:r>
    </w:p>
    <w:p w14:paraId="0DDCD85A" w14:textId="6C64AEEA" w:rsidR="00DB5415" w:rsidRDefault="00DB5415">
      <w:pPr>
        <w:ind w:left="144" w:right="144"/>
        <w:rPr>
          <w:sz w:val="20"/>
          <w:szCs w:val="20"/>
        </w:rPr>
      </w:pPr>
      <w:r>
        <w:rPr>
          <w:sz w:val="20"/>
          <w:szCs w:val="20"/>
        </w:rPr>
        <w:t>As a distribution business, we have also closely monitored the ability of our suppliers and transportation providers to continue the functioning of our supply chain, particularly in cases where there are limited alternative sources of supply. While there were initially some temporary interruptions of manufacturing for some of our products in the Spring of 2020, most of these manufacturers have now resumed production. We have not experienced significant delays by transportation providers, but we are experiencing significant increases in transportation costs as the economy of the U.S. and other countries begins to recover from the initial onset of the pandemic. Our inventory position for most products has allowed us to continue supply to most customers with little interruption. In those instances where there is interruption, we are working with our customers to discuss the impact of the COVID-19 delay. We continue to monitor the situation and have ongoing dialogue with our customers regarding the status of impacted orders.</w:t>
      </w:r>
    </w:p>
    <w:p w14:paraId="704AB0A6" w14:textId="77777777" w:rsidR="00954279" w:rsidRDefault="00A66714">
      <w:pPr>
        <w:ind w:left="144" w:right="144"/>
        <w:jc w:val="center"/>
        <w:rPr>
          <w:sz w:val="20"/>
          <w:szCs w:val="20"/>
        </w:rPr>
      </w:pPr>
      <w:r>
        <w:rPr>
          <w:sz w:val="20"/>
          <w:szCs w:val="20"/>
        </w:rPr>
        <w:t> </w:t>
      </w:r>
    </w:p>
    <w:p w14:paraId="7C67D1ED" w14:textId="77777777" w:rsidR="00954279" w:rsidRDefault="00A66714">
      <w:pPr>
        <w:ind w:left="144" w:right="144"/>
        <w:jc w:val="center"/>
        <w:rPr>
          <w:sz w:val="20"/>
          <w:szCs w:val="20"/>
        </w:rPr>
      </w:pPr>
      <w:r>
        <w:rPr>
          <w:sz w:val="20"/>
          <w:szCs w:val="20"/>
        </w:rPr>
        <w:t>19</w:t>
      </w:r>
    </w:p>
    <w:p w14:paraId="35ED7A98" w14:textId="77777777" w:rsidR="00954279" w:rsidRDefault="00A66714">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3975C084" w14:textId="19AC0CE3" w:rsidR="00DB5415" w:rsidRDefault="00A66714" w:rsidP="00DB5415">
      <w:pPr>
        <w:ind w:left="144" w:right="144"/>
        <w:rPr>
          <w:sz w:val="20"/>
          <w:szCs w:val="20"/>
        </w:rPr>
      </w:pPr>
      <w:r>
        <w:rPr>
          <w:sz w:val="20"/>
          <w:szCs w:val="20"/>
        </w:rPr>
        <w:t> </w:t>
      </w:r>
    </w:p>
    <w:p w14:paraId="174B1B03" w14:textId="5A9A4D94" w:rsidR="00DB5415" w:rsidRDefault="00DB5415" w:rsidP="00DB5415">
      <w:pPr>
        <w:ind w:left="144" w:right="144"/>
        <w:rPr>
          <w:sz w:val="20"/>
          <w:szCs w:val="20"/>
        </w:rPr>
      </w:pPr>
      <w:r>
        <w:rPr>
          <w:sz w:val="20"/>
          <w:szCs w:val="20"/>
        </w:rPr>
        <w:t>In recent years, the United States imposed tariffs on imports of some products that we distribute. Although these actions generally cause the price we pay for products to increase, we are generally able to leverage long-standing relationships with our suppliers and the volume of our purchases to receive market competitive pricing. In addition, our contracts with customers generally allow us to react quickly to price increases through mechanisms that enable us to pass those increases along to customers as they occur. Of course, the price increases that tariffs and quotas engender may be offset by the pricing impacts of lower demand that the COVID-19 pandemic has caused. These issues are dynamic and continue to evolve. To the extent our products are further impacted by pricing fluctuations caused by tariffs and quotas, the ultimate impact on our revenue and cost of sales, which is determined using the last-in, first-out ("LIFO") inventory costing methodology, remains subject to uncertainty and volatility.</w:t>
      </w:r>
    </w:p>
    <w:p w14:paraId="44D08936" w14:textId="77777777" w:rsidR="00DB5415" w:rsidRDefault="00DB5415">
      <w:pPr>
        <w:ind w:left="144" w:right="144"/>
        <w:rPr>
          <w:sz w:val="20"/>
          <w:szCs w:val="20"/>
        </w:rPr>
      </w:pPr>
    </w:p>
    <w:p w14:paraId="6D7985A4" w14:textId="3757F7F7" w:rsidR="00954279" w:rsidRDefault="00A66714">
      <w:pPr>
        <w:ind w:left="144" w:right="144"/>
        <w:rPr>
          <w:sz w:val="20"/>
          <w:szCs w:val="20"/>
        </w:rPr>
      </w:pPr>
      <w:r>
        <w:rPr>
          <w:sz w:val="20"/>
          <w:szCs w:val="20"/>
        </w:rPr>
        <w:t>We determine backlog by the amount of unshipped customer orders, either specific or general in nature, which the customer may revise or cancel in certain instances. The table below details our backlog by segment (in millions):</w:t>
      </w:r>
    </w:p>
    <w:p w14:paraId="6A08DD49" w14:textId="77777777" w:rsidR="00954279" w:rsidRDefault="00A66714">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5939"/>
        <w:gridCol w:w="107"/>
        <w:gridCol w:w="110"/>
        <w:gridCol w:w="1295"/>
        <w:gridCol w:w="107"/>
        <w:gridCol w:w="107"/>
        <w:gridCol w:w="111"/>
        <w:gridCol w:w="1295"/>
        <w:gridCol w:w="107"/>
        <w:gridCol w:w="108"/>
        <w:gridCol w:w="110"/>
        <w:gridCol w:w="1296"/>
        <w:gridCol w:w="108"/>
      </w:tblGrid>
      <w:tr w:rsidR="00954279" w14:paraId="071337B8" w14:textId="77777777">
        <w:tc>
          <w:tcPr>
            <w:tcW w:w="0" w:type="auto"/>
            <w:tcMar>
              <w:top w:w="5" w:type="dxa"/>
              <w:left w:w="5" w:type="dxa"/>
              <w:bottom w:w="5" w:type="dxa"/>
              <w:right w:w="5" w:type="dxa"/>
            </w:tcMar>
            <w:vAlign w:val="bottom"/>
            <w:hideMark/>
          </w:tcPr>
          <w:p w14:paraId="711E2B5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D7158B6"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70650945" w14:textId="77777777" w:rsidR="00954279" w:rsidRDefault="00A66714">
            <w:pPr>
              <w:jc w:val="center"/>
              <w:rPr>
                <w:color w:val="000000"/>
                <w:sz w:val="20"/>
                <w:szCs w:val="20"/>
              </w:rPr>
            </w:pPr>
            <w:r>
              <w:rPr>
                <w:b/>
                <w:bCs/>
                <w:color w:val="000000"/>
                <w:sz w:val="20"/>
                <w:szCs w:val="20"/>
              </w:rPr>
              <w:t>June 30,</w:t>
            </w:r>
          </w:p>
        </w:tc>
        <w:tc>
          <w:tcPr>
            <w:tcW w:w="0" w:type="auto"/>
            <w:tcMar>
              <w:top w:w="5" w:type="dxa"/>
              <w:left w:w="5" w:type="dxa"/>
              <w:bottom w:w="5" w:type="dxa"/>
              <w:right w:w="5" w:type="dxa"/>
            </w:tcMar>
            <w:vAlign w:val="bottom"/>
            <w:hideMark/>
          </w:tcPr>
          <w:p w14:paraId="6F217D0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2C62AD0"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37657376" w14:textId="77777777" w:rsidR="00954279" w:rsidRDefault="00A66714">
            <w:pPr>
              <w:jc w:val="center"/>
              <w:rPr>
                <w:color w:val="000000"/>
                <w:sz w:val="20"/>
                <w:szCs w:val="20"/>
              </w:rPr>
            </w:pPr>
            <w:r>
              <w:rPr>
                <w:b/>
                <w:bCs/>
                <w:color w:val="000000"/>
                <w:sz w:val="20"/>
                <w:szCs w:val="20"/>
              </w:rPr>
              <w:t>December 31,</w:t>
            </w:r>
          </w:p>
        </w:tc>
        <w:tc>
          <w:tcPr>
            <w:tcW w:w="0" w:type="auto"/>
            <w:tcMar>
              <w:top w:w="5" w:type="dxa"/>
              <w:left w:w="5" w:type="dxa"/>
              <w:bottom w:w="5" w:type="dxa"/>
              <w:right w:w="5" w:type="dxa"/>
            </w:tcMar>
            <w:vAlign w:val="bottom"/>
            <w:hideMark/>
          </w:tcPr>
          <w:p w14:paraId="4A0B401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CA7BF54"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3A63B9BB" w14:textId="77777777" w:rsidR="00954279" w:rsidRDefault="00A66714">
            <w:pPr>
              <w:jc w:val="center"/>
              <w:rPr>
                <w:color w:val="000000"/>
                <w:sz w:val="20"/>
                <w:szCs w:val="20"/>
              </w:rPr>
            </w:pPr>
            <w:r>
              <w:rPr>
                <w:b/>
                <w:bCs/>
                <w:color w:val="000000"/>
                <w:sz w:val="20"/>
                <w:szCs w:val="20"/>
              </w:rPr>
              <w:t>June 30,</w:t>
            </w:r>
          </w:p>
        </w:tc>
        <w:tc>
          <w:tcPr>
            <w:tcW w:w="0" w:type="auto"/>
            <w:tcMar>
              <w:top w:w="5" w:type="dxa"/>
              <w:left w:w="5" w:type="dxa"/>
              <w:bottom w:w="5" w:type="dxa"/>
              <w:right w:w="5" w:type="dxa"/>
            </w:tcMar>
            <w:vAlign w:val="bottom"/>
            <w:hideMark/>
          </w:tcPr>
          <w:p w14:paraId="1ED907F6" w14:textId="77777777" w:rsidR="00954279" w:rsidRDefault="00A66714">
            <w:pPr>
              <w:rPr>
                <w:color w:val="000000"/>
                <w:sz w:val="20"/>
                <w:szCs w:val="20"/>
              </w:rPr>
            </w:pPr>
            <w:r>
              <w:rPr>
                <w:color w:val="000000"/>
                <w:sz w:val="20"/>
                <w:szCs w:val="20"/>
              </w:rPr>
              <w:t> </w:t>
            </w:r>
          </w:p>
        </w:tc>
      </w:tr>
      <w:tr w:rsidR="00954279" w14:paraId="235962F7" w14:textId="77777777">
        <w:tc>
          <w:tcPr>
            <w:tcW w:w="0" w:type="auto"/>
            <w:tcMar>
              <w:top w:w="5" w:type="dxa"/>
              <w:left w:w="5" w:type="dxa"/>
              <w:bottom w:w="5" w:type="dxa"/>
              <w:right w:w="5" w:type="dxa"/>
            </w:tcMar>
            <w:vAlign w:val="bottom"/>
            <w:hideMark/>
          </w:tcPr>
          <w:p w14:paraId="074D4F0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BDDC0CB"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53A123F" w14:textId="77777777" w:rsidR="00954279" w:rsidRDefault="00A66714">
            <w:pPr>
              <w:jc w:val="center"/>
              <w:rPr>
                <w:color w:val="000000"/>
                <w:sz w:val="20"/>
                <w:szCs w:val="20"/>
              </w:rPr>
            </w:pPr>
            <w:r>
              <w:rPr>
                <w:b/>
                <w:bCs/>
                <w:color w:val="000000"/>
                <w:sz w:val="20"/>
                <w:szCs w:val="20"/>
              </w:rPr>
              <w:t>2021</w:t>
            </w:r>
          </w:p>
        </w:tc>
        <w:tc>
          <w:tcPr>
            <w:tcW w:w="0" w:type="auto"/>
            <w:tcMar>
              <w:top w:w="5" w:type="dxa"/>
              <w:left w:w="5" w:type="dxa"/>
              <w:bottom w:w="20" w:type="dxa"/>
              <w:right w:w="5" w:type="dxa"/>
            </w:tcMar>
            <w:vAlign w:val="bottom"/>
            <w:hideMark/>
          </w:tcPr>
          <w:p w14:paraId="5FDAE74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BE8952B"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4AF79CC" w14:textId="77777777" w:rsidR="00954279" w:rsidRDefault="00A66714">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6AE0659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DA653EE"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30EEB7E4" w14:textId="77777777" w:rsidR="00954279" w:rsidRDefault="00A66714">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511164EB" w14:textId="77777777" w:rsidR="00954279" w:rsidRDefault="00A66714">
            <w:pPr>
              <w:rPr>
                <w:color w:val="000000"/>
                <w:sz w:val="20"/>
                <w:szCs w:val="20"/>
              </w:rPr>
            </w:pPr>
            <w:r>
              <w:rPr>
                <w:color w:val="000000"/>
                <w:sz w:val="20"/>
                <w:szCs w:val="20"/>
              </w:rPr>
              <w:t> </w:t>
            </w:r>
          </w:p>
        </w:tc>
      </w:tr>
      <w:tr w:rsidR="00954279" w14:paraId="4577C87B" w14:textId="77777777">
        <w:tc>
          <w:tcPr>
            <w:tcW w:w="2750" w:type="pct"/>
            <w:tcMar>
              <w:top w:w="5" w:type="dxa"/>
              <w:left w:w="5" w:type="dxa"/>
              <w:bottom w:w="5" w:type="dxa"/>
              <w:right w:w="5" w:type="dxa"/>
            </w:tcMar>
            <w:vAlign w:val="bottom"/>
            <w:hideMark/>
          </w:tcPr>
          <w:p w14:paraId="37365E2B" w14:textId="77777777" w:rsidR="00954279" w:rsidRDefault="00A66714">
            <w:pPr>
              <w:rPr>
                <w:color w:val="000000"/>
                <w:sz w:val="20"/>
                <w:szCs w:val="20"/>
              </w:rPr>
            </w:pPr>
            <w:r>
              <w:rPr>
                <w:color w:val="000000"/>
                <w:sz w:val="20"/>
                <w:szCs w:val="20"/>
              </w:rPr>
              <w:t>U.S.</w:t>
            </w:r>
          </w:p>
        </w:tc>
        <w:tc>
          <w:tcPr>
            <w:tcW w:w="50" w:type="pct"/>
            <w:tcMar>
              <w:top w:w="5" w:type="dxa"/>
              <w:left w:w="5" w:type="dxa"/>
              <w:bottom w:w="5" w:type="dxa"/>
              <w:right w:w="5" w:type="dxa"/>
            </w:tcMar>
            <w:vAlign w:val="bottom"/>
            <w:hideMark/>
          </w:tcPr>
          <w:p w14:paraId="3BC7798E"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E8EFF92" w14:textId="77777777" w:rsidR="00954279" w:rsidRDefault="00A66714">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7EEF6CB6" w14:textId="77777777" w:rsidR="00954279" w:rsidRDefault="00A66714">
            <w:pPr>
              <w:jc w:val="right"/>
              <w:rPr>
                <w:color w:val="000000"/>
                <w:sz w:val="20"/>
                <w:szCs w:val="20"/>
              </w:rPr>
            </w:pPr>
            <w:r>
              <w:rPr>
                <w:b/>
                <w:bCs/>
                <w:color w:val="000000"/>
                <w:sz w:val="20"/>
                <w:szCs w:val="20"/>
              </w:rPr>
              <w:t>257</w:t>
            </w:r>
          </w:p>
        </w:tc>
        <w:tc>
          <w:tcPr>
            <w:tcW w:w="50" w:type="pct"/>
            <w:noWrap/>
            <w:tcMar>
              <w:top w:w="5" w:type="dxa"/>
              <w:left w:w="5" w:type="dxa"/>
              <w:bottom w:w="5" w:type="dxa"/>
              <w:right w:w="5" w:type="dxa"/>
            </w:tcMar>
            <w:vAlign w:val="bottom"/>
            <w:hideMark/>
          </w:tcPr>
          <w:p w14:paraId="422A78E1"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26C25D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9F42AE8" w14:textId="77777777" w:rsidR="00954279" w:rsidRDefault="00A66714">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671EC78B" w14:textId="77777777" w:rsidR="00954279" w:rsidRDefault="00A66714">
            <w:pPr>
              <w:jc w:val="right"/>
              <w:rPr>
                <w:color w:val="000000"/>
                <w:sz w:val="20"/>
                <w:szCs w:val="20"/>
              </w:rPr>
            </w:pPr>
            <w:r>
              <w:rPr>
                <w:color w:val="000000"/>
                <w:sz w:val="20"/>
                <w:szCs w:val="20"/>
              </w:rPr>
              <w:t>193</w:t>
            </w:r>
          </w:p>
        </w:tc>
        <w:tc>
          <w:tcPr>
            <w:tcW w:w="50" w:type="pct"/>
            <w:noWrap/>
            <w:tcMar>
              <w:top w:w="5" w:type="dxa"/>
              <w:left w:w="5" w:type="dxa"/>
              <w:bottom w:w="5" w:type="dxa"/>
              <w:right w:w="5" w:type="dxa"/>
            </w:tcMar>
            <w:vAlign w:val="bottom"/>
            <w:hideMark/>
          </w:tcPr>
          <w:p w14:paraId="22DA015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072BC1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CA611B2" w14:textId="77777777" w:rsidR="00954279" w:rsidRDefault="00A66714">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3A01CFFA" w14:textId="77777777" w:rsidR="00954279" w:rsidRDefault="00A66714">
            <w:pPr>
              <w:jc w:val="right"/>
              <w:rPr>
                <w:color w:val="000000"/>
                <w:sz w:val="20"/>
                <w:szCs w:val="20"/>
              </w:rPr>
            </w:pPr>
            <w:r>
              <w:rPr>
                <w:color w:val="000000"/>
                <w:sz w:val="20"/>
                <w:szCs w:val="20"/>
              </w:rPr>
              <w:t>220</w:t>
            </w:r>
          </w:p>
        </w:tc>
        <w:tc>
          <w:tcPr>
            <w:tcW w:w="50" w:type="pct"/>
            <w:noWrap/>
            <w:tcMar>
              <w:top w:w="5" w:type="dxa"/>
              <w:left w:w="5" w:type="dxa"/>
              <w:bottom w:w="5" w:type="dxa"/>
              <w:right w:w="5" w:type="dxa"/>
            </w:tcMar>
            <w:vAlign w:val="bottom"/>
            <w:hideMark/>
          </w:tcPr>
          <w:p w14:paraId="72947C77" w14:textId="77777777" w:rsidR="00954279" w:rsidRDefault="00A66714">
            <w:pPr>
              <w:rPr>
                <w:color w:val="000000"/>
                <w:sz w:val="20"/>
                <w:szCs w:val="20"/>
              </w:rPr>
            </w:pPr>
            <w:r>
              <w:rPr>
                <w:color w:val="000000"/>
                <w:sz w:val="20"/>
                <w:szCs w:val="20"/>
              </w:rPr>
              <w:t> </w:t>
            </w:r>
          </w:p>
        </w:tc>
      </w:tr>
      <w:tr w:rsidR="00954279" w14:paraId="5F5BD0CF" w14:textId="77777777">
        <w:tc>
          <w:tcPr>
            <w:tcW w:w="0" w:type="auto"/>
            <w:tcMar>
              <w:top w:w="5" w:type="dxa"/>
              <w:left w:w="5" w:type="dxa"/>
              <w:bottom w:w="5" w:type="dxa"/>
              <w:right w:w="5" w:type="dxa"/>
            </w:tcMar>
            <w:vAlign w:val="bottom"/>
            <w:hideMark/>
          </w:tcPr>
          <w:p w14:paraId="1F52FC37" w14:textId="77777777" w:rsidR="00954279" w:rsidRDefault="00A66714">
            <w:pPr>
              <w:rPr>
                <w:color w:val="000000"/>
                <w:sz w:val="20"/>
                <w:szCs w:val="20"/>
              </w:rPr>
            </w:pPr>
            <w:r>
              <w:rPr>
                <w:color w:val="000000"/>
                <w:sz w:val="20"/>
                <w:szCs w:val="20"/>
              </w:rPr>
              <w:t>Canada</w:t>
            </w:r>
          </w:p>
        </w:tc>
        <w:tc>
          <w:tcPr>
            <w:tcW w:w="50" w:type="pct"/>
            <w:tcMar>
              <w:top w:w="5" w:type="dxa"/>
              <w:left w:w="5" w:type="dxa"/>
              <w:bottom w:w="5" w:type="dxa"/>
              <w:right w:w="5" w:type="dxa"/>
            </w:tcMar>
            <w:vAlign w:val="bottom"/>
            <w:hideMark/>
          </w:tcPr>
          <w:p w14:paraId="4DA2822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E68DB07"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7A77DD9" w14:textId="77777777" w:rsidR="00954279" w:rsidRDefault="00A66714">
            <w:pPr>
              <w:jc w:val="right"/>
              <w:rPr>
                <w:color w:val="000000"/>
                <w:sz w:val="20"/>
                <w:szCs w:val="20"/>
              </w:rPr>
            </w:pPr>
            <w:r>
              <w:rPr>
                <w:b/>
                <w:bCs/>
                <w:color w:val="000000"/>
                <w:sz w:val="20"/>
                <w:szCs w:val="20"/>
              </w:rPr>
              <w:t>13</w:t>
            </w:r>
          </w:p>
        </w:tc>
        <w:tc>
          <w:tcPr>
            <w:tcW w:w="50" w:type="pct"/>
            <w:noWrap/>
            <w:tcMar>
              <w:top w:w="5" w:type="dxa"/>
              <w:left w:w="5" w:type="dxa"/>
              <w:bottom w:w="5" w:type="dxa"/>
              <w:right w:w="5" w:type="dxa"/>
            </w:tcMar>
            <w:vAlign w:val="bottom"/>
            <w:hideMark/>
          </w:tcPr>
          <w:p w14:paraId="7F93D3A8"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52BCE76"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C9C7D93"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A8A6224" w14:textId="77777777" w:rsidR="00954279" w:rsidRDefault="00A66714">
            <w:pPr>
              <w:jc w:val="right"/>
              <w:rPr>
                <w:color w:val="000000"/>
                <w:sz w:val="20"/>
                <w:szCs w:val="20"/>
              </w:rPr>
            </w:pPr>
            <w:r>
              <w:rPr>
                <w:color w:val="000000"/>
                <w:sz w:val="20"/>
                <w:szCs w:val="20"/>
              </w:rPr>
              <w:t>13</w:t>
            </w:r>
          </w:p>
        </w:tc>
        <w:tc>
          <w:tcPr>
            <w:tcW w:w="50" w:type="pct"/>
            <w:noWrap/>
            <w:tcMar>
              <w:top w:w="5" w:type="dxa"/>
              <w:left w:w="5" w:type="dxa"/>
              <w:bottom w:w="5" w:type="dxa"/>
              <w:right w:w="5" w:type="dxa"/>
            </w:tcMar>
            <w:vAlign w:val="bottom"/>
            <w:hideMark/>
          </w:tcPr>
          <w:p w14:paraId="29E3F4F1"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93890C0"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A15EF5C"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68CA5EB" w14:textId="77777777" w:rsidR="00954279" w:rsidRDefault="00A66714">
            <w:pPr>
              <w:jc w:val="right"/>
              <w:rPr>
                <w:color w:val="000000"/>
                <w:sz w:val="20"/>
                <w:szCs w:val="20"/>
              </w:rPr>
            </w:pPr>
            <w:r>
              <w:rPr>
                <w:color w:val="000000"/>
                <w:sz w:val="20"/>
                <w:szCs w:val="20"/>
              </w:rPr>
              <w:t>22</w:t>
            </w:r>
          </w:p>
        </w:tc>
        <w:tc>
          <w:tcPr>
            <w:tcW w:w="50" w:type="pct"/>
            <w:noWrap/>
            <w:tcMar>
              <w:top w:w="5" w:type="dxa"/>
              <w:left w:w="5" w:type="dxa"/>
              <w:bottom w:w="5" w:type="dxa"/>
              <w:right w:w="5" w:type="dxa"/>
            </w:tcMar>
            <w:vAlign w:val="bottom"/>
            <w:hideMark/>
          </w:tcPr>
          <w:p w14:paraId="4CC5E7D6" w14:textId="77777777" w:rsidR="00954279" w:rsidRDefault="00A66714">
            <w:pPr>
              <w:rPr>
                <w:color w:val="000000"/>
                <w:sz w:val="20"/>
                <w:szCs w:val="20"/>
              </w:rPr>
            </w:pPr>
            <w:r>
              <w:rPr>
                <w:color w:val="000000"/>
                <w:sz w:val="20"/>
                <w:szCs w:val="20"/>
              </w:rPr>
              <w:t> </w:t>
            </w:r>
          </w:p>
        </w:tc>
      </w:tr>
      <w:tr w:rsidR="00954279" w14:paraId="48051E10" w14:textId="77777777">
        <w:tc>
          <w:tcPr>
            <w:tcW w:w="0" w:type="auto"/>
            <w:tcMar>
              <w:top w:w="5" w:type="dxa"/>
              <w:left w:w="5" w:type="dxa"/>
              <w:bottom w:w="5" w:type="dxa"/>
              <w:right w:w="5" w:type="dxa"/>
            </w:tcMar>
            <w:vAlign w:val="bottom"/>
            <w:hideMark/>
          </w:tcPr>
          <w:p w14:paraId="60668DC2" w14:textId="77777777" w:rsidR="00954279" w:rsidRDefault="00A66714">
            <w:pPr>
              <w:rPr>
                <w:color w:val="000000"/>
                <w:sz w:val="20"/>
                <w:szCs w:val="20"/>
              </w:rPr>
            </w:pPr>
            <w:r>
              <w:rPr>
                <w:color w:val="000000"/>
                <w:sz w:val="20"/>
                <w:szCs w:val="20"/>
              </w:rPr>
              <w:t>International</w:t>
            </w:r>
          </w:p>
        </w:tc>
        <w:tc>
          <w:tcPr>
            <w:tcW w:w="50" w:type="pct"/>
            <w:tcMar>
              <w:top w:w="5" w:type="dxa"/>
              <w:left w:w="5" w:type="dxa"/>
              <w:bottom w:w="20" w:type="dxa"/>
              <w:right w:w="5" w:type="dxa"/>
            </w:tcMar>
            <w:vAlign w:val="bottom"/>
            <w:hideMark/>
          </w:tcPr>
          <w:p w14:paraId="59592F48"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D77B4E6" w14:textId="77777777" w:rsidR="00954279" w:rsidRDefault="00A66714">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0463A9EF" w14:textId="77777777" w:rsidR="00954279" w:rsidRDefault="00A66714">
            <w:pPr>
              <w:jc w:val="right"/>
              <w:rPr>
                <w:color w:val="000000"/>
                <w:sz w:val="20"/>
                <w:szCs w:val="20"/>
              </w:rPr>
            </w:pPr>
            <w:r>
              <w:rPr>
                <w:b/>
                <w:bCs/>
                <w:color w:val="000000"/>
                <w:sz w:val="20"/>
                <w:szCs w:val="20"/>
              </w:rPr>
              <w:t>124</w:t>
            </w:r>
          </w:p>
        </w:tc>
        <w:tc>
          <w:tcPr>
            <w:tcW w:w="50" w:type="pct"/>
            <w:noWrap/>
            <w:tcMar>
              <w:top w:w="5" w:type="dxa"/>
              <w:left w:w="5" w:type="dxa"/>
              <w:bottom w:w="20" w:type="dxa"/>
              <w:right w:w="5" w:type="dxa"/>
            </w:tcMar>
            <w:vAlign w:val="bottom"/>
            <w:hideMark/>
          </w:tcPr>
          <w:p w14:paraId="7E7AE926" w14:textId="77777777" w:rsidR="00954279" w:rsidRDefault="00A66714">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4C4F40E7"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779BF8D" w14:textId="77777777" w:rsidR="00954279" w:rsidRDefault="00A66714">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4B651B3" w14:textId="77777777" w:rsidR="00954279" w:rsidRDefault="00A66714">
            <w:pPr>
              <w:jc w:val="right"/>
              <w:rPr>
                <w:color w:val="000000"/>
                <w:sz w:val="20"/>
                <w:szCs w:val="20"/>
              </w:rPr>
            </w:pPr>
            <w:r>
              <w:rPr>
                <w:color w:val="000000"/>
                <w:sz w:val="20"/>
                <w:szCs w:val="20"/>
              </w:rPr>
              <w:t>134</w:t>
            </w:r>
          </w:p>
        </w:tc>
        <w:tc>
          <w:tcPr>
            <w:tcW w:w="50" w:type="pct"/>
            <w:noWrap/>
            <w:tcMar>
              <w:top w:w="5" w:type="dxa"/>
              <w:left w:w="5" w:type="dxa"/>
              <w:bottom w:w="20" w:type="dxa"/>
              <w:right w:w="5" w:type="dxa"/>
            </w:tcMar>
            <w:vAlign w:val="bottom"/>
            <w:hideMark/>
          </w:tcPr>
          <w:p w14:paraId="516912D3" w14:textId="77777777" w:rsidR="00954279" w:rsidRDefault="00A66714">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4703F77A"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E39E074" w14:textId="77777777" w:rsidR="00954279" w:rsidRDefault="00A66714">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0D64B9E1" w14:textId="77777777" w:rsidR="00954279" w:rsidRDefault="00A66714">
            <w:pPr>
              <w:jc w:val="right"/>
              <w:rPr>
                <w:color w:val="000000"/>
                <w:sz w:val="20"/>
                <w:szCs w:val="20"/>
              </w:rPr>
            </w:pPr>
            <w:r>
              <w:rPr>
                <w:color w:val="000000"/>
                <w:sz w:val="20"/>
                <w:szCs w:val="20"/>
              </w:rPr>
              <w:t>150</w:t>
            </w:r>
          </w:p>
        </w:tc>
        <w:tc>
          <w:tcPr>
            <w:tcW w:w="50" w:type="pct"/>
            <w:noWrap/>
            <w:tcMar>
              <w:top w:w="5" w:type="dxa"/>
              <w:left w:w="5" w:type="dxa"/>
              <w:bottom w:w="20" w:type="dxa"/>
              <w:right w:w="5" w:type="dxa"/>
            </w:tcMar>
            <w:vAlign w:val="bottom"/>
            <w:hideMark/>
          </w:tcPr>
          <w:p w14:paraId="6C3BAA67" w14:textId="77777777" w:rsidR="00954279" w:rsidRDefault="00A66714">
            <w:pPr>
              <w:rPr>
                <w:color w:val="000000"/>
                <w:sz w:val="20"/>
                <w:szCs w:val="20"/>
              </w:rPr>
            </w:pPr>
            <w:r>
              <w:rPr>
                <w:color w:val="000000"/>
                <w:sz w:val="20"/>
                <w:szCs w:val="20"/>
              </w:rPr>
              <w:t> </w:t>
            </w:r>
          </w:p>
        </w:tc>
      </w:tr>
      <w:tr w:rsidR="00954279" w14:paraId="54EB92C7" w14:textId="77777777">
        <w:tc>
          <w:tcPr>
            <w:tcW w:w="0" w:type="auto"/>
            <w:tcMar>
              <w:top w:w="5" w:type="dxa"/>
              <w:left w:w="5" w:type="dxa"/>
              <w:bottom w:w="5" w:type="dxa"/>
              <w:right w:w="5" w:type="dxa"/>
            </w:tcMar>
            <w:vAlign w:val="bottom"/>
            <w:hideMark/>
          </w:tcPr>
          <w:p w14:paraId="075F3457"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A67AFFD"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6D77A91" w14:textId="77777777" w:rsidR="00954279" w:rsidRDefault="00A66714">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3385D79B" w14:textId="77777777" w:rsidR="00954279" w:rsidRDefault="00A66714">
            <w:pPr>
              <w:jc w:val="right"/>
              <w:rPr>
                <w:color w:val="000000"/>
                <w:sz w:val="20"/>
                <w:szCs w:val="20"/>
              </w:rPr>
            </w:pPr>
            <w:r>
              <w:rPr>
                <w:b/>
                <w:bCs/>
                <w:color w:val="000000"/>
                <w:sz w:val="20"/>
                <w:szCs w:val="20"/>
              </w:rPr>
              <w:t>394</w:t>
            </w:r>
          </w:p>
        </w:tc>
        <w:tc>
          <w:tcPr>
            <w:tcW w:w="50" w:type="pct"/>
            <w:noWrap/>
            <w:tcMar>
              <w:top w:w="5" w:type="dxa"/>
              <w:left w:w="5" w:type="dxa"/>
              <w:bottom w:w="50" w:type="dxa"/>
              <w:right w:w="5" w:type="dxa"/>
            </w:tcMar>
            <w:vAlign w:val="bottom"/>
            <w:hideMark/>
          </w:tcPr>
          <w:p w14:paraId="30AD215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CE5AE45"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25B83D5" w14:textId="77777777" w:rsidR="00954279" w:rsidRDefault="00A66714">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5BDD321B" w14:textId="77777777" w:rsidR="00954279" w:rsidRDefault="00A66714">
            <w:pPr>
              <w:jc w:val="right"/>
              <w:rPr>
                <w:color w:val="000000"/>
                <w:sz w:val="20"/>
                <w:szCs w:val="20"/>
              </w:rPr>
            </w:pPr>
            <w:r>
              <w:rPr>
                <w:color w:val="000000"/>
                <w:sz w:val="20"/>
                <w:szCs w:val="20"/>
              </w:rPr>
              <w:t>340</w:t>
            </w:r>
          </w:p>
        </w:tc>
        <w:tc>
          <w:tcPr>
            <w:tcW w:w="50" w:type="pct"/>
            <w:noWrap/>
            <w:tcMar>
              <w:top w:w="5" w:type="dxa"/>
              <w:left w:w="5" w:type="dxa"/>
              <w:bottom w:w="50" w:type="dxa"/>
              <w:right w:w="5" w:type="dxa"/>
            </w:tcMar>
            <w:vAlign w:val="bottom"/>
            <w:hideMark/>
          </w:tcPr>
          <w:p w14:paraId="4FD82AB2"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2EAD64A"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62BB6BC" w14:textId="77777777" w:rsidR="00954279" w:rsidRDefault="00A66714">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060E530B" w14:textId="77777777" w:rsidR="00954279" w:rsidRDefault="00A66714">
            <w:pPr>
              <w:jc w:val="right"/>
              <w:rPr>
                <w:color w:val="000000"/>
                <w:sz w:val="20"/>
                <w:szCs w:val="20"/>
              </w:rPr>
            </w:pPr>
            <w:r>
              <w:rPr>
                <w:color w:val="000000"/>
                <w:sz w:val="20"/>
                <w:szCs w:val="20"/>
              </w:rPr>
              <w:t>392</w:t>
            </w:r>
          </w:p>
        </w:tc>
        <w:tc>
          <w:tcPr>
            <w:tcW w:w="50" w:type="pct"/>
            <w:noWrap/>
            <w:tcMar>
              <w:top w:w="5" w:type="dxa"/>
              <w:left w:w="5" w:type="dxa"/>
              <w:bottom w:w="50" w:type="dxa"/>
              <w:right w:w="5" w:type="dxa"/>
            </w:tcMar>
            <w:vAlign w:val="bottom"/>
            <w:hideMark/>
          </w:tcPr>
          <w:p w14:paraId="6E949380" w14:textId="77777777" w:rsidR="00954279" w:rsidRDefault="00A66714">
            <w:pPr>
              <w:rPr>
                <w:color w:val="000000"/>
                <w:sz w:val="20"/>
                <w:szCs w:val="20"/>
              </w:rPr>
            </w:pPr>
            <w:r>
              <w:rPr>
                <w:color w:val="000000"/>
                <w:sz w:val="20"/>
                <w:szCs w:val="20"/>
              </w:rPr>
              <w:t> </w:t>
            </w:r>
          </w:p>
        </w:tc>
      </w:tr>
    </w:tbl>
    <w:p w14:paraId="6C6AD11B" w14:textId="77777777" w:rsidR="00954279" w:rsidRDefault="00A66714">
      <w:pPr>
        <w:ind w:left="144" w:right="144"/>
        <w:rPr>
          <w:sz w:val="20"/>
          <w:szCs w:val="20"/>
        </w:rPr>
      </w:pPr>
      <w:r>
        <w:rPr>
          <w:sz w:val="20"/>
          <w:szCs w:val="20"/>
        </w:rPr>
        <w:t> </w:t>
      </w:r>
    </w:p>
    <w:p w14:paraId="58E4D977" w14:textId="77777777" w:rsidR="00954279" w:rsidRDefault="00A66714">
      <w:pPr>
        <w:ind w:left="144" w:right="144"/>
        <w:rPr>
          <w:sz w:val="20"/>
          <w:szCs w:val="20"/>
        </w:rPr>
      </w:pPr>
      <w:r>
        <w:rPr>
          <w:sz w:val="20"/>
          <w:szCs w:val="20"/>
        </w:rPr>
        <w:t>There can be no assurance that the backlog amounts will ultimately be realized as revenue or that we will earn a profit on the backlog of orders, but we expect that substantially all of the sales in our backlog will be realized within twelve months.</w:t>
      </w:r>
    </w:p>
    <w:p w14:paraId="5E77905B" w14:textId="77777777" w:rsidR="00954279" w:rsidRDefault="00A66714">
      <w:pPr>
        <w:ind w:left="144" w:right="144"/>
        <w:rPr>
          <w:sz w:val="20"/>
          <w:szCs w:val="20"/>
        </w:rPr>
      </w:pPr>
      <w:r>
        <w:rPr>
          <w:sz w:val="20"/>
          <w:szCs w:val="20"/>
        </w:rPr>
        <w:t> </w:t>
      </w:r>
    </w:p>
    <w:p w14:paraId="2BE9E301" w14:textId="77777777" w:rsidR="00954279" w:rsidRDefault="00A66714">
      <w:pPr>
        <w:ind w:left="144" w:right="144"/>
        <w:rPr>
          <w:sz w:val="20"/>
          <w:szCs w:val="20"/>
        </w:rPr>
      </w:pPr>
      <w:r>
        <w:rPr>
          <w:sz w:val="20"/>
          <w:szCs w:val="20"/>
        </w:rPr>
        <w:t> </w:t>
      </w:r>
    </w:p>
    <w:p w14:paraId="46B65F13" w14:textId="77777777" w:rsidR="00954279" w:rsidRDefault="00A66714">
      <w:pPr>
        <w:ind w:left="144" w:right="144"/>
        <w:rPr>
          <w:sz w:val="20"/>
          <w:szCs w:val="20"/>
        </w:rPr>
      </w:pPr>
      <w:r>
        <w:rPr>
          <w:sz w:val="20"/>
          <w:szCs w:val="20"/>
        </w:rPr>
        <w:t xml:space="preserve">The following table shows key industry indicators for the </w:t>
      </w:r>
      <w:bookmarkStart w:id="23" w:name="led65141F20205251593111143887"/>
      <w:r>
        <w:rPr>
          <w:sz w:val="20"/>
          <w:szCs w:val="20"/>
        </w:rPr>
        <w:t>three and six months ended June 30, 2021 and 2020</w:t>
      </w:r>
      <w:bookmarkEnd w:id="23"/>
      <w:r>
        <w:rPr>
          <w:sz w:val="20"/>
          <w:szCs w:val="20"/>
        </w:rPr>
        <w:t>:</w:t>
      </w:r>
    </w:p>
    <w:p w14:paraId="5D6A4134" w14:textId="77777777" w:rsidR="00954279" w:rsidRDefault="00A66714">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5615"/>
        <w:gridCol w:w="107"/>
        <w:gridCol w:w="110"/>
        <w:gridCol w:w="971"/>
        <w:gridCol w:w="107"/>
        <w:gridCol w:w="107"/>
        <w:gridCol w:w="110"/>
        <w:gridCol w:w="971"/>
        <w:gridCol w:w="107"/>
        <w:gridCol w:w="107"/>
        <w:gridCol w:w="110"/>
        <w:gridCol w:w="972"/>
        <w:gridCol w:w="108"/>
        <w:gridCol w:w="108"/>
        <w:gridCol w:w="110"/>
        <w:gridCol w:w="972"/>
        <w:gridCol w:w="108"/>
      </w:tblGrid>
      <w:tr w:rsidR="00954279" w14:paraId="7A08A206" w14:textId="77777777">
        <w:tc>
          <w:tcPr>
            <w:tcW w:w="0" w:type="auto"/>
            <w:tcMar>
              <w:top w:w="5" w:type="dxa"/>
              <w:left w:w="5" w:type="dxa"/>
              <w:bottom w:w="5" w:type="dxa"/>
              <w:right w:w="5" w:type="dxa"/>
            </w:tcMar>
            <w:vAlign w:val="bottom"/>
            <w:hideMark/>
          </w:tcPr>
          <w:p w14:paraId="505457E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EBD4E53" w14:textId="77777777" w:rsidR="00954279" w:rsidRDefault="00A66714">
            <w:pPr>
              <w:rPr>
                <w:color w:val="000000"/>
                <w:sz w:val="20"/>
                <w:szCs w:val="20"/>
              </w:rPr>
            </w:pPr>
            <w:r>
              <w:rPr>
                <w:color w:val="000000"/>
                <w:sz w:val="20"/>
                <w:szCs w:val="20"/>
              </w:rPr>
              <w:t> </w:t>
            </w:r>
          </w:p>
        </w:tc>
        <w:tc>
          <w:tcPr>
            <w:tcW w:w="0" w:type="auto"/>
            <w:gridSpan w:val="6"/>
            <w:tcBorders>
              <w:bottom w:val="single" w:sz="6" w:space="0" w:color="000000"/>
            </w:tcBorders>
            <w:tcMar>
              <w:top w:w="5" w:type="dxa"/>
              <w:left w:w="5" w:type="dxa"/>
              <w:bottom w:w="8" w:type="dxa"/>
              <w:right w:w="5" w:type="dxa"/>
            </w:tcMar>
            <w:vAlign w:val="bottom"/>
            <w:hideMark/>
          </w:tcPr>
          <w:p w14:paraId="4F72A755" w14:textId="77777777" w:rsidR="00954279" w:rsidRDefault="00A66714">
            <w:pPr>
              <w:jc w:val="center"/>
              <w:rPr>
                <w:color w:val="000000"/>
                <w:sz w:val="20"/>
                <w:szCs w:val="20"/>
              </w:rPr>
            </w:pPr>
            <w:r>
              <w:rPr>
                <w:b/>
                <w:bCs/>
                <w:color w:val="000000"/>
                <w:sz w:val="20"/>
                <w:szCs w:val="20"/>
              </w:rPr>
              <w:t>Three Months Ended</w:t>
            </w:r>
          </w:p>
        </w:tc>
        <w:tc>
          <w:tcPr>
            <w:tcW w:w="0" w:type="auto"/>
            <w:tcMar>
              <w:top w:w="5" w:type="dxa"/>
              <w:left w:w="5" w:type="dxa"/>
              <w:bottom w:w="20" w:type="dxa"/>
              <w:right w:w="5" w:type="dxa"/>
            </w:tcMar>
            <w:vAlign w:val="bottom"/>
            <w:hideMark/>
          </w:tcPr>
          <w:p w14:paraId="7C8A584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2693A96" w14:textId="77777777" w:rsidR="00954279" w:rsidRDefault="00A66714">
            <w:pPr>
              <w:rPr>
                <w:color w:val="000000"/>
                <w:sz w:val="20"/>
                <w:szCs w:val="20"/>
              </w:rPr>
            </w:pPr>
            <w:r>
              <w:rPr>
                <w:color w:val="000000"/>
                <w:sz w:val="20"/>
                <w:szCs w:val="20"/>
              </w:rPr>
              <w:t> </w:t>
            </w:r>
          </w:p>
        </w:tc>
        <w:tc>
          <w:tcPr>
            <w:tcW w:w="0" w:type="auto"/>
            <w:gridSpan w:val="6"/>
            <w:tcBorders>
              <w:bottom w:val="single" w:sz="6" w:space="0" w:color="000000"/>
            </w:tcBorders>
            <w:tcMar>
              <w:top w:w="5" w:type="dxa"/>
              <w:left w:w="5" w:type="dxa"/>
              <w:bottom w:w="8" w:type="dxa"/>
              <w:right w:w="5" w:type="dxa"/>
            </w:tcMar>
            <w:vAlign w:val="bottom"/>
            <w:hideMark/>
          </w:tcPr>
          <w:p w14:paraId="79F97F81" w14:textId="77777777" w:rsidR="00954279" w:rsidRDefault="00A66714">
            <w:pPr>
              <w:jc w:val="center"/>
              <w:rPr>
                <w:color w:val="000000"/>
                <w:sz w:val="20"/>
                <w:szCs w:val="20"/>
              </w:rPr>
            </w:pPr>
            <w:r>
              <w:rPr>
                <w:b/>
                <w:bCs/>
                <w:color w:val="000000"/>
                <w:sz w:val="20"/>
                <w:szCs w:val="20"/>
              </w:rPr>
              <w:t>Six Months Ended</w:t>
            </w:r>
          </w:p>
        </w:tc>
        <w:tc>
          <w:tcPr>
            <w:tcW w:w="0" w:type="auto"/>
            <w:tcMar>
              <w:top w:w="5" w:type="dxa"/>
              <w:left w:w="5" w:type="dxa"/>
              <w:bottom w:w="20" w:type="dxa"/>
              <w:right w:w="5" w:type="dxa"/>
            </w:tcMar>
            <w:vAlign w:val="bottom"/>
            <w:hideMark/>
          </w:tcPr>
          <w:p w14:paraId="739D7118" w14:textId="77777777" w:rsidR="00954279" w:rsidRDefault="00A66714">
            <w:pPr>
              <w:rPr>
                <w:color w:val="000000"/>
                <w:sz w:val="20"/>
                <w:szCs w:val="20"/>
              </w:rPr>
            </w:pPr>
            <w:r>
              <w:rPr>
                <w:color w:val="000000"/>
                <w:sz w:val="20"/>
                <w:szCs w:val="20"/>
              </w:rPr>
              <w:t> </w:t>
            </w:r>
          </w:p>
        </w:tc>
      </w:tr>
      <w:tr w:rsidR="00954279" w14:paraId="2D7436BF" w14:textId="77777777">
        <w:tc>
          <w:tcPr>
            <w:tcW w:w="0" w:type="auto"/>
            <w:tcMar>
              <w:top w:w="5" w:type="dxa"/>
              <w:left w:w="5" w:type="dxa"/>
              <w:bottom w:w="5" w:type="dxa"/>
              <w:right w:w="5" w:type="dxa"/>
            </w:tcMar>
            <w:vAlign w:val="bottom"/>
            <w:hideMark/>
          </w:tcPr>
          <w:p w14:paraId="383CA73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9E76CCE"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0E45D86E" w14:textId="77777777" w:rsidR="00954279" w:rsidRDefault="00A66714">
            <w:pPr>
              <w:jc w:val="center"/>
              <w:rPr>
                <w:color w:val="000000"/>
                <w:sz w:val="20"/>
                <w:szCs w:val="20"/>
              </w:rPr>
            </w:pPr>
            <w:r>
              <w:rPr>
                <w:b/>
                <w:bCs/>
                <w:color w:val="000000"/>
                <w:sz w:val="20"/>
                <w:szCs w:val="20"/>
              </w:rPr>
              <w:t>June 30,</w:t>
            </w:r>
          </w:p>
        </w:tc>
        <w:tc>
          <w:tcPr>
            <w:tcW w:w="0" w:type="auto"/>
            <w:tcMar>
              <w:top w:w="5" w:type="dxa"/>
              <w:left w:w="5" w:type="dxa"/>
              <w:bottom w:w="5" w:type="dxa"/>
              <w:right w:w="5" w:type="dxa"/>
            </w:tcMar>
            <w:vAlign w:val="bottom"/>
            <w:hideMark/>
          </w:tcPr>
          <w:p w14:paraId="288CB34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8C670ED"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2FE70E8A" w14:textId="77777777" w:rsidR="00954279" w:rsidRDefault="00A66714">
            <w:pPr>
              <w:jc w:val="center"/>
              <w:rPr>
                <w:color w:val="000000"/>
                <w:sz w:val="20"/>
                <w:szCs w:val="20"/>
              </w:rPr>
            </w:pPr>
            <w:r>
              <w:rPr>
                <w:b/>
                <w:bCs/>
                <w:color w:val="000000"/>
                <w:sz w:val="20"/>
                <w:szCs w:val="20"/>
              </w:rPr>
              <w:t>June 30,</w:t>
            </w:r>
          </w:p>
        </w:tc>
        <w:tc>
          <w:tcPr>
            <w:tcW w:w="0" w:type="auto"/>
            <w:tcMar>
              <w:top w:w="5" w:type="dxa"/>
              <w:left w:w="5" w:type="dxa"/>
              <w:bottom w:w="5" w:type="dxa"/>
              <w:right w:w="5" w:type="dxa"/>
            </w:tcMar>
            <w:vAlign w:val="bottom"/>
            <w:hideMark/>
          </w:tcPr>
          <w:p w14:paraId="4E2580D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FCBFD71"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1FC682E9" w14:textId="77777777" w:rsidR="00954279" w:rsidRDefault="00A66714">
            <w:pPr>
              <w:jc w:val="center"/>
              <w:rPr>
                <w:color w:val="000000"/>
                <w:sz w:val="20"/>
                <w:szCs w:val="20"/>
              </w:rPr>
            </w:pPr>
            <w:r>
              <w:rPr>
                <w:b/>
                <w:bCs/>
                <w:color w:val="000000"/>
                <w:sz w:val="20"/>
                <w:szCs w:val="20"/>
              </w:rPr>
              <w:t>June 30,</w:t>
            </w:r>
          </w:p>
        </w:tc>
        <w:tc>
          <w:tcPr>
            <w:tcW w:w="0" w:type="auto"/>
            <w:tcMar>
              <w:top w:w="5" w:type="dxa"/>
              <w:left w:w="5" w:type="dxa"/>
              <w:bottom w:w="5" w:type="dxa"/>
              <w:right w:w="5" w:type="dxa"/>
            </w:tcMar>
            <w:vAlign w:val="bottom"/>
            <w:hideMark/>
          </w:tcPr>
          <w:p w14:paraId="1D98FA9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0D23372"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6B0C65EB" w14:textId="77777777" w:rsidR="00954279" w:rsidRDefault="00A66714">
            <w:pPr>
              <w:jc w:val="center"/>
              <w:rPr>
                <w:color w:val="000000"/>
                <w:sz w:val="20"/>
                <w:szCs w:val="20"/>
              </w:rPr>
            </w:pPr>
            <w:r>
              <w:rPr>
                <w:b/>
                <w:bCs/>
                <w:color w:val="000000"/>
                <w:sz w:val="20"/>
                <w:szCs w:val="20"/>
              </w:rPr>
              <w:t>June 30,</w:t>
            </w:r>
          </w:p>
        </w:tc>
        <w:tc>
          <w:tcPr>
            <w:tcW w:w="0" w:type="auto"/>
            <w:tcMar>
              <w:top w:w="5" w:type="dxa"/>
              <w:left w:w="5" w:type="dxa"/>
              <w:bottom w:w="5" w:type="dxa"/>
              <w:right w:w="5" w:type="dxa"/>
            </w:tcMar>
            <w:vAlign w:val="bottom"/>
            <w:hideMark/>
          </w:tcPr>
          <w:p w14:paraId="55AEC97A" w14:textId="77777777" w:rsidR="00954279" w:rsidRDefault="00A66714">
            <w:pPr>
              <w:rPr>
                <w:color w:val="000000"/>
                <w:sz w:val="20"/>
                <w:szCs w:val="20"/>
              </w:rPr>
            </w:pPr>
            <w:r>
              <w:rPr>
                <w:color w:val="000000"/>
                <w:sz w:val="20"/>
                <w:szCs w:val="20"/>
              </w:rPr>
              <w:t> </w:t>
            </w:r>
          </w:p>
        </w:tc>
      </w:tr>
      <w:tr w:rsidR="00954279" w14:paraId="3D74447E" w14:textId="77777777">
        <w:tc>
          <w:tcPr>
            <w:tcW w:w="0" w:type="auto"/>
            <w:tcMar>
              <w:top w:w="5" w:type="dxa"/>
              <w:left w:w="5" w:type="dxa"/>
              <w:bottom w:w="5" w:type="dxa"/>
              <w:right w:w="5" w:type="dxa"/>
            </w:tcMar>
            <w:vAlign w:val="bottom"/>
            <w:hideMark/>
          </w:tcPr>
          <w:p w14:paraId="5E6506A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4BD9A52"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8D63193" w14:textId="77777777" w:rsidR="00954279" w:rsidRDefault="00A66714">
            <w:pPr>
              <w:jc w:val="center"/>
              <w:rPr>
                <w:color w:val="000000"/>
                <w:sz w:val="20"/>
                <w:szCs w:val="20"/>
              </w:rPr>
            </w:pPr>
            <w:r>
              <w:rPr>
                <w:b/>
                <w:bCs/>
                <w:color w:val="000000"/>
                <w:sz w:val="20"/>
                <w:szCs w:val="20"/>
              </w:rPr>
              <w:t>2021</w:t>
            </w:r>
          </w:p>
        </w:tc>
        <w:tc>
          <w:tcPr>
            <w:tcW w:w="0" w:type="auto"/>
            <w:tcMar>
              <w:top w:w="5" w:type="dxa"/>
              <w:left w:w="5" w:type="dxa"/>
              <w:bottom w:w="20" w:type="dxa"/>
              <w:right w:w="5" w:type="dxa"/>
            </w:tcMar>
            <w:vAlign w:val="bottom"/>
            <w:hideMark/>
          </w:tcPr>
          <w:p w14:paraId="2C38C2E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89AAE81"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1254B61" w14:textId="77777777" w:rsidR="00954279" w:rsidRDefault="00A66714">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0EC98AC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4DDB328"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282EFA15" w14:textId="77777777" w:rsidR="00954279" w:rsidRDefault="00A66714">
            <w:pPr>
              <w:jc w:val="center"/>
              <w:rPr>
                <w:color w:val="000000"/>
                <w:sz w:val="20"/>
                <w:szCs w:val="20"/>
              </w:rPr>
            </w:pPr>
            <w:r>
              <w:rPr>
                <w:b/>
                <w:bCs/>
                <w:color w:val="000000"/>
                <w:sz w:val="20"/>
                <w:szCs w:val="20"/>
              </w:rPr>
              <w:t>2021</w:t>
            </w:r>
          </w:p>
        </w:tc>
        <w:tc>
          <w:tcPr>
            <w:tcW w:w="0" w:type="auto"/>
            <w:tcMar>
              <w:top w:w="5" w:type="dxa"/>
              <w:left w:w="5" w:type="dxa"/>
              <w:bottom w:w="20" w:type="dxa"/>
              <w:right w:w="5" w:type="dxa"/>
            </w:tcMar>
            <w:vAlign w:val="bottom"/>
            <w:hideMark/>
          </w:tcPr>
          <w:p w14:paraId="2D3CD30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179178E"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D894BCB" w14:textId="77777777" w:rsidR="00954279" w:rsidRDefault="00A66714">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472DA734" w14:textId="77777777" w:rsidR="00954279" w:rsidRDefault="00A66714">
            <w:pPr>
              <w:rPr>
                <w:color w:val="000000"/>
                <w:sz w:val="20"/>
                <w:szCs w:val="20"/>
              </w:rPr>
            </w:pPr>
            <w:r>
              <w:rPr>
                <w:color w:val="000000"/>
                <w:sz w:val="20"/>
                <w:szCs w:val="20"/>
              </w:rPr>
              <w:t> </w:t>
            </w:r>
          </w:p>
        </w:tc>
      </w:tr>
      <w:tr w:rsidR="00954279" w14:paraId="0A17505F" w14:textId="77777777">
        <w:tc>
          <w:tcPr>
            <w:tcW w:w="2600" w:type="pct"/>
            <w:tcMar>
              <w:top w:w="5" w:type="dxa"/>
              <w:left w:w="5" w:type="dxa"/>
              <w:bottom w:w="5" w:type="dxa"/>
              <w:right w:w="5" w:type="dxa"/>
            </w:tcMar>
            <w:vAlign w:val="bottom"/>
            <w:hideMark/>
          </w:tcPr>
          <w:p w14:paraId="30745E01" w14:textId="77777777" w:rsidR="00954279" w:rsidRDefault="00A66714">
            <w:pPr>
              <w:rPr>
                <w:color w:val="000000"/>
                <w:sz w:val="20"/>
                <w:szCs w:val="20"/>
              </w:rPr>
            </w:pPr>
            <w:r>
              <w:rPr>
                <w:i/>
                <w:iCs/>
                <w:color w:val="000000"/>
                <w:sz w:val="20"/>
                <w:szCs w:val="20"/>
              </w:rPr>
              <w:t>Average Rig Count (1):</w:t>
            </w:r>
          </w:p>
        </w:tc>
        <w:tc>
          <w:tcPr>
            <w:tcW w:w="0" w:type="auto"/>
            <w:tcMar>
              <w:top w:w="5" w:type="dxa"/>
              <w:left w:w="5" w:type="dxa"/>
              <w:bottom w:w="5" w:type="dxa"/>
              <w:right w:w="5" w:type="dxa"/>
            </w:tcMar>
            <w:vAlign w:val="bottom"/>
            <w:hideMark/>
          </w:tcPr>
          <w:p w14:paraId="7B472A1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426E3D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2FF722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CCBA4F9" w14:textId="77777777" w:rsidR="00954279" w:rsidRDefault="00A66714">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5B84DDF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34524B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E9ECA0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CB9ACA4" w14:textId="77777777" w:rsidR="00954279" w:rsidRDefault="00A66714">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4A20BC3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4E22D8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3F964D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19D786D" w14:textId="77777777" w:rsidR="00954279" w:rsidRDefault="00A66714">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3121A08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219087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567268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13F07B4" w14:textId="77777777" w:rsidR="00954279" w:rsidRDefault="00A66714">
            <w:pPr>
              <w:rPr>
                <w:color w:val="000000"/>
                <w:sz w:val="20"/>
                <w:szCs w:val="20"/>
              </w:rPr>
            </w:pPr>
            <w:r>
              <w:rPr>
                <w:i/>
                <w:iCs/>
                <w:color w:val="000000"/>
                <w:sz w:val="20"/>
                <w:szCs w:val="20"/>
              </w:rPr>
              <w:t> </w:t>
            </w:r>
          </w:p>
        </w:tc>
      </w:tr>
      <w:tr w:rsidR="00954279" w14:paraId="10D909C7" w14:textId="77777777">
        <w:tc>
          <w:tcPr>
            <w:tcW w:w="0" w:type="auto"/>
            <w:tcMar>
              <w:top w:w="5" w:type="dxa"/>
              <w:left w:w="5" w:type="dxa"/>
              <w:bottom w:w="5" w:type="dxa"/>
              <w:right w:w="5" w:type="dxa"/>
            </w:tcMar>
            <w:vAlign w:val="bottom"/>
            <w:hideMark/>
          </w:tcPr>
          <w:p w14:paraId="3B730708" w14:textId="77777777" w:rsidR="00954279" w:rsidRDefault="00A66714">
            <w:pPr>
              <w:rPr>
                <w:color w:val="000000"/>
                <w:sz w:val="20"/>
                <w:szCs w:val="20"/>
              </w:rPr>
            </w:pPr>
            <w:r>
              <w:rPr>
                <w:color w:val="000000"/>
                <w:sz w:val="20"/>
                <w:szCs w:val="20"/>
              </w:rPr>
              <w:t>United States</w:t>
            </w:r>
          </w:p>
        </w:tc>
        <w:tc>
          <w:tcPr>
            <w:tcW w:w="50" w:type="pct"/>
            <w:tcMar>
              <w:top w:w="5" w:type="dxa"/>
              <w:left w:w="5" w:type="dxa"/>
              <w:bottom w:w="5" w:type="dxa"/>
              <w:right w:w="5" w:type="dxa"/>
            </w:tcMar>
            <w:vAlign w:val="bottom"/>
            <w:hideMark/>
          </w:tcPr>
          <w:p w14:paraId="46E1926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6BB353D"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6F65699" w14:textId="77777777" w:rsidR="00954279" w:rsidRDefault="00A66714">
            <w:pPr>
              <w:jc w:val="right"/>
              <w:rPr>
                <w:color w:val="000000"/>
                <w:sz w:val="20"/>
                <w:szCs w:val="20"/>
              </w:rPr>
            </w:pPr>
            <w:r>
              <w:rPr>
                <w:b/>
                <w:bCs/>
                <w:color w:val="000000"/>
                <w:sz w:val="20"/>
                <w:szCs w:val="20"/>
              </w:rPr>
              <w:t>450</w:t>
            </w:r>
          </w:p>
        </w:tc>
        <w:tc>
          <w:tcPr>
            <w:tcW w:w="50" w:type="pct"/>
            <w:noWrap/>
            <w:tcMar>
              <w:top w:w="5" w:type="dxa"/>
              <w:left w:w="5" w:type="dxa"/>
              <w:bottom w:w="5" w:type="dxa"/>
              <w:right w:w="5" w:type="dxa"/>
            </w:tcMar>
            <w:vAlign w:val="bottom"/>
            <w:hideMark/>
          </w:tcPr>
          <w:p w14:paraId="13652BF0"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B534F6F"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61B2679"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A9FBEEE" w14:textId="77777777" w:rsidR="00954279" w:rsidRDefault="00A66714">
            <w:pPr>
              <w:jc w:val="right"/>
              <w:rPr>
                <w:color w:val="000000"/>
                <w:sz w:val="20"/>
                <w:szCs w:val="20"/>
              </w:rPr>
            </w:pPr>
            <w:r>
              <w:rPr>
                <w:color w:val="000000"/>
                <w:sz w:val="20"/>
                <w:szCs w:val="20"/>
              </w:rPr>
              <w:t>392</w:t>
            </w:r>
          </w:p>
        </w:tc>
        <w:tc>
          <w:tcPr>
            <w:tcW w:w="50" w:type="pct"/>
            <w:noWrap/>
            <w:tcMar>
              <w:top w:w="5" w:type="dxa"/>
              <w:left w:w="5" w:type="dxa"/>
              <w:bottom w:w="5" w:type="dxa"/>
              <w:right w:w="5" w:type="dxa"/>
            </w:tcMar>
            <w:vAlign w:val="bottom"/>
            <w:hideMark/>
          </w:tcPr>
          <w:p w14:paraId="6D6C9B88"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A979FE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5DE1F2F"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55F25D0" w14:textId="77777777" w:rsidR="00954279" w:rsidRDefault="00A66714">
            <w:pPr>
              <w:jc w:val="right"/>
              <w:rPr>
                <w:color w:val="000000"/>
                <w:sz w:val="20"/>
                <w:szCs w:val="20"/>
              </w:rPr>
            </w:pPr>
            <w:r>
              <w:rPr>
                <w:b/>
                <w:bCs/>
                <w:color w:val="000000"/>
                <w:sz w:val="20"/>
                <w:szCs w:val="20"/>
              </w:rPr>
              <w:t>423</w:t>
            </w:r>
          </w:p>
        </w:tc>
        <w:tc>
          <w:tcPr>
            <w:tcW w:w="50" w:type="pct"/>
            <w:noWrap/>
            <w:tcMar>
              <w:top w:w="5" w:type="dxa"/>
              <w:left w:w="5" w:type="dxa"/>
              <w:bottom w:w="5" w:type="dxa"/>
              <w:right w:w="5" w:type="dxa"/>
            </w:tcMar>
            <w:vAlign w:val="bottom"/>
            <w:hideMark/>
          </w:tcPr>
          <w:p w14:paraId="3E3A914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7E510A9"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9BD0D7E"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4BB7C68" w14:textId="77777777" w:rsidR="00954279" w:rsidRDefault="00A66714">
            <w:pPr>
              <w:jc w:val="right"/>
              <w:rPr>
                <w:color w:val="000000"/>
                <w:sz w:val="20"/>
                <w:szCs w:val="20"/>
              </w:rPr>
            </w:pPr>
            <w:r>
              <w:rPr>
                <w:color w:val="000000"/>
                <w:sz w:val="20"/>
                <w:szCs w:val="20"/>
              </w:rPr>
              <w:t>588</w:t>
            </w:r>
          </w:p>
        </w:tc>
        <w:tc>
          <w:tcPr>
            <w:tcW w:w="50" w:type="pct"/>
            <w:noWrap/>
            <w:tcMar>
              <w:top w:w="5" w:type="dxa"/>
              <w:left w:w="5" w:type="dxa"/>
              <w:bottom w:w="5" w:type="dxa"/>
              <w:right w:w="5" w:type="dxa"/>
            </w:tcMar>
            <w:vAlign w:val="bottom"/>
            <w:hideMark/>
          </w:tcPr>
          <w:p w14:paraId="67A06F41" w14:textId="77777777" w:rsidR="00954279" w:rsidRDefault="00A66714">
            <w:pPr>
              <w:rPr>
                <w:color w:val="000000"/>
                <w:sz w:val="20"/>
                <w:szCs w:val="20"/>
              </w:rPr>
            </w:pPr>
            <w:r>
              <w:rPr>
                <w:color w:val="000000"/>
                <w:sz w:val="20"/>
                <w:szCs w:val="20"/>
              </w:rPr>
              <w:t> </w:t>
            </w:r>
          </w:p>
        </w:tc>
      </w:tr>
      <w:tr w:rsidR="00954279" w14:paraId="35F128F7" w14:textId="77777777">
        <w:tc>
          <w:tcPr>
            <w:tcW w:w="0" w:type="auto"/>
            <w:tcMar>
              <w:top w:w="5" w:type="dxa"/>
              <w:left w:w="5" w:type="dxa"/>
              <w:bottom w:w="5" w:type="dxa"/>
              <w:right w:w="5" w:type="dxa"/>
            </w:tcMar>
            <w:vAlign w:val="bottom"/>
            <w:hideMark/>
          </w:tcPr>
          <w:p w14:paraId="7158BFC0" w14:textId="77777777" w:rsidR="00954279" w:rsidRDefault="00A66714">
            <w:pPr>
              <w:rPr>
                <w:color w:val="000000"/>
                <w:sz w:val="20"/>
                <w:szCs w:val="20"/>
              </w:rPr>
            </w:pPr>
            <w:r>
              <w:rPr>
                <w:color w:val="000000"/>
                <w:sz w:val="20"/>
                <w:szCs w:val="20"/>
              </w:rPr>
              <w:t>Canada</w:t>
            </w:r>
          </w:p>
        </w:tc>
        <w:tc>
          <w:tcPr>
            <w:tcW w:w="50" w:type="pct"/>
            <w:tcMar>
              <w:top w:w="5" w:type="dxa"/>
              <w:left w:w="5" w:type="dxa"/>
              <w:bottom w:w="5" w:type="dxa"/>
              <w:right w:w="5" w:type="dxa"/>
            </w:tcMar>
            <w:vAlign w:val="bottom"/>
            <w:hideMark/>
          </w:tcPr>
          <w:p w14:paraId="74C12C3F"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1CB64B3"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62E2EB96" w14:textId="77777777" w:rsidR="00954279" w:rsidRDefault="00A66714">
            <w:pPr>
              <w:jc w:val="right"/>
              <w:rPr>
                <w:color w:val="000000"/>
                <w:sz w:val="20"/>
                <w:szCs w:val="20"/>
              </w:rPr>
            </w:pPr>
            <w:r>
              <w:rPr>
                <w:b/>
                <w:bCs/>
                <w:color w:val="000000"/>
                <w:sz w:val="20"/>
                <w:szCs w:val="20"/>
              </w:rPr>
              <w:t>72</w:t>
            </w:r>
          </w:p>
        </w:tc>
        <w:tc>
          <w:tcPr>
            <w:tcW w:w="50" w:type="pct"/>
            <w:noWrap/>
            <w:tcMar>
              <w:top w:w="5" w:type="dxa"/>
              <w:left w:w="5" w:type="dxa"/>
              <w:bottom w:w="20" w:type="dxa"/>
              <w:right w:w="5" w:type="dxa"/>
            </w:tcMar>
            <w:vAlign w:val="bottom"/>
            <w:hideMark/>
          </w:tcPr>
          <w:p w14:paraId="3674BB0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738A83B"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39AB65A"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31526925" w14:textId="77777777" w:rsidR="00954279" w:rsidRDefault="00A66714">
            <w:pPr>
              <w:jc w:val="right"/>
              <w:rPr>
                <w:color w:val="000000"/>
                <w:sz w:val="20"/>
                <w:szCs w:val="20"/>
              </w:rPr>
            </w:pPr>
            <w:r>
              <w:rPr>
                <w:color w:val="000000"/>
                <w:sz w:val="20"/>
                <w:szCs w:val="20"/>
              </w:rPr>
              <w:t>25</w:t>
            </w:r>
          </w:p>
        </w:tc>
        <w:tc>
          <w:tcPr>
            <w:tcW w:w="50" w:type="pct"/>
            <w:noWrap/>
            <w:tcMar>
              <w:top w:w="5" w:type="dxa"/>
              <w:left w:w="5" w:type="dxa"/>
              <w:bottom w:w="20" w:type="dxa"/>
              <w:right w:w="5" w:type="dxa"/>
            </w:tcMar>
            <w:vAlign w:val="bottom"/>
            <w:hideMark/>
          </w:tcPr>
          <w:p w14:paraId="41989119"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5035210"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B6FEB75"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4FA8B175" w14:textId="77777777" w:rsidR="00954279" w:rsidRDefault="00A66714">
            <w:pPr>
              <w:jc w:val="right"/>
              <w:rPr>
                <w:color w:val="000000"/>
                <w:sz w:val="20"/>
                <w:szCs w:val="20"/>
              </w:rPr>
            </w:pPr>
            <w:r>
              <w:rPr>
                <w:b/>
                <w:bCs/>
                <w:color w:val="000000"/>
                <w:sz w:val="20"/>
                <w:szCs w:val="20"/>
              </w:rPr>
              <w:t>107</w:t>
            </w:r>
          </w:p>
        </w:tc>
        <w:tc>
          <w:tcPr>
            <w:tcW w:w="50" w:type="pct"/>
            <w:noWrap/>
            <w:tcMar>
              <w:top w:w="5" w:type="dxa"/>
              <w:left w:w="5" w:type="dxa"/>
              <w:bottom w:w="20" w:type="dxa"/>
              <w:right w:w="5" w:type="dxa"/>
            </w:tcMar>
            <w:vAlign w:val="bottom"/>
            <w:hideMark/>
          </w:tcPr>
          <w:p w14:paraId="15ACBA10"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E6AA226"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BDB5754"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28B23551" w14:textId="77777777" w:rsidR="00954279" w:rsidRDefault="00A66714">
            <w:pPr>
              <w:jc w:val="right"/>
              <w:rPr>
                <w:color w:val="000000"/>
                <w:sz w:val="20"/>
                <w:szCs w:val="20"/>
              </w:rPr>
            </w:pPr>
            <w:r>
              <w:rPr>
                <w:color w:val="000000"/>
                <w:sz w:val="20"/>
                <w:szCs w:val="20"/>
              </w:rPr>
              <w:t>110</w:t>
            </w:r>
          </w:p>
        </w:tc>
        <w:tc>
          <w:tcPr>
            <w:tcW w:w="50" w:type="pct"/>
            <w:noWrap/>
            <w:tcMar>
              <w:top w:w="5" w:type="dxa"/>
              <w:left w:w="5" w:type="dxa"/>
              <w:bottom w:w="20" w:type="dxa"/>
              <w:right w:w="5" w:type="dxa"/>
            </w:tcMar>
            <w:vAlign w:val="bottom"/>
            <w:hideMark/>
          </w:tcPr>
          <w:p w14:paraId="57B42B62" w14:textId="77777777" w:rsidR="00954279" w:rsidRDefault="00A66714">
            <w:pPr>
              <w:rPr>
                <w:color w:val="000000"/>
                <w:sz w:val="20"/>
                <w:szCs w:val="20"/>
              </w:rPr>
            </w:pPr>
            <w:r>
              <w:rPr>
                <w:color w:val="000000"/>
                <w:sz w:val="20"/>
                <w:szCs w:val="20"/>
              </w:rPr>
              <w:t> </w:t>
            </w:r>
          </w:p>
        </w:tc>
      </w:tr>
      <w:tr w:rsidR="00954279" w14:paraId="7A31B62E" w14:textId="77777777">
        <w:tc>
          <w:tcPr>
            <w:tcW w:w="0" w:type="auto"/>
            <w:tcMar>
              <w:top w:w="5" w:type="dxa"/>
              <w:left w:w="5" w:type="dxa"/>
              <w:bottom w:w="5" w:type="dxa"/>
              <w:right w:w="5" w:type="dxa"/>
            </w:tcMar>
            <w:vAlign w:val="bottom"/>
            <w:hideMark/>
          </w:tcPr>
          <w:p w14:paraId="7FBD67D0" w14:textId="77777777" w:rsidR="00954279" w:rsidRDefault="00A66714">
            <w:pPr>
              <w:ind w:left="360"/>
              <w:rPr>
                <w:color w:val="000000"/>
                <w:sz w:val="20"/>
                <w:szCs w:val="20"/>
              </w:rPr>
            </w:pPr>
            <w:r>
              <w:rPr>
                <w:color w:val="000000"/>
                <w:sz w:val="20"/>
                <w:szCs w:val="20"/>
              </w:rPr>
              <w:t>Total North America</w:t>
            </w:r>
          </w:p>
        </w:tc>
        <w:tc>
          <w:tcPr>
            <w:tcW w:w="50" w:type="pct"/>
            <w:tcMar>
              <w:top w:w="5" w:type="dxa"/>
              <w:left w:w="5" w:type="dxa"/>
              <w:bottom w:w="5" w:type="dxa"/>
              <w:right w:w="5" w:type="dxa"/>
            </w:tcMar>
            <w:vAlign w:val="bottom"/>
            <w:hideMark/>
          </w:tcPr>
          <w:p w14:paraId="20449FD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3B47F3B"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E81AD89" w14:textId="77777777" w:rsidR="00954279" w:rsidRDefault="00A66714">
            <w:pPr>
              <w:jc w:val="right"/>
              <w:rPr>
                <w:color w:val="000000"/>
                <w:sz w:val="20"/>
                <w:szCs w:val="20"/>
              </w:rPr>
            </w:pPr>
            <w:r>
              <w:rPr>
                <w:b/>
                <w:bCs/>
                <w:color w:val="000000"/>
                <w:sz w:val="20"/>
                <w:szCs w:val="20"/>
              </w:rPr>
              <w:t>522</w:t>
            </w:r>
          </w:p>
        </w:tc>
        <w:tc>
          <w:tcPr>
            <w:tcW w:w="50" w:type="pct"/>
            <w:noWrap/>
            <w:tcMar>
              <w:top w:w="5" w:type="dxa"/>
              <w:left w:w="5" w:type="dxa"/>
              <w:bottom w:w="5" w:type="dxa"/>
              <w:right w:w="5" w:type="dxa"/>
            </w:tcMar>
            <w:vAlign w:val="bottom"/>
            <w:hideMark/>
          </w:tcPr>
          <w:p w14:paraId="0FEB35F7"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D820C5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1211824"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DA7D413" w14:textId="77777777" w:rsidR="00954279" w:rsidRDefault="00A66714">
            <w:pPr>
              <w:jc w:val="right"/>
              <w:rPr>
                <w:color w:val="000000"/>
                <w:sz w:val="20"/>
                <w:szCs w:val="20"/>
              </w:rPr>
            </w:pPr>
            <w:r>
              <w:rPr>
                <w:color w:val="000000"/>
                <w:sz w:val="20"/>
                <w:szCs w:val="20"/>
              </w:rPr>
              <w:t>417</w:t>
            </w:r>
          </w:p>
        </w:tc>
        <w:tc>
          <w:tcPr>
            <w:tcW w:w="50" w:type="pct"/>
            <w:noWrap/>
            <w:tcMar>
              <w:top w:w="5" w:type="dxa"/>
              <w:left w:w="5" w:type="dxa"/>
              <w:bottom w:w="5" w:type="dxa"/>
              <w:right w:w="5" w:type="dxa"/>
            </w:tcMar>
            <w:vAlign w:val="bottom"/>
            <w:hideMark/>
          </w:tcPr>
          <w:p w14:paraId="6A7FC32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26F933A"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D6FF7E7"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B863EF8" w14:textId="77777777" w:rsidR="00954279" w:rsidRDefault="00A66714">
            <w:pPr>
              <w:jc w:val="right"/>
              <w:rPr>
                <w:color w:val="000000"/>
                <w:sz w:val="20"/>
                <w:szCs w:val="20"/>
              </w:rPr>
            </w:pPr>
            <w:r>
              <w:rPr>
                <w:b/>
                <w:bCs/>
                <w:color w:val="000000"/>
                <w:sz w:val="20"/>
                <w:szCs w:val="20"/>
              </w:rPr>
              <w:t>530</w:t>
            </w:r>
          </w:p>
        </w:tc>
        <w:tc>
          <w:tcPr>
            <w:tcW w:w="50" w:type="pct"/>
            <w:noWrap/>
            <w:tcMar>
              <w:top w:w="5" w:type="dxa"/>
              <w:left w:w="5" w:type="dxa"/>
              <w:bottom w:w="5" w:type="dxa"/>
              <w:right w:w="5" w:type="dxa"/>
            </w:tcMar>
            <w:vAlign w:val="bottom"/>
            <w:hideMark/>
          </w:tcPr>
          <w:p w14:paraId="482A9911"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53F0D60"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EF0DA70"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8F8EE39" w14:textId="77777777" w:rsidR="00954279" w:rsidRDefault="00A66714">
            <w:pPr>
              <w:jc w:val="right"/>
              <w:rPr>
                <w:color w:val="000000"/>
                <w:sz w:val="20"/>
                <w:szCs w:val="20"/>
              </w:rPr>
            </w:pPr>
            <w:r>
              <w:rPr>
                <w:color w:val="000000"/>
                <w:sz w:val="20"/>
                <w:szCs w:val="20"/>
              </w:rPr>
              <w:t>698</w:t>
            </w:r>
          </w:p>
        </w:tc>
        <w:tc>
          <w:tcPr>
            <w:tcW w:w="50" w:type="pct"/>
            <w:noWrap/>
            <w:tcMar>
              <w:top w:w="5" w:type="dxa"/>
              <w:left w:w="5" w:type="dxa"/>
              <w:bottom w:w="5" w:type="dxa"/>
              <w:right w:w="5" w:type="dxa"/>
            </w:tcMar>
            <w:vAlign w:val="bottom"/>
            <w:hideMark/>
          </w:tcPr>
          <w:p w14:paraId="00D80483" w14:textId="77777777" w:rsidR="00954279" w:rsidRDefault="00A66714">
            <w:pPr>
              <w:rPr>
                <w:color w:val="000000"/>
                <w:sz w:val="20"/>
                <w:szCs w:val="20"/>
              </w:rPr>
            </w:pPr>
            <w:r>
              <w:rPr>
                <w:color w:val="000000"/>
                <w:sz w:val="20"/>
                <w:szCs w:val="20"/>
              </w:rPr>
              <w:t> </w:t>
            </w:r>
          </w:p>
        </w:tc>
      </w:tr>
      <w:tr w:rsidR="00954279" w14:paraId="288912C2" w14:textId="77777777">
        <w:tc>
          <w:tcPr>
            <w:tcW w:w="0" w:type="auto"/>
            <w:tcMar>
              <w:top w:w="5" w:type="dxa"/>
              <w:left w:w="5" w:type="dxa"/>
              <w:bottom w:w="5" w:type="dxa"/>
              <w:right w:w="5" w:type="dxa"/>
            </w:tcMar>
            <w:vAlign w:val="bottom"/>
            <w:hideMark/>
          </w:tcPr>
          <w:p w14:paraId="60270370" w14:textId="77777777" w:rsidR="00954279" w:rsidRDefault="00A66714">
            <w:pPr>
              <w:rPr>
                <w:color w:val="000000"/>
                <w:sz w:val="20"/>
                <w:szCs w:val="20"/>
              </w:rPr>
            </w:pPr>
            <w:r>
              <w:rPr>
                <w:color w:val="000000"/>
                <w:sz w:val="20"/>
                <w:szCs w:val="20"/>
              </w:rPr>
              <w:t>International</w:t>
            </w:r>
          </w:p>
        </w:tc>
        <w:tc>
          <w:tcPr>
            <w:tcW w:w="50" w:type="pct"/>
            <w:tcMar>
              <w:top w:w="5" w:type="dxa"/>
              <w:left w:w="5" w:type="dxa"/>
              <w:bottom w:w="5" w:type="dxa"/>
              <w:right w:w="5" w:type="dxa"/>
            </w:tcMar>
            <w:vAlign w:val="bottom"/>
            <w:hideMark/>
          </w:tcPr>
          <w:p w14:paraId="53BBC750"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5DA29EB"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7D86FEC0" w14:textId="77777777" w:rsidR="00954279" w:rsidRDefault="00A66714">
            <w:pPr>
              <w:jc w:val="right"/>
              <w:rPr>
                <w:color w:val="000000"/>
                <w:sz w:val="20"/>
                <w:szCs w:val="20"/>
              </w:rPr>
            </w:pPr>
            <w:r>
              <w:rPr>
                <w:b/>
                <w:bCs/>
                <w:color w:val="000000"/>
                <w:sz w:val="20"/>
                <w:szCs w:val="20"/>
              </w:rPr>
              <w:t>734</w:t>
            </w:r>
          </w:p>
        </w:tc>
        <w:tc>
          <w:tcPr>
            <w:tcW w:w="50" w:type="pct"/>
            <w:noWrap/>
            <w:tcMar>
              <w:top w:w="5" w:type="dxa"/>
              <w:left w:w="5" w:type="dxa"/>
              <w:bottom w:w="20" w:type="dxa"/>
              <w:right w:w="5" w:type="dxa"/>
            </w:tcMar>
            <w:vAlign w:val="bottom"/>
            <w:hideMark/>
          </w:tcPr>
          <w:p w14:paraId="3EE7F88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436E2CE"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8A7F1C6"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4DF2F2D9" w14:textId="77777777" w:rsidR="00954279" w:rsidRDefault="00A66714">
            <w:pPr>
              <w:jc w:val="right"/>
              <w:rPr>
                <w:color w:val="000000"/>
                <w:sz w:val="20"/>
                <w:szCs w:val="20"/>
              </w:rPr>
            </w:pPr>
            <w:r>
              <w:rPr>
                <w:color w:val="000000"/>
                <w:sz w:val="20"/>
                <w:szCs w:val="20"/>
              </w:rPr>
              <w:t>834</w:t>
            </w:r>
          </w:p>
        </w:tc>
        <w:tc>
          <w:tcPr>
            <w:tcW w:w="50" w:type="pct"/>
            <w:noWrap/>
            <w:tcMar>
              <w:top w:w="5" w:type="dxa"/>
              <w:left w:w="5" w:type="dxa"/>
              <w:bottom w:w="20" w:type="dxa"/>
              <w:right w:w="5" w:type="dxa"/>
            </w:tcMar>
            <w:vAlign w:val="bottom"/>
            <w:hideMark/>
          </w:tcPr>
          <w:p w14:paraId="7C5B585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7588520"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9F80B24"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3BD06135" w14:textId="77777777" w:rsidR="00954279" w:rsidRDefault="00A66714">
            <w:pPr>
              <w:jc w:val="right"/>
              <w:rPr>
                <w:color w:val="000000"/>
                <w:sz w:val="20"/>
                <w:szCs w:val="20"/>
              </w:rPr>
            </w:pPr>
            <w:r>
              <w:rPr>
                <w:b/>
                <w:bCs/>
                <w:color w:val="000000"/>
                <w:sz w:val="20"/>
                <w:szCs w:val="20"/>
              </w:rPr>
              <w:t>716</w:t>
            </w:r>
          </w:p>
        </w:tc>
        <w:tc>
          <w:tcPr>
            <w:tcW w:w="50" w:type="pct"/>
            <w:noWrap/>
            <w:tcMar>
              <w:top w:w="5" w:type="dxa"/>
              <w:left w:w="5" w:type="dxa"/>
              <w:bottom w:w="20" w:type="dxa"/>
              <w:right w:w="5" w:type="dxa"/>
            </w:tcMar>
            <w:vAlign w:val="bottom"/>
            <w:hideMark/>
          </w:tcPr>
          <w:p w14:paraId="442E1548"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6F33BA1"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C436C7A"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31A547C2" w14:textId="77777777" w:rsidR="00954279" w:rsidRDefault="00A66714">
            <w:pPr>
              <w:jc w:val="right"/>
              <w:rPr>
                <w:color w:val="000000"/>
                <w:sz w:val="20"/>
                <w:szCs w:val="20"/>
              </w:rPr>
            </w:pPr>
            <w:r>
              <w:rPr>
                <w:color w:val="000000"/>
                <w:sz w:val="20"/>
                <w:szCs w:val="20"/>
              </w:rPr>
              <w:t>954</w:t>
            </w:r>
          </w:p>
        </w:tc>
        <w:tc>
          <w:tcPr>
            <w:tcW w:w="50" w:type="pct"/>
            <w:noWrap/>
            <w:tcMar>
              <w:top w:w="5" w:type="dxa"/>
              <w:left w:w="5" w:type="dxa"/>
              <w:bottom w:w="20" w:type="dxa"/>
              <w:right w:w="5" w:type="dxa"/>
            </w:tcMar>
            <w:vAlign w:val="bottom"/>
            <w:hideMark/>
          </w:tcPr>
          <w:p w14:paraId="2CBEA33C" w14:textId="77777777" w:rsidR="00954279" w:rsidRDefault="00A66714">
            <w:pPr>
              <w:rPr>
                <w:color w:val="000000"/>
                <w:sz w:val="20"/>
                <w:szCs w:val="20"/>
              </w:rPr>
            </w:pPr>
            <w:r>
              <w:rPr>
                <w:color w:val="000000"/>
                <w:sz w:val="20"/>
                <w:szCs w:val="20"/>
              </w:rPr>
              <w:t> </w:t>
            </w:r>
          </w:p>
        </w:tc>
      </w:tr>
      <w:tr w:rsidR="00954279" w14:paraId="406D22C4" w14:textId="77777777">
        <w:tc>
          <w:tcPr>
            <w:tcW w:w="0" w:type="auto"/>
            <w:tcMar>
              <w:top w:w="5" w:type="dxa"/>
              <w:left w:w="5" w:type="dxa"/>
              <w:bottom w:w="5" w:type="dxa"/>
              <w:right w:w="5" w:type="dxa"/>
            </w:tcMar>
            <w:vAlign w:val="bottom"/>
            <w:hideMark/>
          </w:tcPr>
          <w:p w14:paraId="2DA16DC6" w14:textId="77777777" w:rsidR="00954279" w:rsidRDefault="00A66714">
            <w:pPr>
              <w:ind w:left="360"/>
              <w:rPr>
                <w:color w:val="000000"/>
                <w:sz w:val="20"/>
                <w:szCs w:val="20"/>
              </w:rPr>
            </w:pPr>
            <w:r>
              <w:rPr>
                <w:color w:val="000000"/>
                <w:sz w:val="20"/>
                <w:szCs w:val="20"/>
              </w:rPr>
              <w:t>Total</w:t>
            </w:r>
          </w:p>
        </w:tc>
        <w:tc>
          <w:tcPr>
            <w:tcW w:w="50" w:type="pct"/>
            <w:tcMar>
              <w:top w:w="5" w:type="dxa"/>
              <w:left w:w="5" w:type="dxa"/>
              <w:bottom w:w="5" w:type="dxa"/>
              <w:right w:w="5" w:type="dxa"/>
            </w:tcMar>
            <w:vAlign w:val="bottom"/>
            <w:hideMark/>
          </w:tcPr>
          <w:p w14:paraId="24FD21D8"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E0817F0" w14:textId="77777777" w:rsidR="00954279" w:rsidRDefault="00A66714">
            <w:pPr>
              <w:rPr>
                <w:color w:val="000000"/>
                <w:sz w:val="20"/>
                <w:szCs w:val="20"/>
              </w:rPr>
            </w:pPr>
            <w:r>
              <w:rPr>
                <w:color w:val="000000"/>
                <w:sz w:val="20"/>
                <w:szCs w:val="20"/>
              </w:rPr>
              <w:t> </w:t>
            </w:r>
          </w:p>
        </w:tc>
        <w:tc>
          <w:tcPr>
            <w:tcW w:w="450" w:type="pct"/>
            <w:tcBorders>
              <w:bottom w:val="double" w:sz="6" w:space="0" w:color="000000"/>
            </w:tcBorders>
            <w:tcMar>
              <w:top w:w="5" w:type="dxa"/>
              <w:left w:w="5" w:type="dxa"/>
              <w:bottom w:w="22" w:type="dxa"/>
              <w:right w:w="5" w:type="dxa"/>
            </w:tcMar>
            <w:vAlign w:val="bottom"/>
            <w:hideMark/>
          </w:tcPr>
          <w:p w14:paraId="378B1C11" w14:textId="77777777" w:rsidR="00954279" w:rsidRDefault="00A66714">
            <w:pPr>
              <w:jc w:val="right"/>
              <w:rPr>
                <w:color w:val="000000"/>
                <w:sz w:val="20"/>
                <w:szCs w:val="20"/>
              </w:rPr>
            </w:pPr>
            <w:r>
              <w:rPr>
                <w:b/>
                <w:bCs/>
                <w:color w:val="000000"/>
                <w:sz w:val="20"/>
                <w:szCs w:val="20"/>
              </w:rPr>
              <w:t>1,256</w:t>
            </w:r>
          </w:p>
        </w:tc>
        <w:tc>
          <w:tcPr>
            <w:tcW w:w="50" w:type="pct"/>
            <w:noWrap/>
            <w:tcMar>
              <w:top w:w="5" w:type="dxa"/>
              <w:left w:w="5" w:type="dxa"/>
              <w:bottom w:w="50" w:type="dxa"/>
              <w:right w:w="5" w:type="dxa"/>
            </w:tcMar>
            <w:vAlign w:val="bottom"/>
            <w:hideMark/>
          </w:tcPr>
          <w:p w14:paraId="6EC095C2"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D3E2EA8"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590D48D" w14:textId="77777777" w:rsidR="00954279" w:rsidRDefault="00A66714">
            <w:pPr>
              <w:rPr>
                <w:color w:val="000000"/>
                <w:sz w:val="20"/>
                <w:szCs w:val="20"/>
              </w:rPr>
            </w:pPr>
            <w:r>
              <w:rPr>
                <w:color w:val="000000"/>
                <w:sz w:val="20"/>
                <w:szCs w:val="20"/>
              </w:rPr>
              <w:t> </w:t>
            </w:r>
          </w:p>
        </w:tc>
        <w:tc>
          <w:tcPr>
            <w:tcW w:w="450" w:type="pct"/>
            <w:tcBorders>
              <w:bottom w:val="double" w:sz="6" w:space="0" w:color="000000"/>
            </w:tcBorders>
            <w:tcMar>
              <w:top w:w="5" w:type="dxa"/>
              <w:left w:w="5" w:type="dxa"/>
              <w:bottom w:w="22" w:type="dxa"/>
              <w:right w:w="5" w:type="dxa"/>
            </w:tcMar>
            <w:vAlign w:val="bottom"/>
            <w:hideMark/>
          </w:tcPr>
          <w:p w14:paraId="2036DFE5" w14:textId="77777777" w:rsidR="00954279" w:rsidRDefault="00A66714">
            <w:pPr>
              <w:jc w:val="right"/>
              <w:rPr>
                <w:color w:val="000000"/>
                <w:sz w:val="20"/>
                <w:szCs w:val="20"/>
              </w:rPr>
            </w:pPr>
            <w:r>
              <w:rPr>
                <w:color w:val="000000"/>
                <w:sz w:val="20"/>
                <w:szCs w:val="20"/>
              </w:rPr>
              <w:t>1,251</w:t>
            </w:r>
          </w:p>
        </w:tc>
        <w:tc>
          <w:tcPr>
            <w:tcW w:w="50" w:type="pct"/>
            <w:noWrap/>
            <w:tcMar>
              <w:top w:w="5" w:type="dxa"/>
              <w:left w:w="5" w:type="dxa"/>
              <w:bottom w:w="50" w:type="dxa"/>
              <w:right w:w="5" w:type="dxa"/>
            </w:tcMar>
            <w:vAlign w:val="bottom"/>
            <w:hideMark/>
          </w:tcPr>
          <w:p w14:paraId="74381048"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5D58DEC"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CB262A4" w14:textId="77777777" w:rsidR="00954279" w:rsidRDefault="00A66714">
            <w:pPr>
              <w:rPr>
                <w:color w:val="000000"/>
                <w:sz w:val="20"/>
                <w:szCs w:val="20"/>
              </w:rPr>
            </w:pPr>
            <w:r>
              <w:rPr>
                <w:color w:val="000000"/>
                <w:sz w:val="20"/>
                <w:szCs w:val="20"/>
              </w:rPr>
              <w:t> </w:t>
            </w:r>
          </w:p>
        </w:tc>
        <w:tc>
          <w:tcPr>
            <w:tcW w:w="450" w:type="pct"/>
            <w:tcBorders>
              <w:bottom w:val="double" w:sz="6" w:space="0" w:color="000000"/>
            </w:tcBorders>
            <w:tcMar>
              <w:top w:w="5" w:type="dxa"/>
              <w:left w:w="5" w:type="dxa"/>
              <w:bottom w:w="22" w:type="dxa"/>
              <w:right w:w="5" w:type="dxa"/>
            </w:tcMar>
            <w:vAlign w:val="bottom"/>
            <w:hideMark/>
          </w:tcPr>
          <w:p w14:paraId="327EE121" w14:textId="77777777" w:rsidR="00954279" w:rsidRDefault="00A66714">
            <w:pPr>
              <w:jc w:val="right"/>
              <w:rPr>
                <w:color w:val="000000"/>
                <w:sz w:val="20"/>
                <w:szCs w:val="20"/>
              </w:rPr>
            </w:pPr>
            <w:r>
              <w:rPr>
                <w:b/>
                <w:bCs/>
                <w:color w:val="000000"/>
                <w:sz w:val="20"/>
                <w:szCs w:val="20"/>
              </w:rPr>
              <w:t>1,246</w:t>
            </w:r>
          </w:p>
        </w:tc>
        <w:tc>
          <w:tcPr>
            <w:tcW w:w="50" w:type="pct"/>
            <w:noWrap/>
            <w:tcMar>
              <w:top w:w="5" w:type="dxa"/>
              <w:left w:w="5" w:type="dxa"/>
              <w:bottom w:w="50" w:type="dxa"/>
              <w:right w:w="5" w:type="dxa"/>
            </w:tcMar>
            <w:vAlign w:val="bottom"/>
            <w:hideMark/>
          </w:tcPr>
          <w:p w14:paraId="488F87A1"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55300C2"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C50E114" w14:textId="77777777" w:rsidR="00954279" w:rsidRDefault="00A66714">
            <w:pPr>
              <w:rPr>
                <w:color w:val="000000"/>
                <w:sz w:val="20"/>
                <w:szCs w:val="20"/>
              </w:rPr>
            </w:pPr>
            <w:r>
              <w:rPr>
                <w:color w:val="000000"/>
                <w:sz w:val="20"/>
                <w:szCs w:val="20"/>
              </w:rPr>
              <w:t> </w:t>
            </w:r>
          </w:p>
        </w:tc>
        <w:tc>
          <w:tcPr>
            <w:tcW w:w="450" w:type="pct"/>
            <w:tcBorders>
              <w:bottom w:val="double" w:sz="6" w:space="0" w:color="000000"/>
            </w:tcBorders>
            <w:tcMar>
              <w:top w:w="5" w:type="dxa"/>
              <w:left w:w="5" w:type="dxa"/>
              <w:bottom w:w="22" w:type="dxa"/>
              <w:right w:w="5" w:type="dxa"/>
            </w:tcMar>
            <w:vAlign w:val="bottom"/>
            <w:hideMark/>
          </w:tcPr>
          <w:p w14:paraId="65D7847F" w14:textId="77777777" w:rsidR="00954279" w:rsidRDefault="00A66714">
            <w:pPr>
              <w:jc w:val="right"/>
              <w:rPr>
                <w:color w:val="000000"/>
                <w:sz w:val="20"/>
                <w:szCs w:val="20"/>
              </w:rPr>
            </w:pPr>
            <w:r>
              <w:rPr>
                <w:color w:val="000000"/>
                <w:sz w:val="20"/>
                <w:szCs w:val="20"/>
              </w:rPr>
              <w:t>1,652</w:t>
            </w:r>
          </w:p>
        </w:tc>
        <w:tc>
          <w:tcPr>
            <w:tcW w:w="50" w:type="pct"/>
            <w:noWrap/>
            <w:tcMar>
              <w:top w:w="5" w:type="dxa"/>
              <w:left w:w="5" w:type="dxa"/>
              <w:bottom w:w="50" w:type="dxa"/>
              <w:right w:w="5" w:type="dxa"/>
            </w:tcMar>
            <w:vAlign w:val="bottom"/>
            <w:hideMark/>
          </w:tcPr>
          <w:p w14:paraId="1802D9E0" w14:textId="77777777" w:rsidR="00954279" w:rsidRDefault="00A66714">
            <w:pPr>
              <w:rPr>
                <w:color w:val="000000"/>
                <w:sz w:val="20"/>
                <w:szCs w:val="20"/>
              </w:rPr>
            </w:pPr>
            <w:r>
              <w:rPr>
                <w:color w:val="000000"/>
                <w:sz w:val="20"/>
                <w:szCs w:val="20"/>
              </w:rPr>
              <w:t> </w:t>
            </w:r>
          </w:p>
        </w:tc>
      </w:tr>
      <w:tr w:rsidR="00954279" w14:paraId="2A430C10" w14:textId="77777777">
        <w:tc>
          <w:tcPr>
            <w:tcW w:w="0" w:type="auto"/>
            <w:tcMar>
              <w:top w:w="5" w:type="dxa"/>
              <w:left w:w="5" w:type="dxa"/>
              <w:bottom w:w="5" w:type="dxa"/>
              <w:right w:w="5" w:type="dxa"/>
            </w:tcMar>
            <w:vAlign w:val="bottom"/>
            <w:hideMark/>
          </w:tcPr>
          <w:p w14:paraId="35DBA27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5F5040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3A854F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BD13C9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50E15B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86300E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926F42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670C88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FCA509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F819CE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A6BFAD2"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B81FBA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4A09D8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0C6EAD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A2B8AC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376C962"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F188214" w14:textId="77777777" w:rsidR="00954279" w:rsidRDefault="00A66714">
            <w:pPr>
              <w:rPr>
                <w:color w:val="000000"/>
                <w:sz w:val="20"/>
                <w:szCs w:val="20"/>
              </w:rPr>
            </w:pPr>
            <w:r>
              <w:rPr>
                <w:color w:val="000000"/>
                <w:sz w:val="20"/>
                <w:szCs w:val="20"/>
              </w:rPr>
              <w:t> </w:t>
            </w:r>
          </w:p>
        </w:tc>
      </w:tr>
      <w:tr w:rsidR="00954279" w14:paraId="66CF7AE3" w14:textId="77777777">
        <w:tc>
          <w:tcPr>
            <w:tcW w:w="0" w:type="auto"/>
            <w:tcMar>
              <w:top w:w="5" w:type="dxa"/>
              <w:left w:w="5" w:type="dxa"/>
              <w:bottom w:w="5" w:type="dxa"/>
              <w:right w:w="5" w:type="dxa"/>
            </w:tcMar>
            <w:vAlign w:val="bottom"/>
            <w:hideMark/>
          </w:tcPr>
          <w:p w14:paraId="693290A3" w14:textId="77777777" w:rsidR="00954279" w:rsidRDefault="00A66714">
            <w:pPr>
              <w:rPr>
                <w:color w:val="000000"/>
                <w:sz w:val="20"/>
                <w:szCs w:val="20"/>
              </w:rPr>
            </w:pPr>
            <w:r>
              <w:rPr>
                <w:i/>
                <w:iCs/>
                <w:color w:val="000000"/>
                <w:sz w:val="20"/>
                <w:szCs w:val="20"/>
              </w:rPr>
              <w:t>Average Commodity Prices (2):</w:t>
            </w:r>
          </w:p>
        </w:tc>
        <w:tc>
          <w:tcPr>
            <w:tcW w:w="0" w:type="auto"/>
            <w:tcMar>
              <w:top w:w="5" w:type="dxa"/>
              <w:left w:w="5" w:type="dxa"/>
              <w:bottom w:w="5" w:type="dxa"/>
              <w:right w:w="5" w:type="dxa"/>
            </w:tcMar>
            <w:vAlign w:val="bottom"/>
            <w:hideMark/>
          </w:tcPr>
          <w:p w14:paraId="53E39A5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DA5401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797B00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149E7CD" w14:textId="77777777" w:rsidR="00954279" w:rsidRDefault="00A66714">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0B4E475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51494D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19F3AE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4A3D85C" w14:textId="77777777" w:rsidR="00954279" w:rsidRDefault="00A66714">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3CB0017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735D78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799211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8975628" w14:textId="77777777" w:rsidR="00954279" w:rsidRDefault="00A66714">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70D11E7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18A7E3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918ECC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C417919" w14:textId="77777777" w:rsidR="00954279" w:rsidRDefault="00A66714">
            <w:pPr>
              <w:rPr>
                <w:color w:val="000000"/>
                <w:sz w:val="20"/>
                <w:szCs w:val="20"/>
              </w:rPr>
            </w:pPr>
            <w:r>
              <w:rPr>
                <w:i/>
                <w:iCs/>
                <w:color w:val="000000"/>
                <w:sz w:val="20"/>
                <w:szCs w:val="20"/>
              </w:rPr>
              <w:t> </w:t>
            </w:r>
          </w:p>
        </w:tc>
      </w:tr>
      <w:tr w:rsidR="00954279" w14:paraId="6B633157" w14:textId="77777777">
        <w:tc>
          <w:tcPr>
            <w:tcW w:w="0" w:type="auto"/>
            <w:tcMar>
              <w:top w:w="5" w:type="dxa"/>
              <w:left w:w="5" w:type="dxa"/>
              <w:bottom w:w="5" w:type="dxa"/>
              <w:right w:w="5" w:type="dxa"/>
            </w:tcMar>
            <w:vAlign w:val="bottom"/>
            <w:hideMark/>
          </w:tcPr>
          <w:p w14:paraId="40AA4941" w14:textId="77777777" w:rsidR="00954279" w:rsidRDefault="00A66714">
            <w:pPr>
              <w:rPr>
                <w:color w:val="000000"/>
                <w:sz w:val="20"/>
                <w:szCs w:val="20"/>
              </w:rPr>
            </w:pPr>
            <w:r>
              <w:rPr>
                <w:color w:val="000000"/>
                <w:sz w:val="20"/>
                <w:szCs w:val="20"/>
              </w:rPr>
              <w:t>WTI crude oil (per barrel)</w:t>
            </w:r>
          </w:p>
        </w:tc>
        <w:tc>
          <w:tcPr>
            <w:tcW w:w="50" w:type="pct"/>
            <w:tcMar>
              <w:top w:w="5" w:type="dxa"/>
              <w:left w:w="5" w:type="dxa"/>
              <w:bottom w:w="5" w:type="dxa"/>
              <w:right w:w="5" w:type="dxa"/>
            </w:tcMar>
            <w:vAlign w:val="bottom"/>
            <w:hideMark/>
          </w:tcPr>
          <w:p w14:paraId="5FC926F1"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2E7CDB5"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51CB70A5" w14:textId="77777777" w:rsidR="00954279" w:rsidRDefault="00A66714">
            <w:pPr>
              <w:jc w:val="right"/>
              <w:rPr>
                <w:color w:val="000000"/>
                <w:sz w:val="20"/>
                <w:szCs w:val="20"/>
              </w:rPr>
            </w:pPr>
            <w:r>
              <w:rPr>
                <w:b/>
                <w:bCs/>
                <w:color w:val="000000"/>
                <w:sz w:val="20"/>
                <w:szCs w:val="20"/>
              </w:rPr>
              <w:t>66.19</w:t>
            </w:r>
          </w:p>
        </w:tc>
        <w:tc>
          <w:tcPr>
            <w:tcW w:w="50" w:type="pct"/>
            <w:noWrap/>
            <w:tcMar>
              <w:top w:w="5" w:type="dxa"/>
              <w:left w:w="5" w:type="dxa"/>
              <w:bottom w:w="5" w:type="dxa"/>
              <w:right w:w="5" w:type="dxa"/>
            </w:tcMar>
            <w:vAlign w:val="bottom"/>
            <w:hideMark/>
          </w:tcPr>
          <w:p w14:paraId="04AD4642"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66CFD10"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E35134D"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75322532" w14:textId="77777777" w:rsidR="00954279" w:rsidRDefault="00A66714">
            <w:pPr>
              <w:jc w:val="right"/>
              <w:rPr>
                <w:color w:val="000000"/>
                <w:sz w:val="20"/>
                <w:szCs w:val="20"/>
              </w:rPr>
            </w:pPr>
            <w:r>
              <w:rPr>
                <w:color w:val="000000"/>
                <w:sz w:val="20"/>
                <w:szCs w:val="20"/>
              </w:rPr>
              <w:t>27.96</w:t>
            </w:r>
          </w:p>
        </w:tc>
        <w:tc>
          <w:tcPr>
            <w:tcW w:w="50" w:type="pct"/>
            <w:noWrap/>
            <w:tcMar>
              <w:top w:w="5" w:type="dxa"/>
              <w:left w:w="5" w:type="dxa"/>
              <w:bottom w:w="5" w:type="dxa"/>
              <w:right w:w="5" w:type="dxa"/>
            </w:tcMar>
            <w:vAlign w:val="bottom"/>
            <w:hideMark/>
          </w:tcPr>
          <w:p w14:paraId="1FC9E029"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EA93513"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C65EBDF"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4D16BF46" w14:textId="77777777" w:rsidR="00954279" w:rsidRDefault="00A66714">
            <w:pPr>
              <w:jc w:val="right"/>
              <w:rPr>
                <w:color w:val="000000"/>
                <w:sz w:val="20"/>
                <w:szCs w:val="20"/>
              </w:rPr>
            </w:pPr>
            <w:r>
              <w:rPr>
                <w:b/>
                <w:bCs/>
                <w:color w:val="000000"/>
                <w:sz w:val="20"/>
                <w:szCs w:val="20"/>
              </w:rPr>
              <w:t>62.21</w:t>
            </w:r>
          </w:p>
        </w:tc>
        <w:tc>
          <w:tcPr>
            <w:tcW w:w="50" w:type="pct"/>
            <w:noWrap/>
            <w:tcMar>
              <w:top w:w="5" w:type="dxa"/>
              <w:left w:w="5" w:type="dxa"/>
              <w:bottom w:w="5" w:type="dxa"/>
              <w:right w:w="5" w:type="dxa"/>
            </w:tcMar>
            <w:vAlign w:val="bottom"/>
            <w:hideMark/>
          </w:tcPr>
          <w:p w14:paraId="7CB4C488"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DE4890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3696926"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7DF39298" w14:textId="77777777" w:rsidR="00954279" w:rsidRDefault="00A66714">
            <w:pPr>
              <w:jc w:val="right"/>
              <w:rPr>
                <w:color w:val="000000"/>
                <w:sz w:val="20"/>
                <w:szCs w:val="20"/>
              </w:rPr>
            </w:pPr>
            <w:r>
              <w:rPr>
                <w:color w:val="000000"/>
                <w:sz w:val="20"/>
                <w:szCs w:val="20"/>
              </w:rPr>
              <w:t>36.58</w:t>
            </w:r>
          </w:p>
        </w:tc>
        <w:tc>
          <w:tcPr>
            <w:tcW w:w="50" w:type="pct"/>
            <w:noWrap/>
            <w:tcMar>
              <w:top w:w="5" w:type="dxa"/>
              <w:left w:w="5" w:type="dxa"/>
              <w:bottom w:w="5" w:type="dxa"/>
              <w:right w:w="5" w:type="dxa"/>
            </w:tcMar>
            <w:vAlign w:val="bottom"/>
            <w:hideMark/>
          </w:tcPr>
          <w:p w14:paraId="044BCF7A" w14:textId="77777777" w:rsidR="00954279" w:rsidRDefault="00A66714">
            <w:pPr>
              <w:rPr>
                <w:color w:val="000000"/>
                <w:sz w:val="20"/>
                <w:szCs w:val="20"/>
              </w:rPr>
            </w:pPr>
            <w:r>
              <w:rPr>
                <w:color w:val="000000"/>
                <w:sz w:val="20"/>
                <w:szCs w:val="20"/>
              </w:rPr>
              <w:t> </w:t>
            </w:r>
          </w:p>
        </w:tc>
      </w:tr>
      <w:tr w:rsidR="00954279" w14:paraId="3628A155" w14:textId="77777777">
        <w:tc>
          <w:tcPr>
            <w:tcW w:w="0" w:type="auto"/>
            <w:tcMar>
              <w:top w:w="5" w:type="dxa"/>
              <w:left w:w="5" w:type="dxa"/>
              <w:bottom w:w="5" w:type="dxa"/>
              <w:right w:w="5" w:type="dxa"/>
            </w:tcMar>
            <w:vAlign w:val="bottom"/>
            <w:hideMark/>
          </w:tcPr>
          <w:p w14:paraId="5768D562" w14:textId="77777777" w:rsidR="00954279" w:rsidRDefault="00A66714">
            <w:pPr>
              <w:rPr>
                <w:color w:val="000000"/>
                <w:sz w:val="20"/>
                <w:szCs w:val="20"/>
              </w:rPr>
            </w:pPr>
            <w:r>
              <w:rPr>
                <w:color w:val="000000"/>
                <w:sz w:val="20"/>
                <w:szCs w:val="20"/>
              </w:rPr>
              <w:t>Brent crude oil (per barrel)</w:t>
            </w:r>
          </w:p>
        </w:tc>
        <w:tc>
          <w:tcPr>
            <w:tcW w:w="50" w:type="pct"/>
            <w:tcMar>
              <w:top w:w="5" w:type="dxa"/>
              <w:left w:w="5" w:type="dxa"/>
              <w:bottom w:w="5" w:type="dxa"/>
              <w:right w:w="5" w:type="dxa"/>
            </w:tcMar>
            <w:vAlign w:val="bottom"/>
            <w:hideMark/>
          </w:tcPr>
          <w:p w14:paraId="6BCEF753"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DF32C7A"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74FE31F0" w14:textId="77777777" w:rsidR="00954279" w:rsidRDefault="00A66714">
            <w:pPr>
              <w:jc w:val="right"/>
              <w:rPr>
                <w:color w:val="000000"/>
                <w:sz w:val="20"/>
                <w:szCs w:val="20"/>
              </w:rPr>
            </w:pPr>
            <w:r>
              <w:rPr>
                <w:b/>
                <w:bCs/>
                <w:color w:val="000000"/>
                <w:sz w:val="20"/>
                <w:szCs w:val="20"/>
              </w:rPr>
              <w:t>68.98</w:t>
            </w:r>
          </w:p>
        </w:tc>
        <w:tc>
          <w:tcPr>
            <w:tcW w:w="50" w:type="pct"/>
            <w:noWrap/>
            <w:tcMar>
              <w:top w:w="5" w:type="dxa"/>
              <w:left w:w="5" w:type="dxa"/>
              <w:bottom w:w="5" w:type="dxa"/>
              <w:right w:w="5" w:type="dxa"/>
            </w:tcMar>
            <w:vAlign w:val="bottom"/>
            <w:hideMark/>
          </w:tcPr>
          <w:p w14:paraId="56CEBA80"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3D5932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37AD9B1"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5AFE40AD" w14:textId="77777777" w:rsidR="00954279" w:rsidRDefault="00A66714">
            <w:pPr>
              <w:jc w:val="right"/>
              <w:rPr>
                <w:color w:val="000000"/>
                <w:sz w:val="20"/>
                <w:szCs w:val="20"/>
              </w:rPr>
            </w:pPr>
            <w:r>
              <w:rPr>
                <w:color w:val="000000"/>
                <w:sz w:val="20"/>
                <w:szCs w:val="20"/>
              </w:rPr>
              <w:t>29.70</w:t>
            </w:r>
          </w:p>
        </w:tc>
        <w:tc>
          <w:tcPr>
            <w:tcW w:w="50" w:type="pct"/>
            <w:noWrap/>
            <w:tcMar>
              <w:top w:w="5" w:type="dxa"/>
              <w:left w:w="5" w:type="dxa"/>
              <w:bottom w:w="5" w:type="dxa"/>
              <w:right w:w="5" w:type="dxa"/>
            </w:tcMar>
            <w:vAlign w:val="bottom"/>
            <w:hideMark/>
          </w:tcPr>
          <w:p w14:paraId="670423D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4DF8D4E"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F3CA488"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4480BBEA" w14:textId="77777777" w:rsidR="00954279" w:rsidRDefault="00A66714">
            <w:pPr>
              <w:jc w:val="right"/>
              <w:rPr>
                <w:color w:val="000000"/>
                <w:sz w:val="20"/>
                <w:szCs w:val="20"/>
              </w:rPr>
            </w:pPr>
            <w:r>
              <w:rPr>
                <w:b/>
                <w:bCs/>
                <w:color w:val="000000"/>
                <w:sz w:val="20"/>
                <w:szCs w:val="20"/>
              </w:rPr>
              <w:t>64.95</w:t>
            </w:r>
          </w:p>
        </w:tc>
        <w:tc>
          <w:tcPr>
            <w:tcW w:w="50" w:type="pct"/>
            <w:noWrap/>
            <w:tcMar>
              <w:top w:w="5" w:type="dxa"/>
              <w:left w:w="5" w:type="dxa"/>
              <w:bottom w:w="5" w:type="dxa"/>
              <w:right w:w="5" w:type="dxa"/>
            </w:tcMar>
            <w:vAlign w:val="bottom"/>
            <w:hideMark/>
          </w:tcPr>
          <w:p w14:paraId="19B5D6E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003108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09EAB84"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2226CD15" w14:textId="77777777" w:rsidR="00954279" w:rsidRDefault="00A66714">
            <w:pPr>
              <w:jc w:val="right"/>
              <w:rPr>
                <w:color w:val="000000"/>
                <w:sz w:val="20"/>
                <w:szCs w:val="20"/>
              </w:rPr>
            </w:pPr>
            <w:r>
              <w:rPr>
                <w:color w:val="000000"/>
                <w:sz w:val="20"/>
                <w:szCs w:val="20"/>
              </w:rPr>
              <w:t>40.23</w:t>
            </w:r>
          </w:p>
        </w:tc>
        <w:tc>
          <w:tcPr>
            <w:tcW w:w="50" w:type="pct"/>
            <w:noWrap/>
            <w:tcMar>
              <w:top w:w="5" w:type="dxa"/>
              <w:left w:w="5" w:type="dxa"/>
              <w:bottom w:w="5" w:type="dxa"/>
              <w:right w:w="5" w:type="dxa"/>
            </w:tcMar>
            <w:vAlign w:val="bottom"/>
            <w:hideMark/>
          </w:tcPr>
          <w:p w14:paraId="45966835" w14:textId="77777777" w:rsidR="00954279" w:rsidRDefault="00A66714">
            <w:pPr>
              <w:rPr>
                <w:color w:val="000000"/>
                <w:sz w:val="20"/>
                <w:szCs w:val="20"/>
              </w:rPr>
            </w:pPr>
            <w:r>
              <w:rPr>
                <w:color w:val="000000"/>
                <w:sz w:val="20"/>
                <w:szCs w:val="20"/>
              </w:rPr>
              <w:t> </w:t>
            </w:r>
          </w:p>
        </w:tc>
      </w:tr>
      <w:tr w:rsidR="00954279" w14:paraId="59B0BADB" w14:textId="77777777">
        <w:tc>
          <w:tcPr>
            <w:tcW w:w="0" w:type="auto"/>
            <w:tcMar>
              <w:top w:w="5" w:type="dxa"/>
              <w:left w:w="5" w:type="dxa"/>
              <w:bottom w:w="5" w:type="dxa"/>
              <w:right w:w="5" w:type="dxa"/>
            </w:tcMar>
            <w:vAlign w:val="bottom"/>
            <w:hideMark/>
          </w:tcPr>
          <w:p w14:paraId="4FC1F8D1" w14:textId="77777777" w:rsidR="00954279" w:rsidRDefault="00A66714">
            <w:pPr>
              <w:rPr>
                <w:color w:val="000000"/>
                <w:sz w:val="20"/>
                <w:szCs w:val="20"/>
              </w:rPr>
            </w:pPr>
            <w:r>
              <w:rPr>
                <w:color w:val="000000"/>
                <w:sz w:val="20"/>
                <w:szCs w:val="20"/>
              </w:rPr>
              <w:t>Natural gas ($/MMBtu)</w:t>
            </w:r>
          </w:p>
        </w:tc>
        <w:tc>
          <w:tcPr>
            <w:tcW w:w="50" w:type="pct"/>
            <w:tcMar>
              <w:top w:w="5" w:type="dxa"/>
              <w:left w:w="5" w:type="dxa"/>
              <w:bottom w:w="5" w:type="dxa"/>
              <w:right w:w="5" w:type="dxa"/>
            </w:tcMar>
            <w:vAlign w:val="bottom"/>
            <w:hideMark/>
          </w:tcPr>
          <w:p w14:paraId="5F7359F1"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74E6198"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4502E567" w14:textId="77777777" w:rsidR="00954279" w:rsidRDefault="00A66714">
            <w:pPr>
              <w:jc w:val="right"/>
              <w:rPr>
                <w:color w:val="000000"/>
                <w:sz w:val="20"/>
                <w:szCs w:val="20"/>
              </w:rPr>
            </w:pPr>
            <w:r>
              <w:rPr>
                <w:b/>
                <w:bCs/>
                <w:color w:val="000000"/>
                <w:sz w:val="20"/>
                <w:szCs w:val="20"/>
              </w:rPr>
              <w:t>2.95</w:t>
            </w:r>
          </w:p>
        </w:tc>
        <w:tc>
          <w:tcPr>
            <w:tcW w:w="50" w:type="pct"/>
            <w:noWrap/>
            <w:tcMar>
              <w:top w:w="5" w:type="dxa"/>
              <w:left w:w="5" w:type="dxa"/>
              <w:bottom w:w="5" w:type="dxa"/>
              <w:right w:w="5" w:type="dxa"/>
            </w:tcMar>
            <w:vAlign w:val="bottom"/>
            <w:hideMark/>
          </w:tcPr>
          <w:p w14:paraId="1B276A73"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22B82EF"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A4AFDC3"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59F6141B" w14:textId="77777777" w:rsidR="00954279" w:rsidRDefault="00A66714">
            <w:pPr>
              <w:jc w:val="right"/>
              <w:rPr>
                <w:color w:val="000000"/>
                <w:sz w:val="20"/>
                <w:szCs w:val="20"/>
              </w:rPr>
            </w:pPr>
            <w:r>
              <w:rPr>
                <w:color w:val="000000"/>
                <w:sz w:val="20"/>
                <w:szCs w:val="20"/>
              </w:rPr>
              <w:t>1.70</w:t>
            </w:r>
          </w:p>
        </w:tc>
        <w:tc>
          <w:tcPr>
            <w:tcW w:w="50" w:type="pct"/>
            <w:noWrap/>
            <w:tcMar>
              <w:top w:w="5" w:type="dxa"/>
              <w:left w:w="5" w:type="dxa"/>
              <w:bottom w:w="5" w:type="dxa"/>
              <w:right w:w="5" w:type="dxa"/>
            </w:tcMar>
            <w:vAlign w:val="bottom"/>
            <w:hideMark/>
          </w:tcPr>
          <w:p w14:paraId="506E29B9"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D4376D9"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033381B"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17FC0C0C" w14:textId="77777777" w:rsidR="00954279" w:rsidRDefault="00A66714">
            <w:pPr>
              <w:jc w:val="right"/>
              <w:rPr>
                <w:color w:val="000000"/>
                <w:sz w:val="20"/>
                <w:szCs w:val="20"/>
              </w:rPr>
            </w:pPr>
            <w:r>
              <w:rPr>
                <w:b/>
                <w:bCs/>
                <w:color w:val="000000"/>
                <w:sz w:val="20"/>
                <w:szCs w:val="20"/>
              </w:rPr>
              <w:t>3.22</w:t>
            </w:r>
          </w:p>
        </w:tc>
        <w:tc>
          <w:tcPr>
            <w:tcW w:w="50" w:type="pct"/>
            <w:noWrap/>
            <w:tcMar>
              <w:top w:w="5" w:type="dxa"/>
              <w:left w:w="5" w:type="dxa"/>
              <w:bottom w:w="5" w:type="dxa"/>
              <w:right w:w="5" w:type="dxa"/>
            </w:tcMar>
            <w:vAlign w:val="bottom"/>
            <w:hideMark/>
          </w:tcPr>
          <w:p w14:paraId="3B66F097"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728AE96"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EBEB99C"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25E37F19" w14:textId="77777777" w:rsidR="00954279" w:rsidRDefault="00A66714">
            <w:pPr>
              <w:jc w:val="right"/>
              <w:rPr>
                <w:color w:val="000000"/>
                <w:sz w:val="20"/>
                <w:szCs w:val="20"/>
              </w:rPr>
            </w:pPr>
            <w:r>
              <w:rPr>
                <w:color w:val="000000"/>
                <w:sz w:val="20"/>
                <w:szCs w:val="20"/>
              </w:rPr>
              <w:t>1.80</w:t>
            </w:r>
          </w:p>
        </w:tc>
        <w:tc>
          <w:tcPr>
            <w:tcW w:w="50" w:type="pct"/>
            <w:noWrap/>
            <w:tcMar>
              <w:top w:w="5" w:type="dxa"/>
              <w:left w:w="5" w:type="dxa"/>
              <w:bottom w:w="5" w:type="dxa"/>
              <w:right w:w="5" w:type="dxa"/>
            </w:tcMar>
            <w:vAlign w:val="bottom"/>
            <w:hideMark/>
          </w:tcPr>
          <w:p w14:paraId="238FAB70" w14:textId="77777777" w:rsidR="00954279" w:rsidRDefault="00A66714">
            <w:pPr>
              <w:rPr>
                <w:color w:val="000000"/>
                <w:sz w:val="20"/>
                <w:szCs w:val="20"/>
              </w:rPr>
            </w:pPr>
            <w:r>
              <w:rPr>
                <w:color w:val="000000"/>
                <w:sz w:val="20"/>
                <w:szCs w:val="20"/>
              </w:rPr>
              <w:t> </w:t>
            </w:r>
          </w:p>
        </w:tc>
      </w:tr>
      <w:tr w:rsidR="00954279" w14:paraId="137488F2" w14:textId="77777777">
        <w:tc>
          <w:tcPr>
            <w:tcW w:w="0" w:type="auto"/>
            <w:tcMar>
              <w:top w:w="5" w:type="dxa"/>
              <w:left w:w="5" w:type="dxa"/>
              <w:bottom w:w="5" w:type="dxa"/>
              <w:right w:w="5" w:type="dxa"/>
            </w:tcMar>
            <w:vAlign w:val="bottom"/>
            <w:hideMark/>
          </w:tcPr>
          <w:p w14:paraId="6BFD553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0BB5A9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E8F993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5F4BF2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955E02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E863A9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E81E88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8C255B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25E283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1389ED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431888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B504DC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2C4D33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3E7AB7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9AAB15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461B1F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2F53164" w14:textId="77777777" w:rsidR="00954279" w:rsidRDefault="00A66714">
            <w:pPr>
              <w:rPr>
                <w:color w:val="000000"/>
                <w:sz w:val="20"/>
                <w:szCs w:val="20"/>
              </w:rPr>
            </w:pPr>
            <w:r>
              <w:rPr>
                <w:color w:val="000000"/>
                <w:sz w:val="20"/>
                <w:szCs w:val="20"/>
              </w:rPr>
              <w:t> </w:t>
            </w:r>
          </w:p>
        </w:tc>
      </w:tr>
      <w:tr w:rsidR="00954279" w14:paraId="0F2E3FFD" w14:textId="77777777">
        <w:tc>
          <w:tcPr>
            <w:tcW w:w="0" w:type="auto"/>
            <w:tcMar>
              <w:top w:w="5" w:type="dxa"/>
              <w:left w:w="5" w:type="dxa"/>
              <w:bottom w:w="5" w:type="dxa"/>
              <w:right w:w="5" w:type="dxa"/>
            </w:tcMar>
            <w:vAlign w:val="bottom"/>
            <w:hideMark/>
          </w:tcPr>
          <w:p w14:paraId="78B6678E" w14:textId="77777777" w:rsidR="00954279" w:rsidRDefault="00A66714">
            <w:pPr>
              <w:rPr>
                <w:color w:val="000000"/>
                <w:sz w:val="20"/>
                <w:szCs w:val="20"/>
              </w:rPr>
            </w:pPr>
            <w:r>
              <w:rPr>
                <w:color w:val="000000"/>
                <w:sz w:val="20"/>
                <w:szCs w:val="20"/>
              </w:rPr>
              <w:t>Average Monthly U.S. Well Permits (3)</w:t>
            </w:r>
          </w:p>
        </w:tc>
        <w:tc>
          <w:tcPr>
            <w:tcW w:w="50" w:type="pct"/>
            <w:tcMar>
              <w:top w:w="5" w:type="dxa"/>
              <w:left w:w="5" w:type="dxa"/>
              <w:bottom w:w="5" w:type="dxa"/>
              <w:right w:w="5" w:type="dxa"/>
            </w:tcMar>
            <w:vAlign w:val="bottom"/>
            <w:hideMark/>
          </w:tcPr>
          <w:p w14:paraId="08AFB9E9"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87BD4EB"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1A41AD5" w14:textId="77777777" w:rsidR="00954279" w:rsidRDefault="00A66714">
            <w:pPr>
              <w:jc w:val="right"/>
              <w:rPr>
                <w:color w:val="000000"/>
                <w:sz w:val="20"/>
                <w:szCs w:val="20"/>
              </w:rPr>
            </w:pPr>
            <w:r>
              <w:rPr>
                <w:b/>
                <w:bCs/>
                <w:color w:val="000000"/>
                <w:sz w:val="20"/>
                <w:szCs w:val="20"/>
              </w:rPr>
              <w:t>1,885</w:t>
            </w:r>
          </w:p>
        </w:tc>
        <w:tc>
          <w:tcPr>
            <w:tcW w:w="50" w:type="pct"/>
            <w:noWrap/>
            <w:tcMar>
              <w:top w:w="5" w:type="dxa"/>
              <w:left w:w="5" w:type="dxa"/>
              <w:bottom w:w="5" w:type="dxa"/>
              <w:right w:w="5" w:type="dxa"/>
            </w:tcMar>
            <w:vAlign w:val="bottom"/>
            <w:hideMark/>
          </w:tcPr>
          <w:p w14:paraId="2FA62097"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33D1813"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9D154DD"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EB17275" w14:textId="77777777" w:rsidR="00954279" w:rsidRDefault="00A66714">
            <w:pPr>
              <w:jc w:val="right"/>
              <w:rPr>
                <w:color w:val="000000"/>
                <w:sz w:val="20"/>
                <w:szCs w:val="20"/>
              </w:rPr>
            </w:pPr>
            <w:r>
              <w:rPr>
                <w:color w:val="000000"/>
                <w:sz w:val="20"/>
                <w:szCs w:val="20"/>
              </w:rPr>
              <w:t>1,441</w:t>
            </w:r>
          </w:p>
        </w:tc>
        <w:tc>
          <w:tcPr>
            <w:tcW w:w="50" w:type="pct"/>
            <w:noWrap/>
            <w:tcMar>
              <w:top w:w="5" w:type="dxa"/>
              <w:left w:w="5" w:type="dxa"/>
              <w:bottom w:w="5" w:type="dxa"/>
              <w:right w:w="5" w:type="dxa"/>
            </w:tcMar>
            <w:vAlign w:val="bottom"/>
            <w:hideMark/>
          </w:tcPr>
          <w:p w14:paraId="5880D9F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237461A"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D893E11"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51EFE3A" w14:textId="77777777" w:rsidR="00954279" w:rsidRDefault="00A66714">
            <w:pPr>
              <w:jc w:val="right"/>
              <w:rPr>
                <w:color w:val="000000"/>
                <w:sz w:val="20"/>
                <w:szCs w:val="20"/>
              </w:rPr>
            </w:pPr>
            <w:r>
              <w:rPr>
                <w:b/>
                <w:bCs/>
                <w:color w:val="000000"/>
                <w:sz w:val="20"/>
                <w:szCs w:val="20"/>
              </w:rPr>
              <w:t>1,863</w:t>
            </w:r>
          </w:p>
        </w:tc>
        <w:tc>
          <w:tcPr>
            <w:tcW w:w="50" w:type="pct"/>
            <w:noWrap/>
            <w:tcMar>
              <w:top w:w="5" w:type="dxa"/>
              <w:left w:w="5" w:type="dxa"/>
              <w:bottom w:w="5" w:type="dxa"/>
              <w:right w:w="5" w:type="dxa"/>
            </w:tcMar>
            <w:vAlign w:val="bottom"/>
            <w:hideMark/>
          </w:tcPr>
          <w:p w14:paraId="610BA7D9"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7331331"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D73ECBC"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34DA90A" w14:textId="77777777" w:rsidR="00954279" w:rsidRDefault="00A66714">
            <w:pPr>
              <w:jc w:val="right"/>
              <w:rPr>
                <w:color w:val="000000"/>
                <w:sz w:val="20"/>
                <w:szCs w:val="20"/>
              </w:rPr>
            </w:pPr>
            <w:r>
              <w:rPr>
                <w:color w:val="000000"/>
                <w:sz w:val="20"/>
                <w:szCs w:val="20"/>
              </w:rPr>
              <w:t>1,844</w:t>
            </w:r>
          </w:p>
        </w:tc>
        <w:tc>
          <w:tcPr>
            <w:tcW w:w="50" w:type="pct"/>
            <w:noWrap/>
            <w:tcMar>
              <w:top w:w="5" w:type="dxa"/>
              <w:left w:w="5" w:type="dxa"/>
              <w:bottom w:w="5" w:type="dxa"/>
              <w:right w:w="5" w:type="dxa"/>
            </w:tcMar>
            <w:vAlign w:val="bottom"/>
            <w:hideMark/>
          </w:tcPr>
          <w:p w14:paraId="555A95B6" w14:textId="77777777" w:rsidR="00954279" w:rsidRDefault="00A66714">
            <w:pPr>
              <w:rPr>
                <w:color w:val="000000"/>
                <w:sz w:val="20"/>
                <w:szCs w:val="20"/>
              </w:rPr>
            </w:pPr>
            <w:r>
              <w:rPr>
                <w:color w:val="000000"/>
                <w:sz w:val="20"/>
                <w:szCs w:val="20"/>
              </w:rPr>
              <w:t> </w:t>
            </w:r>
          </w:p>
        </w:tc>
      </w:tr>
      <w:tr w:rsidR="00954279" w14:paraId="4F3F8565" w14:textId="77777777">
        <w:tc>
          <w:tcPr>
            <w:tcW w:w="0" w:type="auto"/>
            <w:tcMar>
              <w:top w:w="5" w:type="dxa"/>
              <w:left w:w="5" w:type="dxa"/>
              <w:bottom w:w="5" w:type="dxa"/>
              <w:right w:w="5" w:type="dxa"/>
            </w:tcMar>
            <w:vAlign w:val="bottom"/>
            <w:hideMark/>
          </w:tcPr>
          <w:p w14:paraId="7C59815B" w14:textId="77777777" w:rsidR="00954279" w:rsidRDefault="00A66714">
            <w:pPr>
              <w:rPr>
                <w:color w:val="000000"/>
                <w:sz w:val="20"/>
                <w:szCs w:val="20"/>
              </w:rPr>
            </w:pPr>
            <w:r>
              <w:rPr>
                <w:color w:val="000000"/>
                <w:sz w:val="20"/>
                <w:szCs w:val="20"/>
              </w:rPr>
              <w:t>U.S. Wells Completed (2)</w:t>
            </w:r>
          </w:p>
        </w:tc>
        <w:tc>
          <w:tcPr>
            <w:tcW w:w="50" w:type="pct"/>
            <w:tcMar>
              <w:top w:w="5" w:type="dxa"/>
              <w:left w:w="5" w:type="dxa"/>
              <w:bottom w:w="5" w:type="dxa"/>
              <w:right w:w="5" w:type="dxa"/>
            </w:tcMar>
            <w:vAlign w:val="bottom"/>
            <w:hideMark/>
          </w:tcPr>
          <w:p w14:paraId="10C485F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E53D242"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0B6080A" w14:textId="77777777" w:rsidR="00954279" w:rsidRDefault="00A66714">
            <w:pPr>
              <w:jc w:val="right"/>
              <w:rPr>
                <w:color w:val="000000"/>
                <w:sz w:val="20"/>
                <w:szCs w:val="20"/>
              </w:rPr>
            </w:pPr>
            <w:r>
              <w:rPr>
                <w:b/>
                <w:bCs/>
                <w:color w:val="000000"/>
                <w:sz w:val="20"/>
                <w:szCs w:val="20"/>
              </w:rPr>
              <w:t>2,394</w:t>
            </w:r>
          </w:p>
        </w:tc>
        <w:tc>
          <w:tcPr>
            <w:tcW w:w="50" w:type="pct"/>
            <w:noWrap/>
            <w:tcMar>
              <w:top w:w="5" w:type="dxa"/>
              <w:left w:w="5" w:type="dxa"/>
              <w:bottom w:w="5" w:type="dxa"/>
              <w:right w:w="5" w:type="dxa"/>
            </w:tcMar>
            <w:vAlign w:val="bottom"/>
            <w:hideMark/>
          </w:tcPr>
          <w:p w14:paraId="725F4E3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D483AA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6FE9B4A"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0984D6F" w14:textId="77777777" w:rsidR="00954279" w:rsidRDefault="00A66714">
            <w:pPr>
              <w:jc w:val="right"/>
              <w:rPr>
                <w:color w:val="000000"/>
                <w:sz w:val="20"/>
                <w:szCs w:val="20"/>
              </w:rPr>
            </w:pPr>
            <w:r>
              <w:rPr>
                <w:color w:val="000000"/>
                <w:sz w:val="20"/>
                <w:szCs w:val="20"/>
              </w:rPr>
              <w:t>1,082</w:t>
            </w:r>
          </w:p>
        </w:tc>
        <w:tc>
          <w:tcPr>
            <w:tcW w:w="50" w:type="pct"/>
            <w:noWrap/>
            <w:tcMar>
              <w:top w:w="5" w:type="dxa"/>
              <w:left w:w="5" w:type="dxa"/>
              <w:bottom w:w="5" w:type="dxa"/>
              <w:right w:w="5" w:type="dxa"/>
            </w:tcMar>
            <w:vAlign w:val="bottom"/>
            <w:hideMark/>
          </w:tcPr>
          <w:p w14:paraId="7DDF763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0C6DC20"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7F75751"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6DDB843" w14:textId="77777777" w:rsidR="00954279" w:rsidRDefault="00A66714">
            <w:pPr>
              <w:jc w:val="right"/>
              <w:rPr>
                <w:color w:val="000000"/>
                <w:sz w:val="20"/>
                <w:szCs w:val="20"/>
              </w:rPr>
            </w:pPr>
            <w:r>
              <w:rPr>
                <w:b/>
                <w:bCs/>
                <w:color w:val="000000"/>
                <w:sz w:val="20"/>
                <w:szCs w:val="20"/>
              </w:rPr>
              <w:t>4,406</w:t>
            </w:r>
          </w:p>
        </w:tc>
        <w:tc>
          <w:tcPr>
            <w:tcW w:w="50" w:type="pct"/>
            <w:noWrap/>
            <w:tcMar>
              <w:top w:w="5" w:type="dxa"/>
              <w:left w:w="5" w:type="dxa"/>
              <w:bottom w:w="5" w:type="dxa"/>
              <w:right w:w="5" w:type="dxa"/>
            </w:tcMar>
            <w:vAlign w:val="bottom"/>
            <w:hideMark/>
          </w:tcPr>
          <w:p w14:paraId="52F2AE9E"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321B9CA"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FE164C7"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4E423CD" w14:textId="77777777" w:rsidR="00954279" w:rsidRDefault="00A66714">
            <w:pPr>
              <w:jc w:val="right"/>
              <w:rPr>
                <w:color w:val="000000"/>
                <w:sz w:val="20"/>
                <w:szCs w:val="20"/>
              </w:rPr>
            </w:pPr>
            <w:r>
              <w:rPr>
                <w:color w:val="000000"/>
                <w:sz w:val="20"/>
                <w:szCs w:val="20"/>
              </w:rPr>
              <w:t>4,266</w:t>
            </w:r>
          </w:p>
        </w:tc>
        <w:tc>
          <w:tcPr>
            <w:tcW w:w="50" w:type="pct"/>
            <w:noWrap/>
            <w:tcMar>
              <w:top w:w="5" w:type="dxa"/>
              <w:left w:w="5" w:type="dxa"/>
              <w:bottom w:w="5" w:type="dxa"/>
              <w:right w:w="5" w:type="dxa"/>
            </w:tcMar>
            <w:vAlign w:val="bottom"/>
            <w:hideMark/>
          </w:tcPr>
          <w:p w14:paraId="3F3E2C8A" w14:textId="77777777" w:rsidR="00954279" w:rsidRDefault="00A66714">
            <w:pPr>
              <w:rPr>
                <w:color w:val="000000"/>
                <w:sz w:val="20"/>
                <w:szCs w:val="20"/>
              </w:rPr>
            </w:pPr>
            <w:r>
              <w:rPr>
                <w:color w:val="000000"/>
                <w:sz w:val="20"/>
                <w:szCs w:val="20"/>
              </w:rPr>
              <w:t> </w:t>
            </w:r>
          </w:p>
        </w:tc>
      </w:tr>
      <w:tr w:rsidR="00954279" w14:paraId="317C13C2" w14:textId="77777777">
        <w:tc>
          <w:tcPr>
            <w:tcW w:w="0" w:type="auto"/>
            <w:tcMar>
              <w:top w:w="5" w:type="dxa"/>
              <w:left w:w="5" w:type="dxa"/>
              <w:bottom w:w="5" w:type="dxa"/>
              <w:right w:w="5" w:type="dxa"/>
            </w:tcMar>
            <w:vAlign w:val="bottom"/>
            <w:hideMark/>
          </w:tcPr>
          <w:p w14:paraId="52ED56AC" w14:textId="77777777" w:rsidR="00954279" w:rsidRDefault="00A66714">
            <w:pPr>
              <w:rPr>
                <w:color w:val="000000"/>
                <w:sz w:val="20"/>
                <w:szCs w:val="20"/>
              </w:rPr>
            </w:pPr>
            <w:r>
              <w:rPr>
                <w:color w:val="000000"/>
                <w:sz w:val="20"/>
                <w:szCs w:val="20"/>
              </w:rPr>
              <w:t>3:2:1 Crack Spread (4)</w:t>
            </w:r>
          </w:p>
        </w:tc>
        <w:tc>
          <w:tcPr>
            <w:tcW w:w="50" w:type="pct"/>
            <w:tcMar>
              <w:top w:w="5" w:type="dxa"/>
              <w:left w:w="5" w:type="dxa"/>
              <w:bottom w:w="5" w:type="dxa"/>
              <w:right w:w="5" w:type="dxa"/>
            </w:tcMar>
            <w:vAlign w:val="bottom"/>
            <w:hideMark/>
          </w:tcPr>
          <w:p w14:paraId="7622DC4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26A4B51"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32D83812" w14:textId="77777777" w:rsidR="00954279" w:rsidRDefault="00A66714">
            <w:pPr>
              <w:jc w:val="right"/>
              <w:rPr>
                <w:color w:val="000000"/>
                <w:sz w:val="20"/>
                <w:szCs w:val="20"/>
              </w:rPr>
            </w:pPr>
            <w:r>
              <w:rPr>
                <w:b/>
                <w:bCs/>
                <w:color w:val="000000"/>
                <w:sz w:val="20"/>
                <w:szCs w:val="20"/>
              </w:rPr>
              <w:t>20.74</w:t>
            </w:r>
          </w:p>
        </w:tc>
        <w:tc>
          <w:tcPr>
            <w:tcW w:w="50" w:type="pct"/>
            <w:noWrap/>
            <w:tcMar>
              <w:top w:w="5" w:type="dxa"/>
              <w:left w:w="5" w:type="dxa"/>
              <w:bottom w:w="5" w:type="dxa"/>
              <w:right w:w="5" w:type="dxa"/>
            </w:tcMar>
            <w:vAlign w:val="bottom"/>
            <w:hideMark/>
          </w:tcPr>
          <w:p w14:paraId="2BEBD59E"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16EE86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6D5FD92"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3A6DC18D" w14:textId="77777777" w:rsidR="00954279" w:rsidRDefault="00A66714">
            <w:pPr>
              <w:jc w:val="right"/>
              <w:rPr>
                <w:color w:val="000000"/>
                <w:sz w:val="20"/>
                <w:szCs w:val="20"/>
              </w:rPr>
            </w:pPr>
            <w:r>
              <w:rPr>
                <w:color w:val="000000"/>
                <w:sz w:val="20"/>
                <w:szCs w:val="20"/>
              </w:rPr>
              <w:t>12.11</w:t>
            </w:r>
          </w:p>
        </w:tc>
        <w:tc>
          <w:tcPr>
            <w:tcW w:w="50" w:type="pct"/>
            <w:noWrap/>
            <w:tcMar>
              <w:top w:w="5" w:type="dxa"/>
              <w:left w:w="5" w:type="dxa"/>
              <w:bottom w:w="5" w:type="dxa"/>
              <w:right w:w="5" w:type="dxa"/>
            </w:tcMar>
            <w:vAlign w:val="bottom"/>
            <w:hideMark/>
          </w:tcPr>
          <w:p w14:paraId="1FA70D33"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6B2223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AD8474A"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3633C683" w14:textId="77777777" w:rsidR="00954279" w:rsidRDefault="00A66714">
            <w:pPr>
              <w:jc w:val="right"/>
              <w:rPr>
                <w:color w:val="000000"/>
                <w:sz w:val="20"/>
                <w:szCs w:val="20"/>
              </w:rPr>
            </w:pPr>
            <w:r>
              <w:rPr>
                <w:b/>
                <w:bCs/>
                <w:color w:val="000000"/>
                <w:sz w:val="20"/>
                <w:szCs w:val="20"/>
              </w:rPr>
              <w:t>18.66</w:t>
            </w:r>
          </w:p>
        </w:tc>
        <w:tc>
          <w:tcPr>
            <w:tcW w:w="50" w:type="pct"/>
            <w:noWrap/>
            <w:tcMar>
              <w:top w:w="5" w:type="dxa"/>
              <w:left w:w="5" w:type="dxa"/>
              <w:bottom w:w="5" w:type="dxa"/>
              <w:right w:w="5" w:type="dxa"/>
            </w:tcMar>
            <w:vAlign w:val="bottom"/>
            <w:hideMark/>
          </w:tcPr>
          <w:p w14:paraId="7B536741"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9AD1662"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0408B7D"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173404BE" w14:textId="77777777" w:rsidR="00954279" w:rsidRDefault="00A66714">
            <w:pPr>
              <w:jc w:val="right"/>
              <w:rPr>
                <w:color w:val="000000"/>
                <w:sz w:val="20"/>
                <w:szCs w:val="20"/>
              </w:rPr>
            </w:pPr>
            <w:r>
              <w:rPr>
                <w:color w:val="000000"/>
                <w:sz w:val="20"/>
                <w:szCs w:val="20"/>
              </w:rPr>
              <w:t>12.91</w:t>
            </w:r>
          </w:p>
        </w:tc>
        <w:tc>
          <w:tcPr>
            <w:tcW w:w="50" w:type="pct"/>
            <w:noWrap/>
            <w:tcMar>
              <w:top w:w="5" w:type="dxa"/>
              <w:left w:w="5" w:type="dxa"/>
              <w:bottom w:w="5" w:type="dxa"/>
              <w:right w:w="5" w:type="dxa"/>
            </w:tcMar>
            <w:vAlign w:val="bottom"/>
            <w:hideMark/>
          </w:tcPr>
          <w:p w14:paraId="41A6A7B1" w14:textId="77777777" w:rsidR="00954279" w:rsidRDefault="00A66714">
            <w:pPr>
              <w:rPr>
                <w:color w:val="000000"/>
                <w:sz w:val="20"/>
                <w:szCs w:val="20"/>
              </w:rPr>
            </w:pPr>
            <w:r>
              <w:rPr>
                <w:color w:val="000000"/>
                <w:sz w:val="20"/>
                <w:szCs w:val="20"/>
              </w:rPr>
              <w:t> </w:t>
            </w:r>
          </w:p>
        </w:tc>
      </w:tr>
    </w:tbl>
    <w:p w14:paraId="000EC6E2" w14:textId="77777777" w:rsidR="00954279" w:rsidRDefault="00A66714">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10800"/>
      </w:tblGrid>
      <w:tr w:rsidR="00954279" w14:paraId="10419AA0" w14:textId="77777777">
        <w:tc>
          <w:tcPr>
            <w:tcW w:w="2920" w:type="pct"/>
            <w:tcMar>
              <w:top w:w="5" w:type="dxa"/>
              <w:left w:w="5" w:type="dxa"/>
              <w:bottom w:w="5" w:type="dxa"/>
              <w:right w:w="5" w:type="dxa"/>
            </w:tcMar>
            <w:vAlign w:val="bottom"/>
            <w:hideMark/>
          </w:tcPr>
          <w:p w14:paraId="51F07191" w14:textId="77777777" w:rsidR="00954279" w:rsidRDefault="00A66714">
            <w:pPr>
              <w:rPr>
                <w:color w:val="000000"/>
                <w:sz w:val="20"/>
                <w:szCs w:val="20"/>
              </w:rPr>
            </w:pPr>
            <w:r>
              <w:rPr>
                <w:color w:val="000000"/>
                <w:sz w:val="20"/>
                <w:szCs w:val="20"/>
              </w:rPr>
              <w:t>_______________________</w:t>
            </w:r>
          </w:p>
        </w:tc>
      </w:tr>
      <w:tr w:rsidR="00954279" w14:paraId="03D3EC0A" w14:textId="77777777">
        <w:tc>
          <w:tcPr>
            <w:tcW w:w="5000" w:type="pct"/>
            <w:tcMar>
              <w:top w:w="5" w:type="dxa"/>
              <w:left w:w="5" w:type="dxa"/>
              <w:bottom w:w="5" w:type="dxa"/>
              <w:right w:w="5" w:type="dxa"/>
            </w:tcMar>
            <w:vAlign w:val="bottom"/>
            <w:hideMark/>
          </w:tcPr>
          <w:p w14:paraId="3FD5B029" w14:textId="77777777" w:rsidR="00954279" w:rsidRDefault="00A66714">
            <w:pPr>
              <w:rPr>
                <w:color w:val="000000"/>
                <w:sz w:val="20"/>
                <w:szCs w:val="20"/>
              </w:rPr>
            </w:pPr>
            <w:r>
              <w:rPr>
                <w:i/>
                <w:iCs/>
                <w:color w:val="000000"/>
                <w:sz w:val="20"/>
                <w:szCs w:val="20"/>
              </w:rPr>
              <w:t>(1) Source-Baker Hughes (</w:t>
            </w:r>
            <w:r>
              <w:rPr>
                <w:i/>
                <w:iCs/>
                <w:color w:val="000000"/>
                <w:sz w:val="20"/>
                <w:szCs w:val="20"/>
                <w:u w:val="single" w:color="000000"/>
              </w:rPr>
              <w:t>www.bhge.com</w:t>
            </w:r>
            <w:r>
              <w:rPr>
                <w:i/>
                <w:iCs/>
                <w:color w:val="000000"/>
                <w:sz w:val="20"/>
                <w:szCs w:val="20"/>
              </w:rPr>
              <w:t>) (Total rig count includes oil, natural gas and other rigs.)</w:t>
            </w:r>
          </w:p>
        </w:tc>
      </w:tr>
      <w:tr w:rsidR="00954279" w14:paraId="16D8E66C" w14:textId="77777777">
        <w:tc>
          <w:tcPr>
            <w:tcW w:w="5000" w:type="pct"/>
            <w:tcMar>
              <w:top w:w="5" w:type="dxa"/>
              <w:left w:w="5" w:type="dxa"/>
              <w:bottom w:w="5" w:type="dxa"/>
              <w:right w:w="5" w:type="dxa"/>
            </w:tcMar>
            <w:vAlign w:val="bottom"/>
            <w:hideMark/>
          </w:tcPr>
          <w:p w14:paraId="7412F89F" w14:textId="77777777" w:rsidR="00954279" w:rsidRDefault="00A66714">
            <w:pPr>
              <w:rPr>
                <w:color w:val="000000"/>
                <w:sz w:val="20"/>
                <w:szCs w:val="20"/>
              </w:rPr>
            </w:pPr>
            <w:r>
              <w:rPr>
                <w:i/>
                <w:iCs/>
                <w:color w:val="000000"/>
                <w:sz w:val="20"/>
                <w:szCs w:val="20"/>
              </w:rPr>
              <w:t>(2) Source-Department of Energy, EIA (</w:t>
            </w:r>
            <w:r>
              <w:rPr>
                <w:i/>
                <w:iCs/>
                <w:color w:val="000000"/>
                <w:sz w:val="20"/>
                <w:szCs w:val="20"/>
                <w:u w:val="single" w:color="000000"/>
              </w:rPr>
              <w:t>www.eia.gov</w:t>
            </w:r>
            <w:r>
              <w:rPr>
                <w:i/>
                <w:iCs/>
                <w:color w:val="000000"/>
                <w:sz w:val="20"/>
                <w:szCs w:val="20"/>
              </w:rPr>
              <w:t>) (As revised)</w:t>
            </w:r>
          </w:p>
        </w:tc>
      </w:tr>
      <w:tr w:rsidR="00954279" w14:paraId="6C4C70C4" w14:textId="77777777">
        <w:tc>
          <w:tcPr>
            <w:tcW w:w="5000" w:type="pct"/>
            <w:tcMar>
              <w:top w:w="5" w:type="dxa"/>
              <w:left w:w="5" w:type="dxa"/>
              <w:bottom w:w="5" w:type="dxa"/>
              <w:right w:w="5" w:type="dxa"/>
            </w:tcMar>
            <w:vAlign w:val="bottom"/>
            <w:hideMark/>
          </w:tcPr>
          <w:p w14:paraId="1A0C7E0D" w14:textId="77777777" w:rsidR="00954279" w:rsidRDefault="00A66714">
            <w:pPr>
              <w:rPr>
                <w:color w:val="000000"/>
                <w:sz w:val="20"/>
                <w:szCs w:val="20"/>
              </w:rPr>
            </w:pPr>
            <w:r>
              <w:rPr>
                <w:i/>
                <w:iCs/>
                <w:color w:val="000000"/>
                <w:sz w:val="20"/>
                <w:szCs w:val="20"/>
              </w:rPr>
              <w:t>(3) Source-Evercore ISI Research</w:t>
            </w:r>
          </w:p>
        </w:tc>
      </w:tr>
      <w:tr w:rsidR="00954279" w14:paraId="498B6352" w14:textId="77777777">
        <w:tc>
          <w:tcPr>
            <w:tcW w:w="5000" w:type="pct"/>
            <w:tcMar>
              <w:top w:w="5" w:type="dxa"/>
              <w:left w:w="5" w:type="dxa"/>
              <w:bottom w:w="5" w:type="dxa"/>
              <w:right w:w="5" w:type="dxa"/>
            </w:tcMar>
            <w:vAlign w:val="bottom"/>
            <w:hideMark/>
          </w:tcPr>
          <w:p w14:paraId="4B8F0A4F" w14:textId="77777777" w:rsidR="00954279" w:rsidRDefault="00A66714">
            <w:pPr>
              <w:rPr>
                <w:color w:val="000000"/>
                <w:sz w:val="20"/>
                <w:szCs w:val="20"/>
              </w:rPr>
            </w:pPr>
            <w:r>
              <w:rPr>
                <w:i/>
                <w:iCs/>
                <w:color w:val="000000"/>
                <w:sz w:val="20"/>
                <w:szCs w:val="20"/>
              </w:rPr>
              <w:t>(4) Source-Bloomberg</w:t>
            </w:r>
          </w:p>
        </w:tc>
      </w:tr>
    </w:tbl>
    <w:p w14:paraId="036E2CD7" w14:textId="77777777" w:rsidR="00954279" w:rsidRDefault="00A66714">
      <w:pPr>
        <w:ind w:left="144" w:right="144"/>
        <w:jc w:val="center"/>
        <w:rPr>
          <w:sz w:val="20"/>
          <w:szCs w:val="20"/>
        </w:rPr>
      </w:pPr>
      <w:r>
        <w:rPr>
          <w:sz w:val="20"/>
          <w:szCs w:val="20"/>
        </w:rPr>
        <w:t> </w:t>
      </w:r>
    </w:p>
    <w:p w14:paraId="34BAE4BC" w14:textId="77777777" w:rsidR="00954279" w:rsidRDefault="00A66714">
      <w:pPr>
        <w:ind w:left="144" w:right="144"/>
        <w:jc w:val="center"/>
        <w:rPr>
          <w:sz w:val="20"/>
          <w:szCs w:val="20"/>
        </w:rPr>
      </w:pPr>
      <w:r>
        <w:rPr>
          <w:sz w:val="20"/>
          <w:szCs w:val="20"/>
        </w:rPr>
        <w:t>20</w:t>
      </w:r>
    </w:p>
    <w:p w14:paraId="00E5D5B8" w14:textId="77777777" w:rsidR="00954279" w:rsidRDefault="00A66714">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0C44AA05" w14:textId="77777777" w:rsidR="00954279" w:rsidRDefault="00A66714">
      <w:pPr>
        <w:ind w:left="144" w:right="144"/>
        <w:rPr>
          <w:sz w:val="20"/>
          <w:szCs w:val="20"/>
        </w:rPr>
      </w:pPr>
      <w:r>
        <w:rPr>
          <w:sz w:val="20"/>
          <w:szCs w:val="20"/>
        </w:rPr>
        <w:t> </w:t>
      </w:r>
    </w:p>
    <w:p w14:paraId="413B41CE" w14:textId="77777777" w:rsidR="00954279" w:rsidRDefault="00A66714">
      <w:pPr>
        <w:ind w:left="144" w:right="144"/>
        <w:rPr>
          <w:sz w:val="20"/>
          <w:szCs w:val="20"/>
        </w:rPr>
      </w:pPr>
      <w:r>
        <w:rPr>
          <w:b/>
          <w:bCs/>
          <w:sz w:val="20"/>
          <w:szCs w:val="20"/>
        </w:rPr>
        <w:t>Results of Operations</w:t>
      </w:r>
    </w:p>
    <w:p w14:paraId="195865D3" w14:textId="77777777" w:rsidR="00954279" w:rsidRDefault="00A66714">
      <w:pPr>
        <w:ind w:left="144" w:right="144"/>
        <w:rPr>
          <w:sz w:val="20"/>
          <w:szCs w:val="20"/>
        </w:rPr>
      </w:pPr>
      <w:r>
        <w:rPr>
          <w:sz w:val="20"/>
          <w:szCs w:val="20"/>
        </w:rPr>
        <w:t> </w:t>
      </w:r>
    </w:p>
    <w:p w14:paraId="14CB1E15" w14:textId="77777777" w:rsidR="00954279" w:rsidRDefault="00A66714">
      <w:pPr>
        <w:ind w:left="144" w:right="144"/>
        <w:rPr>
          <w:sz w:val="20"/>
          <w:szCs w:val="20"/>
        </w:rPr>
      </w:pPr>
      <w:r>
        <w:rPr>
          <w:b/>
          <w:bCs/>
          <w:i/>
          <w:iCs/>
          <w:sz w:val="20"/>
          <w:szCs w:val="20"/>
        </w:rPr>
        <w:t>Three Months Ended </w:t>
      </w:r>
      <w:bookmarkStart w:id="24" w:name="led65141F20213301619799071563"/>
      <w:r>
        <w:rPr>
          <w:b/>
          <w:bCs/>
          <w:i/>
          <w:iCs/>
          <w:sz w:val="20"/>
          <w:szCs w:val="20"/>
        </w:rPr>
        <w:t>June 30, 2021</w:t>
      </w:r>
      <w:bookmarkEnd w:id="24"/>
      <w:r>
        <w:rPr>
          <w:b/>
          <w:bCs/>
          <w:i/>
          <w:iCs/>
          <w:sz w:val="20"/>
          <w:szCs w:val="20"/>
        </w:rPr>
        <w:t xml:space="preserve"> Compared to the Three Months Ended </w:t>
      </w:r>
      <w:bookmarkStart w:id="25" w:name="led65141F20213301619799088304"/>
      <w:r>
        <w:rPr>
          <w:b/>
          <w:bCs/>
          <w:i/>
          <w:iCs/>
          <w:sz w:val="20"/>
          <w:szCs w:val="20"/>
        </w:rPr>
        <w:t>June 30, 2020</w:t>
      </w:r>
      <w:bookmarkEnd w:id="25"/>
    </w:p>
    <w:p w14:paraId="4F4DC8B2" w14:textId="77777777" w:rsidR="00954279" w:rsidRDefault="00A66714">
      <w:pPr>
        <w:ind w:left="144" w:right="144"/>
        <w:rPr>
          <w:sz w:val="20"/>
          <w:szCs w:val="20"/>
        </w:rPr>
      </w:pPr>
      <w:r>
        <w:rPr>
          <w:sz w:val="20"/>
          <w:szCs w:val="20"/>
        </w:rPr>
        <w:t> </w:t>
      </w:r>
    </w:p>
    <w:p w14:paraId="76192FEC" w14:textId="77777777" w:rsidR="00954279" w:rsidRDefault="00A66714">
      <w:pPr>
        <w:ind w:left="144" w:right="144"/>
        <w:rPr>
          <w:sz w:val="20"/>
          <w:szCs w:val="20"/>
        </w:rPr>
      </w:pPr>
      <w:r>
        <w:rPr>
          <w:sz w:val="20"/>
          <w:szCs w:val="20"/>
        </w:rPr>
        <w:t>The breakdown of our sales by sector for the three months ended </w:t>
      </w:r>
      <w:bookmarkStart w:id="26" w:name="led65141F20213301619799108081"/>
      <w:r>
        <w:rPr>
          <w:sz w:val="20"/>
          <w:szCs w:val="20"/>
        </w:rPr>
        <w:t>June 30, 2021 and 2020 was as follows (in millions):</w:t>
      </w:r>
    </w:p>
    <w:p w14:paraId="3F507A14" w14:textId="77777777" w:rsidR="00954279" w:rsidRDefault="00A66714">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5602"/>
        <w:gridCol w:w="94"/>
        <w:gridCol w:w="110"/>
        <w:gridCol w:w="958"/>
        <w:gridCol w:w="94"/>
        <w:gridCol w:w="94"/>
        <w:gridCol w:w="94"/>
        <w:gridCol w:w="959"/>
        <w:gridCol w:w="210"/>
        <w:gridCol w:w="95"/>
        <w:gridCol w:w="110"/>
        <w:gridCol w:w="959"/>
        <w:gridCol w:w="95"/>
        <w:gridCol w:w="95"/>
        <w:gridCol w:w="95"/>
        <w:gridCol w:w="959"/>
        <w:gridCol w:w="177"/>
      </w:tblGrid>
      <w:tr w:rsidR="00954279" w14:paraId="48445D04" w14:textId="77777777">
        <w:tc>
          <w:tcPr>
            <w:tcW w:w="0" w:type="auto"/>
            <w:tcMar>
              <w:top w:w="5" w:type="dxa"/>
              <w:left w:w="5" w:type="dxa"/>
              <w:bottom w:w="5" w:type="dxa"/>
              <w:right w:w="5" w:type="dxa"/>
            </w:tcMar>
            <w:vAlign w:val="bottom"/>
            <w:hideMark/>
          </w:tcPr>
          <w:p w14:paraId="0D68292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FFFBFD7" w14:textId="77777777" w:rsidR="00954279" w:rsidRDefault="00A66714">
            <w:pPr>
              <w:rPr>
                <w:color w:val="000000"/>
                <w:sz w:val="20"/>
                <w:szCs w:val="20"/>
              </w:rPr>
            </w:pPr>
            <w:r>
              <w:rPr>
                <w:color w:val="000000"/>
                <w:sz w:val="20"/>
                <w:szCs w:val="20"/>
              </w:rPr>
              <w:t> </w:t>
            </w:r>
          </w:p>
        </w:tc>
        <w:tc>
          <w:tcPr>
            <w:tcW w:w="0" w:type="auto"/>
            <w:gridSpan w:val="14"/>
            <w:tcBorders>
              <w:bottom w:val="single" w:sz="6" w:space="0" w:color="000000"/>
            </w:tcBorders>
            <w:tcMar>
              <w:top w:w="5" w:type="dxa"/>
              <w:left w:w="5" w:type="dxa"/>
              <w:bottom w:w="8" w:type="dxa"/>
              <w:right w:w="5" w:type="dxa"/>
            </w:tcMar>
            <w:vAlign w:val="bottom"/>
            <w:hideMark/>
          </w:tcPr>
          <w:p w14:paraId="416F92EB" w14:textId="77777777" w:rsidR="00954279" w:rsidRDefault="00A66714">
            <w:pPr>
              <w:jc w:val="center"/>
              <w:rPr>
                <w:color w:val="000000"/>
                <w:sz w:val="20"/>
                <w:szCs w:val="20"/>
              </w:rPr>
            </w:pPr>
            <w:r>
              <w:rPr>
                <w:b/>
                <w:bCs/>
                <w:color w:val="000000"/>
                <w:sz w:val="20"/>
                <w:szCs w:val="20"/>
              </w:rPr>
              <w:t>Three Months Ended</w:t>
            </w:r>
          </w:p>
        </w:tc>
        <w:tc>
          <w:tcPr>
            <w:tcW w:w="0" w:type="auto"/>
            <w:tcMar>
              <w:top w:w="5" w:type="dxa"/>
              <w:left w:w="5" w:type="dxa"/>
              <w:bottom w:w="20" w:type="dxa"/>
              <w:right w:w="5" w:type="dxa"/>
            </w:tcMar>
            <w:vAlign w:val="bottom"/>
            <w:hideMark/>
          </w:tcPr>
          <w:p w14:paraId="706405EE" w14:textId="77777777" w:rsidR="00954279" w:rsidRDefault="00A66714">
            <w:pPr>
              <w:rPr>
                <w:color w:val="000000"/>
                <w:sz w:val="20"/>
                <w:szCs w:val="20"/>
              </w:rPr>
            </w:pPr>
            <w:r>
              <w:rPr>
                <w:color w:val="000000"/>
                <w:sz w:val="20"/>
                <w:szCs w:val="20"/>
              </w:rPr>
              <w:t> </w:t>
            </w:r>
          </w:p>
        </w:tc>
      </w:tr>
      <w:tr w:rsidR="00954279" w14:paraId="0813BE29" w14:textId="77777777">
        <w:tc>
          <w:tcPr>
            <w:tcW w:w="0" w:type="auto"/>
            <w:tcMar>
              <w:top w:w="5" w:type="dxa"/>
              <w:left w:w="5" w:type="dxa"/>
              <w:bottom w:w="5" w:type="dxa"/>
              <w:right w:w="5" w:type="dxa"/>
            </w:tcMar>
            <w:vAlign w:val="bottom"/>
            <w:hideMark/>
          </w:tcPr>
          <w:p w14:paraId="01B14F7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A42B9D0" w14:textId="77777777" w:rsidR="00954279" w:rsidRDefault="00A66714">
            <w:pPr>
              <w:rPr>
                <w:color w:val="000000"/>
                <w:sz w:val="20"/>
                <w:szCs w:val="20"/>
              </w:rPr>
            </w:pPr>
            <w:r>
              <w:rPr>
                <w:color w:val="000000"/>
                <w:sz w:val="20"/>
                <w:szCs w:val="20"/>
              </w:rPr>
              <w:t> </w:t>
            </w:r>
          </w:p>
        </w:tc>
        <w:tc>
          <w:tcPr>
            <w:tcW w:w="0" w:type="auto"/>
            <w:gridSpan w:val="6"/>
            <w:tcBorders>
              <w:bottom w:val="single" w:sz="6" w:space="0" w:color="000000"/>
            </w:tcBorders>
            <w:tcMar>
              <w:top w:w="5" w:type="dxa"/>
              <w:left w:w="5" w:type="dxa"/>
              <w:bottom w:w="8" w:type="dxa"/>
              <w:right w:w="5" w:type="dxa"/>
            </w:tcMar>
            <w:vAlign w:val="bottom"/>
            <w:hideMark/>
          </w:tcPr>
          <w:p w14:paraId="3CDF26C6" w14:textId="77777777" w:rsidR="00954279" w:rsidRDefault="00A66714">
            <w:pPr>
              <w:jc w:val="center"/>
              <w:rPr>
                <w:color w:val="000000"/>
                <w:sz w:val="20"/>
                <w:szCs w:val="20"/>
              </w:rPr>
            </w:pPr>
            <w:r>
              <w:rPr>
                <w:b/>
                <w:bCs/>
                <w:color w:val="000000"/>
                <w:sz w:val="20"/>
                <w:szCs w:val="20"/>
              </w:rPr>
              <w:t>June 30, 2021</w:t>
            </w:r>
          </w:p>
        </w:tc>
        <w:tc>
          <w:tcPr>
            <w:tcW w:w="0" w:type="auto"/>
            <w:tcMar>
              <w:top w:w="5" w:type="dxa"/>
              <w:left w:w="5" w:type="dxa"/>
              <w:bottom w:w="20" w:type="dxa"/>
              <w:right w:w="5" w:type="dxa"/>
            </w:tcMar>
            <w:vAlign w:val="bottom"/>
            <w:hideMark/>
          </w:tcPr>
          <w:p w14:paraId="57DF4BF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C722FAD" w14:textId="77777777" w:rsidR="00954279" w:rsidRDefault="00A66714">
            <w:pPr>
              <w:rPr>
                <w:color w:val="000000"/>
                <w:sz w:val="20"/>
                <w:szCs w:val="20"/>
              </w:rPr>
            </w:pPr>
            <w:r>
              <w:rPr>
                <w:color w:val="000000"/>
                <w:sz w:val="20"/>
                <w:szCs w:val="20"/>
              </w:rPr>
              <w:t> </w:t>
            </w:r>
          </w:p>
        </w:tc>
        <w:tc>
          <w:tcPr>
            <w:tcW w:w="0" w:type="auto"/>
            <w:gridSpan w:val="6"/>
            <w:tcBorders>
              <w:bottom w:val="single" w:sz="6" w:space="0" w:color="000000"/>
            </w:tcBorders>
            <w:tcMar>
              <w:top w:w="5" w:type="dxa"/>
              <w:left w:w="5" w:type="dxa"/>
              <w:bottom w:w="8" w:type="dxa"/>
              <w:right w:w="5" w:type="dxa"/>
            </w:tcMar>
            <w:vAlign w:val="bottom"/>
            <w:hideMark/>
          </w:tcPr>
          <w:p w14:paraId="339BDDBC" w14:textId="77777777" w:rsidR="00954279" w:rsidRDefault="00A66714">
            <w:pPr>
              <w:jc w:val="center"/>
              <w:rPr>
                <w:color w:val="000000"/>
                <w:sz w:val="20"/>
                <w:szCs w:val="20"/>
              </w:rPr>
            </w:pPr>
            <w:r>
              <w:rPr>
                <w:b/>
                <w:bCs/>
                <w:color w:val="000000"/>
                <w:sz w:val="20"/>
                <w:szCs w:val="20"/>
              </w:rPr>
              <w:t>June 30, 2020</w:t>
            </w:r>
          </w:p>
        </w:tc>
        <w:tc>
          <w:tcPr>
            <w:tcW w:w="0" w:type="auto"/>
            <w:tcMar>
              <w:top w:w="5" w:type="dxa"/>
              <w:left w:w="5" w:type="dxa"/>
              <w:bottom w:w="20" w:type="dxa"/>
              <w:right w:w="5" w:type="dxa"/>
            </w:tcMar>
            <w:vAlign w:val="bottom"/>
            <w:hideMark/>
          </w:tcPr>
          <w:p w14:paraId="7D963F9F" w14:textId="77777777" w:rsidR="00954279" w:rsidRDefault="00A66714">
            <w:pPr>
              <w:rPr>
                <w:color w:val="000000"/>
                <w:sz w:val="20"/>
                <w:szCs w:val="20"/>
              </w:rPr>
            </w:pPr>
            <w:r>
              <w:rPr>
                <w:color w:val="000000"/>
                <w:sz w:val="20"/>
                <w:szCs w:val="20"/>
              </w:rPr>
              <w:t> </w:t>
            </w:r>
          </w:p>
        </w:tc>
      </w:tr>
      <w:tr w:rsidR="00954279" w14:paraId="3C2A6D29" w14:textId="77777777">
        <w:tc>
          <w:tcPr>
            <w:tcW w:w="2600" w:type="pct"/>
            <w:tcMar>
              <w:top w:w="5" w:type="dxa"/>
              <w:left w:w="5" w:type="dxa"/>
              <w:bottom w:w="5" w:type="dxa"/>
              <w:right w:w="5" w:type="dxa"/>
            </w:tcMar>
            <w:vAlign w:val="bottom"/>
            <w:hideMark/>
          </w:tcPr>
          <w:p w14:paraId="7872E70F" w14:textId="77777777" w:rsidR="00954279" w:rsidRDefault="00A66714">
            <w:pPr>
              <w:rPr>
                <w:color w:val="000000"/>
                <w:sz w:val="20"/>
                <w:szCs w:val="20"/>
              </w:rPr>
            </w:pPr>
            <w:r>
              <w:rPr>
                <w:color w:val="000000"/>
                <w:sz w:val="20"/>
                <w:szCs w:val="20"/>
              </w:rPr>
              <w:t>Gas utilities</w:t>
            </w:r>
          </w:p>
        </w:tc>
        <w:tc>
          <w:tcPr>
            <w:tcW w:w="50" w:type="pct"/>
            <w:tcMar>
              <w:top w:w="5" w:type="dxa"/>
              <w:left w:w="5" w:type="dxa"/>
              <w:bottom w:w="5" w:type="dxa"/>
              <w:right w:w="5" w:type="dxa"/>
            </w:tcMar>
            <w:vAlign w:val="bottom"/>
            <w:hideMark/>
          </w:tcPr>
          <w:p w14:paraId="6B17252E"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1FA43EE"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290CE2CB" w14:textId="77777777" w:rsidR="00954279" w:rsidRDefault="00A66714">
            <w:pPr>
              <w:jc w:val="right"/>
              <w:rPr>
                <w:color w:val="000000"/>
                <w:sz w:val="20"/>
                <w:szCs w:val="20"/>
              </w:rPr>
            </w:pPr>
            <w:r>
              <w:rPr>
                <w:b/>
                <w:bCs/>
                <w:color w:val="000000"/>
                <w:sz w:val="20"/>
                <w:szCs w:val="20"/>
              </w:rPr>
              <w:t>269</w:t>
            </w:r>
          </w:p>
        </w:tc>
        <w:tc>
          <w:tcPr>
            <w:tcW w:w="50" w:type="pct"/>
            <w:noWrap/>
            <w:tcMar>
              <w:top w:w="5" w:type="dxa"/>
              <w:left w:w="5" w:type="dxa"/>
              <w:bottom w:w="5" w:type="dxa"/>
              <w:right w:w="5" w:type="dxa"/>
            </w:tcMar>
            <w:vAlign w:val="bottom"/>
            <w:hideMark/>
          </w:tcPr>
          <w:p w14:paraId="6E655DC9"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1CBD24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34E6A6C"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2558468" w14:textId="77777777" w:rsidR="00954279" w:rsidRDefault="00A66714">
            <w:pPr>
              <w:jc w:val="right"/>
              <w:rPr>
                <w:color w:val="000000"/>
                <w:sz w:val="20"/>
                <w:szCs w:val="20"/>
              </w:rPr>
            </w:pPr>
            <w:r>
              <w:rPr>
                <w:b/>
                <w:bCs/>
                <w:color w:val="000000"/>
                <w:sz w:val="20"/>
                <w:szCs w:val="20"/>
              </w:rPr>
              <w:t>39</w:t>
            </w:r>
          </w:p>
        </w:tc>
        <w:tc>
          <w:tcPr>
            <w:tcW w:w="50" w:type="pct"/>
            <w:noWrap/>
            <w:tcMar>
              <w:top w:w="5" w:type="dxa"/>
              <w:left w:w="5" w:type="dxa"/>
              <w:bottom w:w="5" w:type="dxa"/>
              <w:right w:w="5" w:type="dxa"/>
            </w:tcMar>
            <w:vAlign w:val="bottom"/>
            <w:hideMark/>
          </w:tcPr>
          <w:p w14:paraId="15C55516" w14:textId="77777777" w:rsidR="00954279" w:rsidRDefault="00A66714">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4E5DF586"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5A0E8EE"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09149E5F" w14:textId="77777777" w:rsidR="00954279" w:rsidRDefault="00A66714">
            <w:pPr>
              <w:jc w:val="right"/>
              <w:rPr>
                <w:color w:val="000000"/>
                <w:sz w:val="20"/>
                <w:szCs w:val="20"/>
              </w:rPr>
            </w:pPr>
            <w:r>
              <w:rPr>
                <w:color w:val="000000"/>
                <w:sz w:val="20"/>
                <w:szCs w:val="20"/>
              </w:rPr>
              <w:t>205</w:t>
            </w:r>
          </w:p>
        </w:tc>
        <w:tc>
          <w:tcPr>
            <w:tcW w:w="50" w:type="pct"/>
            <w:noWrap/>
            <w:tcMar>
              <w:top w:w="5" w:type="dxa"/>
              <w:left w:w="5" w:type="dxa"/>
              <w:bottom w:w="5" w:type="dxa"/>
              <w:right w:w="5" w:type="dxa"/>
            </w:tcMar>
            <w:vAlign w:val="bottom"/>
            <w:hideMark/>
          </w:tcPr>
          <w:p w14:paraId="770C66E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1D53F5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CEC54CF"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17E5F5D" w14:textId="77777777" w:rsidR="00954279" w:rsidRDefault="00A66714">
            <w:pPr>
              <w:jc w:val="right"/>
              <w:rPr>
                <w:color w:val="000000"/>
                <w:sz w:val="20"/>
                <w:szCs w:val="20"/>
              </w:rPr>
            </w:pPr>
            <w:r>
              <w:rPr>
                <w:color w:val="000000"/>
                <w:sz w:val="20"/>
                <w:szCs w:val="20"/>
              </w:rPr>
              <w:t>34</w:t>
            </w:r>
          </w:p>
        </w:tc>
        <w:tc>
          <w:tcPr>
            <w:tcW w:w="50" w:type="pct"/>
            <w:noWrap/>
            <w:tcMar>
              <w:top w:w="5" w:type="dxa"/>
              <w:left w:w="5" w:type="dxa"/>
              <w:bottom w:w="5" w:type="dxa"/>
              <w:right w:w="5" w:type="dxa"/>
            </w:tcMar>
            <w:vAlign w:val="bottom"/>
            <w:hideMark/>
          </w:tcPr>
          <w:p w14:paraId="181D6EA5" w14:textId="77777777" w:rsidR="00954279" w:rsidRDefault="00A66714">
            <w:pPr>
              <w:rPr>
                <w:color w:val="000000"/>
                <w:sz w:val="20"/>
                <w:szCs w:val="20"/>
              </w:rPr>
            </w:pPr>
            <w:r>
              <w:rPr>
                <w:color w:val="000000"/>
                <w:sz w:val="20"/>
                <w:szCs w:val="20"/>
              </w:rPr>
              <w:t>%</w:t>
            </w:r>
          </w:p>
        </w:tc>
      </w:tr>
      <w:tr w:rsidR="00954279" w14:paraId="77175B3B" w14:textId="77777777">
        <w:tc>
          <w:tcPr>
            <w:tcW w:w="0" w:type="auto"/>
            <w:tcMar>
              <w:top w:w="5" w:type="dxa"/>
              <w:left w:w="5" w:type="dxa"/>
              <w:bottom w:w="5" w:type="dxa"/>
              <w:right w:w="5" w:type="dxa"/>
            </w:tcMar>
            <w:vAlign w:val="bottom"/>
            <w:hideMark/>
          </w:tcPr>
          <w:p w14:paraId="42AA80BB" w14:textId="77777777" w:rsidR="00954279" w:rsidRDefault="00A66714">
            <w:pPr>
              <w:rPr>
                <w:color w:val="000000"/>
                <w:sz w:val="20"/>
                <w:szCs w:val="20"/>
              </w:rPr>
            </w:pPr>
            <w:r>
              <w:rPr>
                <w:color w:val="000000"/>
                <w:sz w:val="20"/>
                <w:szCs w:val="20"/>
              </w:rPr>
              <w:t>Downstream &amp; industrial</w:t>
            </w:r>
          </w:p>
        </w:tc>
        <w:tc>
          <w:tcPr>
            <w:tcW w:w="50" w:type="pct"/>
            <w:tcMar>
              <w:top w:w="5" w:type="dxa"/>
              <w:left w:w="5" w:type="dxa"/>
              <w:bottom w:w="5" w:type="dxa"/>
              <w:right w:w="5" w:type="dxa"/>
            </w:tcMar>
            <w:vAlign w:val="bottom"/>
            <w:hideMark/>
          </w:tcPr>
          <w:p w14:paraId="221960A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29E7F0D"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57CE406" w14:textId="77777777" w:rsidR="00954279" w:rsidRDefault="00A66714">
            <w:pPr>
              <w:jc w:val="right"/>
              <w:rPr>
                <w:color w:val="000000"/>
                <w:sz w:val="20"/>
                <w:szCs w:val="20"/>
              </w:rPr>
            </w:pPr>
            <w:r>
              <w:rPr>
                <w:b/>
                <w:bCs/>
                <w:color w:val="000000"/>
                <w:sz w:val="20"/>
                <w:szCs w:val="20"/>
              </w:rPr>
              <w:t>191</w:t>
            </w:r>
          </w:p>
        </w:tc>
        <w:tc>
          <w:tcPr>
            <w:tcW w:w="50" w:type="pct"/>
            <w:noWrap/>
            <w:tcMar>
              <w:top w:w="5" w:type="dxa"/>
              <w:left w:w="5" w:type="dxa"/>
              <w:bottom w:w="5" w:type="dxa"/>
              <w:right w:w="5" w:type="dxa"/>
            </w:tcMar>
            <w:vAlign w:val="bottom"/>
            <w:hideMark/>
          </w:tcPr>
          <w:p w14:paraId="33448CE7"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7DE41C6"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48E2A30"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CF5446F" w14:textId="77777777" w:rsidR="00954279" w:rsidRDefault="00A66714">
            <w:pPr>
              <w:jc w:val="right"/>
              <w:rPr>
                <w:color w:val="000000"/>
                <w:sz w:val="20"/>
                <w:szCs w:val="20"/>
              </w:rPr>
            </w:pPr>
            <w:r>
              <w:rPr>
                <w:b/>
                <w:bCs/>
                <w:color w:val="000000"/>
                <w:sz w:val="20"/>
                <w:szCs w:val="20"/>
              </w:rPr>
              <w:t>28</w:t>
            </w:r>
          </w:p>
        </w:tc>
        <w:tc>
          <w:tcPr>
            <w:tcW w:w="50" w:type="pct"/>
            <w:noWrap/>
            <w:tcMar>
              <w:top w:w="5" w:type="dxa"/>
              <w:left w:w="5" w:type="dxa"/>
              <w:bottom w:w="5" w:type="dxa"/>
              <w:right w:w="5" w:type="dxa"/>
            </w:tcMar>
            <w:vAlign w:val="bottom"/>
            <w:hideMark/>
          </w:tcPr>
          <w:p w14:paraId="184F3DBA" w14:textId="77777777" w:rsidR="00954279" w:rsidRDefault="00A66714">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32FFD586"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BAF3E10"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CECB11F" w14:textId="77777777" w:rsidR="00954279" w:rsidRDefault="00A66714">
            <w:pPr>
              <w:jc w:val="right"/>
              <w:rPr>
                <w:color w:val="000000"/>
                <w:sz w:val="20"/>
                <w:szCs w:val="20"/>
              </w:rPr>
            </w:pPr>
            <w:r>
              <w:rPr>
                <w:color w:val="000000"/>
                <w:sz w:val="20"/>
                <w:szCs w:val="20"/>
              </w:rPr>
              <w:t>176</w:t>
            </w:r>
          </w:p>
        </w:tc>
        <w:tc>
          <w:tcPr>
            <w:tcW w:w="50" w:type="pct"/>
            <w:noWrap/>
            <w:tcMar>
              <w:top w:w="5" w:type="dxa"/>
              <w:left w:w="5" w:type="dxa"/>
              <w:bottom w:w="5" w:type="dxa"/>
              <w:right w:w="5" w:type="dxa"/>
            </w:tcMar>
            <w:vAlign w:val="bottom"/>
            <w:hideMark/>
          </w:tcPr>
          <w:p w14:paraId="0F53CCC7"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CE3B1F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62EB84D"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96159EF" w14:textId="77777777" w:rsidR="00954279" w:rsidRDefault="00A66714">
            <w:pPr>
              <w:jc w:val="right"/>
              <w:rPr>
                <w:color w:val="000000"/>
                <w:sz w:val="20"/>
                <w:szCs w:val="20"/>
              </w:rPr>
            </w:pPr>
            <w:r>
              <w:rPr>
                <w:color w:val="000000"/>
                <w:sz w:val="20"/>
                <w:szCs w:val="20"/>
              </w:rPr>
              <w:t>29</w:t>
            </w:r>
          </w:p>
        </w:tc>
        <w:tc>
          <w:tcPr>
            <w:tcW w:w="50" w:type="pct"/>
            <w:noWrap/>
            <w:tcMar>
              <w:top w:w="5" w:type="dxa"/>
              <w:left w:w="5" w:type="dxa"/>
              <w:bottom w:w="5" w:type="dxa"/>
              <w:right w:w="5" w:type="dxa"/>
            </w:tcMar>
            <w:vAlign w:val="bottom"/>
            <w:hideMark/>
          </w:tcPr>
          <w:p w14:paraId="16C3F840" w14:textId="77777777" w:rsidR="00954279" w:rsidRDefault="00A66714">
            <w:pPr>
              <w:rPr>
                <w:color w:val="000000"/>
                <w:sz w:val="20"/>
                <w:szCs w:val="20"/>
              </w:rPr>
            </w:pPr>
            <w:r>
              <w:rPr>
                <w:color w:val="000000"/>
                <w:sz w:val="20"/>
                <w:szCs w:val="20"/>
              </w:rPr>
              <w:t>%</w:t>
            </w:r>
          </w:p>
        </w:tc>
      </w:tr>
      <w:tr w:rsidR="00954279" w14:paraId="7D438FCB" w14:textId="77777777">
        <w:tc>
          <w:tcPr>
            <w:tcW w:w="0" w:type="auto"/>
            <w:tcMar>
              <w:top w:w="5" w:type="dxa"/>
              <w:left w:w="5" w:type="dxa"/>
              <w:bottom w:w="5" w:type="dxa"/>
              <w:right w:w="5" w:type="dxa"/>
            </w:tcMar>
            <w:vAlign w:val="bottom"/>
            <w:hideMark/>
          </w:tcPr>
          <w:p w14:paraId="5613D82C" w14:textId="77777777" w:rsidR="00954279" w:rsidRDefault="00A66714">
            <w:pPr>
              <w:rPr>
                <w:color w:val="000000"/>
                <w:sz w:val="20"/>
                <w:szCs w:val="20"/>
              </w:rPr>
            </w:pPr>
            <w:r>
              <w:rPr>
                <w:color w:val="000000"/>
                <w:sz w:val="20"/>
                <w:szCs w:val="20"/>
              </w:rPr>
              <w:t>Upstream production</w:t>
            </w:r>
          </w:p>
        </w:tc>
        <w:tc>
          <w:tcPr>
            <w:tcW w:w="50" w:type="pct"/>
            <w:tcMar>
              <w:top w:w="5" w:type="dxa"/>
              <w:left w:w="5" w:type="dxa"/>
              <w:bottom w:w="5" w:type="dxa"/>
              <w:right w:w="5" w:type="dxa"/>
            </w:tcMar>
            <w:vAlign w:val="bottom"/>
            <w:hideMark/>
          </w:tcPr>
          <w:p w14:paraId="525905FF"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C47E4B3"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D1D716F" w14:textId="77777777" w:rsidR="00954279" w:rsidRDefault="00A66714">
            <w:pPr>
              <w:jc w:val="right"/>
              <w:rPr>
                <w:color w:val="000000"/>
                <w:sz w:val="20"/>
                <w:szCs w:val="20"/>
              </w:rPr>
            </w:pPr>
            <w:r>
              <w:rPr>
                <w:b/>
                <w:bCs/>
                <w:color w:val="000000"/>
                <w:sz w:val="20"/>
                <w:szCs w:val="20"/>
              </w:rPr>
              <w:t>143</w:t>
            </w:r>
          </w:p>
        </w:tc>
        <w:tc>
          <w:tcPr>
            <w:tcW w:w="50" w:type="pct"/>
            <w:noWrap/>
            <w:tcMar>
              <w:top w:w="5" w:type="dxa"/>
              <w:left w:w="5" w:type="dxa"/>
              <w:bottom w:w="5" w:type="dxa"/>
              <w:right w:w="5" w:type="dxa"/>
            </w:tcMar>
            <w:vAlign w:val="bottom"/>
            <w:hideMark/>
          </w:tcPr>
          <w:p w14:paraId="5D9570F6"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91B6BB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BFFA62B"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99687ED" w14:textId="77777777" w:rsidR="00954279" w:rsidRDefault="00A66714">
            <w:pPr>
              <w:jc w:val="right"/>
              <w:rPr>
                <w:color w:val="000000"/>
                <w:sz w:val="20"/>
                <w:szCs w:val="20"/>
              </w:rPr>
            </w:pPr>
            <w:r>
              <w:rPr>
                <w:b/>
                <w:bCs/>
                <w:color w:val="000000"/>
                <w:sz w:val="20"/>
                <w:szCs w:val="20"/>
              </w:rPr>
              <w:t>21</w:t>
            </w:r>
          </w:p>
        </w:tc>
        <w:tc>
          <w:tcPr>
            <w:tcW w:w="50" w:type="pct"/>
            <w:noWrap/>
            <w:tcMar>
              <w:top w:w="5" w:type="dxa"/>
              <w:left w:w="5" w:type="dxa"/>
              <w:bottom w:w="5" w:type="dxa"/>
              <w:right w:w="5" w:type="dxa"/>
            </w:tcMar>
            <w:vAlign w:val="bottom"/>
            <w:hideMark/>
          </w:tcPr>
          <w:p w14:paraId="7EE973CC" w14:textId="77777777" w:rsidR="00954279" w:rsidRDefault="00A66714">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5D0C5E1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E831B88"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6C4158F" w14:textId="77777777" w:rsidR="00954279" w:rsidRDefault="00A66714">
            <w:pPr>
              <w:jc w:val="right"/>
              <w:rPr>
                <w:color w:val="000000"/>
                <w:sz w:val="20"/>
                <w:szCs w:val="20"/>
              </w:rPr>
            </w:pPr>
            <w:r>
              <w:rPr>
                <w:color w:val="000000"/>
                <w:sz w:val="20"/>
                <w:szCs w:val="20"/>
              </w:rPr>
              <w:t>134</w:t>
            </w:r>
          </w:p>
        </w:tc>
        <w:tc>
          <w:tcPr>
            <w:tcW w:w="50" w:type="pct"/>
            <w:noWrap/>
            <w:tcMar>
              <w:top w:w="5" w:type="dxa"/>
              <w:left w:w="5" w:type="dxa"/>
              <w:bottom w:w="5" w:type="dxa"/>
              <w:right w:w="5" w:type="dxa"/>
            </w:tcMar>
            <w:vAlign w:val="bottom"/>
            <w:hideMark/>
          </w:tcPr>
          <w:p w14:paraId="6B7BF107"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CDA90D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7F2F573"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EBF0DD9" w14:textId="77777777" w:rsidR="00954279" w:rsidRDefault="00A66714">
            <w:pPr>
              <w:jc w:val="right"/>
              <w:rPr>
                <w:color w:val="000000"/>
                <w:sz w:val="20"/>
                <w:szCs w:val="20"/>
              </w:rPr>
            </w:pPr>
            <w:r>
              <w:rPr>
                <w:color w:val="000000"/>
                <w:sz w:val="20"/>
                <w:szCs w:val="20"/>
              </w:rPr>
              <w:t>22</w:t>
            </w:r>
          </w:p>
        </w:tc>
        <w:tc>
          <w:tcPr>
            <w:tcW w:w="50" w:type="pct"/>
            <w:noWrap/>
            <w:tcMar>
              <w:top w:w="5" w:type="dxa"/>
              <w:left w:w="5" w:type="dxa"/>
              <w:bottom w:w="5" w:type="dxa"/>
              <w:right w:w="5" w:type="dxa"/>
            </w:tcMar>
            <w:vAlign w:val="bottom"/>
            <w:hideMark/>
          </w:tcPr>
          <w:p w14:paraId="02832C35" w14:textId="77777777" w:rsidR="00954279" w:rsidRDefault="00A66714">
            <w:pPr>
              <w:rPr>
                <w:color w:val="000000"/>
                <w:sz w:val="20"/>
                <w:szCs w:val="20"/>
              </w:rPr>
            </w:pPr>
            <w:r>
              <w:rPr>
                <w:color w:val="000000"/>
                <w:sz w:val="20"/>
                <w:szCs w:val="20"/>
              </w:rPr>
              <w:t>%</w:t>
            </w:r>
          </w:p>
        </w:tc>
      </w:tr>
      <w:tr w:rsidR="00954279" w14:paraId="5A1303E2" w14:textId="77777777">
        <w:tc>
          <w:tcPr>
            <w:tcW w:w="0" w:type="auto"/>
            <w:tcMar>
              <w:top w:w="5" w:type="dxa"/>
              <w:left w:w="5" w:type="dxa"/>
              <w:bottom w:w="5" w:type="dxa"/>
              <w:right w:w="5" w:type="dxa"/>
            </w:tcMar>
            <w:vAlign w:val="bottom"/>
            <w:hideMark/>
          </w:tcPr>
          <w:p w14:paraId="23F054D6" w14:textId="77777777" w:rsidR="00954279" w:rsidRDefault="00A66714">
            <w:pPr>
              <w:rPr>
                <w:color w:val="000000"/>
                <w:sz w:val="20"/>
                <w:szCs w:val="20"/>
              </w:rPr>
            </w:pPr>
            <w:r>
              <w:rPr>
                <w:color w:val="000000"/>
                <w:sz w:val="20"/>
                <w:szCs w:val="20"/>
              </w:rPr>
              <w:t>Midstream pipeline</w:t>
            </w:r>
          </w:p>
        </w:tc>
        <w:tc>
          <w:tcPr>
            <w:tcW w:w="50" w:type="pct"/>
            <w:tcMar>
              <w:top w:w="5" w:type="dxa"/>
              <w:left w:w="5" w:type="dxa"/>
              <w:bottom w:w="5" w:type="dxa"/>
              <w:right w:w="5" w:type="dxa"/>
            </w:tcMar>
            <w:vAlign w:val="bottom"/>
            <w:hideMark/>
          </w:tcPr>
          <w:p w14:paraId="55F36A7C"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6490198"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69CF094B" w14:textId="77777777" w:rsidR="00954279" w:rsidRDefault="00A66714">
            <w:pPr>
              <w:jc w:val="right"/>
              <w:rPr>
                <w:color w:val="000000"/>
                <w:sz w:val="20"/>
                <w:szCs w:val="20"/>
              </w:rPr>
            </w:pPr>
            <w:r>
              <w:rPr>
                <w:b/>
                <w:bCs/>
                <w:color w:val="000000"/>
                <w:sz w:val="20"/>
                <w:szCs w:val="20"/>
              </w:rPr>
              <w:t>83</w:t>
            </w:r>
          </w:p>
        </w:tc>
        <w:tc>
          <w:tcPr>
            <w:tcW w:w="50" w:type="pct"/>
            <w:noWrap/>
            <w:tcMar>
              <w:top w:w="5" w:type="dxa"/>
              <w:left w:w="5" w:type="dxa"/>
              <w:bottom w:w="20" w:type="dxa"/>
              <w:right w:w="5" w:type="dxa"/>
            </w:tcMar>
            <w:vAlign w:val="bottom"/>
            <w:hideMark/>
          </w:tcPr>
          <w:p w14:paraId="46A483C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061051F"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50E5234"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6174437F" w14:textId="77777777" w:rsidR="00954279" w:rsidRDefault="00A66714">
            <w:pPr>
              <w:jc w:val="right"/>
              <w:rPr>
                <w:color w:val="000000"/>
                <w:sz w:val="20"/>
                <w:szCs w:val="20"/>
              </w:rPr>
            </w:pPr>
            <w:r>
              <w:rPr>
                <w:b/>
                <w:bCs/>
                <w:color w:val="000000"/>
                <w:sz w:val="20"/>
                <w:szCs w:val="20"/>
              </w:rPr>
              <w:t>12</w:t>
            </w:r>
          </w:p>
        </w:tc>
        <w:tc>
          <w:tcPr>
            <w:tcW w:w="50" w:type="pct"/>
            <w:noWrap/>
            <w:tcMar>
              <w:top w:w="5" w:type="dxa"/>
              <w:left w:w="5" w:type="dxa"/>
              <w:bottom w:w="20" w:type="dxa"/>
              <w:right w:w="5" w:type="dxa"/>
            </w:tcMar>
            <w:vAlign w:val="bottom"/>
            <w:hideMark/>
          </w:tcPr>
          <w:p w14:paraId="444E383A" w14:textId="77777777" w:rsidR="00954279" w:rsidRDefault="00A66714">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07CFE1CA"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D15B841"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554A8674" w14:textId="77777777" w:rsidR="00954279" w:rsidRDefault="00A66714">
            <w:pPr>
              <w:jc w:val="right"/>
              <w:rPr>
                <w:color w:val="000000"/>
                <w:sz w:val="20"/>
                <w:szCs w:val="20"/>
              </w:rPr>
            </w:pPr>
            <w:r>
              <w:rPr>
                <w:color w:val="000000"/>
                <w:sz w:val="20"/>
                <w:szCs w:val="20"/>
              </w:rPr>
              <w:t>87</w:t>
            </w:r>
          </w:p>
        </w:tc>
        <w:tc>
          <w:tcPr>
            <w:tcW w:w="50" w:type="pct"/>
            <w:noWrap/>
            <w:tcMar>
              <w:top w:w="5" w:type="dxa"/>
              <w:left w:w="5" w:type="dxa"/>
              <w:bottom w:w="20" w:type="dxa"/>
              <w:right w:w="5" w:type="dxa"/>
            </w:tcMar>
            <w:vAlign w:val="bottom"/>
            <w:hideMark/>
          </w:tcPr>
          <w:p w14:paraId="2714FF1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B8BAF62"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8D4371D"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30533EC2" w14:textId="77777777" w:rsidR="00954279" w:rsidRDefault="00A66714">
            <w:pPr>
              <w:jc w:val="right"/>
              <w:rPr>
                <w:color w:val="000000"/>
                <w:sz w:val="20"/>
                <w:szCs w:val="20"/>
              </w:rPr>
            </w:pPr>
            <w:r>
              <w:rPr>
                <w:color w:val="000000"/>
                <w:sz w:val="20"/>
                <w:szCs w:val="20"/>
              </w:rPr>
              <w:t>15</w:t>
            </w:r>
          </w:p>
        </w:tc>
        <w:tc>
          <w:tcPr>
            <w:tcW w:w="50" w:type="pct"/>
            <w:noWrap/>
            <w:tcMar>
              <w:top w:w="5" w:type="dxa"/>
              <w:left w:w="5" w:type="dxa"/>
              <w:bottom w:w="20" w:type="dxa"/>
              <w:right w:w="5" w:type="dxa"/>
            </w:tcMar>
            <w:vAlign w:val="bottom"/>
            <w:hideMark/>
          </w:tcPr>
          <w:p w14:paraId="049B6F8C" w14:textId="77777777" w:rsidR="00954279" w:rsidRDefault="00A66714">
            <w:pPr>
              <w:rPr>
                <w:color w:val="000000"/>
                <w:sz w:val="20"/>
                <w:szCs w:val="20"/>
              </w:rPr>
            </w:pPr>
            <w:r>
              <w:rPr>
                <w:color w:val="000000"/>
                <w:sz w:val="20"/>
                <w:szCs w:val="20"/>
              </w:rPr>
              <w:t>%</w:t>
            </w:r>
          </w:p>
        </w:tc>
      </w:tr>
      <w:tr w:rsidR="00954279" w14:paraId="4B0F3049" w14:textId="77777777">
        <w:tc>
          <w:tcPr>
            <w:tcW w:w="0" w:type="auto"/>
            <w:tcMar>
              <w:top w:w="5" w:type="dxa"/>
              <w:left w:w="5" w:type="dxa"/>
              <w:bottom w:w="5" w:type="dxa"/>
              <w:right w:w="5" w:type="dxa"/>
            </w:tcMar>
            <w:vAlign w:val="bottom"/>
            <w:hideMark/>
          </w:tcPr>
          <w:p w14:paraId="2688CD8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94127AD"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39C192E"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167E9A75" w14:textId="77777777" w:rsidR="00954279" w:rsidRDefault="00A66714">
            <w:pPr>
              <w:jc w:val="right"/>
              <w:rPr>
                <w:color w:val="000000"/>
                <w:sz w:val="20"/>
                <w:szCs w:val="20"/>
              </w:rPr>
            </w:pPr>
            <w:r>
              <w:rPr>
                <w:b/>
                <w:bCs/>
                <w:color w:val="000000"/>
                <w:sz w:val="20"/>
                <w:szCs w:val="20"/>
              </w:rPr>
              <w:t>686</w:t>
            </w:r>
          </w:p>
        </w:tc>
        <w:tc>
          <w:tcPr>
            <w:tcW w:w="50" w:type="pct"/>
            <w:noWrap/>
            <w:tcMar>
              <w:top w:w="5" w:type="dxa"/>
              <w:left w:w="5" w:type="dxa"/>
              <w:bottom w:w="50" w:type="dxa"/>
              <w:right w:w="5" w:type="dxa"/>
            </w:tcMar>
            <w:vAlign w:val="bottom"/>
            <w:hideMark/>
          </w:tcPr>
          <w:p w14:paraId="11F83C72"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B338EE4"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3FDCADA" w14:textId="77777777" w:rsidR="00954279" w:rsidRDefault="00A66714">
            <w:pPr>
              <w:rPr>
                <w:color w:val="000000"/>
                <w:sz w:val="20"/>
                <w:szCs w:val="20"/>
              </w:rPr>
            </w:pPr>
            <w:r>
              <w:rPr>
                <w:color w:val="000000"/>
                <w:sz w:val="20"/>
                <w:szCs w:val="20"/>
              </w:rPr>
              <w:t> </w:t>
            </w:r>
          </w:p>
        </w:tc>
        <w:tc>
          <w:tcPr>
            <w:tcW w:w="450" w:type="pct"/>
            <w:tcBorders>
              <w:bottom w:val="double" w:sz="6" w:space="0" w:color="000000"/>
            </w:tcBorders>
            <w:tcMar>
              <w:top w:w="5" w:type="dxa"/>
              <w:left w:w="5" w:type="dxa"/>
              <w:bottom w:w="22" w:type="dxa"/>
              <w:right w:w="5" w:type="dxa"/>
            </w:tcMar>
            <w:vAlign w:val="bottom"/>
            <w:hideMark/>
          </w:tcPr>
          <w:p w14:paraId="3A5BB0C9" w14:textId="77777777" w:rsidR="00954279" w:rsidRDefault="00A66714">
            <w:pPr>
              <w:jc w:val="right"/>
              <w:rPr>
                <w:color w:val="000000"/>
                <w:sz w:val="20"/>
                <w:szCs w:val="20"/>
              </w:rPr>
            </w:pPr>
            <w:r>
              <w:rPr>
                <w:b/>
                <w:bCs/>
                <w:color w:val="000000"/>
                <w:sz w:val="20"/>
                <w:szCs w:val="20"/>
              </w:rPr>
              <w:t>100</w:t>
            </w:r>
          </w:p>
        </w:tc>
        <w:tc>
          <w:tcPr>
            <w:tcW w:w="50" w:type="pct"/>
            <w:noWrap/>
            <w:tcMar>
              <w:top w:w="5" w:type="dxa"/>
              <w:left w:w="5" w:type="dxa"/>
              <w:bottom w:w="50" w:type="dxa"/>
              <w:right w:w="5" w:type="dxa"/>
            </w:tcMar>
            <w:vAlign w:val="bottom"/>
            <w:hideMark/>
          </w:tcPr>
          <w:p w14:paraId="6A99F392" w14:textId="77777777" w:rsidR="00954279" w:rsidRDefault="00A66714">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2F221F1A"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B0FF3F9"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3E0F74E5" w14:textId="77777777" w:rsidR="00954279" w:rsidRDefault="00A66714">
            <w:pPr>
              <w:jc w:val="right"/>
              <w:rPr>
                <w:color w:val="000000"/>
                <w:sz w:val="20"/>
                <w:szCs w:val="20"/>
              </w:rPr>
            </w:pPr>
            <w:r>
              <w:rPr>
                <w:color w:val="000000"/>
                <w:sz w:val="20"/>
                <w:szCs w:val="20"/>
              </w:rPr>
              <w:t>602</w:t>
            </w:r>
          </w:p>
        </w:tc>
        <w:tc>
          <w:tcPr>
            <w:tcW w:w="50" w:type="pct"/>
            <w:noWrap/>
            <w:tcMar>
              <w:top w:w="5" w:type="dxa"/>
              <w:left w:w="5" w:type="dxa"/>
              <w:bottom w:w="50" w:type="dxa"/>
              <w:right w:w="5" w:type="dxa"/>
            </w:tcMar>
            <w:vAlign w:val="bottom"/>
            <w:hideMark/>
          </w:tcPr>
          <w:p w14:paraId="72043C12"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781784D"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CF0DBE5" w14:textId="77777777" w:rsidR="00954279" w:rsidRDefault="00A66714">
            <w:pPr>
              <w:rPr>
                <w:color w:val="000000"/>
                <w:sz w:val="20"/>
                <w:szCs w:val="20"/>
              </w:rPr>
            </w:pPr>
            <w:r>
              <w:rPr>
                <w:color w:val="000000"/>
                <w:sz w:val="20"/>
                <w:szCs w:val="20"/>
              </w:rPr>
              <w:t> </w:t>
            </w:r>
          </w:p>
        </w:tc>
        <w:tc>
          <w:tcPr>
            <w:tcW w:w="450" w:type="pct"/>
            <w:tcBorders>
              <w:bottom w:val="double" w:sz="6" w:space="0" w:color="000000"/>
            </w:tcBorders>
            <w:tcMar>
              <w:top w:w="5" w:type="dxa"/>
              <w:left w:w="5" w:type="dxa"/>
              <w:bottom w:w="22" w:type="dxa"/>
              <w:right w:w="5" w:type="dxa"/>
            </w:tcMar>
            <w:vAlign w:val="bottom"/>
            <w:hideMark/>
          </w:tcPr>
          <w:p w14:paraId="2F30A354" w14:textId="77777777" w:rsidR="00954279" w:rsidRDefault="00A66714">
            <w:pPr>
              <w:jc w:val="right"/>
              <w:rPr>
                <w:color w:val="000000"/>
                <w:sz w:val="20"/>
                <w:szCs w:val="20"/>
              </w:rPr>
            </w:pPr>
            <w:r>
              <w:rPr>
                <w:color w:val="000000"/>
                <w:sz w:val="20"/>
                <w:szCs w:val="20"/>
              </w:rPr>
              <w:t>100</w:t>
            </w:r>
          </w:p>
        </w:tc>
        <w:tc>
          <w:tcPr>
            <w:tcW w:w="50" w:type="pct"/>
            <w:noWrap/>
            <w:tcMar>
              <w:top w:w="5" w:type="dxa"/>
              <w:left w:w="5" w:type="dxa"/>
              <w:bottom w:w="50" w:type="dxa"/>
              <w:right w:w="5" w:type="dxa"/>
            </w:tcMar>
            <w:vAlign w:val="bottom"/>
            <w:hideMark/>
          </w:tcPr>
          <w:p w14:paraId="77F69DC3" w14:textId="77777777" w:rsidR="00954279" w:rsidRDefault="00A66714">
            <w:pPr>
              <w:rPr>
                <w:color w:val="000000"/>
                <w:sz w:val="20"/>
                <w:szCs w:val="20"/>
              </w:rPr>
            </w:pPr>
            <w:r>
              <w:rPr>
                <w:color w:val="000000"/>
                <w:sz w:val="20"/>
                <w:szCs w:val="20"/>
              </w:rPr>
              <w:t>%</w:t>
            </w:r>
          </w:p>
        </w:tc>
      </w:tr>
    </w:tbl>
    <w:p w14:paraId="20BC3078" w14:textId="77777777" w:rsidR="00954279" w:rsidRDefault="00A66714">
      <w:pPr>
        <w:ind w:left="144" w:right="144"/>
        <w:rPr>
          <w:sz w:val="20"/>
          <w:szCs w:val="20"/>
        </w:rPr>
      </w:pPr>
      <w:r>
        <w:rPr>
          <w:sz w:val="20"/>
          <w:szCs w:val="20"/>
        </w:rPr>
        <w:t> </w:t>
      </w:r>
    </w:p>
    <w:p w14:paraId="6E9C3E2A" w14:textId="77777777" w:rsidR="00954279" w:rsidRDefault="00A66714">
      <w:pPr>
        <w:ind w:left="144" w:right="144"/>
        <w:rPr>
          <w:sz w:val="20"/>
          <w:szCs w:val="20"/>
        </w:rPr>
      </w:pPr>
      <w:r>
        <w:rPr>
          <w:sz w:val="20"/>
          <w:szCs w:val="20"/>
        </w:rPr>
        <w:t>For the three months ended June 30, 2021 and 2020, the following table summarizes our results of operations (in millions):</w:t>
      </w:r>
    </w:p>
    <w:p w14:paraId="7B09B18A" w14:textId="77777777" w:rsidR="00954279" w:rsidRDefault="00A66714">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5604"/>
        <w:gridCol w:w="97"/>
        <w:gridCol w:w="111"/>
        <w:gridCol w:w="961"/>
        <w:gridCol w:w="97"/>
        <w:gridCol w:w="97"/>
        <w:gridCol w:w="110"/>
        <w:gridCol w:w="961"/>
        <w:gridCol w:w="97"/>
        <w:gridCol w:w="97"/>
        <w:gridCol w:w="111"/>
        <w:gridCol w:w="961"/>
        <w:gridCol w:w="97"/>
        <w:gridCol w:w="97"/>
        <w:gridCol w:w="97"/>
        <w:gridCol w:w="961"/>
        <w:gridCol w:w="244"/>
      </w:tblGrid>
      <w:tr w:rsidR="00954279" w14:paraId="26789C05" w14:textId="77777777">
        <w:tc>
          <w:tcPr>
            <w:tcW w:w="0" w:type="auto"/>
            <w:tcMar>
              <w:top w:w="5" w:type="dxa"/>
              <w:left w:w="5" w:type="dxa"/>
              <w:bottom w:w="5" w:type="dxa"/>
              <w:right w:w="5" w:type="dxa"/>
            </w:tcMar>
            <w:vAlign w:val="bottom"/>
            <w:hideMark/>
          </w:tcPr>
          <w:p w14:paraId="3DECE4B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40ECB0C" w14:textId="77777777" w:rsidR="00954279" w:rsidRDefault="00A66714">
            <w:pPr>
              <w:rPr>
                <w:color w:val="000000"/>
                <w:sz w:val="20"/>
                <w:szCs w:val="20"/>
              </w:rPr>
            </w:pPr>
            <w:r>
              <w:rPr>
                <w:color w:val="000000"/>
                <w:sz w:val="20"/>
                <w:szCs w:val="20"/>
              </w:rPr>
              <w:t> </w:t>
            </w:r>
          </w:p>
        </w:tc>
        <w:tc>
          <w:tcPr>
            <w:tcW w:w="0" w:type="auto"/>
            <w:gridSpan w:val="6"/>
            <w:tcBorders>
              <w:bottom w:val="single" w:sz="6" w:space="0" w:color="000000"/>
            </w:tcBorders>
            <w:tcMar>
              <w:top w:w="5" w:type="dxa"/>
              <w:left w:w="5" w:type="dxa"/>
              <w:bottom w:w="8" w:type="dxa"/>
              <w:right w:w="5" w:type="dxa"/>
            </w:tcMar>
            <w:vAlign w:val="bottom"/>
            <w:hideMark/>
          </w:tcPr>
          <w:p w14:paraId="0690564B" w14:textId="77777777" w:rsidR="00954279" w:rsidRDefault="00A66714">
            <w:pPr>
              <w:jc w:val="center"/>
              <w:rPr>
                <w:color w:val="000000"/>
                <w:sz w:val="20"/>
                <w:szCs w:val="20"/>
              </w:rPr>
            </w:pPr>
            <w:r>
              <w:rPr>
                <w:b/>
                <w:bCs/>
                <w:color w:val="000000"/>
                <w:sz w:val="20"/>
                <w:szCs w:val="20"/>
              </w:rPr>
              <w:t>Three Months Ended</w:t>
            </w:r>
          </w:p>
        </w:tc>
        <w:tc>
          <w:tcPr>
            <w:tcW w:w="0" w:type="auto"/>
            <w:tcMar>
              <w:top w:w="5" w:type="dxa"/>
              <w:left w:w="5" w:type="dxa"/>
              <w:bottom w:w="20" w:type="dxa"/>
              <w:right w:w="5" w:type="dxa"/>
            </w:tcMar>
            <w:vAlign w:val="bottom"/>
            <w:hideMark/>
          </w:tcPr>
          <w:p w14:paraId="6A4B20E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F3B58A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2C5B54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5C707E7" w14:textId="77777777" w:rsidR="00954279" w:rsidRDefault="00A66714">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F8716D6" w14:textId="77777777" w:rsidR="00954279" w:rsidRDefault="00A66714">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2C84127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1C6444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E35AC0A" w14:textId="77777777" w:rsidR="00954279" w:rsidRDefault="00A66714">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C15AC1D" w14:textId="77777777" w:rsidR="00954279" w:rsidRDefault="00A66714">
            <w:pPr>
              <w:rPr>
                <w:color w:val="000000"/>
                <w:sz w:val="20"/>
                <w:szCs w:val="20"/>
              </w:rPr>
            </w:pPr>
            <w:r>
              <w:rPr>
                <w:b/>
                <w:bCs/>
                <w:color w:val="000000"/>
                <w:sz w:val="20"/>
                <w:szCs w:val="20"/>
              </w:rPr>
              <w:t> </w:t>
            </w:r>
          </w:p>
        </w:tc>
      </w:tr>
      <w:tr w:rsidR="00954279" w14:paraId="23540870" w14:textId="77777777">
        <w:tc>
          <w:tcPr>
            <w:tcW w:w="0" w:type="auto"/>
            <w:tcMar>
              <w:top w:w="5" w:type="dxa"/>
              <w:left w:w="5" w:type="dxa"/>
              <w:bottom w:w="5" w:type="dxa"/>
              <w:right w:w="5" w:type="dxa"/>
            </w:tcMar>
            <w:vAlign w:val="bottom"/>
            <w:hideMark/>
          </w:tcPr>
          <w:p w14:paraId="7C062A3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38EFF0A"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6FDAE1CB" w14:textId="77777777" w:rsidR="00954279" w:rsidRDefault="00A66714">
            <w:pPr>
              <w:jc w:val="center"/>
              <w:rPr>
                <w:color w:val="000000"/>
                <w:sz w:val="20"/>
                <w:szCs w:val="20"/>
              </w:rPr>
            </w:pPr>
            <w:r>
              <w:rPr>
                <w:b/>
                <w:bCs/>
                <w:color w:val="000000"/>
                <w:sz w:val="20"/>
                <w:szCs w:val="20"/>
              </w:rPr>
              <w:t>June 30,</w:t>
            </w:r>
          </w:p>
        </w:tc>
        <w:tc>
          <w:tcPr>
            <w:tcW w:w="0" w:type="auto"/>
            <w:tcMar>
              <w:top w:w="5" w:type="dxa"/>
              <w:left w:w="5" w:type="dxa"/>
              <w:bottom w:w="5" w:type="dxa"/>
              <w:right w:w="5" w:type="dxa"/>
            </w:tcMar>
            <w:vAlign w:val="bottom"/>
            <w:hideMark/>
          </w:tcPr>
          <w:p w14:paraId="3B152DA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685DBF4"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4853E985" w14:textId="77777777" w:rsidR="00954279" w:rsidRDefault="00A66714">
            <w:pPr>
              <w:jc w:val="center"/>
              <w:rPr>
                <w:color w:val="000000"/>
                <w:sz w:val="20"/>
                <w:szCs w:val="20"/>
              </w:rPr>
            </w:pPr>
            <w:r>
              <w:rPr>
                <w:b/>
                <w:bCs/>
                <w:color w:val="000000"/>
                <w:sz w:val="20"/>
                <w:szCs w:val="20"/>
              </w:rPr>
              <w:t>June 30,</w:t>
            </w:r>
          </w:p>
        </w:tc>
        <w:tc>
          <w:tcPr>
            <w:tcW w:w="0" w:type="auto"/>
            <w:tcMar>
              <w:top w:w="5" w:type="dxa"/>
              <w:left w:w="5" w:type="dxa"/>
              <w:bottom w:w="5" w:type="dxa"/>
              <w:right w:w="5" w:type="dxa"/>
            </w:tcMar>
            <w:vAlign w:val="bottom"/>
            <w:hideMark/>
          </w:tcPr>
          <w:p w14:paraId="563270E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82222B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09B77D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7504785" w14:textId="77777777" w:rsidR="00954279" w:rsidRDefault="00A66714">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DD494CF" w14:textId="77777777" w:rsidR="00954279" w:rsidRDefault="00A66714">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2F5D7FD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0FD851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8E7891E" w14:textId="77777777" w:rsidR="00954279" w:rsidRDefault="00A66714">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583FB7F" w14:textId="77777777" w:rsidR="00954279" w:rsidRDefault="00A66714">
            <w:pPr>
              <w:rPr>
                <w:color w:val="000000"/>
                <w:sz w:val="20"/>
                <w:szCs w:val="20"/>
              </w:rPr>
            </w:pPr>
            <w:r>
              <w:rPr>
                <w:b/>
                <w:bCs/>
                <w:color w:val="000000"/>
                <w:sz w:val="20"/>
                <w:szCs w:val="20"/>
              </w:rPr>
              <w:t> </w:t>
            </w:r>
          </w:p>
        </w:tc>
      </w:tr>
      <w:tr w:rsidR="00954279" w14:paraId="2F5CD3C2" w14:textId="77777777">
        <w:tc>
          <w:tcPr>
            <w:tcW w:w="0" w:type="auto"/>
            <w:tcMar>
              <w:top w:w="5" w:type="dxa"/>
              <w:left w:w="5" w:type="dxa"/>
              <w:bottom w:w="5" w:type="dxa"/>
              <w:right w:w="5" w:type="dxa"/>
            </w:tcMar>
            <w:vAlign w:val="bottom"/>
            <w:hideMark/>
          </w:tcPr>
          <w:p w14:paraId="69D4673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4894BA1"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7227295D" w14:textId="77777777" w:rsidR="00954279" w:rsidRDefault="00A66714">
            <w:pPr>
              <w:jc w:val="center"/>
              <w:rPr>
                <w:color w:val="000000"/>
                <w:sz w:val="20"/>
                <w:szCs w:val="20"/>
              </w:rPr>
            </w:pPr>
            <w:r>
              <w:rPr>
                <w:b/>
                <w:bCs/>
                <w:color w:val="000000"/>
                <w:sz w:val="20"/>
                <w:szCs w:val="20"/>
              </w:rPr>
              <w:t>2021</w:t>
            </w:r>
          </w:p>
        </w:tc>
        <w:tc>
          <w:tcPr>
            <w:tcW w:w="0" w:type="auto"/>
            <w:tcMar>
              <w:top w:w="5" w:type="dxa"/>
              <w:left w:w="5" w:type="dxa"/>
              <w:bottom w:w="20" w:type="dxa"/>
              <w:right w:w="5" w:type="dxa"/>
            </w:tcMar>
            <w:vAlign w:val="bottom"/>
            <w:hideMark/>
          </w:tcPr>
          <w:p w14:paraId="636AD8B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5097932"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277B1EED" w14:textId="77777777" w:rsidR="00954279" w:rsidRDefault="00A66714">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395E2092"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B145CE6"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73CD7EC" w14:textId="77777777" w:rsidR="00954279" w:rsidRDefault="00A66714">
            <w:pPr>
              <w:jc w:val="center"/>
              <w:rPr>
                <w:color w:val="000000"/>
                <w:sz w:val="20"/>
                <w:szCs w:val="20"/>
              </w:rPr>
            </w:pPr>
            <w:r>
              <w:rPr>
                <w:b/>
                <w:bCs/>
                <w:color w:val="000000"/>
                <w:sz w:val="20"/>
                <w:szCs w:val="20"/>
              </w:rPr>
              <w:t>$ Change</w:t>
            </w:r>
          </w:p>
        </w:tc>
        <w:tc>
          <w:tcPr>
            <w:tcW w:w="0" w:type="auto"/>
            <w:tcMar>
              <w:top w:w="5" w:type="dxa"/>
              <w:left w:w="5" w:type="dxa"/>
              <w:bottom w:w="20" w:type="dxa"/>
              <w:right w:w="5" w:type="dxa"/>
            </w:tcMar>
            <w:vAlign w:val="bottom"/>
            <w:hideMark/>
          </w:tcPr>
          <w:p w14:paraId="44342FA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1151F58"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260283E" w14:textId="77777777" w:rsidR="00954279" w:rsidRDefault="00A66714">
            <w:pPr>
              <w:jc w:val="center"/>
              <w:rPr>
                <w:color w:val="000000"/>
                <w:sz w:val="20"/>
                <w:szCs w:val="20"/>
              </w:rPr>
            </w:pPr>
            <w:r>
              <w:rPr>
                <w:b/>
                <w:bCs/>
                <w:color w:val="000000"/>
                <w:sz w:val="20"/>
                <w:szCs w:val="20"/>
              </w:rPr>
              <w:t>% Change</w:t>
            </w:r>
          </w:p>
        </w:tc>
        <w:tc>
          <w:tcPr>
            <w:tcW w:w="0" w:type="auto"/>
            <w:tcMar>
              <w:top w:w="5" w:type="dxa"/>
              <w:left w:w="5" w:type="dxa"/>
              <w:bottom w:w="20" w:type="dxa"/>
              <w:right w:w="5" w:type="dxa"/>
            </w:tcMar>
            <w:vAlign w:val="bottom"/>
            <w:hideMark/>
          </w:tcPr>
          <w:p w14:paraId="7DF4B1FB" w14:textId="77777777" w:rsidR="00954279" w:rsidRDefault="00A66714">
            <w:pPr>
              <w:rPr>
                <w:color w:val="000000"/>
                <w:sz w:val="20"/>
                <w:szCs w:val="20"/>
              </w:rPr>
            </w:pPr>
            <w:r>
              <w:rPr>
                <w:color w:val="000000"/>
                <w:sz w:val="20"/>
                <w:szCs w:val="20"/>
              </w:rPr>
              <w:t> </w:t>
            </w:r>
          </w:p>
        </w:tc>
      </w:tr>
      <w:tr w:rsidR="00954279" w14:paraId="0C7F558F" w14:textId="77777777">
        <w:tc>
          <w:tcPr>
            <w:tcW w:w="2600" w:type="pct"/>
            <w:tcMar>
              <w:top w:w="5" w:type="dxa"/>
              <w:left w:w="5" w:type="dxa"/>
              <w:bottom w:w="5" w:type="dxa"/>
              <w:right w:w="5" w:type="dxa"/>
            </w:tcMar>
            <w:vAlign w:val="bottom"/>
            <w:hideMark/>
          </w:tcPr>
          <w:p w14:paraId="173490C5" w14:textId="77777777" w:rsidR="00954279" w:rsidRDefault="00A66714">
            <w:pPr>
              <w:rPr>
                <w:color w:val="000000"/>
                <w:sz w:val="20"/>
                <w:szCs w:val="20"/>
              </w:rPr>
            </w:pPr>
            <w:r>
              <w:rPr>
                <w:i/>
                <w:iCs/>
                <w:color w:val="000000"/>
                <w:sz w:val="20"/>
                <w:szCs w:val="20"/>
              </w:rPr>
              <w:t>Sales:</w:t>
            </w:r>
          </w:p>
        </w:tc>
        <w:tc>
          <w:tcPr>
            <w:tcW w:w="0" w:type="auto"/>
            <w:tcMar>
              <w:top w:w="5" w:type="dxa"/>
              <w:left w:w="5" w:type="dxa"/>
              <w:bottom w:w="5" w:type="dxa"/>
              <w:right w:w="5" w:type="dxa"/>
            </w:tcMar>
            <w:vAlign w:val="bottom"/>
            <w:hideMark/>
          </w:tcPr>
          <w:p w14:paraId="56A2A07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7F3F43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4EBBD4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2C99049" w14:textId="77777777" w:rsidR="00954279" w:rsidRDefault="00A66714">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09B0F02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3FAB5E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42161A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FAC5987" w14:textId="77777777" w:rsidR="00954279" w:rsidRDefault="00A66714">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01F34E5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E10045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784518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A39A967" w14:textId="77777777" w:rsidR="00954279" w:rsidRDefault="00A66714">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01248EC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286A1F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2005E9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33AA957" w14:textId="77777777" w:rsidR="00954279" w:rsidRDefault="00A66714">
            <w:pPr>
              <w:rPr>
                <w:color w:val="000000"/>
                <w:sz w:val="20"/>
                <w:szCs w:val="20"/>
              </w:rPr>
            </w:pPr>
            <w:r>
              <w:rPr>
                <w:i/>
                <w:iCs/>
                <w:color w:val="000000"/>
                <w:sz w:val="20"/>
                <w:szCs w:val="20"/>
              </w:rPr>
              <w:t> </w:t>
            </w:r>
          </w:p>
        </w:tc>
      </w:tr>
      <w:tr w:rsidR="00954279" w14:paraId="60F05974" w14:textId="77777777">
        <w:tc>
          <w:tcPr>
            <w:tcW w:w="0" w:type="auto"/>
            <w:tcMar>
              <w:top w:w="5" w:type="dxa"/>
              <w:left w:w="5" w:type="dxa"/>
              <w:bottom w:w="5" w:type="dxa"/>
              <w:right w:w="5" w:type="dxa"/>
            </w:tcMar>
            <w:vAlign w:val="bottom"/>
            <w:hideMark/>
          </w:tcPr>
          <w:p w14:paraId="0C021875" w14:textId="77777777" w:rsidR="00954279" w:rsidRDefault="00A66714">
            <w:pPr>
              <w:rPr>
                <w:color w:val="000000"/>
                <w:sz w:val="20"/>
                <w:szCs w:val="20"/>
              </w:rPr>
            </w:pPr>
            <w:r>
              <w:rPr>
                <w:color w:val="000000"/>
                <w:sz w:val="20"/>
                <w:szCs w:val="20"/>
              </w:rPr>
              <w:t>U.S.</w:t>
            </w:r>
          </w:p>
        </w:tc>
        <w:tc>
          <w:tcPr>
            <w:tcW w:w="50" w:type="pct"/>
            <w:tcMar>
              <w:top w:w="5" w:type="dxa"/>
              <w:left w:w="5" w:type="dxa"/>
              <w:bottom w:w="5" w:type="dxa"/>
              <w:right w:w="5" w:type="dxa"/>
            </w:tcMar>
            <w:vAlign w:val="bottom"/>
            <w:hideMark/>
          </w:tcPr>
          <w:p w14:paraId="4770FB3F"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463894F"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09978B59" w14:textId="77777777" w:rsidR="00954279" w:rsidRDefault="00A66714">
            <w:pPr>
              <w:jc w:val="right"/>
              <w:rPr>
                <w:color w:val="000000"/>
                <w:sz w:val="20"/>
                <w:szCs w:val="20"/>
              </w:rPr>
            </w:pPr>
            <w:r>
              <w:rPr>
                <w:b/>
                <w:bCs/>
                <w:color w:val="000000"/>
                <w:sz w:val="20"/>
                <w:szCs w:val="20"/>
              </w:rPr>
              <w:t>558</w:t>
            </w:r>
          </w:p>
        </w:tc>
        <w:tc>
          <w:tcPr>
            <w:tcW w:w="50" w:type="pct"/>
            <w:noWrap/>
            <w:tcMar>
              <w:top w:w="5" w:type="dxa"/>
              <w:left w:w="5" w:type="dxa"/>
              <w:bottom w:w="5" w:type="dxa"/>
              <w:right w:w="5" w:type="dxa"/>
            </w:tcMar>
            <w:vAlign w:val="bottom"/>
            <w:hideMark/>
          </w:tcPr>
          <w:p w14:paraId="15C97B2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D871668"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273824C"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545A9AD0" w14:textId="77777777" w:rsidR="00954279" w:rsidRDefault="00A66714">
            <w:pPr>
              <w:jc w:val="right"/>
              <w:rPr>
                <w:color w:val="000000"/>
                <w:sz w:val="20"/>
                <w:szCs w:val="20"/>
              </w:rPr>
            </w:pPr>
            <w:r>
              <w:rPr>
                <w:color w:val="000000"/>
                <w:sz w:val="20"/>
                <w:szCs w:val="20"/>
              </w:rPr>
              <w:t>474</w:t>
            </w:r>
          </w:p>
        </w:tc>
        <w:tc>
          <w:tcPr>
            <w:tcW w:w="50" w:type="pct"/>
            <w:noWrap/>
            <w:tcMar>
              <w:top w:w="5" w:type="dxa"/>
              <w:left w:w="5" w:type="dxa"/>
              <w:bottom w:w="5" w:type="dxa"/>
              <w:right w:w="5" w:type="dxa"/>
            </w:tcMar>
            <w:vAlign w:val="bottom"/>
            <w:hideMark/>
          </w:tcPr>
          <w:p w14:paraId="32F20B7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AAF596F"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406B272"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0FF87EF5" w14:textId="77777777" w:rsidR="00954279" w:rsidRDefault="00A66714">
            <w:pPr>
              <w:jc w:val="right"/>
              <w:rPr>
                <w:color w:val="000000"/>
                <w:sz w:val="20"/>
                <w:szCs w:val="20"/>
              </w:rPr>
            </w:pPr>
            <w:r>
              <w:rPr>
                <w:color w:val="000000"/>
                <w:sz w:val="20"/>
                <w:szCs w:val="20"/>
              </w:rPr>
              <w:t>84</w:t>
            </w:r>
          </w:p>
        </w:tc>
        <w:tc>
          <w:tcPr>
            <w:tcW w:w="50" w:type="pct"/>
            <w:noWrap/>
            <w:tcMar>
              <w:top w:w="5" w:type="dxa"/>
              <w:left w:w="5" w:type="dxa"/>
              <w:bottom w:w="5" w:type="dxa"/>
              <w:right w:w="5" w:type="dxa"/>
            </w:tcMar>
            <w:vAlign w:val="bottom"/>
            <w:hideMark/>
          </w:tcPr>
          <w:p w14:paraId="4B2B31AE"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31DAE49"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4B40AB3"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A0B493E" w14:textId="77777777" w:rsidR="00954279" w:rsidRDefault="00A66714">
            <w:pPr>
              <w:jc w:val="right"/>
              <w:rPr>
                <w:color w:val="000000"/>
                <w:sz w:val="20"/>
                <w:szCs w:val="20"/>
              </w:rPr>
            </w:pPr>
            <w:r>
              <w:rPr>
                <w:color w:val="000000"/>
                <w:sz w:val="20"/>
                <w:szCs w:val="20"/>
              </w:rPr>
              <w:t>18</w:t>
            </w:r>
          </w:p>
        </w:tc>
        <w:tc>
          <w:tcPr>
            <w:tcW w:w="50" w:type="pct"/>
            <w:noWrap/>
            <w:tcMar>
              <w:top w:w="5" w:type="dxa"/>
              <w:left w:w="5" w:type="dxa"/>
              <w:bottom w:w="5" w:type="dxa"/>
              <w:right w:w="5" w:type="dxa"/>
            </w:tcMar>
            <w:vAlign w:val="bottom"/>
            <w:hideMark/>
          </w:tcPr>
          <w:p w14:paraId="1E05D606" w14:textId="77777777" w:rsidR="00954279" w:rsidRDefault="00A66714">
            <w:pPr>
              <w:rPr>
                <w:color w:val="000000"/>
                <w:sz w:val="20"/>
                <w:szCs w:val="20"/>
              </w:rPr>
            </w:pPr>
            <w:r>
              <w:rPr>
                <w:color w:val="000000"/>
                <w:sz w:val="20"/>
                <w:szCs w:val="20"/>
              </w:rPr>
              <w:t>%</w:t>
            </w:r>
          </w:p>
        </w:tc>
      </w:tr>
      <w:tr w:rsidR="00954279" w14:paraId="02D92D31" w14:textId="77777777">
        <w:tc>
          <w:tcPr>
            <w:tcW w:w="0" w:type="auto"/>
            <w:tcMar>
              <w:top w:w="5" w:type="dxa"/>
              <w:left w:w="5" w:type="dxa"/>
              <w:bottom w:w="5" w:type="dxa"/>
              <w:right w:w="5" w:type="dxa"/>
            </w:tcMar>
            <w:vAlign w:val="bottom"/>
            <w:hideMark/>
          </w:tcPr>
          <w:p w14:paraId="7FA49699" w14:textId="77777777" w:rsidR="00954279" w:rsidRDefault="00A66714">
            <w:pPr>
              <w:rPr>
                <w:color w:val="000000"/>
                <w:sz w:val="20"/>
                <w:szCs w:val="20"/>
              </w:rPr>
            </w:pPr>
            <w:r>
              <w:rPr>
                <w:color w:val="000000"/>
                <w:sz w:val="20"/>
                <w:szCs w:val="20"/>
              </w:rPr>
              <w:t>Canada</w:t>
            </w:r>
          </w:p>
        </w:tc>
        <w:tc>
          <w:tcPr>
            <w:tcW w:w="50" w:type="pct"/>
            <w:tcMar>
              <w:top w:w="5" w:type="dxa"/>
              <w:left w:w="5" w:type="dxa"/>
              <w:bottom w:w="5" w:type="dxa"/>
              <w:right w:w="5" w:type="dxa"/>
            </w:tcMar>
            <w:vAlign w:val="bottom"/>
            <w:hideMark/>
          </w:tcPr>
          <w:p w14:paraId="68325527"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DF9B6D2"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FE78795" w14:textId="77777777" w:rsidR="00954279" w:rsidRDefault="00A66714">
            <w:pPr>
              <w:jc w:val="right"/>
              <w:rPr>
                <w:color w:val="000000"/>
                <w:sz w:val="20"/>
                <w:szCs w:val="20"/>
              </w:rPr>
            </w:pPr>
            <w:r>
              <w:rPr>
                <w:b/>
                <w:bCs/>
                <w:color w:val="000000"/>
                <w:sz w:val="20"/>
                <w:szCs w:val="20"/>
              </w:rPr>
              <w:t>30</w:t>
            </w:r>
          </w:p>
        </w:tc>
        <w:tc>
          <w:tcPr>
            <w:tcW w:w="50" w:type="pct"/>
            <w:noWrap/>
            <w:tcMar>
              <w:top w:w="5" w:type="dxa"/>
              <w:left w:w="5" w:type="dxa"/>
              <w:bottom w:w="5" w:type="dxa"/>
              <w:right w:w="5" w:type="dxa"/>
            </w:tcMar>
            <w:vAlign w:val="bottom"/>
            <w:hideMark/>
          </w:tcPr>
          <w:p w14:paraId="10492B2F"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20A6B8F"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4CD43B6"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1AB7323" w14:textId="77777777" w:rsidR="00954279" w:rsidRDefault="00A66714">
            <w:pPr>
              <w:jc w:val="right"/>
              <w:rPr>
                <w:color w:val="000000"/>
                <w:sz w:val="20"/>
                <w:szCs w:val="20"/>
              </w:rPr>
            </w:pPr>
            <w:r>
              <w:rPr>
                <w:color w:val="000000"/>
                <w:sz w:val="20"/>
                <w:szCs w:val="20"/>
              </w:rPr>
              <w:t>28</w:t>
            </w:r>
          </w:p>
        </w:tc>
        <w:tc>
          <w:tcPr>
            <w:tcW w:w="50" w:type="pct"/>
            <w:noWrap/>
            <w:tcMar>
              <w:top w:w="5" w:type="dxa"/>
              <w:left w:w="5" w:type="dxa"/>
              <w:bottom w:w="5" w:type="dxa"/>
              <w:right w:w="5" w:type="dxa"/>
            </w:tcMar>
            <w:vAlign w:val="bottom"/>
            <w:hideMark/>
          </w:tcPr>
          <w:p w14:paraId="796CCD4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E0BBBD0"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330FC33"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947D7A5" w14:textId="77777777" w:rsidR="00954279" w:rsidRDefault="00A66714">
            <w:pPr>
              <w:jc w:val="right"/>
              <w:rPr>
                <w:color w:val="000000"/>
                <w:sz w:val="20"/>
                <w:szCs w:val="20"/>
              </w:rPr>
            </w:pPr>
            <w:r>
              <w:rPr>
                <w:color w:val="000000"/>
                <w:sz w:val="20"/>
                <w:szCs w:val="20"/>
              </w:rPr>
              <w:t>2</w:t>
            </w:r>
          </w:p>
        </w:tc>
        <w:tc>
          <w:tcPr>
            <w:tcW w:w="50" w:type="pct"/>
            <w:noWrap/>
            <w:tcMar>
              <w:top w:w="5" w:type="dxa"/>
              <w:left w:w="5" w:type="dxa"/>
              <w:bottom w:w="5" w:type="dxa"/>
              <w:right w:w="5" w:type="dxa"/>
            </w:tcMar>
            <w:vAlign w:val="bottom"/>
            <w:hideMark/>
          </w:tcPr>
          <w:p w14:paraId="24288161"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0F825B2"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ACAE27D"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45F95DA" w14:textId="77777777" w:rsidR="00954279" w:rsidRDefault="00A66714">
            <w:pPr>
              <w:jc w:val="right"/>
              <w:rPr>
                <w:color w:val="000000"/>
                <w:sz w:val="20"/>
                <w:szCs w:val="20"/>
              </w:rPr>
            </w:pPr>
            <w:r>
              <w:rPr>
                <w:color w:val="000000"/>
                <w:sz w:val="20"/>
                <w:szCs w:val="20"/>
              </w:rPr>
              <w:t>7</w:t>
            </w:r>
          </w:p>
        </w:tc>
        <w:tc>
          <w:tcPr>
            <w:tcW w:w="50" w:type="pct"/>
            <w:noWrap/>
            <w:tcMar>
              <w:top w:w="5" w:type="dxa"/>
              <w:left w:w="5" w:type="dxa"/>
              <w:bottom w:w="5" w:type="dxa"/>
              <w:right w:w="5" w:type="dxa"/>
            </w:tcMar>
            <w:vAlign w:val="bottom"/>
            <w:hideMark/>
          </w:tcPr>
          <w:p w14:paraId="020487C4" w14:textId="77777777" w:rsidR="00954279" w:rsidRDefault="00A66714">
            <w:pPr>
              <w:rPr>
                <w:color w:val="000000"/>
                <w:sz w:val="20"/>
                <w:szCs w:val="20"/>
              </w:rPr>
            </w:pPr>
            <w:r>
              <w:rPr>
                <w:color w:val="000000"/>
                <w:sz w:val="20"/>
                <w:szCs w:val="20"/>
              </w:rPr>
              <w:t>%</w:t>
            </w:r>
          </w:p>
        </w:tc>
      </w:tr>
      <w:tr w:rsidR="00954279" w14:paraId="0FB558C5" w14:textId="77777777">
        <w:tc>
          <w:tcPr>
            <w:tcW w:w="0" w:type="auto"/>
            <w:tcMar>
              <w:top w:w="5" w:type="dxa"/>
              <w:left w:w="5" w:type="dxa"/>
              <w:bottom w:w="5" w:type="dxa"/>
              <w:right w:w="5" w:type="dxa"/>
            </w:tcMar>
            <w:vAlign w:val="bottom"/>
            <w:hideMark/>
          </w:tcPr>
          <w:p w14:paraId="60A7731D" w14:textId="77777777" w:rsidR="00954279" w:rsidRDefault="00A66714">
            <w:pPr>
              <w:rPr>
                <w:color w:val="000000"/>
                <w:sz w:val="20"/>
                <w:szCs w:val="20"/>
              </w:rPr>
            </w:pPr>
            <w:r>
              <w:rPr>
                <w:color w:val="000000"/>
                <w:sz w:val="20"/>
                <w:szCs w:val="20"/>
              </w:rPr>
              <w:t>International</w:t>
            </w:r>
          </w:p>
        </w:tc>
        <w:tc>
          <w:tcPr>
            <w:tcW w:w="50" w:type="pct"/>
            <w:tcMar>
              <w:top w:w="5" w:type="dxa"/>
              <w:left w:w="5" w:type="dxa"/>
              <w:bottom w:w="5" w:type="dxa"/>
              <w:right w:w="5" w:type="dxa"/>
            </w:tcMar>
            <w:vAlign w:val="bottom"/>
            <w:hideMark/>
          </w:tcPr>
          <w:p w14:paraId="12F806DC"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02BE443"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3EE0BCFA" w14:textId="77777777" w:rsidR="00954279" w:rsidRDefault="00A66714">
            <w:pPr>
              <w:jc w:val="right"/>
              <w:rPr>
                <w:color w:val="000000"/>
                <w:sz w:val="20"/>
                <w:szCs w:val="20"/>
              </w:rPr>
            </w:pPr>
            <w:r>
              <w:rPr>
                <w:b/>
                <w:bCs/>
                <w:color w:val="000000"/>
                <w:sz w:val="20"/>
                <w:szCs w:val="20"/>
              </w:rPr>
              <w:t>98</w:t>
            </w:r>
          </w:p>
        </w:tc>
        <w:tc>
          <w:tcPr>
            <w:tcW w:w="50" w:type="pct"/>
            <w:noWrap/>
            <w:tcMar>
              <w:top w:w="5" w:type="dxa"/>
              <w:left w:w="5" w:type="dxa"/>
              <w:bottom w:w="20" w:type="dxa"/>
              <w:right w:w="5" w:type="dxa"/>
            </w:tcMar>
            <w:vAlign w:val="bottom"/>
            <w:hideMark/>
          </w:tcPr>
          <w:p w14:paraId="4EBE861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E2B97FD"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972D179"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74DB05DE" w14:textId="77777777" w:rsidR="00954279" w:rsidRDefault="00A66714">
            <w:pPr>
              <w:jc w:val="right"/>
              <w:rPr>
                <w:color w:val="000000"/>
                <w:sz w:val="20"/>
                <w:szCs w:val="20"/>
              </w:rPr>
            </w:pPr>
            <w:r>
              <w:rPr>
                <w:color w:val="000000"/>
                <w:sz w:val="20"/>
                <w:szCs w:val="20"/>
              </w:rPr>
              <w:t>100</w:t>
            </w:r>
          </w:p>
        </w:tc>
        <w:tc>
          <w:tcPr>
            <w:tcW w:w="50" w:type="pct"/>
            <w:noWrap/>
            <w:tcMar>
              <w:top w:w="5" w:type="dxa"/>
              <w:left w:w="5" w:type="dxa"/>
              <w:bottom w:w="20" w:type="dxa"/>
              <w:right w:w="5" w:type="dxa"/>
            </w:tcMar>
            <w:vAlign w:val="bottom"/>
            <w:hideMark/>
          </w:tcPr>
          <w:p w14:paraId="117CF99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2806EC7"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4267601"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2289B033" w14:textId="77777777" w:rsidR="00954279" w:rsidRDefault="00A66714">
            <w:pPr>
              <w:jc w:val="right"/>
              <w:rPr>
                <w:color w:val="000000"/>
                <w:sz w:val="20"/>
                <w:szCs w:val="20"/>
              </w:rPr>
            </w:pPr>
            <w:r>
              <w:rPr>
                <w:color w:val="000000"/>
                <w:sz w:val="20"/>
                <w:szCs w:val="20"/>
              </w:rPr>
              <w:t>(2</w:t>
            </w:r>
          </w:p>
        </w:tc>
        <w:tc>
          <w:tcPr>
            <w:tcW w:w="50" w:type="pct"/>
            <w:noWrap/>
            <w:tcMar>
              <w:top w:w="5" w:type="dxa"/>
              <w:left w:w="5" w:type="dxa"/>
              <w:bottom w:w="20" w:type="dxa"/>
              <w:right w:w="5" w:type="dxa"/>
            </w:tcMar>
            <w:vAlign w:val="bottom"/>
            <w:hideMark/>
          </w:tcPr>
          <w:p w14:paraId="173968F9"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107CE723"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2BBD28E"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A8944D7" w14:textId="77777777" w:rsidR="00954279" w:rsidRDefault="00A66714">
            <w:pPr>
              <w:jc w:val="right"/>
              <w:rPr>
                <w:color w:val="000000"/>
                <w:sz w:val="20"/>
                <w:szCs w:val="20"/>
              </w:rPr>
            </w:pPr>
            <w:r>
              <w:rPr>
                <w:color w:val="000000"/>
                <w:sz w:val="20"/>
                <w:szCs w:val="20"/>
              </w:rPr>
              <w:t>(2</w:t>
            </w:r>
          </w:p>
        </w:tc>
        <w:tc>
          <w:tcPr>
            <w:tcW w:w="50" w:type="pct"/>
            <w:noWrap/>
            <w:tcMar>
              <w:top w:w="5" w:type="dxa"/>
              <w:left w:w="5" w:type="dxa"/>
              <w:bottom w:w="5" w:type="dxa"/>
              <w:right w:w="5" w:type="dxa"/>
            </w:tcMar>
            <w:vAlign w:val="bottom"/>
            <w:hideMark/>
          </w:tcPr>
          <w:p w14:paraId="1F22A8E0" w14:textId="77777777" w:rsidR="00954279" w:rsidRDefault="00A66714">
            <w:pPr>
              <w:rPr>
                <w:color w:val="000000"/>
                <w:sz w:val="20"/>
                <w:szCs w:val="20"/>
              </w:rPr>
            </w:pPr>
            <w:r>
              <w:rPr>
                <w:color w:val="000000"/>
                <w:sz w:val="20"/>
                <w:szCs w:val="20"/>
              </w:rPr>
              <w:t>)%</w:t>
            </w:r>
          </w:p>
        </w:tc>
      </w:tr>
      <w:tr w:rsidR="00954279" w14:paraId="10FF8679" w14:textId="77777777">
        <w:tc>
          <w:tcPr>
            <w:tcW w:w="0" w:type="auto"/>
            <w:tcMar>
              <w:top w:w="5" w:type="dxa"/>
              <w:left w:w="5" w:type="dxa"/>
              <w:bottom w:w="5" w:type="dxa"/>
              <w:right w:w="5" w:type="dxa"/>
            </w:tcMar>
            <w:vAlign w:val="bottom"/>
            <w:hideMark/>
          </w:tcPr>
          <w:p w14:paraId="3B1B244E" w14:textId="77777777" w:rsidR="00954279" w:rsidRDefault="00A66714">
            <w:pPr>
              <w:ind w:left="180"/>
              <w:rPr>
                <w:color w:val="000000"/>
                <w:sz w:val="20"/>
                <w:szCs w:val="20"/>
              </w:rPr>
            </w:pPr>
            <w:r>
              <w:rPr>
                <w:color w:val="000000"/>
                <w:sz w:val="20"/>
                <w:szCs w:val="20"/>
              </w:rPr>
              <w:t>Consolidated</w:t>
            </w:r>
          </w:p>
        </w:tc>
        <w:tc>
          <w:tcPr>
            <w:tcW w:w="50" w:type="pct"/>
            <w:tcMar>
              <w:top w:w="5" w:type="dxa"/>
              <w:left w:w="5" w:type="dxa"/>
              <w:bottom w:w="5" w:type="dxa"/>
              <w:right w:w="5" w:type="dxa"/>
            </w:tcMar>
            <w:vAlign w:val="bottom"/>
            <w:hideMark/>
          </w:tcPr>
          <w:p w14:paraId="1B4C9AA8"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4D5DC19"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7B698657" w14:textId="77777777" w:rsidR="00954279" w:rsidRDefault="00A66714">
            <w:pPr>
              <w:jc w:val="right"/>
              <w:rPr>
                <w:color w:val="000000"/>
                <w:sz w:val="20"/>
                <w:szCs w:val="20"/>
              </w:rPr>
            </w:pPr>
            <w:r>
              <w:rPr>
                <w:b/>
                <w:bCs/>
                <w:color w:val="000000"/>
                <w:sz w:val="20"/>
                <w:szCs w:val="20"/>
              </w:rPr>
              <w:t>686</w:t>
            </w:r>
          </w:p>
        </w:tc>
        <w:tc>
          <w:tcPr>
            <w:tcW w:w="50" w:type="pct"/>
            <w:noWrap/>
            <w:tcMar>
              <w:top w:w="5" w:type="dxa"/>
              <w:left w:w="5" w:type="dxa"/>
              <w:bottom w:w="50" w:type="dxa"/>
              <w:right w:w="5" w:type="dxa"/>
            </w:tcMar>
            <w:vAlign w:val="bottom"/>
            <w:hideMark/>
          </w:tcPr>
          <w:p w14:paraId="1A53C0F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A1E022C"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C4607F0"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75AB2D45" w14:textId="77777777" w:rsidR="00954279" w:rsidRDefault="00A66714">
            <w:pPr>
              <w:jc w:val="right"/>
              <w:rPr>
                <w:color w:val="000000"/>
                <w:sz w:val="20"/>
                <w:szCs w:val="20"/>
              </w:rPr>
            </w:pPr>
            <w:r>
              <w:rPr>
                <w:color w:val="000000"/>
                <w:sz w:val="20"/>
                <w:szCs w:val="20"/>
              </w:rPr>
              <w:t>602</w:t>
            </w:r>
          </w:p>
        </w:tc>
        <w:tc>
          <w:tcPr>
            <w:tcW w:w="50" w:type="pct"/>
            <w:noWrap/>
            <w:tcMar>
              <w:top w:w="5" w:type="dxa"/>
              <w:left w:w="5" w:type="dxa"/>
              <w:bottom w:w="50" w:type="dxa"/>
              <w:right w:w="5" w:type="dxa"/>
            </w:tcMar>
            <w:vAlign w:val="bottom"/>
            <w:hideMark/>
          </w:tcPr>
          <w:p w14:paraId="42F49AEA"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CE7DDBF"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632C0F4"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04211EF2" w14:textId="77777777" w:rsidR="00954279" w:rsidRDefault="00A66714">
            <w:pPr>
              <w:jc w:val="right"/>
              <w:rPr>
                <w:color w:val="000000"/>
                <w:sz w:val="20"/>
                <w:szCs w:val="20"/>
              </w:rPr>
            </w:pPr>
            <w:r>
              <w:rPr>
                <w:color w:val="000000"/>
                <w:sz w:val="20"/>
                <w:szCs w:val="20"/>
              </w:rPr>
              <w:t>84</w:t>
            </w:r>
          </w:p>
        </w:tc>
        <w:tc>
          <w:tcPr>
            <w:tcW w:w="50" w:type="pct"/>
            <w:noWrap/>
            <w:tcMar>
              <w:top w:w="5" w:type="dxa"/>
              <w:left w:w="5" w:type="dxa"/>
              <w:bottom w:w="50" w:type="dxa"/>
              <w:right w:w="5" w:type="dxa"/>
            </w:tcMar>
            <w:vAlign w:val="bottom"/>
            <w:hideMark/>
          </w:tcPr>
          <w:p w14:paraId="05ACD647"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2A50349"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F7BE8C7"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F9DEB4A" w14:textId="77777777" w:rsidR="00954279" w:rsidRDefault="00A66714">
            <w:pPr>
              <w:jc w:val="right"/>
              <w:rPr>
                <w:color w:val="000000"/>
                <w:sz w:val="20"/>
                <w:szCs w:val="20"/>
              </w:rPr>
            </w:pPr>
            <w:r>
              <w:rPr>
                <w:color w:val="000000"/>
                <w:sz w:val="20"/>
                <w:szCs w:val="20"/>
              </w:rPr>
              <w:t>14</w:t>
            </w:r>
          </w:p>
        </w:tc>
        <w:tc>
          <w:tcPr>
            <w:tcW w:w="50" w:type="pct"/>
            <w:noWrap/>
            <w:tcMar>
              <w:top w:w="5" w:type="dxa"/>
              <w:left w:w="5" w:type="dxa"/>
              <w:bottom w:w="5" w:type="dxa"/>
              <w:right w:w="5" w:type="dxa"/>
            </w:tcMar>
            <w:vAlign w:val="bottom"/>
            <w:hideMark/>
          </w:tcPr>
          <w:p w14:paraId="18585D49" w14:textId="77777777" w:rsidR="00954279" w:rsidRDefault="00A66714">
            <w:pPr>
              <w:rPr>
                <w:color w:val="000000"/>
                <w:sz w:val="20"/>
                <w:szCs w:val="20"/>
              </w:rPr>
            </w:pPr>
            <w:r>
              <w:rPr>
                <w:color w:val="000000"/>
                <w:sz w:val="20"/>
                <w:szCs w:val="20"/>
              </w:rPr>
              <w:t>%</w:t>
            </w:r>
          </w:p>
        </w:tc>
      </w:tr>
      <w:tr w:rsidR="00954279" w14:paraId="505018DE" w14:textId="77777777">
        <w:tc>
          <w:tcPr>
            <w:tcW w:w="0" w:type="auto"/>
            <w:tcMar>
              <w:top w:w="5" w:type="dxa"/>
              <w:left w:w="5" w:type="dxa"/>
              <w:bottom w:w="5" w:type="dxa"/>
              <w:right w:w="5" w:type="dxa"/>
            </w:tcMar>
            <w:vAlign w:val="bottom"/>
            <w:hideMark/>
          </w:tcPr>
          <w:p w14:paraId="35D6985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49F06E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3D9198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AB4ED5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A01FD4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95E11A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8D8792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3ADAC0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8AE86D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A77428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C3F912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DB05EC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23101C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D1E61C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199B60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0E9274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B957903" w14:textId="77777777" w:rsidR="00954279" w:rsidRDefault="00A66714">
            <w:pPr>
              <w:rPr>
                <w:color w:val="000000"/>
                <w:sz w:val="20"/>
                <w:szCs w:val="20"/>
              </w:rPr>
            </w:pPr>
            <w:r>
              <w:rPr>
                <w:color w:val="000000"/>
                <w:sz w:val="20"/>
                <w:szCs w:val="20"/>
              </w:rPr>
              <w:t> </w:t>
            </w:r>
          </w:p>
        </w:tc>
      </w:tr>
      <w:tr w:rsidR="00954279" w14:paraId="26485B65" w14:textId="77777777">
        <w:tc>
          <w:tcPr>
            <w:tcW w:w="0" w:type="auto"/>
            <w:tcMar>
              <w:top w:w="5" w:type="dxa"/>
              <w:left w:w="5" w:type="dxa"/>
              <w:bottom w:w="5" w:type="dxa"/>
              <w:right w:w="5" w:type="dxa"/>
            </w:tcMar>
            <w:vAlign w:val="bottom"/>
            <w:hideMark/>
          </w:tcPr>
          <w:p w14:paraId="2BD6E001" w14:textId="77777777" w:rsidR="00954279" w:rsidRDefault="00A66714">
            <w:pPr>
              <w:rPr>
                <w:color w:val="000000"/>
                <w:sz w:val="20"/>
                <w:szCs w:val="20"/>
              </w:rPr>
            </w:pPr>
            <w:r>
              <w:rPr>
                <w:i/>
                <w:iCs/>
                <w:color w:val="000000"/>
                <w:sz w:val="20"/>
                <w:szCs w:val="20"/>
              </w:rPr>
              <w:t>Operating income (loss):</w:t>
            </w:r>
          </w:p>
        </w:tc>
        <w:tc>
          <w:tcPr>
            <w:tcW w:w="0" w:type="auto"/>
            <w:tcMar>
              <w:top w:w="5" w:type="dxa"/>
              <w:left w:w="5" w:type="dxa"/>
              <w:bottom w:w="5" w:type="dxa"/>
              <w:right w:w="5" w:type="dxa"/>
            </w:tcMar>
            <w:vAlign w:val="bottom"/>
            <w:hideMark/>
          </w:tcPr>
          <w:p w14:paraId="6D5C5AA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B0EC62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0D3DDC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AF08D9C" w14:textId="77777777" w:rsidR="00954279" w:rsidRDefault="00A66714">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297583D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C4FDE2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F0A01C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DF28B40" w14:textId="77777777" w:rsidR="00954279" w:rsidRDefault="00A66714">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5CD5084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3ABEA6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54C645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EB2E978" w14:textId="77777777" w:rsidR="00954279" w:rsidRDefault="00A66714">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30B3AEC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8460BB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23D825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CBE296E" w14:textId="77777777" w:rsidR="00954279" w:rsidRDefault="00A66714">
            <w:pPr>
              <w:rPr>
                <w:color w:val="000000"/>
                <w:sz w:val="20"/>
                <w:szCs w:val="20"/>
              </w:rPr>
            </w:pPr>
            <w:r>
              <w:rPr>
                <w:i/>
                <w:iCs/>
                <w:color w:val="000000"/>
                <w:sz w:val="20"/>
                <w:szCs w:val="20"/>
              </w:rPr>
              <w:t> </w:t>
            </w:r>
          </w:p>
        </w:tc>
      </w:tr>
      <w:tr w:rsidR="00954279" w14:paraId="5D5ED246" w14:textId="77777777">
        <w:tc>
          <w:tcPr>
            <w:tcW w:w="0" w:type="auto"/>
            <w:tcMar>
              <w:top w:w="5" w:type="dxa"/>
              <w:left w:w="5" w:type="dxa"/>
              <w:bottom w:w="5" w:type="dxa"/>
              <w:right w:w="5" w:type="dxa"/>
            </w:tcMar>
            <w:vAlign w:val="bottom"/>
            <w:hideMark/>
          </w:tcPr>
          <w:p w14:paraId="40E7040A" w14:textId="77777777" w:rsidR="00954279" w:rsidRDefault="00A66714">
            <w:pPr>
              <w:rPr>
                <w:color w:val="000000"/>
                <w:sz w:val="20"/>
                <w:szCs w:val="20"/>
              </w:rPr>
            </w:pPr>
            <w:r>
              <w:rPr>
                <w:color w:val="000000"/>
                <w:sz w:val="20"/>
                <w:szCs w:val="20"/>
              </w:rPr>
              <w:t>U.S.</w:t>
            </w:r>
          </w:p>
        </w:tc>
        <w:tc>
          <w:tcPr>
            <w:tcW w:w="50" w:type="pct"/>
            <w:tcMar>
              <w:top w:w="5" w:type="dxa"/>
              <w:left w:w="5" w:type="dxa"/>
              <w:bottom w:w="5" w:type="dxa"/>
              <w:right w:w="5" w:type="dxa"/>
            </w:tcMar>
            <w:vAlign w:val="bottom"/>
            <w:hideMark/>
          </w:tcPr>
          <w:p w14:paraId="7992BF02"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DB6A598"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32FB610E" w14:textId="77777777" w:rsidR="00954279" w:rsidRDefault="00A66714">
            <w:pPr>
              <w:jc w:val="right"/>
              <w:rPr>
                <w:color w:val="000000"/>
                <w:sz w:val="20"/>
                <w:szCs w:val="20"/>
              </w:rPr>
            </w:pPr>
            <w:r>
              <w:rPr>
                <w:b/>
                <w:bCs/>
                <w:color w:val="000000"/>
                <w:sz w:val="20"/>
                <w:szCs w:val="20"/>
              </w:rPr>
              <w:t>7</w:t>
            </w:r>
          </w:p>
        </w:tc>
        <w:tc>
          <w:tcPr>
            <w:tcW w:w="50" w:type="pct"/>
            <w:noWrap/>
            <w:tcMar>
              <w:top w:w="5" w:type="dxa"/>
              <w:left w:w="5" w:type="dxa"/>
              <w:bottom w:w="5" w:type="dxa"/>
              <w:right w:w="5" w:type="dxa"/>
            </w:tcMar>
            <w:vAlign w:val="bottom"/>
            <w:hideMark/>
          </w:tcPr>
          <w:p w14:paraId="70C72FB3"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47DC929"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89AE95D"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39F7427E" w14:textId="77777777" w:rsidR="00954279" w:rsidRDefault="00A66714">
            <w:pPr>
              <w:jc w:val="right"/>
              <w:rPr>
                <w:color w:val="000000"/>
                <w:sz w:val="20"/>
                <w:szCs w:val="20"/>
              </w:rPr>
            </w:pPr>
            <w:r>
              <w:rPr>
                <w:color w:val="000000"/>
                <w:sz w:val="20"/>
                <w:szCs w:val="20"/>
              </w:rPr>
              <w:t>(226</w:t>
            </w:r>
          </w:p>
        </w:tc>
        <w:tc>
          <w:tcPr>
            <w:tcW w:w="50" w:type="pct"/>
            <w:noWrap/>
            <w:tcMar>
              <w:top w:w="5" w:type="dxa"/>
              <w:left w:w="5" w:type="dxa"/>
              <w:bottom w:w="5" w:type="dxa"/>
              <w:right w:w="5" w:type="dxa"/>
            </w:tcMar>
            <w:vAlign w:val="bottom"/>
            <w:hideMark/>
          </w:tcPr>
          <w:p w14:paraId="5DBEADF8"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7724E6E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DBADD4B"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64C87B0F" w14:textId="77777777" w:rsidR="00954279" w:rsidRDefault="00A66714">
            <w:pPr>
              <w:jc w:val="right"/>
              <w:rPr>
                <w:color w:val="000000"/>
                <w:sz w:val="20"/>
                <w:szCs w:val="20"/>
              </w:rPr>
            </w:pPr>
            <w:r>
              <w:rPr>
                <w:color w:val="000000"/>
                <w:sz w:val="20"/>
                <w:szCs w:val="20"/>
              </w:rPr>
              <w:t>233</w:t>
            </w:r>
          </w:p>
        </w:tc>
        <w:tc>
          <w:tcPr>
            <w:tcW w:w="50" w:type="pct"/>
            <w:noWrap/>
            <w:tcMar>
              <w:top w:w="5" w:type="dxa"/>
              <w:left w:w="5" w:type="dxa"/>
              <w:bottom w:w="5" w:type="dxa"/>
              <w:right w:w="5" w:type="dxa"/>
            </w:tcMar>
            <w:vAlign w:val="bottom"/>
            <w:hideMark/>
          </w:tcPr>
          <w:p w14:paraId="7A25CF1A"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78724CA"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69B151A"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685575D" w14:textId="77777777" w:rsidR="00954279" w:rsidRDefault="00A66714">
            <w:pPr>
              <w:jc w:val="right"/>
              <w:rPr>
                <w:color w:val="000000"/>
                <w:sz w:val="20"/>
                <w:szCs w:val="20"/>
              </w:rPr>
            </w:pPr>
            <w:r>
              <w:rPr>
                <w:color w:val="000000"/>
                <w:sz w:val="20"/>
                <w:szCs w:val="20"/>
              </w:rPr>
              <w:t>N/M</w:t>
            </w:r>
          </w:p>
        </w:tc>
        <w:tc>
          <w:tcPr>
            <w:tcW w:w="50" w:type="pct"/>
            <w:noWrap/>
            <w:tcMar>
              <w:top w:w="5" w:type="dxa"/>
              <w:left w:w="5" w:type="dxa"/>
              <w:bottom w:w="5" w:type="dxa"/>
              <w:right w:w="5" w:type="dxa"/>
            </w:tcMar>
            <w:vAlign w:val="bottom"/>
            <w:hideMark/>
          </w:tcPr>
          <w:p w14:paraId="74759194" w14:textId="77777777" w:rsidR="00954279" w:rsidRDefault="00A66714">
            <w:pPr>
              <w:rPr>
                <w:color w:val="000000"/>
                <w:sz w:val="20"/>
                <w:szCs w:val="20"/>
              </w:rPr>
            </w:pPr>
            <w:r>
              <w:rPr>
                <w:color w:val="000000"/>
                <w:sz w:val="20"/>
                <w:szCs w:val="20"/>
              </w:rPr>
              <w:t> </w:t>
            </w:r>
          </w:p>
        </w:tc>
      </w:tr>
      <w:tr w:rsidR="00954279" w14:paraId="31B3C269" w14:textId="77777777">
        <w:tc>
          <w:tcPr>
            <w:tcW w:w="0" w:type="auto"/>
            <w:tcMar>
              <w:top w:w="5" w:type="dxa"/>
              <w:left w:w="5" w:type="dxa"/>
              <w:bottom w:w="5" w:type="dxa"/>
              <w:right w:w="5" w:type="dxa"/>
            </w:tcMar>
            <w:vAlign w:val="bottom"/>
            <w:hideMark/>
          </w:tcPr>
          <w:p w14:paraId="19B5BCD8" w14:textId="77777777" w:rsidR="00954279" w:rsidRDefault="00A66714">
            <w:pPr>
              <w:rPr>
                <w:color w:val="000000"/>
                <w:sz w:val="20"/>
                <w:szCs w:val="20"/>
              </w:rPr>
            </w:pPr>
            <w:r>
              <w:rPr>
                <w:color w:val="000000"/>
                <w:sz w:val="20"/>
                <w:szCs w:val="20"/>
              </w:rPr>
              <w:t>Canada</w:t>
            </w:r>
          </w:p>
        </w:tc>
        <w:tc>
          <w:tcPr>
            <w:tcW w:w="50" w:type="pct"/>
            <w:tcMar>
              <w:top w:w="5" w:type="dxa"/>
              <w:left w:w="5" w:type="dxa"/>
              <w:bottom w:w="5" w:type="dxa"/>
              <w:right w:w="5" w:type="dxa"/>
            </w:tcMar>
            <w:vAlign w:val="bottom"/>
            <w:hideMark/>
          </w:tcPr>
          <w:p w14:paraId="6C1A762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E3354D0"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24994A5" w14:textId="77777777" w:rsidR="00954279" w:rsidRDefault="00A66714">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7BD832B0"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01D8558"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7916119"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F46FE03" w14:textId="77777777" w:rsidR="00954279" w:rsidRDefault="00A66714">
            <w:pPr>
              <w:jc w:val="right"/>
              <w:rPr>
                <w:color w:val="000000"/>
                <w:sz w:val="20"/>
                <w:szCs w:val="20"/>
              </w:rPr>
            </w:pPr>
            <w:r>
              <w:rPr>
                <w:color w:val="000000"/>
                <w:sz w:val="20"/>
                <w:szCs w:val="20"/>
              </w:rPr>
              <w:t>(2</w:t>
            </w:r>
          </w:p>
        </w:tc>
        <w:tc>
          <w:tcPr>
            <w:tcW w:w="50" w:type="pct"/>
            <w:noWrap/>
            <w:tcMar>
              <w:top w:w="5" w:type="dxa"/>
              <w:left w:w="5" w:type="dxa"/>
              <w:bottom w:w="5" w:type="dxa"/>
              <w:right w:w="5" w:type="dxa"/>
            </w:tcMar>
            <w:vAlign w:val="bottom"/>
            <w:hideMark/>
          </w:tcPr>
          <w:p w14:paraId="018B6B5F"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5CA2CA6A"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C3C3978"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D75AAA7" w14:textId="77777777" w:rsidR="00954279" w:rsidRDefault="00A66714">
            <w:pPr>
              <w:jc w:val="right"/>
              <w:rPr>
                <w:color w:val="000000"/>
                <w:sz w:val="20"/>
                <w:szCs w:val="20"/>
              </w:rPr>
            </w:pPr>
            <w:r>
              <w:rPr>
                <w:color w:val="000000"/>
                <w:sz w:val="20"/>
                <w:szCs w:val="20"/>
              </w:rPr>
              <w:t>2</w:t>
            </w:r>
          </w:p>
        </w:tc>
        <w:tc>
          <w:tcPr>
            <w:tcW w:w="50" w:type="pct"/>
            <w:noWrap/>
            <w:tcMar>
              <w:top w:w="5" w:type="dxa"/>
              <w:left w:w="5" w:type="dxa"/>
              <w:bottom w:w="5" w:type="dxa"/>
              <w:right w:w="5" w:type="dxa"/>
            </w:tcMar>
            <w:vAlign w:val="bottom"/>
            <w:hideMark/>
          </w:tcPr>
          <w:p w14:paraId="06209E77"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C6BEDE2"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391C8D9"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AD30D31" w14:textId="77777777" w:rsidR="00954279" w:rsidRDefault="00A66714">
            <w:pPr>
              <w:jc w:val="right"/>
              <w:rPr>
                <w:color w:val="000000"/>
                <w:sz w:val="20"/>
                <w:szCs w:val="20"/>
              </w:rPr>
            </w:pPr>
            <w:r>
              <w:rPr>
                <w:color w:val="000000"/>
                <w:sz w:val="20"/>
                <w:szCs w:val="20"/>
              </w:rPr>
              <w:t>N/M</w:t>
            </w:r>
          </w:p>
        </w:tc>
        <w:tc>
          <w:tcPr>
            <w:tcW w:w="50" w:type="pct"/>
            <w:noWrap/>
            <w:tcMar>
              <w:top w:w="5" w:type="dxa"/>
              <w:left w:w="5" w:type="dxa"/>
              <w:bottom w:w="5" w:type="dxa"/>
              <w:right w:w="5" w:type="dxa"/>
            </w:tcMar>
            <w:vAlign w:val="bottom"/>
            <w:hideMark/>
          </w:tcPr>
          <w:p w14:paraId="1DADDAE8" w14:textId="77777777" w:rsidR="00954279" w:rsidRDefault="00A66714">
            <w:pPr>
              <w:rPr>
                <w:color w:val="000000"/>
                <w:sz w:val="20"/>
                <w:szCs w:val="20"/>
              </w:rPr>
            </w:pPr>
            <w:r>
              <w:rPr>
                <w:color w:val="000000"/>
                <w:sz w:val="20"/>
                <w:szCs w:val="20"/>
              </w:rPr>
              <w:t> </w:t>
            </w:r>
          </w:p>
        </w:tc>
      </w:tr>
      <w:tr w:rsidR="00954279" w14:paraId="2D1BFDB1" w14:textId="77777777">
        <w:tc>
          <w:tcPr>
            <w:tcW w:w="0" w:type="auto"/>
            <w:tcMar>
              <w:top w:w="5" w:type="dxa"/>
              <w:left w:w="5" w:type="dxa"/>
              <w:bottom w:w="5" w:type="dxa"/>
              <w:right w:w="5" w:type="dxa"/>
            </w:tcMar>
            <w:vAlign w:val="bottom"/>
            <w:hideMark/>
          </w:tcPr>
          <w:p w14:paraId="5835FE99" w14:textId="77777777" w:rsidR="00954279" w:rsidRDefault="00A66714">
            <w:pPr>
              <w:rPr>
                <w:color w:val="000000"/>
                <w:sz w:val="20"/>
                <w:szCs w:val="20"/>
              </w:rPr>
            </w:pPr>
            <w:r>
              <w:rPr>
                <w:color w:val="000000"/>
                <w:sz w:val="20"/>
                <w:szCs w:val="20"/>
              </w:rPr>
              <w:t>International</w:t>
            </w:r>
          </w:p>
        </w:tc>
        <w:tc>
          <w:tcPr>
            <w:tcW w:w="50" w:type="pct"/>
            <w:tcMar>
              <w:top w:w="5" w:type="dxa"/>
              <w:left w:w="5" w:type="dxa"/>
              <w:bottom w:w="5" w:type="dxa"/>
              <w:right w:w="5" w:type="dxa"/>
            </w:tcMar>
            <w:vAlign w:val="bottom"/>
            <w:hideMark/>
          </w:tcPr>
          <w:p w14:paraId="2A752639"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B482F19"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4B43BC7B" w14:textId="77777777" w:rsidR="00954279" w:rsidRDefault="00A66714">
            <w:pPr>
              <w:jc w:val="right"/>
              <w:rPr>
                <w:color w:val="000000"/>
                <w:sz w:val="20"/>
                <w:szCs w:val="20"/>
              </w:rPr>
            </w:pPr>
            <w:r>
              <w:rPr>
                <w:b/>
                <w:bCs/>
                <w:color w:val="000000"/>
                <w:sz w:val="20"/>
                <w:szCs w:val="20"/>
              </w:rPr>
              <w:t>3</w:t>
            </w:r>
          </w:p>
        </w:tc>
        <w:tc>
          <w:tcPr>
            <w:tcW w:w="50" w:type="pct"/>
            <w:noWrap/>
            <w:tcMar>
              <w:top w:w="5" w:type="dxa"/>
              <w:left w:w="5" w:type="dxa"/>
              <w:bottom w:w="20" w:type="dxa"/>
              <w:right w:w="5" w:type="dxa"/>
            </w:tcMar>
            <w:vAlign w:val="bottom"/>
            <w:hideMark/>
          </w:tcPr>
          <w:p w14:paraId="00A291D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7C12F01"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9353406"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19199689" w14:textId="77777777" w:rsidR="00954279" w:rsidRDefault="00A66714">
            <w:pPr>
              <w:jc w:val="right"/>
              <w:rPr>
                <w:color w:val="000000"/>
                <w:sz w:val="20"/>
                <w:szCs w:val="20"/>
              </w:rPr>
            </w:pPr>
            <w:r>
              <w:rPr>
                <w:color w:val="000000"/>
                <w:sz w:val="20"/>
                <w:szCs w:val="20"/>
              </w:rPr>
              <w:t>(61</w:t>
            </w:r>
          </w:p>
        </w:tc>
        <w:tc>
          <w:tcPr>
            <w:tcW w:w="50" w:type="pct"/>
            <w:noWrap/>
            <w:tcMar>
              <w:top w:w="5" w:type="dxa"/>
              <w:left w:w="5" w:type="dxa"/>
              <w:bottom w:w="20" w:type="dxa"/>
              <w:right w:w="5" w:type="dxa"/>
            </w:tcMar>
            <w:vAlign w:val="bottom"/>
            <w:hideMark/>
          </w:tcPr>
          <w:p w14:paraId="05B0BCC5"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6846917A"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647F332"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4149CB5C" w14:textId="77777777" w:rsidR="00954279" w:rsidRDefault="00A66714">
            <w:pPr>
              <w:jc w:val="right"/>
              <w:rPr>
                <w:color w:val="000000"/>
                <w:sz w:val="20"/>
                <w:szCs w:val="20"/>
              </w:rPr>
            </w:pPr>
            <w:r>
              <w:rPr>
                <w:color w:val="000000"/>
                <w:sz w:val="20"/>
                <w:szCs w:val="20"/>
              </w:rPr>
              <w:t>64</w:t>
            </w:r>
          </w:p>
        </w:tc>
        <w:tc>
          <w:tcPr>
            <w:tcW w:w="50" w:type="pct"/>
            <w:noWrap/>
            <w:tcMar>
              <w:top w:w="5" w:type="dxa"/>
              <w:left w:w="5" w:type="dxa"/>
              <w:bottom w:w="20" w:type="dxa"/>
              <w:right w:w="5" w:type="dxa"/>
            </w:tcMar>
            <w:vAlign w:val="bottom"/>
            <w:hideMark/>
          </w:tcPr>
          <w:p w14:paraId="470B6E8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C9CE0CE"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969008C"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C46E029" w14:textId="77777777" w:rsidR="00954279" w:rsidRDefault="00A66714">
            <w:pPr>
              <w:jc w:val="right"/>
              <w:rPr>
                <w:color w:val="000000"/>
                <w:sz w:val="20"/>
                <w:szCs w:val="20"/>
              </w:rPr>
            </w:pPr>
            <w:r>
              <w:rPr>
                <w:color w:val="000000"/>
                <w:sz w:val="20"/>
                <w:szCs w:val="20"/>
              </w:rPr>
              <w:t>N/M</w:t>
            </w:r>
          </w:p>
        </w:tc>
        <w:tc>
          <w:tcPr>
            <w:tcW w:w="50" w:type="pct"/>
            <w:noWrap/>
            <w:tcMar>
              <w:top w:w="5" w:type="dxa"/>
              <w:left w:w="5" w:type="dxa"/>
              <w:bottom w:w="5" w:type="dxa"/>
              <w:right w:w="5" w:type="dxa"/>
            </w:tcMar>
            <w:vAlign w:val="bottom"/>
            <w:hideMark/>
          </w:tcPr>
          <w:p w14:paraId="261274EA" w14:textId="77777777" w:rsidR="00954279" w:rsidRDefault="00A66714">
            <w:pPr>
              <w:rPr>
                <w:color w:val="000000"/>
                <w:sz w:val="20"/>
                <w:szCs w:val="20"/>
              </w:rPr>
            </w:pPr>
            <w:r>
              <w:rPr>
                <w:color w:val="000000"/>
                <w:sz w:val="20"/>
                <w:szCs w:val="20"/>
              </w:rPr>
              <w:t> </w:t>
            </w:r>
          </w:p>
        </w:tc>
      </w:tr>
      <w:tr w:rsidR="00954279" w14:paraId="4F98C9E5" w14:textId="77777777">
        <w:tc>
          <w:tcPr>
            <w:tcW w:w="0" w:type="auto"/>
            <w:tcMar>
              <w:top w:w="5" w:type="dxa"/>
              <w:left w:w="5" w:type="dxa"/>
              <w:bottom w:w="5" w:type="dxa"/>
              <w:right w:w="5" w:type="dxa"/>
            </w:tcMar>
            <w:vAlign w:val="bottom"/>
            <w:hideMark/>
          </w:tcPr>
          <w:p w14:paraId="25E02A1F" w14:textId="77777777" w:rsidR="00954279" w:rsidRDefault="00A66714">
            <w:pPr>
              <w:ind w:left="180"/>
              <w:rPr>
                <w:color w:val="000000"/>
                <w:sz w:val="20"/>
                <w:szCs w:val="20"/>
              </w:rPr>
            </w:pPr>
            <w:r>
              <w:rPr>
                <w:color w:val="000000"/>
                <w:sz w:val="20"/>
                <w:szCs w:val="20"/>
              </w:rPr>
              <w:t>Consolidated</w:t>
            </w:r>
          </w:p>
        </w:tc>
        <w:tc>
          <w:tcPr>
            <w:tcW w:w="50" w:type="pct"/>
            <w:tcMar>
              <w:top w:w="5" w:type="dxa"/>
              <w:left w:w="5" w:type="dxa"/>
              <w:bottom w:w="5" w:type="dxa"/>
              <w:right w:w="5" w:type="dxa"/>
            </w:tcMar>
            <w:vAlign w:val="bottom"/>
            <w:hideMark/>
          </w:tcPr>
          <w:p w14:paraId="23BCB14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8EA4F68"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FF5155B" w14:textId="77777777" w:rsidR="00954279" w:rsidRDefault="00A66714">
            <w:pPr>
              <w:jc w:val="right"/>
              <w:rPr>
                <w:color w:val="000000"/>
                <w:sz w:val="20"/>
                <w:szCs w:val="20"/>
              </w:rPr>
            </w:pPr>
            <w:r>
              <w:rPr>
                <w:b/>
                <w:bCs/>
                <w:color w:val="000000"/>
                <w:sz w:val="20"/>
                <w:szCs w:val="20"/>
              </w:rPr>
              <w:t>10</w:t>
            </w:r>
          </w:p>
        </w:tc>
        <w:tc>
          <w:tcPr>
            <w:tcW w:w="50" w:type="pct"/>
            <w:noWrap/>
            <w:tcMar>
              <w:top w:w="5" w:type="dxa"/>
              <w:left w:w="5" w:type="dxa"/>
              <w:bottom w:w="5" w:type="dxa"/>
              <w:right w:w="5" w:type="dxa"/>
            </w:tcMar>
            <w:vAlign w:val="bottom"/>
            <w:hideMark/>
          </w:tcPr>
          <w:p w14:paraId="28413653"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8CDE82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E4F8CB0"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CD50D17" w14:textId="77777777" w:rsidR="00954279" w:rsidRDefault="00A66714">
            <w:pPr>
              <w:jc w:val="right"/>
              <w:rPr>
                <w:color w:val="000000"/>
                <w:sz w:val="20"/>
                <w:szCs w:val="20"/>
              </w:rPr>
            </w:pPr>
            <w:r>
              <w:rPr>
                <w:color w:val="000000"/>
                <w:sz w:val="20"/>
                <w:szCs w:val="20"/>
              </w:rPr>
              <w:t>(289</w:t>
            </w:r>
          </w:p>
        </w:tc>
        <w:tc>
          <w:tcPr>
            <w:tcW w:w="50" w:type="pct"/>
            <w:noWrap/>
            <w:tcMar>
              <w:top w:w="5" w:type="dxa"/>
              <w:left w:w="5" w:type="dxa"/>
              <w:bottom w:w="5" w:type="dxa"/>
              <w:right w:w="5" w:type="dxa"/>
            </w:tcMar>
            <w:vAlign w:val="bottom"/>
            <w:hideMark/>
          </w:tcPr>
          <w:p w14:paraId="6463D3F7"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64C795C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7CAC8F7"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98C905D" w14:textId="77777777" w:rsidR="00954279" w:rsidRDefault="00A66714">
            <w:pPr>
              <w:jc w:val="right"/>
              <w:rPr>
                <w:color w:val="000000"/>
                <w:sz w:val="20"/>
                <w:szCs w:val="20"/>
              </w:rPr>
            </w:pPr>
            <w:r>
              <w:rPr>
                <w:color w:val="000000"/>
                <w:sz w:val="20"/>
                <w:szCs w:val="20"/>
              </w:rPr>
              <w:t>299</w:t>
            </w:r>
          </w:p>
        </w:tc>
        <w:tc>
          <w:tcPr>
            <w:tcW w:w="50" w:type="pct"/>
            <w:noWrap/>
            <w:tcMar>
              <w:top w:w="5" w:type="dxa"/>
              <w:left w:w="5" w:type="dxa"/>
              <w:bottom w:w="5" w:type="dxa"/>
              <w:right w:w="5" w:type="dxa"/>
            </w:tcMar>
            <w:vAlign w:val="bottom"/>
            <w:hideMark/>
          </w:tcPr>
          <w:p w14:paraId="408AF117"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D4FC6C3"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88904A6"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B843E07" w14:textId="77777777" w:rsidR="00954279" w:rsidRDefault="00A66714">
            <w:pPr>
              <w:jc w:val="right"/>
              <w:rPr>
                <w:color w:val="000000"/>
                <w:sz w:val="20"/>
                <w:szCs w:val="20"/>
              </w:rPr>
            </w:pPr>
            <w:r>
              <w:rPr>
                <w:color w:val="000000"/>
                <w:sz w:val="20"/>
                <w:szCs w:val="20"/>
              </w:rPr>
              <w:t>N/M</w:t>
            </w:r>
          </w:p>
        </w:tc>
        <w:tc>
          <w:tcPr>
            <w:tcW w:w="50" w:type="pct"/>
            <w:noWrap/>
            <w:tcMar>
              <w:top w:w="5" w:type="dxa"/>
              <w:left w:w="5" w:type="dxa"/>
              <w:bottom w:w="5" w:type="dxa"/>
              <w:right w:w="5" w:type="dxa"/>
            </w:tcMar>
            <w:vAlign w:val="bottom"/>
            <w:hideMark/>
          </w:tcPr>
          <w:p w14:paraId="4B4C77B2" w14:textId="77777777" w:rsidR="00954279" w:rsidRDefault="00A66714">
            <w:pPr>
              <w:rPr>
                <w:color w:val="000000"/>
                <w:sz w:val="20"/>
                <w:szCs w:val="20"/>
              </w:rPr>
            </w:pPr>
            <w:r>
              <w:rPr>
                <w:color w:val="000000"/>
                <w:sz w:val="20"/>
                <w:szCs w:val="20"/>
              </w:rPr>
              <w:t> </w:t>
            </w:r>
          </w:p>
        </w:tc>
      </w:tr>
      <w:tr w:rsidR="00954279" w14:paraId="7C8029BB" w14:textId="77777777">
        <w:tc>
          <w:tcPr>
            <w:tcW w:w="0" w:type="auto"/>
            <w:tcMar>
              <w:top w:w="5" w:type="dxa"/>
              <w:left w:w="5" w:type="dxa"/>
              <w:bottom w:w="5" w:type="dxa"/>
              <w:right w:w="5" w:type="dxa"/>
            </w:tcMar>
            <w:vAlign w:val="bottom"/>
            <w:hideMark/>
          </w:tcPr>
          <w:p w14:paraId="3386350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EAE0BE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60BE1D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0E3695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F4D1AF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C0FCF2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58A8EE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F98140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844EC3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725EEB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542BC7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C44011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7EB62A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C3414C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50D0E8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0F2FF6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53DBCC9" w14:textId="77777777" w:rsidR="00954279" w:rsidRDefault="00A66714">
            <w:pPr>
              <w:rPr>
                <w:color w:val="000000"/>
                <w:sz w:val="20"/>
                <w:szCs w:val="20"/>
              </w:rPr>
            </w:pPr>
            <w:r>
              <w:rPr>
                <w:color w:val="000000"/>
                <w:sz w:val="20"/>
                <w:szCs w:val="20"/>
              </w:rPr>
              <w:t> </w:t>
            </w:r>
          </w:p>
        </w:tc>
      </w:tr>
      <w:tr w:rsidR="00954279" w14:paraId="05439E9E" w14:textId="77777777">
        <w:tc>
          <w:tcPr>
            <w:tcW w:w="0" w:type="auto"/>
            <w:tcMar>
              <w:top w:w="5" w:type="dxa"/>
              <w:left w:w="5" w:type="dxa"/>
              <w:bottom w:w="5" w:type="dxa"/>
              <w:right w:w="5" w:type="dxa"/>
            </w:tcMar>
            <w:vAlign w:val="bottom"/>
            <w:hideMark/>
          </w:tcPr>
          <w:p w14:paraId="5BCDEC69" w14:textId="77777777" w:rsidR="00954279" w:rsidRDefault="00A66714">
            <w:pPr>
              <w:rPr>
                <w:color w:val="000000"/>
                <w:sz w:val="20"/>
                <w:szCs w:val="20"/>
              </w:rPr>
            </w:pPr>
            <w:r>
              <w:rPr>
                <w:color w:val="000000"/>
                <w:sz w:val="20"/>
                <w:szCs w:val="20"/>
              </w:rPr>
              <w:t>Interest expense</w:t>
            </w:r>
          </w:p>
        </w:tc>
        <w:tc>
          <w:tcPr>
            <w:tcW w:w="50" w:type="pct"/>
            <w:tcMar>
              <w:top w:w="5" w:type="dxa"/>
              <w:left w:w="5" w:type="dxa"/>
              <w:bottom w:w="5" w:type="dxa"/>
              <w:right w:w="5" w:type="dxa"/>
            </w:tcMar>
            <w:vAlign w:val="bottom"/>
            <w:hideMark/>
          </w:tcPr>
          <w:p w14:paraId="05F34D31"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1E50A7E"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AD07EBB" w14:textId="77777777" w:rsidR="00954279" w:rsidRDefault="00A66714">
            <w:pPr>
              <w:jc w:val="right"/>
              <w:rPr>
                <w:color w:val="000000"/>
                <w:sz w:val="20"/>
                <w:szCs w:val="20"/>
              </w:rPr>
            </w:pPr>
            <w:r>
              <w:rPr>
                <w:b/>
                <w:bCs/>
                <w:color w:val="000000"/>
                <w:sz w:val="20"/>
                <w:szCs w:val="20"/>
              </w:rPr>
              <w:t>(6</w:t>
            </w:r>
          </w:p>
        </w:tc>
        <w:tc>
          <w:tcPr>
            <w:tcW w:w="50" w:type="pct"/>
            <w:noWrap/>
            <w:tcMar>
              <w:top w:w="5" w:type="dxa"/>
              <w:left w:w="5" w:type="dxa"/>
              <w:bottom w:w="5" w:type="dxa"/>
              <w:right w:w="5" w:type="dxa"/>
            </w:tcMar>
            <w:vAlign w:val="bottom"/>
            <w:hideMark/>
          </w:tcPr>
          <w:p w14:paraId="1B9AA88C"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1740C9D2"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B8B314A"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5EEBFF9" w14:textId="77777777" w:rsidR="00954279" w:rsidRDefault="00A66714">
            <w:pPr>
              <w:jc w:val="right"/>
              <w:rPr>
                <w:color w:val="000000"/>
                <w:sz w:val="20"/>
                <w:szCs w:val="20"/>
              </w:rPr>
            </w:pPr>
            <w:r>
              <w:rPr>
                <w:color w:val="000000"/>
                <w:sz w:val="20"/>
                <w:szCs w:val="20"/>
              </w:rPr>
              <w:t>(7</w:t>
            </w:r>
          </w:p>
        </w:tc>
        <w:tc>
          <w:tcPr>
            <w:tcW w:w="50" w:type="pct"/>
            <w:noWrap/>
            <w:tcMar>
              <w:top w:w="5" w:type="dxa"/>
              <w:left w:w="5" w:type="dxa"/>
              <w:bottom w:w="5" w:type="dxa"/>
              <w:right w:w="5" w:type="dxa"/>
            </w:tcMar>
            <w:vAlign w:val="bottom"/>
            <w:hideMark/>
          </w:tcPr>
          <w:p w14:paraId="03477001"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66A080D8"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67BDE4D"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90BF5CE" w14:textId="77777777" w:rsidR="00954279" w:rsidRDefault="00A66714">
            <w:pPr>
              <w:jc w:val="right"/>
              <w:rPr>
                <w:color w:val="000000"/>
                <w:sz w:val="20"/>
                <w:szCs w:val="20"/>
              </w:rPr>
            </w:pPr>
            <w:r>
              <w:rPr>
                <w:color w:val="000000"/>
                <w:sz w:val="20"/>
                <w:szCs w:val="20"/>
              </w:rPr>
              <w:t>1</w:t>
            </w:r>
          </w:p>
        </w:tc>
        <w:tc>
          <w:tcPr>
            <w:tcW w:w="50" w:type="pct"/>
            <w:noWrap/>
            <w:tcMar>
              <w:top w:w="5" w:type="dxa"/>
              <w:left w:w="5" w:type="dxa"/>
              <w:bottom w:w="5" w:type="dxa"/>
              <w:right w:w="5" w:type="dxa"/>
            </w:tcMar>
            <w:vAlign w:val="bottom"/>
            <w:hideMark/>
          </w:tcPr>
          <w:p w14:paraId="6AE1C4C3"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2466060"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0EC46AD"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36021CE" w14:textId="77777777" w:rsidR="00954279" w:rsidRDefault="00A66714">
            <w:pPr>
              <w:jc w:val="right"/>
              <w:rPr>
                <w:color w:val="000000"/>
                <w:sz w:val="20"/>
                <w:szCs w:val="20"/>
              </w:rPr>
            </w:pPr>
            <w:r>
              <w:rPr>
                <w:color w:val="000000"/>
                <w:sz w:val="20"/>
                <w:szCs w:val="20"/>
              </w:rPr>
              <w:t>(14</w:t>
            </w:r>
          </w:p>
        </w:tc>
        <w:tc>
          <w:tcPr>
            <w:tcW w:w="50" w:type="pct"/>
            <w:noWrap/>
            <w:tcMar>
              <w:top w:w="5" w:type="dxa"/>
              <w:left w:w="5" w:type="dxa"/>
              <w:bottom w:w="5" w:type="dxa"/>
              <w:right w:w="5" w:type="dxa"/>
            </w:tcMar>
            <w:vAlign w:val="bottom"/>
            <w:hideMark/>
          </w:tcPr>
          <w:p w14:paraId="29FDB633" w14:textId="77777777" w:rsidR="00954279" w:rsidRDefault="00A66714">
            <w:pPr>
              <w:rPr>
                <w:color w:val="000000"/>
                <w:sz w:val="20"/>
                <w:szCs w:val="20"/>
              </w:rPr>
            </w:pPr>
            <w:r>
              <w:rPr>
                <w:color w:val="000000"/>
                <w:sz w:val="20"/>
                <w:szCs w:val="20"/>
              </w:rPr>
              <w:t>)%</w:t>
            </w:r>
          </w:p>
        </w:tc>
      </w:tr>
      <w:tr w:rsidR="00954279" w14:paraId="66B2A8D5" w14:textId="77777777">
        <w:tc>
          <w:tcPr>
            <w:tcW w:w="0" w:type="auto"/>
            <w:tcMar>
              <w:top w:w="5" w:type="dxa"/>
              <w:left w:w="5" w:type="dxa"/>
              <w:bottom w:w="5" w:type="dxa"/>
              <w:right w:w="5" w:type="dxa"/>
            </w:tcMar>
            <w:vAlign w:val="bottom"/>
            <w:hideMark/>
          </w:tcPr>
          <w:p w14:paraId="0E28CFF2" w14:textId="77777777" w:rsidR="00954279" w:rsidRDefault="00A66714">
            <w:pPr>
              <w:rPr>
                <w:color w:val="000000"/>
                <w:sz w:val="20"/>
                <w:szCs w:val="20"/>
              </w:rPr>
            </w:pPr>
            <w:r>
              <w:rPr>
                <w:color w:val="000000"/>
                <w:sz w:val="20"/>
                <w:szCs w:val="20"/>
              </w:rPr>
              <w:t>Other, net</w:t>
            </w:r>
          </w:p>
        </w:tc>
        <w:tc>
          <w:tcPr>
            <w:tcW w:w="50" w:type="pct"/>
            <w:tcMar>
              <w:top w:w="5" w:type="dxa"/>
              <w:left w:w="5" w:type="dxa"/>
              <w:bottom w:w="5" w:type="dxa"/>
              <w:right w:w="5" w:type="dxa"/>
            </w:tcMar>
            <w:vAlign w:val="bottom"/>
            <w:hideMark/>
          </w:tcPr>
          <w:p w14:paraId="4EBE2166"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F141F84"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20A0682" w14:textId="77777777" w:rsidR="00954279" w:rsidRDefault="00A66714">
            <w:pPr>
              <w:jc w:val="right"/>
              <w:rPr>
                <w:color w:val="000000"/>
                <w:sz w:val="20"/>
                <w:szCs w:val="20"/>
              </w:rPr>
            </w:pPr>
            <w:r>
              <w:rPr>
                <w:b/>
                <w:bCs/>
                <w:color w:val="000000"/>
                <w:sz w:val="20"/>
                <w:szCs w:val="20"/>
              </w:rPr>
              <w:t>1</w:t>
            </w:r>
          </w:p>
        </w:tc>
        <w:tc>
          <w:tcPr>
            <w:tcW w:w="50" w:type="pct"/>
            <w:noWrap/>
            <w:tcMar>
              <w:top w:w="5" w:type="dxa"/>
              <w:left w:w="5" w:type="dxa"/>
              <w:bottom w:w="5" w:type="dxa"/>
              <w:right w:w="5" w:type="dxa"/>
            </w:tcMar>
            <w:vAlign w:val="bottom"/>
            <w:hideMark/>
          </w:tcPr>
          <w:p w14:paraId="05A8974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FC11202"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CDC9093"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4A31392" w14:textId="77777777" w:rsidR="00954279" w:rsidRDefault="00A66714">
            <w:pPr>
              <w:jc w:val="right"/>
              <w:rPr>
                <w:color w:val="000000"/>
                <w:sz w:val="20"/>
                <w:szCs w:val="20"/>
              </w:rPr>
            </w:pPr>
            <w:r>
              <w:rPr>
                <w:color w:val="000000"/>
                <w:sz w:val="20"/>
                <w:szCs w:val="20"/>
              </w:rPr>
              <w:t>(2</w:t>
            </w:r>
          </w:p>
        </w:tc>
        <w:tc>
          <w:tcPr>
            <w:tcW w:w="50" w:type="pct"/>
            <w:noWrap/>
            <w:tcMar>
              <w:top w:w="5" w:type="dxa"/>
              <w:left w:w="5" w:type="dxa"/>
              <w:bottom w:w="5" w:type="dxa"/>
              <w:right w:w="5" w:type="dxa"/>
            </w:tcMar>
            <w:vAlign w:val="bottom"/>
            <w:hideMark/>
          </w:tcPr>
          <w:p w14:paraId="0F329C69"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23A72FDA"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FE39184"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8524E32" w14:textId="77777777" w:rsidR="00954279" w:rsidRDefault="00A66714">
            <w:pPr>
              <w:jc w:val="right"/>
              <w:rPr>
                <w:color w:val="000000"/>
                <w:sz w:val="20"/>
                <w:szCs w:val="20"/>
              </w:rPr>
            </w:pPr>
            <w:r>
              <w:rPr>
                <w:color w:val="000000"/>
                <w:sz w:val="20"/>
                <w:szCs w:val="20"/>
              </w:rPr>
              <w:t>3</w:t>
            </w:r>
          </w:p>
        </w:tc>
        <w:tc>
          <w:tcPr>
            <w:tcW w:w="50" w:type="pct"/>
            <w:noWrap/>
            <w:tcMar>
              <w:top w:w="5" w:type="dxa"/>
              <w:left w:w="5" w:type="dxa"/>
              <w:bottom w:w="5" w:type="dxa"/>
              <w:right w:w="5" w:type="dxa"/>
            </w:tcMar>
            <w:vAlign w:val="bottom"/>
            <w:hideMark/>
          </w:tcPr>
          <w:p w14:paraId="488E947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0E1FA23"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845DBF2"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B13947A" w14:textId="77777777" w:rsidR="00954279" w:rsidRDefault="00A66714">
            <w:pPr>
              <w:jc w:val="right"/>
              <w:rPr>
                <w:color w:val="000000"/>
                <w:sz w:val="20"/>
                <w:szCs w:val="20"/>
              </w:rPr>
            </w:pPr>
            <w:r>
              <w:rPr>
                <w:color w:val="000000"/>
                <w:sz w:val="20"/>
                <w:szCs w:val="20"/>
              </w:rPr>
              <w:t>N/M</w:t>
            </w:r>
          </w:p>
        </w:tc>
        <w:tc>
          <w:tcPr>
            <w:tcW w:w="50" w:type="pct"/>
            <w:noWrap/>
            <w:tcMar>
              <w:top w:w="5" w:type="dxa"/>
              <w:left w:w="5" w:type="dxa"/>
              <w:bottom w:w="5" w:type="dxa"/>
              <w:right w:w="5" w:type="dxa"/>
            </w:tcMar>
            <w:vAlign w:val="bottom"/>
            <w:hideMark/>
          </w:tcPr>
          <w:p w14:paraId="4933E3B0" w14:textId="77777777" w:rsidR="00954279" w:rsidRDefault="00A66714">
            <w:pPr>
              <w:rPr>
                <w:color w:val="000000"/>
                <w:sz w:val="20"/>
                <w:szCs w:val="20"/>
              </w:rPr>
            </w:pPr>
            <w:r>
              <w:rPr>
                <w:color w:val="000000"/>
                <w:sz w:val="20"/>
                <w:szCs w:val="20"/>
              </w:rPr>
              <w:t> </w:t>
            </w:r>
          </w:p>
        </w:tc>
      </w:tr>
      <w:tr w:rsidR="00954279" w14:paraId="2476964D" w14:textId="77777777">
        <w:tc>
          <w:tcPr>
            <w:tcW w:w="0" w:type="auto"/>
            <w:tcMar>
              <w:top w:w="5" w:type="dxa"/>
              <w:left w:w="5" w:type="dxa"/>
              <w:bottom w:w="5" w:type="dxa"/>
              <w:right w:w="5" w:type="dxa"/>
            </w:tcMar>
            <w:vAlign w:val="bottom"/>
            <w:hideMark/>
          </w:tcPr>
          <w:p w14:paraId="6F03E1AC" w14:textId="77777777" w:rsidR="00954279" w:rsidRDefault="00A66714">
            <w:pPr>
              <w:rPr>
                <w:color w:val="000000"/>
                <w:sz w:val="20"/>
                <w:szCs w:val="20"/>
              </w:rPr>
            </w:pPr>
            <w:r>
              <w:rPr>
                <w:color w:val="000000"/>
                <w:sz w:val="20"/>
                <w:szCs w:val="20"/>
              </w:rPr>
              <w:t>Income tax (expense) benefit</w:t>
            </w:r>
          </w:p>
        </w:tc>
        <w:tc>
          <w:tcPr>
            <w:tcW w:w="50" w:type="pct"/>
            <w:tcMar>
              <w:top w:w="5" w:type="dxa"/>
              <w:left w:w="5" w:type="dxa"/>
              <w:bottom w:w="5" w:type="dxa"/>
              <w:right w:w="5" w:type="dxa"/>
            </w:tcMar>
            <w:vAlign w:val="bottom"/>
            <w:hideMark/>
          </w:tcPr>
          <w:p w14:paraId="02F56BB7"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C31F212"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432064EC" w14:textId="77777777" w:rsidR="00954279" w:rsidRDefault="00A66714">
            <w:pPr>
              <w:jc w:val="right"/>
              <w:rPr>
                <w:color w:val="000000"/>
                <w:sz w:val="20"/>
                <w:szCs w:val="20"/>
              </w:rPr>
            </w:pPr>
            <w:r>
              <w:rPr>
                <w:b/>
                <w:bCs/>
                <w:color w:val="000000"/>
                <w:sz w:val="20"/>
                <w:szCs w:val="20"/>
              </w:rPr>
              <w:t>(1</w:t>
            </w:r>
          </w:p>
        </w:tc>
        <w:tc>
          <w:tcPr>
            <w:tcW w:w="50" w:type="pct"/>
            <w:noWrap/>
            <w:tcMar>
              <w:top w:w="5" w:type="dxa"/>
              <w:left w:w="5" w:type="dxa"/>
              <w:bottom w:w="20" w:type="dxa"/>
              <w:right w:w="5" w:type="dxa"/>
            </w:tcMar>
            <w:vAlign w:val="bottom"/>
            <w:hideMark/>
          </w:tcPr>
          <w:p w14:paraId="4CCC8E0C"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5E7233CE"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E3A50AF"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7E362429" w14:textId="77777777" w:rsidR="00954279" w:rsidRDefault="00A66714">
            <w:pPr>
              <w:jc w:val="right"/>
              <w:rPr>
                <w:color w:val="000000"/>
                <w:sz w:val="20"/>
                <w:szCs w:val="20"/>
              </w:rPr>
            </w:pPr>
            <w:r>
              <w:rPr>
                <w:color w:val="000000"/>
                <w:sz w:val="20"/>
                <w:szCs w:val="20"/>
              </w:rPr>
              <w:t>17</w:t>
            </w:r>
          </w:p>
        </w:tc>
        <w:tc>
          <w:tcPr>
            <w:tcW w:w="50" w:type="pct"/>
            <w:noWrap/>
            <w:tcMar>
              <w:top w:w="5" w:type="dxa"/>
              <w:left w:w="5" w:type="dxa"/>
              <w:bottom w:w="20" w:type="dxa"/>
              <w:right w:w="5" w:type="dxa"/>
            </w:tcMar>
            <w:vAlign w:val="bottom"/>
            <w:hideMark/>
          </w:tcPr>
          <w:p w14:paraId="7E1629E2"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351C002"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23FDEC5"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475227CC" w14:textId="77777777" w:rsidR="00954279" w:rsidRDefault="00A66714">
            <w:pPr>
              <w:jc w:val="right"/>
              <w:rPr>
                <w:color w:val="000000"/>
                <w:sz w:val="20"/>
                <w:szCs w:val="20"/>
              </w:rPr>
            </w:pPr>
            <w:r>
              <w:rPr>
                <w:color w:val="000000"/>
                <w:sz w:val="20"/>
                <w:szCs w:val="20"/>
              </w:rPr>
              <w:t>(18</w:t>
            </w:r>
          </w:p>
        </w:tc>
        <w:tc>
          <w:tcPr>
            <w:tcW w:w="50" w:type="pct"/>
            <w:noWrap/>
            <w:tcMar>
              <w:top w:w="5" w:type="dxa"/>
              <w:left w:w="5" w:type="dxa"/>
              <w:bottom w:w="20" w:type="dxa"/>
              <w:right w:w="5" w:type="dxa"/>
            </w:tcMar>
            <w:vAlign w:val="bottom"/>
            <w:hideMark/>
          </w:tcPr>
          <w:p w14:paraId="35CD9D18"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2C106F59"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D8C63B4"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DD9B6F9" w14:textId="77777777" w:rsidR="00954279" w:rsidRDefault="00A66714">
            <w:pPr>
              <w:jc w:val="right"/>
              <w:rPr>
                <w:color w:val="000000"/>
                <w:sz w:val="20"/>
                <w:szCs w:val="20"/>
              </w:rPr>
            </w:pPr>
            <w:r>
              <w:rPr>
                <w:color w:val="000000"/>
                <w:sz w:val="20"/>
                <w:szCs w:val="20"/>
              </w:rPr>
              <w:t>N/M</w:t>
            </w:r>
          </w:p>
        </w:tc>
        <w:tc>
          <w:tcPr>
            <w:tcW w:w="50" w:type="pct"/>
            <w:noWrap/>
            <w:tcMar>
              <w:top w:w="5" w:type="dxa"/>
              <w:left w:w="5" w:type="dxa"/>
              <w:bottom w:w="5" w:type="dxa"/>
              <w:right w:w="5" w:type="dxa"/>
            </w:tcMar>
            <w:vAlign w:val="bottom"/>
            <w:hideMark/>
          </w:tcPr>
          <w:p w14:paraId="044D4C59" w14:textId="77777777" w:rsidR="00954279" w:rsidRDefault="00A66714">
            <w:pPr>
              <w:rPr>
                <w:color w:val="000000"/>
                <w:sz w:val="20"/>
                <w:szCs w:val="20"/>
              </w:rPr>
            </w:pPr>
            <w:r>
              <w:rPr>
                <w:color w:val="000000"/>
                <w:sz w:val="20"/>
                <w:szCs w:val="20"/>
              </w:rPr>
              <w:t> </w:t>
            </w:r>
          </w:p>
        </w:tc>
      </w:tr>
      <w:tr w:rsidR="00954279" w14:paraId="28610E5E" w14:textId="77777777">
        <w:tc>
          <w:tcPr>
            <w:tcW w:w="0" w:type="auto"/>
            <w:tcMar>
              <w:top w:w="5" w:type="dxa"/>
              <w:left w:w="5" w:type="dxa"/>
              <w:bottom w:w="5" w:type="dxa"/>
              <w:right w:w="5" w:type="dxa"/>
            </w:tcMar>
            <w:vAlign w:val="bottom"/>
            <w:hideMark/>
          </w:tcPr>
          <w:p w14:paraId="7470C2A3" w14:textId="77777777" w:rsidR="00954279" w:rsidRDefault="00A66714">
            <w:pPr>
              <w:rPr>
                <w:color w:val="000000"/>
                <w:sz w:val="20"/>
                <w:szCs w:val="20"/>
              </w:rPr>
            </w:pPr>
            <w:r>
              <w:rPr>
                <w:color w:val="000000"/>
                <w:sz w:val="20"/>
                <w:szCs w:val="20"/>
              </w:rPr>
              <w:t>Net income (loss)</w:t>
            </w:r>
          </w:p>
        </w:tc>
        <w:tc>
          <w:tcPr>
            <w:tcW w:w="50" w:type="pct"/>
            <w:tcMar>
              <w:top w:w="5" w:type="dxa"/>
              <w:left w:w="5" w:type="dxa"/>
              <w:bottom w:w="5" w:type="dxa"/>
              <w:right w:w="5" w:type="dxa"/>
            </w:tcMar>
            <w:vAlign w:val="bottom"/>
            <w:hideMark/>
          </w:tcPr>
          <w:p w14:paraId="24E7F009"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0F056D1"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F3F900D" w14:textId="77777777" w:rsidR="00954279" w:rsidRDefault="00A66714">
            <w:pPr>
              <w:jc w:val="right"/>
              <w:rPr>
                <w:color w:val="000000"/>
                <w:sz w:val="20"/>
                <w:szCs w:val="20"/>
              </w:rPr>
            </w:pPr>
            <w:r>
              <w:rPr>
                <w:b/>
                <w:bCs/>
                <w:color w:val="000000"/>
                <w:sz w:val="20"/>
                <w:szCs w:val="20"/>
              </w:rPr>
              <w:t>4</w:t>
            </w:r>
          </w:p>
        </w:tc>
        <w:tc>
          <w:tcPr>
            <w:tcW w:w="50" w:type="pct"/>
            <w:noWrap/>
            <w:tcMar>
              <w:top w:w="5" w:type="dxa"/>
              <w:left w:w="5" w:type="dxa"/>
              <w:bottom w:w="5" w:type="dxa"/>
              <w:right w:w="5" w:type="dxa"/>
            </w:tcMar>
            <w:vAlign w:val="bottom"/>
            <w:hideMark/>
          </w:tcPr>
          <w:p w14:paraId="548633F0"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B8369A3"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B7857D3"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2CE09AE" w14:textId="77777777" w:rsidR="00954279" w:rsidRDefault="00A66714">
            <w:pPr>
              <w:jc w:val="right"/>
              <w:rPr>
                <w:color w:val="000000"/>
                <w:sz w:val="20"/>
                <w:szCs w:val="20"/>
              </w:rPr>
            </w:pPr>
            <w:r>
              <w:rPr>
                <w:color w:val="000000"/>
                <w:sz w:val="20"/>
                <w:szCs w:val="20"/>
              </w:rPr>
              <w:t>(281</w:t>
            </w:r>
          </w:p>
        </w:tc>
        <w:tc>
          <w:tcPr>
            <w:tcW w:w="50" w:type="pct"/>
            <w:noWrap/>
            <w:tcMar>
              <w:top w:w="5" w:type="dxa"/>
              <w:left w:w="5" w:type="dxa"/>
              <w:bottom w:w="5" w:type="dxa"/>
              <w:right w:w="5" w:type="dxa"/>
            </w:tcMar>
            <w:vAlign w:val="bottom"/>
            <w:hideMark/>
          </w:tcPr>
          <w:p w14:paraId="05560B64"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50FFB120"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C3B027F"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EDBB539" w14:textId="77777777" w:rsidR="00954279" w:rsidRDefault="00A66714">
            <w:pPr>
              <w:jc w:val="right"/>
              <w:rPr>
                <w:color w:val="000000"/>
                <w:sz w:val="20"/>
                <w:szCs w:val="20"/>
              </w:rPr>
            </w:pPr>
            <w:r>
              <w:rPr>
                <w:color w:val="000000"/>
                <w:sz w:val="20"/>
                <w:szCs w:val="20"/>
              </w:rPr>
              <w:t>285</w:t>
            </w:r>
          </w:p>
        </w:tc>
        <w:tc>
          <w:tcPr>
            <w:tcW w:w="50" w:type="pct"/>
            <w:noWrap/>
            <w:tcMar>
              <w:top w:w="5" w:type="dxa"/>
              <w:left w:w="5" w:type="dxa"/>
              <w:bottom w:w="5" w:type="dxa"/>
              <w:right w:w="5" w:type="dxa"/>
            </w:tcMar>
            <w:vAlign w:val="bottom"/>
            <w:hideMark/>
          </w:tcPr>
          <w:p w14:paraId="4DC44BE9"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EA0FB63"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0D90BB1"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1A22932" w14:textId="77777777" w:rsidR="00954279" w:rsidRDefault="00A66714">
            <w:pPr>
              <w:jc w:val="right"/>
              <w:rPr>
                <w:color w:val="000000"/>
                <w:sz w:val="20"/>
                <w:szCs w:val="20"/>
              </w:rPr>
            </w:pPr>
            <w:r>
              <w:rPr>
                <w:color w:val="000000"/>
                <w:sz w:val="20"/>
                <w:szCs w:val="20"/>
              </w:rPr>
              <w:t>N/M</w:t>
            </w:r>
          </w:p>
        </w:tc>
        <w:tc>
          <w:tcPr>
            <w:tcW w:w="50" w:type="pct"/>
            <w:noWrap/>
            <w:tcMar>
              <w:top w:w="5" w:type="dxa"/>
              <w:left w:w="5" w:type="dxa"/>
              <w:bottom w:w="5" w:type="dxa"/>
              <w:right w:w="5" w:type="dxa"/>
            </w:tcMar>
            <w:vAlign w:val="bottom"/>
            <w:hideMark/>
          </w:tcPr>
          <w:p w14:paraId="651316DD" w14:textId="77777777" w:rsidR="00954279" w:rsidRDefault="00A66714">
            <w:pPr>
              <w:rPr>
                <w:color w:val="000000"/>
                <w:sz w:val="20"/>
                <w:szCs w:val="20"/>
              </w:rPr>
            </w:pPr>
            <w:r>
              <w:rPr>
                <w:color w:val="000000"/>
                <w:sz w:val="20"/>
                <w:szCs w:val="20"/>
              </w:rPr>
              <w:t> </w:t>
            </w:r>
          </w:p>
        </w:tc>
      </w:tr>
      <w:tr w:rsidR="00954279" w14:paraId="580FF846" w14:textId="77777777">
        <w:tc>
          <w:tcPr>
            <w:tcW w:w="0" w:type="auto"/>
            <w:tcMar>
              <w:top w:w="5" w:type="dxa"/>
              <w:left w:w="5" w:type="dxa"/>
              <w:bottom w:w="5" w:type="dxa"/>
              <w:right w:w="5" w:type="dxa"/>
            </w:tcMar>
            <w:vAlign w:val="bottom"/>
            <w:hideMark/>
          </w:tcPr>
          <w:p w14:paraId="2E70E180" w14:textId="77777777" w:rsidR="00954279" w:rsidRDefault="00A66714">
            <w:pPr>
              <w:rPr>
                <w:color w:val="000000"/>
                <w:sz w:val="20"/>
                <w:szCs w:val="20"/>
              </w:rPr>
            </w:pPr>
            <w:r>
              <w:rPr>
                <w:color w:val="000000"/>
                <w:sz w:val="20"/>
                <w:szCs w:val="20"/>
              </w:rPr>
              <w:t>Series A preferred stock dividends</w:t>
            </w:r>
          </w:p>
        </w:tc>
        <w:tc>
          <w:tcPr>
            <w:tcW w:w="50" w:type="pct"/>
            <w:tcMar>
              <w:top w:w="5" w:type="dxa"/>
              <w:left w:w="5" w:type="dxa"/>
              <w:bottom w:w="5" w:type="dxa"/>
              <w:right w:w="5" w:type="dxa"/>
            </w:tcMar>
            <w:vAlign w:val="bottom"/>
            <w:hideMark/>
          </w:tcPr>
          <w:p w14:paraId="3B87AB90"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ECD98C4"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106A6ECC" w14:textId="77777777" w:rsidR="00954279" w:rsidRDefault="00A66714">
            <w:pPr>
              <w:jc w:val="right"/>
              <w:rPr>
                <w:color w:val="000000"/>
                <w:sz w:val="20"/>
                <w:szCs w:val="20"/>
              </w:rPr>
            </w:pPr>
            <w:r>
              <w:rPr>
                <w:b/>
                <w:bCs/>
                <w:color w:val="000000"/>
                <w:sz w:val="20"/>
                <w:szCs w:val="20"/>
              </w:rPr>
              <w:t>6</w:t>
            </w:r>
          </w:p>
        </w:tc>
        <w:tc>
          <w:tcPr>
            <w:tcW w:w="50" w:type="pct"/>
            <w:noWrap/>
            <w:tcMar>
              <w:top w:w="5" w:type="dxa"/>
              <w:left w:w="5" w:type="dxa"/>
              <w:bottom w:w="20" w:type="dxa"/>
              <w:right w:w="5" w:type="dxa"/>
            </w:tcMar>
            <w:vAlign w:val="bottom"/>
            <w:hideMark/>
          </w:tcPr>
          <w:p w14:paraId="5E29488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0D104CA"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DB1A2BC"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42BCC8C2" w14:textId="77777777" w:rsidR="00954279" w:rsidRDefault="00A66714">
            <w:pPr>
              <w:jc w:val="right"/>
              <w:rPr>
                <w:color w:val="000000"/>
                <w:sz w:val="20"/>
                <w:szCs w:val="20"/>
              </w:rPr>
            </w:pPr>
            <w:r>
              <w:rPr>
                <w:color w:val="000000"/>
                <w:sz w:val="20"/>
                <w:szCs w:val="20"/>
              </w:rPr>
              <w:t>6</w:t>
            </w:r>
          </w:p>
        </w:tc>
        <w:tc>
          <w:tcPr>
            <w:tcW w:w="50" w:type="pct"/>
            <w:noWrap/>
            <w:tcMar>
              <w:top w:w="5" w:type="dxa"/>
              <w:left w:w="5" w:type="dxa"/>
              <w:bottom w:w="20" w:type="dxa"/>
              <w:right w:w="5" w:type="dxa"/>
            </w:tcMar>
            <w:vAlign w:val="bottom"/>
            <w:hideMark/>
          </w:tcPr>
          <w:p w14:paraId="5F6E98B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0E65178"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ED03506"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648EE525" w14:textId="77777777" w:rsidR="00954279" w:rsidRDefault="00A66714">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58F99E99"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B462B78"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DFE9D45"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BE43184" w14:textId="77777777" w:rsidR="00954279" w:rsidRDefault="00A66714">
            <w:pPr>
              <w:jc w:val="right"/>
              <w:rPr>
                <w:color w:val="000000"/>
                <w:sz w:val="20"/>
                <w:szCs w:val="20"/>
              </w:rPr>
            </w:pPr>
            <w:r>
              <w:rPr>
                <w:color w:val="000000"/>
                <w:sz w:val="20"/>
                <w:szCs w:val="20"/>
              </w:rPr>
              <w:t>0</w:t>
            </w:r>
          </w:p>
        </w:tc>
        <w:tc>
          <w:tcPr>
            <w:tcW w:w="50" w:type="pct"/>
            <w:noWrap/>
            <w:tcMar>
              <w:top w:w="5" w:type="dxa"/>
              <w:left w:w="5" w:type="dxa"/>
              <w:bottom w:w="5" w:type="dxa"/>
              <w:right w:w="5" w:type="dxa"/>
            </w:tcMar>
            <w:vAlign w:val="bottom"/>
            <w:hideMark/>
          </w:tcPr>
          <w:p w14:paraId="3C4C5970" w14:textId="77777777" w:rsidR="00954279" w:rsidRDefault="00A66714">
            <w:pPr>
              <w:rPr>
                <w:color w:val="000000"/>
                <w:sz w:val="20"/>
                <w:szCs w:val="20"/>
              </w:rPr>
            </w:pPr>
            <w:r>
              <w:rPr>
                <w:color w:val="000000"/>
                <w:sz w:val="20"/>
                <w:szCs w:val="20"/>
              </w:rPr>
              <w:t>%</w:t>
            </w:r>
          </w:p>
        </w:tc>
      </w:tr>
      <w:tr w:rsidR="00954279" w14:paraId="24EAF8C1" w14:textId="77777777">
        <w:tc>
          <w:tcPr>
            <w:tcW w:w="0" w:type="auto"/>
            <w:tcMar>
              <w:top w:w="5" w:type="dxa"/>
              <w:left w:w="5" w:type="dxa"/>
              <w:bottom w:w="5" w:type="dxa"/>
              <w:right w:w="5" w:type="dxa"/>
            </w:tcMar>
            <w:vAlign w:val="bottom"/>
            <w:hideMark/>
          </w:tcPr>
          <w:p w14:paraId="77B4866B" w14:textId="77777777" w:rsidR="00954279" w:rsidRDefault="00A66714">
            <w:pPr>
              <w:rPr>
                <w:color w:val="000000"/>
                <w:sz w:val="20"/>
                <w:szCs w:val="20"/>
              </w:rPr>
            </w:pPr>
            <w:r>
              <w:rPr>
                <w:color w:val="000000"/>
                <w:sz w:val="20"/>
                <w:szCs w:val="20"/>
              </w:rPr>
              <w:t>Net loss attributable to common stockholders</w:t>
            </w:r>
          </w:p>
        </w:tc>
        <w:tc>
          <w:tcPr>
            <w:tcW w:w="50" w:type="pct"/>
            <w:tcMar>
              <w:top w:w="5" w:type="dxa"/>
              <w:left w:w="5" w:type="dxa"/>
              <w:bottom w:w="5" w:type="dxa"/>
              <w:right w:w="5" w:type="dxa"/>
            </w:tcMar>
            <w:vAlign w:val="bottom"/>
            <w:hideMark/>
          </w:tcPr>
          <w:p w14:paraId="6395B3C6"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11EAB58"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109FFE7A" w14:textId="77777777" w:rsidR="00954279" w:rsidRDefault="00A66714">
            <w:pPr>
              <w:jc w:val="right"/>
              <w:rPr>
                <w:color w:val="000000"/>
                <w:sz w:val="20"/>
                <w:szCs w:val="20"/>
              </w:rPr>
            </w:pPr>
            <w:r>
              <w:rPr>
                <w:b/>
                <w:bCs/>
                <w:color w:val="000000"/>
                <w:sz w:val="20"/>
                <w:szCs w:val="20"/>
              </w:rPr>
              <w:t>(2</w:t>
            </w:r>
          </w:p>
        </w:tc>
        <w:tc>
          <w:tcPr>
            <w:tcW w:w="50" w:type="pct"/>
            <w:noWrap/>
            <w:tcMar>
              <w:top w:w="5" w:type="dxa"/>
              <w:left w:w="5" w:type="dxa"/>
              <w:bottom w:w="5" w:type="dxa"/>
              <w:right w:w="5" w:type="dxa"/>
            </w:tcMar>
            <w:vAlign w:val="bottom"/>
            <w:hideMark/>
          </w:tcPr>
          <w:p w14:paraId="64F247F0" w14:textId="77777777" w:rsidR="00954279" w:rsidRDefault="00A66714">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3DBEC1AE"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A18F931"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0B1CA37F" w14:textId="77777777" w:rsidR="00954279" w:rsidRDefault="00A66714">
            <w:pPr>
              <w:jc w:val="right"/>
              <w:rPr>
                <w:color w:val="000000"/>
                <w:sz w:val="20"/>
                <w:szCs w:val="20"/>
              </w:rPr>
            </w:pPr>
            <w:r>
              <w:rPr>
                <w:color w:val="000000"/>
                <w:sz w:val="20"/>
                <w:szCs w:val="20"/>
              </w:rPr>
              <w:t>(287</w:t>
            </w:r>
          </w:p>
        </w:tc>
        <w:tc>
          <w:tcPr>
            <w:tcW w:w="50" w:type="pct"/>
            <w:noWrap/>
            <w:tcMar>
              <w:top w:w="5" w:type="dxa"/>
              <w:left w:w="5" w:type="dxa"/>
              <w:bottom w:w="5" w:type="dxa"/>
              <w:right w:w="5" w:type="dxa"/>
            </w:tcMar>
            <w:vAlign w:val="bottom"/>
            <w:hideMark/>
          </w:tcPr>
          <w:p w14:paraId="64B8F8AE"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2729183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E937449"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29E10118" w14:textId="77777777" w:rsidR="00954279" w:rsidRDefault="00A66714">
            <w:pPr>
              <w:jc w:val="right"/>
              <w:rPr>
                <w:color w:val="000000"/>
                <w:sz w:val="20"/>
                <w:szCs w:val="20"/>
              </w:rPr>
            </w:pPr>
            <w:r>
              <w:rPr>
                <w:color w:val="000000"/>
                <w:sz w:val="20"/>
                <w:szCs w:val="20"/>
              </w:rPr>
              <w:t>285</w:t>
            </w:r>
          </w:p>
        </w:tc>
        <w:tc>
          <w:tcPr>
            <w:tcW w:w="50" w:type="pct"/>
            <w:noWrap/>
            <w:tcMar>
              <w:top w:w="5" w:type="dxa"/>
              <w:left w:w="5" w:type="dxa"/>
              <w:bottom w:w="5" w:type="dxa"/>
              <w:right w:w="5" w:type="dxa"/>
            </w:tcMar>
            <w:vAlign w:val="bottom"/>
            <w:hideMark/>
          </w:tcPr>
          <w:p w14:paraId="37F3B0D7"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AD3E7A6"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E6A7FFB"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6BC8E42" w14:textId="77777777" w:rsidR="00954279" w:rsidRDefault="00A66714">
            <w:pPr>
              <w:jc w:val="right"/>
              <w:rPr>
                <w:color w:val="000000"/>
                <w:sz w:val="20"/>
                <w:szCs w:val="20"/>
              </w:rPr>
            </w:pPr>
            <w:r>
              <w:rPr>
                <w:color w:val="000000"/>
                <w:sz w:val="20"/>
                <w:szCs w:val="20"/>
              </w:rPr>
              <w:t>(99</w:t>
            </w:r>
          </w:p>
        </w:tc>
        <w:tc>
          <w:tcPr>
            <w:tcW w:w="50" w:type="pct"/>
            <w:noWrap/>
            <w:tcMar>
              <w:top w:w="5" w:type="dxa"/>
              <w:left w:w="5" w:type="dxa"/>
              <w:bottom w:w="5" w:type="dxa"/>
              <w:right w:w="5" w:type="dxa"/>
            </w:tcMar>
            <w:vAlign w:val="bottom"/>
            <w:hideMark/>
          </w:tcPr>
          <w:p w14:paraId="6AAA5E27" w14:textId="77777777" w:rsidR="00954279" w:rsidRDefault="00A66714">
            <w:pPr>
              <w:rPr>
                <w:color w:val="000000"/>
                <w:sz w:val="20"/>
                <w:szCs w:val="20"/>
              </w:rPr>
            </w:pPr>
            <w:r>
              <w:rPr>
                <w:color w:val="000000"/>
                <w:sz w:val="20"/>
                <w:szCs w:val="20"/>
              </w:rPr>
              <w:t>)%</w:t>
            </w:r>
          </w:p>
        </w:tc>
      </w:tr>
      <w:tr w:rsidR="00954279" w14:paraId="599DEE8F" w14:textId="77777777">
        <w:tc>
          <w:tcPr>
            <w:tcW w:w="0" w:type="auto"/>
            <w:tcMar>
              <w:top w:w="5" w:type="dxa"/>
              <w:left w:w="5" w:type="dxa"/>
              <w:bottom w:w="5" w:type="dxa"/>
              <w:right w:w="5" w:type="dxa"/>
            </w:tcMar>
            <w:vAlign w:val="bottom"/>
            <w:hideMark/>
          </w:tcPr>
          <w:p w14:paraId="6555BDE2"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56262A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A6FEC3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2C71A9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B539CF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1B9C3F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E9EB31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94A531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361F43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FE1D20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543CC8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50A63C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AA1E7F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04CA42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742599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772CAA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9D4F3E8" w14:textId="77777777" w:rsidR="00954279" w:rsidRDefault="00A66714">
            <w:pPr>
              <w:rPr>
                <w:color w:val="000000"/>
                <w:sz w:val="20"/>
                <w:szCs w:val="20"/>
              </w:rPr>
            </w:pPr>
            <w:r>
              <w:rPr>
                <w:color w:val="000000"/>
                <w:sz w:val="20"/>
                <w:szCs w:val="20"/>
              </w:rPr>
              <w:t> </w:t>
            </w:r>
          </w:p>
        </w:tc>
      </w:tr>
      <w:tr w:rsidR="00954279" w14:paraId="2E24B9FC" w14:textId="77777777">
        <w:tc>
          <w:tcPr>
            <w:tcW w:w="0" w:type="auto"/>
            <w:tcMar>
              <w:top w:w="5" w:type="dxa"/>
              <w:left w:w="5" w:type="dxa"/>
              <w:bottom w:w="5" w:type="dxa"/>
              <w:right w:w="5" w:type="dxa"/>
            </w:tcMar>
            <w:vAlign w:val="bottom"/>
            <w:hideMark/>
          </w:tcPr>
          <w:p w14:paraId="1AD5D7A4" w14:textId="77777777" w:rsidR="00954279" w:rsidRDefault="00A66714">
            <w:pPr>
              <w:rPr>
                <w:color w:val="000000"/>
                <w:sz w:val="20"/>
                <w:szCs w:val="20"/>
              </w:rPr>
            </w:pPr>
            <w:r>
              <w:rPr>
                <w:color w:val="000000"/>
                <w:sz w:val="20"/>
                <w:szCs w:val="20"/>
              </w:rPr>
              <w:t>Gross profit</w:t>
            </w:r>
          </w:p>
        </w:tc>
        <w:tc>
          <w:tcPr>
            <w:tcW w:w="50" w:type="pct"/>
            <w:tcMar>
              <w:top w:w="5" w:type="dxa"/>
              <w:left w:w="5" w:type="dxa"/>
              <w:bottom w:w="5" w:type="dxa"/>
              <w:right w:w="5" w:type="dxa"/>
            </w:tcMar>
            <w:vAlign w:val="bottom"/>
            <w:hideMark/>
          </w:tcPr>
          <w:p w14:paraId="18BE7371"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D5F66C1"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2FF5D680" w14:textId="77777777" w:rsidR="00954279" w:rsidRDefault="00A66714">
            <w:pPr>
              <w:jc w:val="right"/>
              <w:rPr>
                <w:color w:val="000000"/>
                <w:sz w:val="20"/>
                <w:szCs w:val="20"/>
              </w:rPr>
            </w:pPr>
            <w:r>
              <w:rPr>
                <w:b/>
                <w:bCs/>
                <w:color w:val="000000"/>
                <w:sz w:val="20"/>
                <w:szCs w:val="20"/>
              </w:rPr>
              <w:t>112</w:t>
            </w:r>
          </w:p>
        </w:tc>
        <w:tc>
          <w:tcPr>
            <w:tcW w:w="50" w:type="pct"/>
            <w:noWrap/>
            <w:tcMar>
              <w:top w:w="5" w:type="dxa"/>
              <w:left w:w="5" w:type="dxa"/>
              <w:bottom w:w="50" w:type="dxa"/>
              <w:right w:w="5" w:type="dxa"/>
            </w:tcMar>
            <w:vAlign w:val="bottom"/>
            <w:hideMark/>
          </w:tcPr>
          <w:p w14:paraId="0532C4E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7B92BBD"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5CFA642"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6A2A1F72" w14:textId="77777777" w:rsidR="00954279" w:rsidRDefault="00A66714">
            <w:pPr>
              <w:jc w:val="right"/>
              <w:rPr>
                <w:color w:val="000000"/>
                <w:sz w:val="20"/>
                <w:szCs w:val="20"/>
              </w:rPr>
            </w:pPr>
            <w:r>
              <w:rPr>
                <w:color w:val="000000"/>
                <w:sz w:val="20"/>
                <w:szCs w:val="20"/>
              </w:rPr>
              <w:t>79</w:t>
            </w:r>
          </w:p>
        </w:tc>
        <w:tc>
          <w:tcPr>
            <w:tcW w:w="50" w:type="pct"/>
            <w:noWrap/>
            <w:tcMar>
              <w:top w:w="5" w:type="dxa"/>
              <w:left w:w="5" w:type="dxa"/>
              <w:bottom w:w="50" w:type="dxa"/>
              <w:right w:w="5" w:type="dxa"/>
            </w:tcMar>
            <w:vAlign w:val="bottom"/>
            <w:hideMark/>
          </w:tcPr>
          <w:p w14:paraId="6D0540B6"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D908052"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B97D3E2"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7AA855F2" w14:textId="77777777" w:rsidR="00954279" w:rsidRDefault="00A66714">
            <w:pPr>
              <w:jc w:val="right"/>
              <w:rPr>
                <w:color w:val="000000"/>
                <w:sz w:val="20"/>
                <w:szCs w:val="20"/>
              </w:rPr>
            </w:pPr>
            <w:r>
              <w:rPr>
                <w:color w:val="000000"/>
                <w:sz w:val="20"/>
                <w:szCs w:val="20"/>
              </w:rPr>
              <w:t>33</w:t>
            </w:r>
          </w:p>
        </w:tc>
        <w:tc>
          <w:tcPr>
            <w:tcW w:w="50" w:type="pct"/>
            <w:noWrap/>
            <w:tcMar>
              <w:top w:w="5" w:type="dxa"/>
              <w:left w:w="5" w:type="dxa"/>
              <w:bottom w:w="50" w:type="dxa"/>
              <w:right w:w="5" w:type="dxa"/>
            </w:tcMar>
            <w:vAlign w:val="bottom"/>
            <w:hideMark/>
          </w:tcPr>
          <w:p w14:paraId="26F624BE"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BEC625E"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68685B7"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1C4A7F4" w14:textId="77777777" w:rsidR="00954279" w:rsidRDefault="00A66714">
            <w:pPr>
              <w:jc w:val="right"/>
              <w:rPr>
                <w:color w:val="000000"/>
                <w:sz w:val="20"/>
                <w:szCs w:val="20"/>
              </w:rPr>
            </w:pPr>
            <w:r>
              <w:rPr>
                <w:color w:val="000000"/>
                <w:sz w:val="20"/>
                <w:szCs w:val="20"/>
              </w:rPr>
              <w:t>42</w:t>
            </w:r>
          </w:p>
        </w:tc>
        <w:tc>
          <w:tcPr>
            <w:tcW w:w="50" w:type="pct"/>
            <w:noWrap/>
            <w:tcMar>
              <w:top w:w="5" w:type="dxa"/>
              <w:left w:w="5" w:type="dxa"/>
              <w:bottom w:w="5" w:type="dxa"/>
              <w:right w:w="5" w:type="dxa"/>
            </w:tcMar>
            <w:vAlign w:val="bottom"/>
            <w:hideMark/>
          </w:tcPr>
          <w:p w14:paraId="606C19C0" w14:textId="77777777" w:rsidR="00954279" w:rsidRDefault="00A66714">
            <w:pPr>
              <w:rPr>
                <w:color w:val="000000"/>
                <w:sz w:val="20"/>
                <w:szCs w:val="20"/>
              </w:rPr>
            </w:pPr>
            <w:r>
              <w:rPr>
                <w:color w:val="000000"/>
                <w:sz w:val="20"/>
                <w:szCs w:val="20"/>
              </w:rPr>
              <w:t>%</w:t>
            </w:r>
          </w:p>
        </w:tc>
      </w:tr>
      <w:tr w:rsidR="00954279" w14:paraId="62779730" w14:textId="77777777">
        <w:tc>
          <w:tcPr>
            <w:tcW w:w="0" w:type="auto"/>
            <w:tcMar>
              <w:top w:w="5" w:type="dxa"/>
              <w:left w:w="5" w:type="dxa"/>
              <w:bottom w:w="5" w:type="dxa"/>
              <w:right w:w="5" w:type="dxa"/>
            </w:tcMar>
            <w:vAlign w:val="bottom"/>
            <w:hideMark/>
          </w:tcPr>
          <w:p w14:paraId="51FFCD37" w14:textId="77777777" w:rsidR="00954279" w:rsidRDefault="00A66714">
            <w:pPr>
              <w:rPr>
                <w:color w:val="000000"/>
                <w:sz w:val="20"/>
                <w:szCs w:val="20"/>
              </w:rPr>
            </w:pPr>
            <w:r>
              <w:rPr>
                <w:color w:val="000000"/>
                <w:sz w:val="20"/>
                <w:szCs w:val="20"/>
              </w:rPr>
              <w:t>Adjusted Gross Profit (1)</w:t>
            </w:r>
          </w:p>
        </w:tc>
        <w:tc>
          <w:tcPr>
            <w:tcW w:w="50" w:type="pct"/>
            <w:tcMar>
              <w:top w:w="5" w:type="dxa"/>
              <w:left w:w="5" w:type="dxa"/>
              <w:bottom w:w="5" w:type="dxa"/>
              <w:right w:w="5" w:type="dxa"/>
            </w:tcMar>
            <w:vAlign w:val="bottom"/>
            <w:hideMark/>
          </w:tcPr>
          <w:p w14:paraId="5D709A8F"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3E64926"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7491118A" w14:textId="77777777" w:rsidR="00954279" w:rsidRDefault="00A66714">
            <w:pPr>
              <w:jc w:val="right"/>
              <w:rPr>
                <w:color w:val="000000"/>
                <w:sz w:val="20"/>
                <w:szCs w:val="20"/>
              </w:rPr>
            </w:pPr>
            <w:r>
              <w:rPr>
                <w:b/>
                <w:bCs/>
                <w:color w:val="000000"/>
                <w:sz w:val="20"/>
                <w:szCs w:val="20"/>
              </w:rPr>
              <w:t>134</w:t>
            </w:r>
          </w:p>
        </w:tc>
        <w:tc>
          <w:tcPr>
            <w:tcW w:w="50" w:type="pct"/>
            <w:noWrap/>
            <w:tcMar>
              <w:top w:w="5" w:type="dxa"/>
              <w:left w:w="5" w:type="dxa"/>
              <w:bottom w:w="50" w:type="dxa"/>
              <w:right w:w="5" w:type="dxa"/>
            </w:tcMar>
            <w:vAlign w:val="bottom"/>
            <w:hideMark/>
          </w:tcPr>
          <w:p w14:paraId="7C5ADA0F"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46C6643"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D9BF913"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33AF147C" w14:textId="77777777" w:rsidR="00954279" w:rsidRDefault="00A66714">
            <w:pPr>
              <w:jc w:val="right"/>
              <w:rPr>
                <w:color w:val="000000"/>
                <w:sz w:val="20"/>
                <w:szCs w:val="20"/>
              </w:rPr>
            </w:pPr>
            <w:r>
              <w:rPr>
                <w:color w:val="000000"/>
                <w:sz w:val="20"/>
                <w:szCs w:val="20"/>
              </w:rPr>
              <w:t>118</w:t>
            </w:r>
          </w:p>
        </w:tc>
        <w:tc>
          <w:tcPr>
            <w:tcW w:w="50" w:type="pct"/>
            <w:noWrap/>
            <w:tcMar>
              <w:top w:w="5" w:type="dxa"/>
              <w:left w:w="5" w:type="dxa"/>
              <w:bottom w:w="50" w:type="dxa"/>
              <w:right w:w="5" w:type="dxa"/>
            </w:tcMar>
            <w:vAlign w:val="bottom"/>
            <w:hideMark/>
          </w:tcPr>
          <w:p w14:paraId="5EB1B6EE"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2C3B927"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9A2EE34"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4A98FCFC" w14:textId="77777777" w:rsidR="00954279" w:rsidRDefault="00A66714">
            <w:pPr>
              <w:jc w:val="right"/>
              <w:rPr>
                <w:color w:val="000000"/>
                <w:sz w:val="20"/>
                <w:szCs w:val="20"/>
              </w:rPr>
            </w:pPr>
            <w:r>
              <w:rPr>
                <w:color w:val="000000"/>
                <w:sz w:val="20"/>
                <w:szCs w:val="20"/>
              </w:rPr>
              <w:t>16</w:t>
            </w:r>
          </w:p>
        </w:tc>
        <w:tc>
          <w:tcPr>
            <w:tcW w:w="50" w:type="pct"/>
            <w:noWrap/>
            <w:tcMar>
              <w:top w:w="5" w:type="dxa"/>
              <w:left w:w="5" w:type="dxa"/>
              <w:bottom w:w="50" w:type="dxa"/>
              <w:right w:w="5" w:type="dxa"/>
            </w:tcMar>
            <w:vAlign w:val="bottom"/>
            <w:hideMark/>
          </w:tcPr>
          <w:p w14:paraId="6A2E1CF2"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619621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6D578C2"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68660E1" w14:textId="77777777" w:rsidR="00954279" w:rsidRDefault="00A66714">
            <w:pPr>
              <w:jc w:val="right"/>
              <w:rPr>
                <w:color w:val="000000"/>
                <w:sz w:val="20"/>
                <w:szCs w:val="20"/>
              </w:rPr>
            </w:pPr>
            <w:r>
              <w:rPr>
                <w:color w:val="000000"/>
                <w:sz w:val="20"/>
                <w:szCs w:val="20"/>
              </w:rPr>
              <w:t>14</w:t>
            </w:r>
          </w:p>
        </w:tc>
        <w:tc>
          <w:tcPr>
            <w:tcW w:w="50" w:type="pct"/>
            <w:noWrap/>
            <w:tcMar>
              <w:top w:w="5" w:type="dxa"/>
              <w:left w:w="5" w:type="dxa"/>
              <w:bottom w:w="5" w:type="dxa"/>
              <w:right w:w="5" w:type="dxa"/>
            </w:tcMar>
            <w:vAlign w:val="bottom"/>
            <w:hideMark/>
          </w:tcPr>
          <w:p w14:paraId="3C3F4645" w14:textId="77777777" w:rsidR="00954279" w:rsidRDefault="00A66714">
            <w:pPr>
              <w:rPr>
                <w:color w:val="000000"/>
                <w:sz w:val="20"/>
                <w:szCs w:val="20"/>
              </w:rPr>
            </w:pPr>
            <w:r>
              <w:rPr>
                <w:color w:val="000000"/>
                <w:sz w:val="20"/>
                <w:szCs w:val="20"/>
              </w:rPr>
              <w:t>%</w:t>
            </w:r>
          </w:p>
        </w:tc>
      </w:tr>
      <w:tr w:rsidR="00954279" w14:paraId="5F9EA023" w14:textId="77777777">
        <w:tc>
          <w:tcPr>
            <w:tcW w:w="0" w:type="auto"/>
            <w:tcMar>
              <w:top w:w="5" w:type="dxa"/>
              <w:left w:w="5" w:type="dxa"/>
              <w:bottom w:w="5" w:type="dxa"/>
              <w:right w:w="5" w:type="dxa"/>
            </w:tcMar>
            <w:vAlign w:val="bottom"/>
            <w:hideMark/>
          </w:tcPr>
          <w:p w14:paraId="20EFE947" w14:textId="77777777" w:rsidR="00954279" w:rsidRDefault="00A66714">
            <w:pPr>
              <w:rPr>
                <w:color w:val="000000"/>
                <w:sz w:val="20"/>
                <w:szCs w:val="20"/>
              </w:rPr>
            </w:pPr>
            <w:r>
              <w:rPr>
                <w:color w:val="000000"/>
                <w:sz w:val="20"/>
                <w:szCs w:val="20"/>
              </w:rPr>
              <w:t>Adjusted EBITDA (1)</w:t>
            </w:r>
          </w:p>
        </w:tc>
        <w:tc>
          <w:tcPr>
            <w:tcW w:w="50" w:type="pct"/>
            <w:tcMar>
              <w:top w:w="5" w:type="dxa"/>
              <w:left w:w="5" w:type="dxa"/>
              <w:bottom w:w="5" w:type="dxa"/>
              <w:right w:w="5" w:type="dxa"/>
            </w:tcMar>
            <w:vAlign w:val="bottom"/>
            <w:hideMark/>
          </w:tcPr>
          <w:p w14:paraId="2ED4FE4B"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C2C513F"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0B35BB1A" w14:textId="77777777" w:rsidR="00954279" w:rsidRDefault="00A66714">
            <w:pPr>
              <w:jc w:val="right"/>
              <w:rPr>
                <w:color w:val="000000"/>
                <w:sz w:val="20"/>
                <w:szCs w:val="20"/>
              </w:rPr>
            </w:pPr>
            <w:r>
              <w:rPr>
                <w:b/>
                <w:bCs/>
                <w:color w:val="000000"/>
                <w:sz w:val="20"/>
                <w:szCs w:val="20"/>
              </w:rPr>
              <w:t>36</w:t>
            </w:r>
          </w:p>
        </w:tc>
        <w:tc>
          <w:tcPr>
            <w:tcW w:w="50" w:type="pct"/>
            <w:noWrap/>
            <w:tcMar>
              <w:top w:w="5" w:type="dxa"/>
              <w:left w:w="5" w:type="dxa"/>
              <w:bottom w:w="50" w:type="dxa"/>
              <w:right w:w="5" w:type="dxa"/>
            </w:tcMar>
            <w:vAlign w:val="bottom"/>
            <w:hideMark/>
          </w:tcPr>
          <w:p w14:paraId="2757866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3CCBCFE"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07B3B5C"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52A0FF27" w14:textId="77777777" w:rsidR="00954279" w:rsidRDefault="00A66714">
            <w:pPr>
              <w:jc w:val="right"/>
              <w:rPr>
                <w:color w:val="000000"/>
                <w:sz w:val="20"/>
                <w:szCs w:val="20"/>
              </w:rPr>
            </w:pPr>
            <w:r>
              <w:rPr>
                <w:color w:val="000000"/>
                <w:sz w:val="20"/>
                <w:szCs w:val="20"/>
              </w:rPr>
              <w:t>17</w:t>
            </w:r>
          </w:p>
        </w:tc>
        <w:tc>
          <w:tcPr>
            <w:tcW w:w="50" w:type="pct"/>
            <w:noWrap/>
            <w:tcMar>
              <w:top w:w="5" w:type="dxa"/>
              <w:left w:w="5" w:type="dxa"/>
              <w:bottom w:w="50" w:type="dxa"/>
              <w:right w:w="5" w:type="dxa"/>
            </w:tcMar>
            <w:vAlign w:val="bottom"/>
            <w:hideMark/>
          </w:tcPr>
          <w:p w14:paraId="056966FE"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7A0E05C"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1CC0B34"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7BD6A54D" w14:textId="77777777" w:rsidR="00954279" w:rsidRDefault="00A66714">
            <w:pPr>
              <w:jc w:val="right"/>
              <w:rPr>
                <w:color w:val="000000"/>
                <w:sz w:val="20"/>
                <w:szCs w:val="20"/>
              </w:rPr>
            </w:pPr>
            <w:r>
              <w:rPr>
                <w:color w:val="000000"/>
                <w:sz w:val="20"/>
                <w:szCs w:val="20"/>
              </w:rPr>
              <w:t>19</w:t>
            </w:r>
          </w:p>
        </w:tc>
        <w:tc>
          <w:tcPr>
            <w:tcW w:w="50" w:type="pct"/>
            <w:noWrap/>
            <w:tcMar>
              <w:top w:w="5" w:type="dxa"/>
              <w:left w:w="5" w:type="dxa"/>
              <w:bottom w:w="50" w:type="dxa"/>
              <w:right w:w="5" w:type="dxa"/>
            </w:tcMar>
            <w:vAlign w:val="bottom"/>
            <w:hideMark/>
          </w:tcPr>
          <w:p w14:paraId="74906BE3"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387D97A"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DAEFA74"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CCB2BE0" w14:textId="77777777" w:rsidR="00954279" w:rsidRDefault="00A66714">
            <w:pPr>
              <w:jc w:val="right"/>
              <w:rPr>
                <w:color w:val="000000"/>
                <w:sz w:val="20"/>
                <w:szCs w:val="20"/>
              </w:rPr>
            </w:pPr>
            <w:r>
              <w:rPr>
                <w:color w:val="000000"/>
                <w:sz w:val="20"/>
                <w:szCs w:val="20"/>
              </w:rPr>
              <w:t>N/M</w:t>
            </w:r>
          </w:p>
        </w:tc>
        <w:tc>
          <w:tcPr>
            <w:tcW w:w="50" w:type="pct"/>
            <w:noWrap/>
            <w:tcMar>
              <w:top w:w="5" w:type="dxa"/>
              <w:left w:w="5" w:type="dxa"/>
              <w:bottom w:w="5" w:type="dxa"/>
              <w:right w:w="5" w:type="dxa"/>
            </w:tcMar>
            <w:vAlign w:val="bottom"/>
            <w:hideMark/>
          </w:tcPr>
          <w:p w14:paraId="495F1467" w14:textId="77777777" w:rsidR="00954279" w:rsidRDefault="00A66714">
            <w:pPr>
              <w:rPr>
                <w:color w:val="000000"/>
                <w:sz w:val="20"/>
                <w:szCs w:val="20"/>
              </w:rPr>
            </w:pPr>
            <w:r>
              <w:rPr>
                <w:color w:val="000000"/>
                <w:sz w:val="20"/>
                <w:szCs w:val="20"/>
              </w:rPr>
              <w:t> </w:t>
            </w:r>
          </w:p>
        </w:tc>
      </w:tr>
    </w:tbl>
    <w:p w14:paraId="63724E0E" w14:textId="77777777" w:rsidR="00954279" w:rsidRDefault="00A66714">
      <w:pPr>
        <w:ind w:left="864" w:right="144" w:hanging="360"/>
        <w:rPr>
          <w:sz w:val="20"/>
          <w:szCs w:val="20"/>
        </w:rPr>
      </w:pPr>
      <w:r>
        <w:rPr>
          <w:sz w:val="20"/>
          <w:szCs w:val="20"/>
        </w:rPr>
        <w:t> </w:t>
      </w:r>
    </w:p>
    <w:p w14:paraId="33296C24" w14:textId="77777777" w:rsidR="00954279" w:rsidRDefault="00A66714">
      <w:pPr>
        <w:ind w:left="864" w:right="144" w:hanging="360"/>
        <w:rPr>
          <w:sz w:val="20"/>
          <w:szCs w:val="20"/>
        </w:rPr>
      </w:pPr>
      <w:r>
        <w:rPr>
          <w:sz w:val="20"/>
          <w:szCs w:val="20"/>
        </w:rPr>
        <w:t>(1) Adjusted Gross Profit and Adjusted EBITDA are non-GAAP financial measures. For a reconciliation of these measures to an equivalent GAAP measure, see pages 22-24 herein.</w:t>
      </w:r>
    </w:p>
    <w:p w14:paraId="572680FC" w14:textId="77777777" w:rsidR="00954279" w:rsidRDefault="00A66714">
      <w:pPr>
        <w:ind w:left="864" w:right="144" w:hanging="360"/>
        <w:rPr>
          <w:sz w:val="20"/>
          <w:szCs w:val="20"/>
        </w:rPr>
      </w:pPr>
      <w:r>
        <w:rPr>
          <w:sz w:val="20"/>
          <w:szCs w:val="20"/>
        </w:rPr>
        <w:t> </w:t>
      </w:r>
    </w:p>
    <w:p w14:paraId="7B2F3090" w14:textId="77777777" w:rsidR="00954279" w:rsidRDefault="00A66714">
      <w:pPr>
        <w:ind w:left="144" w:right="144"/>
        <w:jc w:val="center"/>
        <w:rPr>
          <w:sz w:val="20"/>
          <w:szCs w:val="20"/>
        </w:rPr>
      </w:pPr>
      <w:r>
        <w:rPr>
          <w:sz w:val="20"/>
          <w:szCs w:val="20"/>
        </w:rPr>
        <w:t>21</w:t>
      </w:r>
    </w:p>
    <w:p w14:paraId="5C670F87" w14:textId="77777777" w:rsidR="00954279" w:rsidRDefault="00A66714">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35FD1A2F" w14:textId="7E2DE55B" w:rsidR="00954279" w:rsidRDefault="00A66714">
      <w:pPr>
        <w:ind w:left="144" w:right="144"/>
        <w:rPr>
          <w:sz w:val="20"/>
          <w:szCs w:val="20"/>
        </w:rPr>
      </w:pPr>
      <w:r>
        <w:rPr>
          <w:sz w:val="20"/>
          <w:szCs w:val="20"/>
        </w:rPr>
        <w:t> </w:t>
      </w:r>
      <w:r>
        <w:rPr>
          <w:b/>
          <w:bCs/>
          <w:i/>
          <w:iCs/>
          <w:sz w:val="20"/>
          <w:szCs w:val="20"/>
        </w:rPr>
        <w:t>Sales</w:t>
      </w:r>
      <w:r>
        <w:rPr>
          <w:i/>
          <w:iCs/>
          <w:sz w:val="20"/>
          <w:szCs w:val="20"/>
        </w:rPr>
        <w:t>.</w:t>
      </w:r>
      <w:r>
        <w:rPr>
          <w:sz w:val="20"/>
          <w:szCs w:val="20"/>
        </w:rPr>
        <w:t>  Our sales were </w:t>
      </w:r>
      <w:bookmarkStart w:id="27" w:name="led65193F20213301619801259783"/>
      <w:r>
        <w:rPr>
          <w:sz w:val="20"/>
          <w:szCs w:val="20"/>
        </w:rPr>
        <w:t>$686</w:t>
      </w:r>
      <w:bookmarkEnd w:id="27"/>
      <w:r>
        <w:rPr>
          <w:sz w:val="20"/>
          <w:szCs w:val="20"/>
        </w:rPr>
        <w:t xml:space="preserve"> million for the three months ended </w:t>
      </w:r>
      <w:bookmarkStart w:id="28" w:name="led65141F20213301619800046179"/>
      <w:r>
        <w:rPr>
          <w:sz w:val="20"/>
          <w:szCs w:val="20"/>
        </w:rPr>
        <w:t>June 30, 2021 as compared to </w:t>
      </w:r>
      <w:bookmarkStart w:id="29" w:name="led65193F20213301619801290980"/>
      <w:r>
        <w:rPr>
          <w:sz w:val="20"/>
          <w:szCs w:val="20"/>
        </w:rPr>
        <w:t>$602</w:t>
      </w:r>
      <w:bookmarkEnd w:id="29"/>
      <w:r>
        <w:rPr>
          <w:sz w:val="20"/>
          <w:szCs w:val="20"/>
        </w:rPr>
        <w:t xml:space="preserve"> million for the three months ended </w:t>
      </w:r>
      <w:bookmarkStart w:id="30" w:name="led65141F20213301619800700761"/>
      <w:r>
        <w:rPr>
          <w:sz w:val="20"/>
          <w:szCs w:val="20"/>
        </w:rPr>
        <w:t>June 30, 2020, an increase of </w:t>
      </w:r>
      <w:bookmarkStart w:id="31" w:name="led65193F20213301619801319798"/>
      <w:r>
        <w:rPr>
          <w:sz w:val="20"/>
          <w:szCs w:val="20"/>
        </w:rPr>
        <w:t>$84</w:t>
      </w:r>
      <w:bookmarkEnd w:id="31"/>
      <w:r>
        <w:rPr>
          <w:sz w:val="20"/>
          <w:szCs w:val="20"/>
        </w:rPr>
        <w:t xml:space="preserve"> million, or </w:t>
      </w:r>
      <w:bookmarkStart w:id="32" w:name="led65193F20213301619801352539"/>
      <w:r>
        <w:rPr>
          <w:sz w:val="20"/>
          <w:szCs w:val="20"/>
        </w:rPr>
        <w:t>14%</w:t>
      </w:r>
      <w:bookmarkEnd w:id="32"/>
      <w:r>
        <w:rPr>
          <w:sz w:val="20"/>
          <w:szCs w:val="20"/>
        </w:rPr>
        <w:t>. The strengthening of foreign currencies in areas where we operate relative to the U.S. dollar favorably impacted sales by $14 million, or 2%.</w:t>
      </w:r>
    </w:p>
    <w:p w14:paraId="49E253EA" w14:textId="77777777" w:rsidR="00954279" w:rsidRDefault="00A66714">
      <w:pPr>
        <w:ind w:left="144" w:right="144"/>
        <w:rPr>
          <w:sz w:val="20"/>
          <w:szCs w:val="20"/>
        </w:rPr>
      </w:pPr>
      <w:r>
        <w:rPr>
          <w:sz w:val="20"/>
          <w:szCs w:val="20"/>
        </w:rPr>
        <w:t> </w:t>
      </w:r>
    </w:p>
    <w:p w14:paraId="0ABA25DB" w14:textId="483006E9" w:rsidR="00954279" w:rsidRDefault="00A66714">
      <w:pPr>
        <w:ind w:left="144" w:right="144"/>
        <w:rPr>
          <w:sz w:val="20"/>
          <w:szCs w:val="20"/>
        </w:rPr>
      </w:pPr>
      <w:r>
        <w:rPr>
          <w:i/>
          <w:iCs/>
          <w:sz w:val="20"/>
          <w:szCs w:val="20"/>
        </w:rPr>
        <w:t>U.S. Segment—</w:t>
      </w:r>
      <w:r>
        <w:rPr>
          <w:sz w:val="20"/>
          <w:szCs w:val="20"/>
        </w:rPr>
        <w:t>Our U.S. sales increased to </w:t>
      </w:r>
      <w:bookmarkStart w:id="33" w:name="led65193F20213301619802181333"/>
      <w:r>
        <w:rPr>
          <w:sz w:val="20"/>
          <w:szCs w:val="20"/>
        </w:rPr>
        <w:t>$558</w:t>
      </w:r>
      <w:bookmarkEnd w:id="33"/>
      <w:r>
        <w:rPr>
          <w:sz w:val="20"/>
          <w:szCs w:val="20"/>
        </w:rPr>
        <w:t xml:space="preserve"> million for the three months ended June 30, 2021 from </w:t>
      </w:r>
      <w:bookmarkStart w:id="34" w:name="led65193F20213301619802201230"/>
      <w:r>
        <w:rPr>
          <w:sz w:val="20"/>
          <w:szCs w:val="20"/>
        </w:rPr>
        <w:t>$474</w:t>
      </w:r>
      <w:bookmarkEnd w:id="34"/>
      <w:r>
        <w:rPr>
          <w:sz w:val="20"/>
          <w:szCs w:val="20"/>
        </w:rPr>
        <w:t xml:space="preserve"> million for the three months ended June 30, 2020. This </w:t>
      </w:r>
      <w:bookmarkStart w:id="35" w:name="led65193F20213301619802221246"/>
      <w:r>
        <w:rPr>
          <w:sz w:val="20"/>
          <w:szCs w:val="20"/>
        </w:rPr>
        <w:t>$84</w:t>
      </w:r>
      <w:bookmarkEnd w:id="35"/>
      <w:r>
        <w:rPr>
          <w:sz w:val="20"/>
          <w:szCs w:val="20"/>
        </w:rPr>
        <w:t xml:space="preserve"> million, or </w:t>
      </w:r>
      <w:bookmarkStart w:id="36" w:name="led65193F20213301619802236321"/>
      <w:r>
        <w:rPr>
          <w:sz w:val="20"/>
          <w:szCs w:val="20"/>
        </w:rPr>
        <w:t>18%</w:t>
      </w:r>
      <w:bookmarkEnd w:id="36"/>
      <w:r>
        <w:rPr>
          <w:sz w:val="20"/>
          <w:szCs w:val="20"/>
        </w:rPr>
        <w:t>, increase reflected a </w:t>
      </w:r>
      <w:bookmarkStart w:id="37" w:name="led65162F20213301619802520189"/>
      <w:r>
        <w:rPr>
          <w:sz w:val="20"/>
          <w:szCs w:val="20"/>
        </w:rPr>
        <w:t>$67</w:t>
      </w:r>
      <w:bookmarkEnd w:id="37"/>
      <w:r>
        <w:rPr>
          <w:sz w:val="20"/>
          <w:szCs w:val="20"/>
        </w:rPr>
        <w:t xml:space="preserve"> million increase in the gas utilities sector driven by the full implementation of a new customer contract as well as increased activity levels as pandemic restrictions eased and customers continued to execute their integrity upgrade programs, a </w:t>
      </w:r>
      <w:bookmarkStart w:id="38" w:name="led65162F20213301619802482841"/>
      <w:r>
        <w:rPr>
          <w:sz w:val="20"/>
          <w:szCs w:val="20"/>
        </w:rPr>
        <w:t>$10</w:t>
      </w:r>
      <w:bookmarkEnd w:id="38"/>
      <w:r>
        <w:rPr>
          <w:sz w:val="20"/>
          <w:szCs w:val="20"/>
        </w:rPr>
        <w:t xml:space="preserve"> million increase in the downstream and industrial sector due to increased turnaround and small project spending, a </w:t>
      </w:r>
      <w:bookmarkStart w:id="39" w:name="led65162F20213301619802410917"/>
      <w:r>
        <w:rPr>
          <w:sz w:val="20"/>
          <w:szCs w:val="20"/>
        </w:rPr>
        <w:t>$15</w:t>
      </w:r>
      <w:bookmarkEnd w:id="39"/>
      <w:r>
        <w:rPr>
          <w:sz w:val="20"/>
          <w:szCs w:val="20"/>
        </w:rPr>
        <w:t xml:space="preserve"> million increase in the upstream production sector due to increased customer spending driven by improved commodity prices and a corresponding increase in well completions, offset by an </w:t>
      </w:r>
      <w:bookmarkStart w:id="40" w:name="led65162F20213301619802449697"/>
      <w:r>
        <w:rPr>
          <w:sz w:val="20"/>
          <w:szCs w:val="20"/>
        </w:rPr>
        <w:t>$8</w:t>
      </w:r>
      <w:bookmarkEnd w:id="40"/>
      <w:r w:rsidR="006C5497">
        <w:rPr>
          <w:sz w:val="20"/>
          <w:szCs w:val="20"/>
        </w:rPr>
        <w:t> </w:t>
      </w:r>
      <w:r>
        <w:rPr>
          <w:sz w:val="20"/>
          <w:szCs w:val="20"/>
        </w:rPr>
        <w:t>million decrease in the midstream pipeline sector due to the completion of non-repeatable project activity in 2020. </w:t>
      </w:r>
    </w:p>
    <w:p w14:paraId="224B00FA" w14:textId="77777777" w:rsidR="00954279" w:rsidRDefault="00A66714">
      <w:pPr>
        <w:ind w:left="144" w:right="144"/>
        <w:rPr>
          <w:sz w:val="20"/>
          <w:szCs w:val="20"/>
        </w:rPr>
      </w:pPr>
      <w:r>
        <w:rPr>
          <w:sz w:val="20"/>
          <w:szCs w:val="20"/>
        </w:rPr>
        <w:t> </w:t>
      </w:r>
    </w:p>
    <w:p w14:paraId="32713610" w14:textId="77777777" w:rsidR="00954279" w:rsidRDefault="00A66714">
      <w:pPr>
        <w:ind w:left="144" w:right="144"/>
        <w:rPr>
          <w:sz w:val="20"/>
          <w:szCs w:val="20"/>
        </w:rPr>
      </w:pPr>
      <w:r>
        <w:rPr>
          <w:i/>
          <w:iCs/>
          <w:sz w:val="20"/>
          <w:szCs w:val="20"/>
        </w:rPr>
        <w:t>Canada Segment—</w:t>
      </w:r>
      <w:r>
        <w:rPr>
          <w:sz w:val="20"/>
          <w:szCs w:val="20"/>
        </w:rPr>
        <w:t>Our Canada sales increased to </w:t>
      </w:r>
      <w:bookmarkStart w:id="41" w:name="led65193F20213301619802840351"/>
      <w:r>
        <w:rPr>
          <w:sz w:val="20"/>
          <w:szCs w:val="20"/>
        </w:rPr>
        <w:t>$30</w:t>
      </w:r>
      <w:bookmarkEnd w:id="41"/>
      <w:r>
        <w:rPr>
          <w:sz w:val="20"/>
          <w:szCs w:val="20"/>
        </w:rPr>
        <w:t xml:space="preserve"> million for the three months ended June 30, 2021 from </w:t>
      </w:r>
      <w:bookmarkStart w:id="42" w:name="led65193F20213301619802863588"/>
      <w:r>
        <w:rPr>
          <w:sz w:val="20"/>
          <w:szCs w:val="20"/>
        </w:rPr>
        <w:t>$28</w:t>
      </w:r>
      <w:bookmarkEnd w:id="42"/>
      <w:r>
        <w:rPr>
          <w:sz w:val="20"/>
          <w:szCs w:val="20"/>
        </w:rPr>
        <w:t xml:space="preserve"> million for the three months ended June 30, 2020, an increase of </w:t>
      </w:r>
      <w:bookmarkStart w:id="43" w:name="led65193F20213301619802880105"/>
      <w:r>
        <w:rPr>
          <w:sz w:val="20"/>
          <w:szCs w:val="20"/>
        </w:rPr>
        <w:t>$2</w:t>
      </w:r>
      <w:bookmarkEnd w:id="43"/>
      <w:r>
        <w:rPr>
          <w:sz w:val="20"/>
          <w:szCs w:val="20"/>
        </w:rPr>
        <w:t xml:space="preserve"> million, or </w:t>
      </w:r>
      <w:bookmarkStart w:id="44" w:name="led65193F20213301619802891479"/>
      <w:r>
        <w:rPr>
          <w:sz w:val="20"/>
          <w:szCs w:val="20"/>
        </w:rPr>
        <w:t>7%</w:t>
      </w:r>
      <w:bookmarkEnd w:id="44"/>
      <w:r>
        <w:rPr>
          <w:sz w:val="20"/>
          <w:szCs w:val="20"/>
        </w:rPr>
        <w:t>. Improved commodity pricing, the easing of pandemic restrictions, as well as small projects and turnarounds all contributed to the increase. The strengthening of the Canadian dollar relative to the U.S. dollar favorably impacted sales by $3 million, or 11%.</w:t>
      </w:r>
    </w:p>
    <w:p w14:paraId="3C33C2FA" w14:textId="77777777" w:rsidR="00954279" w:rsidRDefault="00A66714">
      <w:pPr>
        <w:ind w:left="144" w:right="144"/>
        <w:rPr>
          <w:sz w:val="20"/>
          <w:szCs w:val="20"/>
        </w:rPr>
      </w:pPr>
      <w:r>
        <w:rPr>
          <w:sz w:val="20"/>
          <w:szCs w:val="20"/>
        </w:rPr>
        <w:t> </w:t>
      </w:r>
    </w:p>
    <w:p w14:paraId="28CBCF62" w14:textId="30DC37E4" w:rsidR="00954279" w:rsidRDefault="00A66714">
      <w:pPr>
        <w:ind w:left="144" w:right="144"/>
        <w:rPr>
          <w:sz w:val="20"/>
          <w:szCs w:val="20"/>
        </w:rPr>
      </w:pPr>
      <w:r>
        <w:rPr>
          <w:i/>
          <w:iCs/>
          <w:sz w:val="20"/>
          <w:szCs w:val="20"/>
        </w:rPr>
        <w:t>International Segment</w:t>
      </w:r>
      <w:r>
        <w:rPr>
          <w:sz w:val="20"/>
          <w:szCs w:val="20"/>
        </w:rPr>
        <w:t>—Our International sales decreased to </w:t>
      </w:r>
      <w:bookmarkStart w:id="45" w:name="led65193F20213301619802930099"/>
      <w:r>
        <w:rPr>
          <w:sz w:val="20"/>
          <w:szCs w:val="20"/>
        </w:rPr>
        <w:t>$98</w:t>
      </w:r>
      <w:bookmarkEnd w:id="45"/>
      <w:r>
        <w:rPr>
          <w:sz w:val="20"/>
          <w:szCs w:val="20"/>
        </w:rPr>
        <w:t xml:space="preserve"> million for the three months ended June 30, 2021 from </w:t>
      </w:r>
      <w:bookmarkStart w:id="46" w:name="led65193F20213301619802944946"/>
      <w:r>
        <w:rPr>
          <w:sz w:val="20"/>
          <w:szCs w:val="20"/>
        </w:rPr>
        <w:t>$100</w:t>
      </w:r>
      <w:bookmarkEnd w:id="46"/>
      <w:r w:rsidR="006C5497">
        <w:rPr>
          <w:sz w:val="20"/>
          <w:szCs w:val="20"/>
        </w:rPr>
        <w:t> </w:t>
      </w:r>
      <w:r>
        <w:rPr>
          <w:sz w:val="20"/>
          <w:szCs w:val="20"/>
        </w:rPr>
        <w:t>million for the same period in 2020. The </w:t>
      </w:r>
      <w:bookmarkStart w:id="47" w:name="led65193F20213301619802960506"/>
      <w:r>
        <w:rPr>
          <w:sz w:val="20"/>
          <w:szCs w:val="20"/>
        </w:rPr>
        <w:t>$2</w:t>
      </w:r>
      <w:bookmarkEnd w:id="47"/>
      <w:r>
        <w:rPr>
          <w:sz w:val="20"/>
          <w:szCs w:val="20"/>
        </w:rPr>
        <w:t xml:space="preserve"> million, or </w:t>
      </w:r>
      <w:bookmarkStart w:id="48" w:name="led65193F20213301619802972766"/>
      <w:r>
        <w:rPr>
          <w:sz w:val="20"/>
          <w:szCs w:val="20"/>
        </w:rPr>
        <w:t>2%</w:t>
      </w:r>
      <w:bookmarkEnd w:id="48"/>
      <w:r>
        <w:rPr>
          <w:sz w:val="20"/>
          <w:szCs w:val="20"/>
        </w:rPr>
        <w:t>, decrease is primarily driven by lower activity levels in the upstream sector in the U.K. In addition, the strengthening of foreign currencies in areas where we operate relative to the U.S. dollar favorably impacted sales by $11 million, or 11%.</w:t>
      </w:r>
    </w:p>
    <w:p w14:paraId="2DDF9EEC" w14:textId="77777777" w:rsidR="00954279" w:rsidRDefault="00A66714">
      <w:pPr>
        <w:ind w:left="144" w:right="144"/>
        <w:rPr>
          <w:sz w:val="20"/>
          <w:szCs w:val="20"/>
        </w:rPr>
      </w:pPr>
      <w:r>
        <w:rPr>
          <w:sz w:val="20"/>
          <w:szCs w:val="20"/>
        </w:rPr>
        <w:t> </w:t>
      </w:r>
    </w:p>
    <w:p w14:paraId="76E07FAD" w14:textId="28035052" w:rsidR="00954279" w:rsidRDefault="00A66714">
      <w:pPr>
        <w:ind w:left="144" w:right="144"/>
        <w:rPr>
          <w:sz w:val="20"/>
          <w:szCs w:val="20"/>
        </w:rPr>
      </w:pPr>
      <w:r>
        <w:rPr>
          <w:b/>
          <w:bCs/>
          <w:i/>
          <w:iCs/>
          <w:sz w:val="20"/>
          <w:szCs w:val="20"/>
        </w:rPr>
        <w:t>Gross Profit</w:t>
      </w:r>
      <w:r>
        <w:rPr>
          <w:i/>
          <w:iCs/>
          <w:sz w:val="20"/>
          <w:szCs w:val="20"/>
        </w:rPr>
        <w:t>.</w:t>
      </w:r>
      <w:r>
        <w:rPr>
          <w:sz w:val="20"/>
          <w:szCs w:val="20"/>
        </w:rPr>
        <w:t>  Our gross profit was </w:t>
      </w:r>
      <w:bookmarkStart w:id="49" w:name="led65193F20213301619803211203"/>
      <w:r>
        <w:rPr>
          <w:sz w:val="20"/>
          <w:szCs w:val="20"/>
        </w:rPr>
        <w:t>$112</w:t>
      </w:r>
      <w:bookmarkEnd w:id="49"/>
      <w:r>
        <w:rPr>
          <w:sz w:val="20"/>
          <w:szCs w:val="20"/>
        </w:rPr>
        <w:t xml:space="preserve"> million (</w:t>
      </w:r>
      <w:bookmarkStart w:id="50" w:name="led65193F20213301619803227462"/>
      <w:r>
        <w:rPr>
          <w:sz w:val="20"/>
          <w:szCs w:val="20"/>
        </w:rPr>
        <w:t>16.3%</w:t>
      </w:r>
      <w:bookmarkEnd w:id="50"/>
      <w:r>
        <w:rPr>
          <w:sz w:val="20"/>
          <w:szCs w:val="20"/>
        </w:rPr>
        <w:t xml:space="preserve"> of sales) for the three months ended June 30, 2021 as compared to </w:t>
      </w:r>
      <w:bookmarkStart w:id="51" w:name="led65193F20213301619803243891"/>
      <w:r>
        <w:rPr>
          <w:sz w:val="20"/>
          <w:szCs w:val="20"/>
        </w:rPr>
        <w:t>$79</w:t>
      </w:r>
      <w:bookmarkEnd w:id="51"/>
      <w:r w:rsidR="006C5497">
        <w:rPr>
          <w:sz w:val="20"/>
          <w:szCs w:val="20"/>
        </w:rPr>
        <w:t> </w:t>
      </w:r>
      <w:r>
        <w:rPr>
          <w:sz w:val="20"/>
          <w:szCs w:val="20"/>
        </w:rPr>
        <w:t>million (</w:t>
      </w:r>
      <w:bookmarkStart w:id="52" w:name="led65193F20213301619803265471"/>
      <w:r>
        <w:rPr>
          <w:sz w:val="20"/>
          <w:szCs w:val="20"/>
        </w:rPr>
        <w:t>13.1%</w:t>
      </w:r>
      <w:bookmarkEnd w:id="52"/>
      <w:r>
        <w:rPr>
          <w:sz w:val="20"/>
          <w:szCs w:val="20"/>
        </w:rPr>
        <w:t xml:space="preserve"> of sales) for the three months ended June 30, 2020. As compared to average cost, our LIFO inventory costing methodology increased cost of sales by $11 million for the second quarter of </w:t>
      </w:r>
      <w:bookmarkStart w:id="53" w:name="led65141F20213301619804697279"/>
      <w:r>
        <w:rPr>
          <w:sz w:val="20"/>
          <w:szCs w:val="20"/>
        </w:rPr>
        <w:t>2021</w:t>
      </w:r>
      <w:bookmarkEnd w:id="53"/>
      <w:r>
        <w:rPr>
          <w:sz w:val="20"/>
          <w:szCs w:val="20"/>
        </w:rPr>
        <w:t xml:space="preserve"> compared to a $6 million reduction in the second quarter of </w:t>
      </w:r>
      <w:bookmarkStart w:id="54" w:name="led65141F20213301619804651304"/>
      <w:r>
        <w:rPr>
          <w:sz w:val="20"/>
          <w:szCs w:val="20"/>
        </w:rPr>
        <w:t>2020</w:t>
      </w:r>
      <w:bookmarkEnd w:id="54"/>
      <w:r>
        <w:rPr>
          <w:sz w:val="20"/>
          <w:szCs w:val="20"/>
        </w:rPr>
        <w:t>. In addition, gross profit for the three months ended June 30, 2020 was negatively impacted by $34</w:t>
      </w:r>
      <w:r w:rsidR="006C5497">
        <w:rPr>
          <w:sz w:val="20"/>
          <w:szCs w:val="20"/>
        </w:rPr>
        <w:t> </w:t>
      </w:r>
      <w:r>
        <w:rPr>
          <w:sz w:val="20"/>
          <w:szCs w:val="20"/>
        </w:rPr>
        <w:t>million of inventory-related charges due to the COVID-19 pandemic and related economic downturn. </w:t>
      </w:r>
    </w:p>
    <w:p w14:paraId="1D8EF5AD" w14:textId="77777777" w:rsidR="00954279" w:rsidRDefault="00A66714">
      <w:pPr>
        <w:ind w:left="144" w:right="144"/>
        <w:rPr>
          <w:sz w:val="20"/>
          <w:szCs w:val="20"/>
        </w:rPr>
      </w:pPr>
      <w:r>
        <w:rPr>
          <w:sz w:val="20"/>
          <w:szCs w:val="20"/>
        </w:rPr>
        <w:t> </w:t>
      </w:r>
    </w:p>
    <w:p w14:paraId="1073C1FF" w14:textId="77777777" w:rsidR="00954279" w:rsidRDefault="00A66714">
      <w:pPr>
        <w:ind w:left="144" w:right="144"/>
        <w:rPr>
          <w:sz w:val="20"/>
          <w:szCs w:val="20"/>
        </w:rPr>
      </w:pPr>
      <w:r>
        <w:rPr>
          <w:b/>
          <w:bCs/>
          <w:i/>
          <w:iCs/>
          <w:sz w:val="20"/>
          <w:szCs w:val="20"/>
        </w:rPr>
        <w:t>Adjusted Gross Profit</w:t>
      </w:r>
      <w:r>
        <w:rPr>
          <w:i/>
          <w:iCs/>
          <w:sz w:val="20"/>
          <w:szCs w:val="20"/>
        </w:rPr>
        <w:t>.</w:t>
      </w:r>
      <w:r>
        <w:rPr>
          <w:sz w:val="20"/>
          <w:szCs w:val="20"/>
        </w:rPr>
        <w:t>  Adjusted Gross Profit increased to </w:t>
      </w:r>
      <w:bookmarkStart w:id="55" w:name="led65193F20213301619803554876"/>
      <w:r>
        <w:rPr>
          <w:sz w:val="20"/>
          <w:szCs w:val="20"/>
        </w:rPr>
        <w:t>$134</w:t>
      </w:r>
      <w:bookmarkEnd w:id="55"/>
      <w:r>
        <w:rPr>
          <w:sz w:val="20"/>
          <w:szCs w:val="20"/>
        </w:rPr>
        <w:t xml:space="preserve"> million (</w:t>
      </w:r>
      <w:bookmarkStart w:id="56" w:name="led65193F20213301619803572512"/>
      <w:r>
        <w:rPr>
          <w:sz w:val="20"/>
          <w:szCs w:val="20"/>
        </w:rPr>
        <w:t>19.5%</w:t>
      </w:r>
      <w:bookmarkEnd w:id="56"/>
      <w:r>
        <w:rPr>
          <w:sz w:val="20"/>
          <w:szCs w:val="20"/>
        </w:rPr>
        <w:t xml:space="preserve"> of sales) for the three months ended June 30, 2021 from </w:t>
      </w:r>
      <w:bookmarkStart w:id="57" w:name="led65193F20213301619803588653"/>
      <w:r>
        <w:rPr>
          <w:sz w:val="20"/>
          <w:szCs w:val="20"/>
        </w:rPr>
        <w:t>$118</w:t>
      </w:r>
      <w:bookmarkEnd w:id="57"/>
      <w:r>
        <w:rPr>
          <w:sz w:val="20"/>
          <w:szCs w:val="20"/>
        </w:rPr>
        <w:t xml:space="preserve"> million (</w:t>
      </w:r>
      <w:bookmarkStart w:id="58" w:name="led65193F20213301619803609404"/>
      <w:r>
        <w:rPr>
          <w:sz w:val="20"/>
          <w:szCs w:val="20"/>
        </w:rPr>
        <w:t>19.6%</w:t>
      </w:r>
      <w:bookmarkEnd w:id="58"/>
      <w:r>
        <w:rPr>
          <w:sz w:val="20"/>
          <w:szCs w:val="20"/>
        </w:rPr>
        <w:t xml:space="preserve"> of sales) for the three months ended June 30, 2020, an increase of </w:t>
      </w:r>
      <w:bookmarkStart w:id="59" w:name="led65193F20213301619803643102"/>
      <w:r>
        <w:rPr>
          <w:sz w:val="20"/>
          <w:szCs w:val="20"/>
        </w:rPr>
        <w:t>$16</w:t>
      </w:r>
      <w:bookmarkEnd w:id="59"/>
      <w:r>
        <w:rPr>
          <w:sz w:val="20"/>
          <w:szCs w:val="20"/>
        </w:rPr>
        <w:t xml:space="preserve"> million. Adjusted Gross Profit is a non-GAAP financial measure. We define Adjusted Gross Profit as sales, less cost of sales, plus depreciation and amortization, plus amortization of intangibles, plus inventory-related charges incremental to normal operations and plus or minus the impact of our LIFO inventory costing methodology. We present Adjusted Gross Profit because we believe it is a useful indicator of our operating performance without regard to items, such as amortization of intangibles, that can vary substantially from company to company depending upon the nature and extent of acquisitions. Similarly, the impact of the LIFO inventory costing method can cause results to vary substantially from company to company depending upon whether they elect to utilize LIFO and depending upon which method they may elect. We use Adjusted Gross Profit as a key performance indicator in managing our business. We believe that gross profit is the financial measure calculated and presented in accordance with U.S. generally accepted accounting principles that is most directly comparable to Adjusted Gross Profit.</w:t>
      </w:r>
    </w:p>
    <w:p w14:paraId="43E60670" w14:textId="77777777" w:rsidR="00954279" w:rsidRDefault="00A66714">
      <w:pPr>
        <w:ind w:left="144" w:right="144"/>
        <w:rPr>
          <w:sz w:val="20"/>
          <w:szCs w:val="20"/>
        </w:rPr>
      </w:pPr>
      <w:r>
        <w:rPr>
          <w:sz w:val="20"/>
          <w:szCs w:val="20"/>
        </w:rPr>
        <w:t> </w:t>
      </w:r>
    </w:p>
    <w:p w14:paraId="6A91D65E" w14:textId="77777777" w:rsidR="00954279" w:rsidRDefault="00A66714">
      <w:pPr>
        <w:ind w:left="144" w:right="144"/>
        <w:rPr>
          <w:sz w:val="20"/>
          <w:szCs w:val="20"/>
        </w:rPr>
      </w:pPr>
      <w:r>
        <w:rPr>
          <w:sz w:val="20"/>
          <w:szCs w:val="20"/>
        </w:rPr>
        <w:t>The following table reconciles Adjusted Gross Profit, a non-GAAP financial measure, with gross profit, as derived from our financial statements (in millions):</w:t>
      </w:r>
    </w:p>
    <w:p w14:paraId="77D9D2A0" w14:textId="77777777" w:rsidR="00954279" w:rsidRDefault="00A66714">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5597"/>
        <w:gridCol w:w="89"/>
        <w:gridCol w:w="110"/>
        <w:gridCol w:w="953"/>
        <w:gridCol w:w="89"/>
        <w:gridCol w:w="89"/>
        <w:gridCol w:w="96"/>
        <w:gridCol w:w="946"/>
        <w:gridCol w:w="210"/>
        <w:gridCol w:w="89"/>
        <w:gridCol w:w="110"/>
        <w:gridCol w:w="954"/>
        <w:gridCol w:w="90"/>
        <w:gridCol w:w="90"/>
        <w:gridCol w:w="96"/>
        <w:gridCol w:w="948"/>
        <w:gridCol w:w="244"/>
      </w:tblGrid>
      <w:tr w:rsidR="00954279" w14:paraId="69865B91" w14:textId="77777777">
        <w:tc>
          <w:tcPr>
            <w:tcW w:w="0" w:type="auto"/>
            <w:tcMar>
              <w:top w:w="5" w:type="dxa"/>
              <w:left w:w="5" w:type="dxa"/>
              <w:bottom w:w="5" w:type="dxa"/>
              <w:right w:w="5" w:type="dxa"/>
            </w:tcMar>
            <w:vAlign w:val="bottom"/>
            <w:hideMark/>
          </w:tcPr>
          <w:p w14:paraId="7A72355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A753622" w14:textId="77777777" w:rsidR="00954279" w:rsidRDefault="00A66714">
            <w:pPr>
              <w:rPr>
                <w:color w:val="000000"/>
                <w:sz w:val="20"/>
                <w:szCs w:val="20"/>
              </w:rPr>
            </w:pPr>
            <w:r>
              <w:rPr>
                <w:color w:val="000000"/>
                <w:sz w:val="20"/>
                <w:szCs w:val="20"/>
              </w:rPr>
              <w:t> </w:t>
            </w:r>
          </w:p>
        </w:tc>
        <w:tc>
          <w:tcPr>
            <w:tcW w:w="0" w:type="auto"/>
            <w:gridSpan w:val="14"/>
            <w:tcBorders>
              <w:bottom w:val="single" w:sz="6" w:space="0" w:color="000000"/>
            </w:tcBorders>
            <w:tcMar>
              <w:top w:w="5" w:type="dxa"/>
              <w:left w:w="5" w:type="dxa"/>
              <w:bottom w:w="8" w:type="dxa"/>
              <w:right w:w="5" w:type="dxa"/>
            </w:tcMar>
            <w:vAlign w:val="bottom"/>
            <w:hideMark/>
          </w:tcPr>
          <w:p w14:paraId="4DAA5CA4" w14:textId="77777777" w:rsidR="00954279" w:rsidRDefault="00A66714">
            <w:pPr>
              <w:jc w:val="center"/>
              <w:rPr>
                <w:color w:val="000000"/>
                <w:sz w:val="20"/>
                <w:szCs w:val="20"/>
              </w:rPr>
            </w:pPr>
            <w:r>
              <w:rPr>
                <w:b/>
                <w:bCs/>
                <w:color w:val="000000"/>
                <w:sz w:val="20"/>
                <w:szCs w:val="20"/>
              </w:rPr>
              <w:t>Three Months Ended</w:t>
            </w:r>
          </w:p>
        </w:tc>
        <w:tc>
          <w:tcPr>
            <w:tcW w:w="0" w:type="auto"/>
            <w:tcMar>
              <w:top w:w="5" w:type="dxa"/>
              <w:left w:w="5" w:type="dxa"/>
              <w:bottom w:w="20" w:type="dxa"/>
              <w:right w:w="5" w:type="dxa"/>
            </w:tcMar>
            <w:vAlign w:val="bottom"/>
            <w:hideMark/>
          </w:tcPr>
          <w:p w14:paraId="1BB0D274" w14:textId="77777777" w:rsidR="00954279" w:rsidRDefault="00A66714">
            <w:pPr>
              <w:rPr>
                <w:color w:val="000000"/>
                <w:sz w:val="20"/>
                <w:szCs w:val="20"/>
              </w:rPr>
            </w:pPr>
            <w:r>
              <w:rPr>
                <w:color w:val="000000"/>
                <w:sz w:val="20"/>
                <w:szCs w:val="20"/>
              </w:rPr>
              <w:t> </w:t>
            </w:r>
          </w:p>
        </w:tc>
      </w:tr>
      <w:tr w:rsidR="00954279" w14:paraId="4E272E40" w14:textId="77777777">
        <w:tc>
          <w:tcPr>
            <w:tcW w:w="0" w:type="auto"/>
            <w:tcMar>
              <w:top w:w="5" w:type="dxa"/>
              <w:left w:w="5" w:type="dxa"/>
              <w:bottom w:w="5" w:type="dxa"/>
              <w:right w:w="5" w:type="dxa"/>
            </w:tcMar>
            <w:vAlign w:val="bottom"/>
            <w:hideMark/>
          </w:tcPr>
          <w:p w14:paraId="6273C90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EF4EFD6"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65A19EBC" w14:textId="77777777" w:rsidR="00954279" w:rsidRDefault="00A66714">
            <w:pPr>
              <w:jc w:val="center"/>
              <w:rPr>
                <w:color w:val="000000"/>
                <w:sz w:val="20"/>
                <w:szCs w:val="20"/>
              </w:rPr>
            </w:pPr>
            <w:r>
              <w:rPr>
                <w:b/>
                <w:bCs/>
                <w:color w:val="000000"/>
                <w:sz w:val="20"/>
                <w:szCs w:val="20"/>
              </w:rPr>
              <w:t>June 30,</w:t>
            </w:r>
          </w:p>
        </w:tc>
        <w:tc>
          <w:tcPr>
            <w:tcW w:w="0" w:type="auto"/>
            <w:tcMar>
              <w:top w:w="5" w:type="dxa"/>
              <w:left w:w="5" w:type="dxa"/>
              <w:bottom w:w="5" w:type="dxa"/>
              <w:right w:w="5" w:type="dxa"/>
            </w:tcMar>
            <w:vAlign w:val="bottom"/>
            <w:hideMark/>
          </w:tcPr>
          <w:p w14:paraId="045382C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2CC6555"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46583656" w14:textId="77777777" w:rsidR="00954279" w:rsidRDefault="00A66714">
            <w:pPr>
              <w:jc w:val="center"/>
              <w:rPr>
                <w:color w:val="000000"/>
                <w:sz w:val="20"/>
                <w:szCs w:val="20"/>
              </w:rPr>
            </w:pPr>
            <w:r>
              <w:rPr>
                <w:b/>
                <w:bCs/>
                <w:color w:val="000000"/>
                <w:sz w:val="20"/>
                <w:szCs w:val="20"/>
              </w:rPr>
              <w:t>Percentage</w:t>
            </w:r>
          </w:p>
        </w:tc>
        <w:tc>
          <w:tcPr>
            <w:tcW w:w="0" w:type="auto"/>
            <w:tcMar>
              <w:top w:w="5" w:type="dxa"/>
              <w:left w:w="5" w:type="dxa"/>
              <w:bottom w:w="5" w:type="dxa"/>
              <w:right w:w="5" w:type="dxa"/>
            </w:tcMar>
            <w:vAlign w:val="bottom"/>
            <w:hideMark/>
          </w:tcPr>
          <w:p w14:paraId="41294D8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88FBDB5"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6D6DB326" w14:textId="77777777" w:rsidR="00954279" w:rsidRDefault="00A66714">
            <w:pPr>
              <w:jc w:val="center"/>
              <w:rPr>
                <w:color w:val="000000"/>
                <w:sz w:val="20"/>
                <w:szCs w:val="20"/>
              </w:rPr>
            </w:pPr>
            <w:r>
              <w:rPr>
                <w:b/>
                <w:bCs/>
                <w:color w:val="000000"/>
                <w:sz w:val="20"/>
                <w:szCs w:val="20"/>
              </w:rPr>
              <w:t>June 30,</w:t>
            </w:r>
          </w:p>
        </w:tc>
        <w:tc>
          <w:tcPr>
            <w:tcW w:w="0" w:type="auto"/>
            <w:tcMar>
              <w:top w:w="5" w:type="dxa"/>
              <w:left w:w="5" w:type="dxa"/>
              <w:bottom w:w="5" w:type="dxa"/>
              <w:right w:w="5" w:type="dxa"/>
            </w:tcMar>
            <w:vAlign w:val="bottom"/>
            <w:hideMark/>
          </w:tcPr>
          <w:p w14:paraId="247EB65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C24D821"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1C844541" w14:textId="77777777" w:rsidR="00954279" w:rsidRDefault="00A66714">
            <w:pPr>
              <w:jc w:val="center"/>
              <w:rPr>
                <w:color w:val="000000"/>
                <w:sz w:val="20"/>
                <w:szCs w:val="20"/>
              </w:rPr>
            </w:pPr>
            <w:r>
              <w:rPr>
                <w:b/>
                <w:bCs/>
                <w:color w:val="000000"/>
                <w:sz w:val="20"/>
                <w:szCs w:val="20"/>
              </w:rPr>
              <w:t>Percentage</w:t>
            </w:r>
          </w:p>
        </w:tc>
        <w:tc>
          <w:tcPr>
            <w:tcW w:w="0" w:type="auto"/>
            <w:tcMar>
              <w:top w:w="5" w:type="dxa"/>
              <w:left w:w="5" w:type="dxa"/>
              <w:bottom w:w="5" w:type="dxa"/>
              <w:right w:w="5" w:type="dxa"/>
            </w:tcMar>
            <w:vAlign w:val="bottom"/>
            <w:hideMark/>
          </w:tcPr>
          <w:p w14:paraId="19618B3C" w14:textId="77777777" w:rsidR="00954279" w:rsidRDefault="00A66714">
            <w:pPr>
              <w:rPr>
                <w:color w:val="000000"/>
                <w:sz w:val="20"/>
                <w:szCs w:val="20"/>
              </w:rPr>
            </w:pPr>
            <w:r>
              <w:rPr>
                <w:color w:val="000000"/>
                <w:sz w:val="20"/>
                <w:szCs w:val="20"/>
              </w:rPr>
              <w:t> </w:t>
            </w:r>
          </w:p>
        </w:tc>
      </w:tr>
      <w:tr w:rsidR="00954279" w14:paraId="7CEE132A" w14:textId="77777777">
        <w:tc>
          <w:tcPr>
            <w:tcW w:w="0" w:type="auto"/>
            <w:tcMar>
              <w:top w:w="5" w:type="dxa"/>
              <w:left w:w="5" w:type="dxa"/>
              <w:bottom w:w="5" w:type="dxa"/>
              <w:right w:w="5" w:type="dxa"/>
            </w:tcMar>
            <w:vAlign w:val="bottom"/>
            <w:hideMark/>
          </w:tcPr>
          <w:p w14:paraId="5026229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209F6C9"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334D677E" w14:textId="77777777" w:rsidR="00954279" w:rsidRDefault="00A66714">
            <w:pPr>
              <w:jc w:val="center"/>
              <w:rPr>
                <w:color w:val="000000"/>
                <w:sz w:val="20"/>
                <w:szCs w:val="20"/>
              </w:rPr>
            </w:pPr>
            <w:r>
              <w:rPr>
                <w:b/>
                <w:bCs/>
                <w:color w:val="000000"/>
                <w:sz w:val="20"/>
                <w:szCs w:val="20"/>
              </w:rPr>
              <w:t>2021</w:t>
            </w:r>
          </w:p>
        </w:tc>
        <w:tc>
          <w:tcPr>
            <w:tcW w:w="0" w:type="auto"/>
            <w:tcMar>
              <w:top w:w="5" w:type="dxa"/>
              <w:left w:w="5" w:type="dxa"/>
              <w:bottom w:w="20" w:type="dxa"/>
              <w:right w:w="5" w:type="dxa"/>
            </w:tcMar>
            <w:vAlign w:val="bottom"/>
            <w:hideMark/>
          </w:tcPr>
          <w:p w14:paraId="3B882AE2"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1E1FF55"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60D5AEA" w14:textId="77777777" w:rsidR="00954279" w:rsidRDefault="00A66714">
            <w:pPr>
              <w:jc w:val="center"/>
              <w:rPr>
                <w:color w:val="000000"/>
                <w:sz w:val="20"/>
                <w:szCs w:val="20"/>
              </w:rPr>
            </w:pPr>
            <w:r>
              <w:rPr>
                <w:b/>
                <w:bCs/>
                <w:color w:val="000000"/>
                <w:sz w:val="20"/>
                <w:szCs w:val="20"/>
              </w:rPr>
              <w:t>of Revenue</w:t>
            </w:r>
          </w:p>
        </w:tc>
        <w:tc>
          <w:tcPr>
            <w:tcW w:w="0" w:type="auto"/>
            <w:tcMar>
              <w:top w:w="5" w:type="dxa"/>
              <w:left w:w="5" w:type="dxa"/>
              <w:bottom w:w="20" w:type="dxa"/>
              <w:right w:w="5" w:type="dxa"/>
            </w:tcMar>
            <w:vAlign w:val="bottom"/>
            <w:hideMark/>
          </w:tcPr>
          <w:p w14:paraId="4965806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5FAB3A6"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DCAB9CE" w14:textId="77777777" w:rsidR="00954279" w:rsidRDefault="00A66714">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3546C6C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744FAA3"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2C503574" w14:textId="77777777" w:rsidR="00954279" w:rsidRDefault="00A66714">
            <w:pPr>
              <w:jc w:val="center"/>
              <w:rPr>
                <w:color w:val="000000"/>
                <w:sz w:val="20"/>
                <w:szCs w:val="20"/>
              </w:rPr>
            </w:pPr>
            <w:r>
              <w:rPr>
                <w:b/>
                <w:bCs/>
                <w:color w:val="000000"/>
                <w:sz w:val="20"/>
                <w:szCs w:val="20"/>
              </w:rPr>
              <w:t>of Revenue*</w:t>
            </w:r>
          </w:p>
        </w:tc>
        <w:tc>
          <w:tcPr>
            <w:tcW w:w="0" w:type="auto"/>
            <w:tcMar>
              <w:top w:w="5" w:type="dxa"/>
              <w:left w:w="5" w:type="dxa"/>
              <w:bottom w:w="20" w:type="dxa"/>
              <w:right w:w="5" w:type="dxa"/>
            </w:tcMar>
            <w:vAlign w:val="bottom"/>
            <w:hideMark/>
          </w:tcPr>
          <w:p w14:paraId="1C1F6EE5" w14:textId="77777777" w:rsidR="00954279" w:rsidRDefault="00A66714">
            <w:pPr>
              <w:rPr>
                <w:color w:val="000000"/>
                <w:sz w:val="20"/>
                <w:szCs w:val="20"/>
              </w:rPr>
            </w:pPr>
            <w:r>
              <w:rPr>
                <w:color w:val="000000"/>
                <w:sz w:val="20"/>
                <w:szCs w:val="20"/>
              </w:rPr>
              <w:t> </w:t>
            </w:r>
          </w:p>
        </w:tc>
      </w:tr>
      <w:tr w:rsidR="00954279" w14:paraId="0DC54AA2" w14:textId="77777777">
        <w:tc>
          <w:tcPr>
            <w:tcW w:w="2600" w:type="pct"/>
            <w:tcMar>
              <w:top w:w="5" w:type="dxa"/>
              <w:left w:w="5" w:type="dxa"/>
              <w:bottom w:w="5" w:type="dxa"/>
              <w:right w:w="5" w:type="dxa"/>
            </w:tcMar>
            <w:vAlign w:val="bottom"/>
            <w:hideMark/>
          </w:tcPr>
          <w:p w14:paraId="54623981" w14:textId="77777777" w:rsidR="00954279" w:rsidRDefault="00A66714">
            <w:pPr>
              <w:rPr>
                <w:color w:val="000000"/>
                <w:sz w:val="20"/>
                <w:szCs w:val="20"/>
              </w:rPr>
            </w:pPr>
            <w:r>
              <w:rPr>
                <w:color w:val="000000"/>
                <w:sz w:val="20"/>
                <w:szCs w:val="20"/>
              </w:rPr>
              <w:t>Gross profit, as reported</w:t>
            </w:r>
          </w:p>
        </w:tc>
        <w:tc>
          <w:tcPr>
            <w:tcW w:w="50" w:type="pct"/>
            <w:tcMar>
              <w:top w:w="5" w:type="dxa"/>
              <w:left w:w="5" w:type="dxa"/>
              <w:bottom w:w="5" w:type="dxa"/>
              <w:right w:w="5" w:type="dxa"/>
            </w:tcMar>
            <w:vAlign w:val="bottom"/>
            <w:hideMark/>
          </w:tcPr>
          <w:p w14:paraId="5744DE7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8170B1E"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771244DA" w14:textId="77777777" w:rsidR="00954279" w:rsidRDefault="00A66714">
            <w:pPr>
              <w:jc w:val="right"/>
              <w:rPr>
                <w:color w:val="000000"/>
                <w:sz w:val="20"/>
                <w:szCs w:val="20"/>
              </w:rPr>
            </w:pPr>
            <w:r>
              <w:rPr>
                <w:b/>
                <w:bCs/>
                <w:color w:val="000000"/>
                <w:sz w:val="20"/>
                <w:szCs w:val="20"/>
              </w:rPr>
              <w:t>112</w:t>
            </w:r>
          </w:p>
        </w:tc>
        <w:tc>
          <w:tcPr>
            <w:tcW w:w="50" w:type="pct"/>
            <w:noWrap/>
            <w:tcMar>
              <w:top w:w="5" w:type="dxa"/>
              <w:left w:w="5" w:type="dxa"/>
              <w:bottom w:w="5" w:type="dxa"/>
              <w:right w:w="5" w:type="dxa"/>
            </w:tcMar>
            <w:vAlign w:val="bottom"/>
            <w:hideMark/>
          </w:tcPr>
          <w:p w14:paraId="12E85FE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7B4BCF8"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BC266EF"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BF3CDF2" w14:textId="77777777" w:rsidR="00954279" w:rsidRDefault="00A66714">
            <w:pPr>
              <w:jc w:val="right"/>
              <w:rPr>
                <w:color w:val="000000"/>
                <w:sz w:val="20"/>
                <w:szCs w:val="20"/>
              </w:rPr>
            </w:pPr>
            <w:r>
              <w:rPr>
                <w:b/>
                <w:bCs/>
                <w:color w:val="000000"/>
                <w:sz w:val="20"/>
                <w:szCs w:val="20"/>
              </w:rPr>
              <w:t>16.3</w:t>
            </w:r>
          </w:p>
        </w:tc>
        <w:tc>
          <w:tcPr>
            <w:tcW w:w="50" w:type="pct"/>
            <w:noWrap/>
            <w:tcMar>
              <w:top w:w="5" w:type="dxa"/>
              <w:left w:w="5" w:type="dxa"/>
              <w:bottom w:w="5" w:type="dxa"/>
              <w:right w:w="5" w:type="dxa"/>
            </w:tcMar>
            <w:vAlign w:val="bottom"/>
            <w:hideMark/>
          </w:tcPr>
          <w:p w14:paraId="73307EC6" w14:textId="77777777" w:rsidR="00954279" w:rsidRDefault="00A66714">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267C652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D420A8D"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399B743A" w14:textId="77777777" w:rsidR="00954279" w:rsidRDefault="00A66714">
            <w:pPr>
              <w:jc w:val="right"/>
              <w:rPr>
                <w:color w:val="000000"/>
                <w:sz w:val="20"/>
                <w:szCs w:val="20"/>
              </w:rPr>
            </w:pPr>
            <w:r>
              <w:rPr>
                <w:color w:val="000000"/>
                <w:sz w:val="20"/>
                <w:szCs w:val="20"/>
              </w:rPr>
              <w:t>79</w:t>
            </w:r>
          </w:p>
        </w:tc>
        <w:tc>
          <w:tcPr>
            <w:tcW w:w="50" w:type="pct"/>
            <w:noWrap/>
            <w:tcMar>
              <w:top w:w="5" w:type="dxa"/>
              <w:left w:w="5" w:type="dxa"/>
              <w:bottom w:w="5" w:type="dxa"/>
              <w:right w:w="5" w:type="dxa"/>
            </w:tcMar>
            <w:vAlign w:val="bottom"/>
            <w:hideMark/>
          </w:tcPr>
          <w:p w14:paraId="1BC6A6F8"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F004007"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7A50E68"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22678A8" w14:textId="77777777" w:rsidR="00954279" w:rsidRDefault="00A66714">
            <w:pPr>
              <w:jc w:val="right"/>
              <w:rPr>
                <w:color w:val="000000"/>
                <w:sz w:val="20"/>
                <w:szCs w:val="20"/>
              </w:rPr>
            </w:pPr>
            <w:r>
              <w:rPr>
                <w:color w:val="000000"/>
                <w:sz w:val="20"/>
                <w:szCs w:val="20"/>
              </w:rPr>
              <w:t>13.1</w:t>
            </w:r>
          </w:p>
        </w:tc>
        <w:tc>
          <w:tcPr>
            <w:tcW w:w="50" w:type="pct"/>
            <w:noWrap/>
            <w:tcMar>
              <w:top w:w="5" w:type="dxa"/>
              <w:left w:w="5" w:type="dxa"/>
              <w:bottom w:w="5" w:type="dxa"/>
              <w:right w:w="5" w:type="dxa"/>
            </w:tcMar>
            <w:vAlign w:val="bottom"/>
            <w:hideMark/>
          </w:tcPr>
          <w:p w14:paraId="28EFACCF" w14:textId="77777777" w:rsidR="00954279" w:rsidRDefault="00A66714">
            <w:pPr>
              <w:rPr>
                <w:color w:val="000000"/>
                <w:sz w:val="20"/>
                <w:szCs w:val="20"/>
              </w:rPr>
            </w:pPr>
            <w:r>
              <w:rPr>
                <w:color w:val="000000"/>
                <w:sz w:val="20"/>
                <w:szCs w:val="20"/>
              </w:rPr>
              <w:t>%</w:t>
            </w:r>
          </w:p>
        </w:tc>
      </w:tr>
      <w:tr w:rsidR="00954279" w14:paraId="31AB3BD2" w14:textId="77777777">
        <w:tc>
          <w:tcPr>
            <w:tcW w:w="2600" w:type="pct"/>
            <w:tcMar>
              <w:top w:w="5" w:type="dxa"/>
              <w:left w:w="5" w:type="dxa"/>
              <w:bottom w:w="5" w:type="dxa"/>
              <w:right w:w="5" w:type="dxa"/>
            </w:tcMar>
            <w:vAlign w:val="bottom"/>
            <w:hideMark/>
          </w:tcPr>
          <w:p w14:paraId="64CCDCA0" w14:textId="77777777" w:rsidR="00954279" w:rsidRDefault="00A66714">
            <w:pPr>
              <w:rPr>
                <w:color w:val="000000"/>
                <w:sz w:val="20"/>
                <w:szCs w:val="20"/>
              </w:rPr>
            </w:pPr>
            <w:r>
              <w:rPr>
                <w:color w:val="000000"/>
                <w:sz w:val="20"/>
                <w:szCs w:val="20"/>
              </w:rPr>
              <w:t>Depreciation and amortization</w:t>
            </w:r>
          </w:p>
        </w:tc>
        <w:tc>
          <w:tcPr>
            <w:tcW w:w="50" w:type="pct"/>
            <w:tcMar>
              <w:top w:w="5" w:type="dxa"/>
              <w:left w:w="5" w:type="dxa"/>
              <w:bottom w:w="5" w:type="dxa"/>
              <w:right w:w="5" w:type="dxa"/>
            </w:tcMar>
            <w:vAlign w:val="bottom"/>
            <w:hideMark/>
          </w:tcPr>
          <w:p w14:paraId="2238D3A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91D3663"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0BC6A0D" w14:textId="77777777" w:rsidR="00954279" w:rsidRDefault="00A66714">
            <w:pPr>
              <w:jc w:val="right"/>
              <w:rPr>
                <w:color w:val="000000"/>
                <w:sz w:val="20"/>
                <w:szCs w:val="20"/>
              </w:rPr>
            </w:pPr>
            <w:r>
              <w:rPr>
                <w:b/>
                <w:bCs/>
                <w:color w:val="000000"/>
                <w:sz w:val="20"/>
                <w:szCs w:val="20"/>
              </w:rPr>
              <w:t>5</w:t>
            </w:r>
          </w:p>
        </w:tc>
        <w:tc>
          <w:tcPr>
            <w:tcW w:w="50" w:type="pct"/>
            <w:noWrap/>
            <w:tcMar>
              <w:top w:w="5" w:type="dxa"/>
              <w:left w:w="5" w:type="dxa"/>
              <w:bottom w:w="5" w:type="dxa"/>
              <w:right w:w="5" w:type="dxa"/>
            </w:tcMar>
            <w:vAlign w:val="bottom"/>
            <w:hideMark/>
          </w:tcPr>
          <w:p w14:paraId="073D58C1"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782AA78"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AD2ACF0"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F4149E2" w14:textId="77777777" w:rsidR="00954279" w:rsidRDefault="00A66714">
            <w:pPr>
              <w:jc w:val="right"/>
              <w:rPr>
                <w:color w:val="000000"/>
                <w:sz w:val="20"/>
                <w:szCs w:val="20"/>
              </w:rPr>
            </w:pPr>
            <w:r>
              <w:rPr>
                <w:b/>
                <w:bCs/>
                <w:color w:val="000000"/>
                <w:sz w:val="20"/>
                <w:szCs w:val="20"/>
              </w:rPr>
              <w:t>0.7</w:t>
            </w:r>
          </w:p>
        </w:tc>
        <w:tc>
          <w:tcPr>
            <w:tcW w:w="50" w:type="pct"/>
            <w:noWrap/>
            <w:tcMar>
              <w:top w:w="5" w:type="dxa"/>
              <w:left w:w="5" w:type="dxa"/>
              <w:bottom w:w="5" w:type="dxa"/>
              <w:right w:w="5" w:type="dxa"/>
            </w:tcMar>
            <w:vAlign w:val="bottom"/>
            <w:hideMark/>
          </w:tcPr>
          <w:p w14:paraId="56BC1CA5" w14:textId="77777777" w:rsidR="00954279" w:rsidRDefault="00A66714">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09A3D2F7"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CE10C38"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09EACEB" w14:textId="77777777" w:rsidR="00954279" w:rsidRDefault="00A66714">
            <w:pPr>
              <w:jc w:val="right"/>
              <w:rPr>
                <w:color w:val="000000"/>
                <w:sz w:val="20"/>
                <w:szCs w:val="20"/>
              </w:rPr>
            </w:pPr>
            <w:r>
              <w:rPr>
                <w:color w:val="000000"/>
                <w:sz w:val="20"/>
                <w:szCs w:val="20"/>
              </w:rPr>
              <w:t>5</w:t>
            </w:r>
          </w:p>
        </w:tc>
        <w:tc>
          <w:tcPr>
            <w:tcW w:w="50" w:type="pct"/>
            <w:noWrap/>
            <w:tcMar>
              <w:top w:w="5" w:type="dxa"/>
              <w:left w:w="5" w:type="dxa"/>
              <w:bottom w:w="5" w:type="dxa"/>
              <w:right w:w="5" w:type="dxa"/>
            </w:tcMar>
            <w:vAlign w:val="bottom"/>
            <w:hideMark/>
          </w:tcPr>
          <w:p w14:paraId="325C6E7E"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F079751"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144B31B"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397BA85" w14:textId="77777777" w:rsidR="00954279" w:rsidRDefault="00A66714">
            <w:pPr>
              <w:jc w:val="right"/>
              <w:rPr>
                <w:color w:val="000000"/>
                <w:sz w:val="20"/>
                <w:szCs w:val="20"/>
              </w:rPr>
            </w:pPr>
            <w:r>
              <w:rPr>
                <w:color w:val="000000"/>
                <w:sz w:val="20"/>
                <w:szCs w:val="20"/>
              </w:rPr>
              <w:t>0.8</w:t>
            </w:r>
          </w:p>
        </w:tc>
        <w:tc>
          <w:tcPr>
            <w:tcW w:w="50" w:type="pct"/>
            <w:noWrap/>
            <w:tcMar>
              <w:top w:w="5" w:type="dxa"/>
              <w:left w:w="5" w:type="dxa"/>
              <w:bottom w:w="5" w:type="dxa"/>
              <w:right w:w="5" w:type="dxa"/>
            </w:tcMar>
            <w:vAlign w:val="bottom"/>
            <w:hideMark/>
          </w:tcPr>
          <w:p w14:paraId="2EDB6480" w14:textId="77777777" w:rsidR="00954279" w:rsidRDefault="00A66714">
            <w:pPr>
              <w:rPr>
                <w:color w:val="000000"/>
                <w:sz w:val="20"/>
                <w:szCs w:val="20"/>
              </w:rPr>
            </w:pPr>
            <w:r>
              <w:rPr>
                <w:color w:val="000000"/>
                <w:sz w:val="20"/>
                <w:szCs w:val="20"/>
              </w:rPr>
              <w:t>%</w:t>
            </w:r>
          </w:p>
        </w:tc>
      </w:tr>
      <w:tr w:rsidR="00954279" w14:paraId="1C12E89C" w14:textId="77777777">
        <w:tc>
          <w:tcPr>
            <w:tcW w:w="2600" w:type="pct"/>
            <w:tcMar>
              <w:top w:w="5" w:type="dxa"/>
              <w:left w:w="5" w:type="dxa"/>
              <w:bottom w:w="5" w:type="dxa"/>
              <w:right w:w="5" w:type="dxa"/>
            </w:tcMar>
            <w:vAlign w:val="bottom"/>
            <w:hideMark/>
          </w:tcPr>
          <w:p w14:paraId="1122BF68" w14:textId="77777777" w:rsidR="00954279" w:rsidRDefault="00A66714">
            <w:pPr>
              <w:rPr>
                <w:color w:val="000000"/>
                <w:sz w:val="20"/>
                <w:szCs w:val="20"/>
              </w:rPr>
            </w:pPr>
            <w:r>
              <w:rPr>
                <w:color w:val="000000"/>
                <w:sz w:val="20"/>
                <w:szCs w:val="20"/>
              </w:rPr>
              <w:t>Amortization of intangibles</w:t>
            </w:r>
          </w:p>
        </w:tc>
        <w:tc>
          <w:tcPr>
            <w:tcW w:w="50" w:type="pct"/>
            <w:tcMar>
              <w:top w:w="5" w:type="dxa"/>
              <w:left w:w="5" w:type="dxa"/>
              <w:bottom w:w="5" w:type="dxa"/>
              <w:right w:w="5" w:type="dxa"/>
            </w:tcMar>
            <w:vAlign w:val="bottom"/>
            <w:hideMark/>
          </w:tcPr>
          <w:p w14:paraId="7D15C3A2"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6FF094C"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11494BB" w14:textId="77777777" w:rsidR="00954279" w:rsidRDefault="00A66714">
            <w:pPr>
              <w:jc w:val="right"/>
              <w:rPr>
                <w:color w:val="000000"/>
                <w:sz w:val="20"/>
                <w:szCs w:val="20"/>
              </w:rPr>
            </w:pPr>
            <w:r>
              <w:rPr>
                <w:b/>
                <w:bCs/>
                <w:color w:val="000000"/>
                <w:sz w:val="20"/>
                <w:szCs w:val="20"/>
              </w:rPr>
              <w:t>6</w:t>
            </w:r>
          </w:p>
        </w:tc>
        <w:tc>
          <w:tcPr>
            <w:tcW w:w="50" w:type="pct"/>
            <w:noWrap/>
            <w:tcMar>
              <w:top w:w="5" w:type="dxa"/>
              <w:left w:w="5" w:type="dxa"/>
              <w:bottom w:w="5" w:type="dxa"/>
              <w:right w:w="5" w:type="dxa"/>
            </w:tcMar>
            <w:vAlign w:val="bottom"/>
            <w:hideMark/>
          </w:tcPr>
          <w:p w14:paraId="4D9AA7E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127CD7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F031153"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3BC599F" w14:textId="77777777" w:rsidR="00954279" w:rsidRDefault="00A66714">
            <w:pPr>
              <w:jc w:val="right"/>
              <w:rPr>
                <w:color w:val="000000"/>
                <w:sz w:val="20"/>
                <w:szCs w:val="20"/>
              </w:rPr>
            </w:pPr>
            <w:r>
              <w:rPr>
                <w:b/>
                <w:bCs/>
                <w:color w:val="000000"/>
                <w:sz w:val="20"/>
                <w:szCs w:val="20"/>
              </w:rPr>
              <w:t>0.9</w:t>
            </w:r>
          </w:p>
        </w:tc>
        <w:tc>
          <w:tcPr>
            <w:tcW w:w="50" w:type="pct"/>
            <w:noWrap/>
            <w:tcMar>
              <w:top w:w="5" w:type="dxa"/>
              <w:left w:w="5" w:type="dxa"/>
              <w:bottom w:w="5" w:type="dxa"/>
              <w:right w:w="5" w:type="dxa"/>
            </w:tcMar>
            <w:vAlign w:val="bottom"/>
            <w:hideMark/>
          </w:tcPr>
          <w:p w14:paraId="0BC6F2A5" w14:textId="77777777" w:rsidR="00954279" w:rsidRDefault="00A66714">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6A575B29"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4512F14"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987DD6C" w14:textId="77777777" w:rsidR="00954279" w:rsidRDefault="00A66714">
            <w:pPr>
              <w:jc w:val="right"/>
              <w:rPr>
                <w:color w:val="000000"/>
                <w:sz w:val="20"/>
                <w:szCs w:val="20"/>
              </w:rPr>
            </w:pPr>
            <w:r>
              <w:rPr>
                <w:color w:val="000000"/>
                <w:sz w:val="20"/>
                <w:szCs w:val="20"/>
              </w:rPr>
              <w:t>6</w:t>
            </w:r>
          </w:p>
        </w:tc>
        <w:tc>
          <w:tcPr>
            <w:tcW w:w="50" w:type="pct"/>
            <w:noWrap/>
            <w:tcMar>
              <w:top w:w="5" w:type="dxa"/>
              <w:left w:w="5" w:type="dxa"/>
              <w:bottom w:w="5" w:type="dxa"/>
              <w:right w:w="5" w:type="dxa"/>
            </w:tcMar>
            <w:vAlign w:val="bottom"/>
            <w:hideMark/>
          </w:tcPr>
          <w:p w14:paraId="5C4632D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C18CA82"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E1D8863"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E06096B" w14:textId="77777777" w:rsidR="00954279" w:rsidRDefault="00A66714">
            <w:pPr>
              <w:jc w:val="right"/>
              <w:rPr>
                <w:color w:val="000000"/>
                <w:sz w:val="20"/>
                <w:szCs w:val="20"/>
              </w:rPr>
            </w:pPr>
            <w:r>
              <w:rPr>
                <w:color w:val="000000"/>
                <w:sz w:val="20"/>
                <w:szCs w:val="20"/>
              </w:rPr>
              <w:t>1.0</w:t>
            </w:r>
          </w:p>
        </w:tc>
        <w:tc>
          <w:tcPr>
            <w:tcW w:w="50" w:type="pct"/>
            <w:noWrap/>
            <w:tcMar>
              <w:top w:w="5" w:type="dxa"/>
              <w:left w:w="5" w:type="dxa"/>
              <w:bottom w:w="5" w:type="dxa"/>
              <w:right w:w="5" w:type="dxa"/>
            </w:tcMar>
            <w:vAlign w:val="bottom"/>
            <w:hideMark/>
          </w:tcPr>
          <w:p w14:paraId="08A42458" w14:textId="77777777" w:rsidR="00954279" w:rsidRDefault="00A66714">
            <w:pPr>
              <w:rPr>
                <w:color w:val="000000"/>
                <w:sz w:val="20"/>
                <w:szCs w:val="20"/>
              </w:rPr>
            </w:pPr>
            <w:r>
              <w:rPr>
                <w:color w:val="000000"/>
                <w:sz w:val="20"/>
                <w:szCs w:val="20"/>
              </w:rPr>
              <w:t>%</w:t>
            </w:r>
          </w:p>
        </w:tc>
      </w:tr>
      <w:tr w:rsidR="00954279" w14:paraId="42E7B3B7" w14:textId="77777777">
        <w:tc>
          <w:tcPr>
            <w:tcW w:w="2600" w:type="pct"/>
            <w:tcMar>
              <w:top w:w="5" w:type="dxa"/>
              <w:left w:w="5" w:type="dxa"/>
              <w:bottom w:w="5" w:type="dxa"/>
              <w:right w:w="5" w:type="dxa"/>
            </w:tcMar>
            <w:vAlign w:val="bottom"/>
            <w:hideMark/>
          </w:tcPr>
          <w:p w14:paraId="1C727BB2" w14:textId="77777777" w:rsidR="00954279" w:rsidRDefault="00A66714">
            <w:pPr>
              <w:rPr>
                <w:color w:val="000000"/>
                <w:sz w:val="20"/>
                <w:szCs w:val="20"/>
              </w:rPr>
            </w:pPr>
            <w:r>
              <w:rPr>
                <w:color w:val="000000"/>
                <w:sz w:val="20"/>
                <w:szCs w:val="20"/>
              </w:rPr>
              <w:t>Increase (decrease) in LIFO reserve</w:t>
            </w:r>
          </w:p>
        </w:tc>
        <w:tc>
          <w:tcPr>
            <w:tcW w:w="50" w:type="pct"/>
            <w:tcMar>
              <w:top w:w="5" w:type="dxa"/>
              <w:left w:w="5" w:type="dxa"/>
              <w:bottom w:w="5" w:type="dxa"/>
              <w:right w:w="5" w:type="dxa"/>
            </w:tcMar>
            <w:vAlign w:val="bottom"/>
            <w:hideMark/>
          </w:tcPr>
          <w:p w14:paraId="6F001907"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1CD18AD"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4389DDB" w14:textId="77777777" w:rsidR="00954279" w:rsidRDefault="00A66714">
            <w:pPr>
              <w:jc w:val="right"/>
              <w:rPr>
                <w:color w:val="000000"/>
                <w:sz w:val="20"/>
                <w:szCs w:val="20"/>
              </w:rPr>
            </w:pPr>
            <w:r>
              <w:rPr>
                <w:b/>
                <w:bCs/>
                <w:color w:val="000000"/>
                <w:sz w:val="20"/>
                <w:szCs w:val="20"/>
              </w:rPr>
              <w:t>11</w:t>
            </w:r>
          </w:p>
        </w:tc>
        <w:tc>
          <w:tcPr>
            <w:tcW w:w="50" w:type="pct"/>
            <w:noWrap/>
            <w:tcMar>
              <w:top w:w="5" w:type="dxa"/>
              <w:left w:w="5" w:type="dxa"/>
              <w:bottom w:w="5" w:type="dxa"/>
              <w:right w:w="5" w:type="dxa"/>
            </w:tcMar>
            <w:vAlign w:val="bottom"/>
            <w:hideMark/>
          </w:tcPr>
          <w:p w14:paraId="6B0CC1E2"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376E772"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399F36D"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41C95D5" w14:textId="77777777" w:rsidR="00954279" w:rsidRDefault="00A66714">
            <w:pPr>
              <w:jc w:val="right"/>
              <w:rPr>
                <w:color w:val="000000"/>
                <w:sz w:val="20"/>
                <w:szCs w:val="20"/>
              </w:rPr>
            </w:pPr>
            <w:r>
              <w:rPr>
                <w:b/>
                <w:bCs/>
                <w:color w:val="000000"/>
                <w:sz w:val="20"/>
                <w:szCs w:val="20"/>
              </w:rPr>
              <w:t>1.6</w:t>
            </w:r>
          </w:p>
        </w:tc>
        <w:tc>
          <w:tcPr>
            <w:tcW w:w="50" w:type="pct"/>
            <w:noWrap/>
            <w:tcMar>
              <w:top w:w="5" w:type="dxa"/>
              <w:left w:w="5" w:type="dxa"/>
              <w:bottom w:w="5" w:type="dxa"/>
              <w:right w:w="5" w:type="dxa"/>
            </w:tcMar>
            <w:vAlign w:val="bottom"/>
            <w:hideMark/>
          </w:tcPr>
          <w:p w14:paraId="77ACE22B" w14:textId="77777777" w:rsidR="00954279" w:rsidRDefault="00A66714">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3E6D8B00"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B7A50C0"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E788FBE" w14:textId="77777777" w:rsidR="00954279" w:rsidRDefault="00A66714">
            <w:pPr>
              <w:jc w:val="right"/>
              <w:rPr>
                <w:color w:val="000000"/>
                <w:sz w:val="20"/>
                <w:szCs w:val="20"/>
              </w:rPr>
            </w:pPr>
            <w:r>
              <w:rPr>
                <w:color w:val="000000"/>
                <w:sz w:val="20"/>
                <w:szCs w:val="20"/>
              </w:rPr>
              <w:t>(6</w:t>
            </w:r>
          </w:p>
        </w:tc>
        <w:tc>
          <w:tcPr>
            <w:tcW w:w="50" w:type="pct"/>
            <w:noWrap/>
            <w:tcMar>
              <w:top w:w="5" w:type="dxa"/>
              <w:left w:w="5" w:type="dxa"/>
              <w:bottom w:w="5" w:type="dxa"/>
              <w:right w:w="5" w:type="dxa"/>
            </w:tcMar>
            <w:vAlign w:val="bottom"/>
            <w:hideMark/>
          </w:tcPr>
          <w:p w14:paraId="222F5C7E"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0DFC19F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B7D5B3F"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322480B" w14:textId="77777777" w:rsidR="00954279" w:rsidRDefault="00A66714">
            <w:pPr>
              <w:jc w:val="right"/>
              <w:rPr>
                <w:color w:val="000000"/>
                <w:sz w:val="20"/>
                <w:szCs w:val="20"/>
              </w:rPr>
            </w:pPr>
            <w:r>
              <w:rPr>
                <w:color w:val="000000"/>
                <w:sz w:val="20"/>
                <w:szCs w:val="20"/>
              </w:rPr>
              <w:t>(1.0</w:t>
            </w:r>
          </w:p>
        </w:tc>
        <w:tc>
          <w:tcPr>
            <w:tcW w:w="50" w:type="pct"/>
            <w:noWrap/>
            <w:tcMar>
              <w:top w:w="5" w:type="dxa"/>
              <w:left w:w="5" w:type="dxa"/>
              <w:bottom w:w="5" w:type="dxa"/>
              <w:right w:w="5" w:type="dxa"/>
            </w:tcMar>
            <w:vAlign w:val="bottom"/>
            <w:hideMark/>
          </w:tcPr>
          <w:p w14:paraId="4532A4C3" w14:textId="77777777" w:rsidR="00954279" w:rsidRDefault="00A66714">
            <w:pPr>
              <w:rPr>
                <w:color w:val="000000"/>
                <w:sz w:val="20"/>
                <w:szCs w:val="20"/>
              </w:rPr>
            </w:pPr>
            <w:r>
              <w:rPr>
                <w:color w:val="000000"/>
                <w:sz w:val="20"/>
                <w:szCs w:val="20"/>
              </w:rPr>
              <w:t>)%</w:t>
            </w:r>
          </w:p>
        </w:tc>
      </w:tr>
      <w:tr w:rsidR="00954279" w14:paraId="07C553EA" w14:textId="77777777">
        <w:tc>
          <w:tcPr>
            <w:tcW w:w="2600" w:type="pct"/>
            <w:tcMar>
              <w:top w:w="5" w:type="dxa"/>
              <w:left w:w="5" w:type="dxa"/>
              <w:bottom w:w="5" w:type="dxa"/>
              <w:right w:w="5" w:type="dxa"/>
            </w:tcMar>
            <w:vAlign w:val="bottom"/>
            <w:hideMark/>
          </w:tcPr>
          <w:p w14:paraId="4DE65C61" w14:textId="77777777" w:rsidR="00954279" w:rsidRDefault="00A66714">
            <w:pPr>
              <w:rPr>
                <w:color w:val="000000"/>
                <w:sz w:val="20"/>
                <w:szCs w:val="20"/>
              </w:rPr>
            </w:pPr>
            <w:r>
              <w:rPr>
                <w:color w:val="000000"/>
                <w:sz w:val="20"/>
                <w:szCs w:val="20"/>
              </w:rPr>
              <w:t>Inventory-related charges</w:t>
            </w:r>
          </w:p>
        </w:tc>
        <w:tc>
          <w:tcPr>
            <w:tcW w:w="50" w:type="pct"/>
            <w:tcMar>
              <w:top w:w="5" w:type="dxa"/>
              <w:left w:w="5" w:type="dxa"/>
              <w:bottom w:w="20" w:type="dxa"/>
              <w:right w:w="5" w:type="dxa"/>
            </w:tcMar>
            <w:vAlign w:val="bottom"/>
            <w:hideMark/>
          </w:tcPr>
          <w:p w14:paraId="1972DA78"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633F047"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7195C6F4" w14:textId="77777777" w:rsidR="00954279" w:rsidRDefault="00A66714">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19FE85D0" w14:textId="77777777" w:rsidR="00954279" w:rsidRDefault="00A66714">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54604A1D"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D08144D"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09FF98AE" w14:textId="77777777" w:rsidR="00954279" w:rsidRDefault="00A66714">
            <w:pPr>
              <w:jc w:val="right"/>
              <w:rPr>
                <w:color w:val="000000"/>
                <w:sz w:val="20"/>
                <w:szCs w:val="20"/>
              </w:rPr>
            </w:pPr>
            <w:r>
              <w:rPr>
                <w:b/>
                <w:bCs/>
                <w:color w:val="000000"/>
                <w:sz w:val="20"/>
                <w:szCs w:val="20"/>
              </w:rPr>
              <w:t>0.0</w:t>
            </w:r>
          </w:p>
        </w:tc>
        <w:tc>
          <w:tcPr>
            <w:tcW w:w="50" w:type="pct"/>
            <w:noWrap/>
            <w:tcMar>
              <w:top w:w="5" w:type="dxa"/>
              <w:left w:w="5" w:type="dxa"/>
              <w:bottom w:w="20" w:type="dxa"/>
              <w:right w:w="5" w:type="dxa"/>
            </w:tcMar>
            <w:vAlign w:val="bottom"/>
            <w:hideMark/>
          </w:tcPr>
          <w:p w14:paraId="2D91025C" w14:textId="77777777" w:rsidR="00954279" w:rsidRDefault="00A66714">
            <w:pPr>
              <w:rPr>
                <w:color w:val="000000"/>
                <w:sz w:val="20"/>
                <w:szCs w:val="20"/>
              </w:rPr>
            </w:pPr>
            <w:r>
              <w:rPr>
                <w:b/>
                <w:bCs/>
                <w:color w:val="000000"/>
                <w:sz w:val="20"/>
                <w:szCs w:val="20"/>
              </w:rPr>
              <w:t>%</w:t>
            </w:r>
          </w:p>
        </w:tc>
        <w:tc>
          <w:tcPr>
            <w:tcW w:w="50" w:type="pct"/>
            <w:tcMar>
              <w:top w:w="5" w:type="dxa"/>
              <w:left w:w="5" w:type="dxa"/>
              <w:bottom w:w="20" w:type="dxa"/>
              <w:right w:w="5" w:type="dxa"/>
            </w:tcMar>
            <w:vAlign w:val="bottom"/>
            <w:hideMark/>
          </w:tcPr>
          <w:p w14:paraId="2F145146"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97EB9B4"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4DA70EF9" w14:textId="77777777" w:rsidR="00954279" w:rsidRDefault="00A66714">
            <w:pPr>
              <w:jc w:val="right"/>
              <w:rPr>
                <w:color w:val="000000"/>
                <w:sz w:val="20"/>
                <w:szCs w:val="20"/>
              </w:rPr>
            </w:pPr>
            <w:r>
              <w:rPr>
                <w:color w:val="000000"/>
                <w:sz w:val="20"/>
                <w:szCs w:val="20"/>
              </w:rPr>
              <w:t>34</w:t>
            </w:r>
          </w:p>
        </w:tc>
        <w:tc>
          <w:tcPr>
            <w:tcW w:w="50" w:type="pct"/>
            <w:noWrap/>
            <w:tcMar>
              <w:top w:w="5" w:type="dxa"/>
              <w:left w:w="5" w:type="dxa"/>
              <w:bottom w:w="20" w:type="dxa"/>
              <w:right w:w="5" w:type="dxa"/>
            </w:tcMar>
            <w:vAlign w:val="bottom"/>
            <w:hideMark/>
          </w:tcPr>
          <w:p w14:paraId="1CF64578" w14:textId="77777777" w:rsidR="00954279" w:rsidRDefault="00A66714">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2ED3CC5C"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E53AF01"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3B6D7B13" w14:textId="77777777" w:rsidR="00954279" w:rsidRDefault="00A66714">
            <w:pPr>
              <w:jc w:val="right"/>
              <w:rPr>
                <w:color w:val="000000"/>
                <w:sz w:val="20"/>
                <w:szCs w:val="20"/>
              </w:rPr>
            </w:pPr>
            <w:r>
              <w:rPr>
                <w:color w:val="000000"/>
                <w:sz w:val="20"/>
                <w:szCs w:val="20"/>
              </w:rPr>
              <w:t>5.6</w:t>
            </w:r>
          </w:p>
        </w:tc>
        <w:tc>
          <w:tcPr>
            <w:tcW w:w="50" w:type="pct"/>
            <w:noWrap/>
            <w:tcMar>
              <w:top w:w="5" w:type="dxa"/>
              <w:left w:w="5" w:type="dxa"/>
              <w:bottom w:w="20" w:type="dxa"/>
              <w:right w:w="5" w:type="dxa"/>
            </w:tcMar>
            <w:vAlign w:val="bottom"/>
            <w:hideMark/>
          </w:tcPr>
          <w:p w14:paraId="72176D34" w14:textId="77777777" w:rsidR="00954279" w:rsidRDefault="00A66714">
            <w:pPr>
              <w:rPr>
                <w:color w:val="000000"/>
                <w:sz w:val="20"/>
                <w:szCs w:val="20"/>
              </w:rPr>
            </w:pPr>
            <w:r>
              <w:rPr>
                <w:color w:val="000000"/>
                <w:sz w:val="20"/>
                <w:szCs w:val="20"/>
              </w:rPr>
              <w:t>%</w:t>
            </w:r>
          </w:p>
        </w:tc>
      </w:tr>
      <w:tr w:rsidR="00954279" w14:paraId="294699AF" w14:textId="77777777">
        <w:tc>
          <w:tcPr>
            <w:tcW w:w="2600" w:type="pct"/>
            <w:tcMar>
              <w:top w:w="5" w:type="dxa"/>
              <w:left w:w="5" w:type="dxa"/>
              <w:bottom w:w="5" w:type="dxa"/>
              <w:right w:w="5" w:type="dxa"/>
            </w:tcMar>
            <w:vAlign w:val="bottom"/>
            <w:hideMark/>
          </w:tcPr>
          <w:p w14:paraId="3830DA67" w14:textId="77777777" w:rsidR="00954279" w:rsidRDefault="00A66714">
            <w:pPr>
              <w:rPr>
                <w:color w:val="000000"/>
                <w:sz w:val="20"/>
                <w:szCs w:val="20"/>
              </w:rPr>
            </w:pPr>
            <w:r>
              <w:rPr>
                <w:color w:val="000000"/>
                <w:sz w:val="20"/>
                <w:szCs w:val="20"/>
              </w:rPr>
              <w:t>Adjusted Gross Profit</w:t>
            </w:r>
          </w:p>
        </w:tc>
        <w:tc>
          <w:tcPr>
            <w:tcW w:w="50" w:type="pct"/>
            <w:tcMar>
              <w:top w:w="5" w:type="dxa"/>
              <w:left w:w="5" w:type="dxa"/>
              <w:bottom w:w="5" w:type="dxa"/>
              <w:right w:w="5" w:type="dxa"/>
            </w:tcMar>
            <w:vAlign w:val="bottom"/>
            <w:hideMark/>
          </w:tcPr>
          <w:p w14:paraId="4537633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8E5AE29"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1E5746CB" w14:textId="77777777" w:rsidR="00954279" w:rsidRDefault="00A66714">
            <w:pPr>
              <w:jc w:val="right"/>
              <w:rPr>
                <w:color w:val="000000"/>
                <w:sz w:val="20"/>
                <w:szCs w:val="20"/>
              </w:rPr>
            </w:pPr>
            <w:r>
              <w:rPr>
                <w:b/>
                <w:bCs/>
                <w:color w:val="000000"/>
                <w:sz w:val="20"/>
                <w:szCs w:val="20"/>
              </w:rPr>
              <w:t>134</w:t>
            </w:r>
          </w:p>
        </w:tc>
        <w:tc>
          <w:tcPr>
            <w:tcW w:w="50" w:type="pct"/>
            <w:noWrap/>
            <w:tcMar>
              <w:top w:w="5" w:type="dxa"/>
              <w:left w:w="5" w:type="dxa"/>
              <w:bottom w:w="5" w:type="dxa"/>
              <w:right w:w="5" w:type="dxa"/>
            </w:tcMar>
            <w:vAlign w:val="bottom"/>
            <w:hideMark/>
          </w:tcPr>
          <w:p w14:paraId="1543A2CE"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EC97022"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0DFA423"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EA8C01C" w14:textId="77777777" w:rsidR="00954279" w:rsidRDefault="00A66714">
            <w:pPr>
              <w:jc w:val="right"/>
              <w:rPr>
                <w:color w:val="000000"/>
                <w:sz w:val="20"/>
                <w:szCs w:val="20"/>
              </w:rPr>
            </w:pPr>
            <w:r>
              <w:rPr>
                <w:b/>
                <w:bCs/>
                <w:color w:val="000000"/>
                <w:sz w:val="20"/>
                <w:szCs w:val="20"/>
              </w:rPr>
              <w:t>19.5</w:t>
            </w:r>
          </w:p>
        </w:tc>
        <w:tc>
          <w:tcPr>
            <w:tcW w:w="50" w:type="pct"/>
            <w:noWrap/>
            <w:tcMar>
              <w:top w:w="5" w:type="dxa"/>
              <w:left w:w="5" w:type="dxa"/>
              <w:bottom w:w="5" w:type="dxa"/>
              <w:right w:w="5" w:type="dxa"/>
            </w:tcMar>
            <w:vAlign w:val="bottom"/>
            <w:hideMark/>
          </w:tcPr>
          <w:p w14:paraId="3ADED381" w14:textId="77777777" w:rsidR="00954279" w:rsidRDefault="00A66714">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1164D3D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41F4F4B"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2031E3F0" w14:textId="77777777" w:rsidR="00954279" w:rsidRDefault="00A66714">
            <w:pPr>
              <w:jc w:val="right"/>
              <w:rPr>
                <w:color w:val="000000"/>
                <w:sz w:val="20"/>
                <w:szCs w:val="20"/>
              </w:rPr>
            </w:pPr>
            <w:r>
              <w:rPr>
                <w:color w:val="000000"/>
                <w:sz w:val="20"/>
                <w:szCs w:val="20"/>
              </w:rPr>
              <w:t>118</w:t>
            </w:r>
          </w:p>
        </w:tc>
        <w:tc>
          <w:tcPr>
            <w:tcW w:w="50" w:type="pct"/>
            <w:noWrap/>
            <w:tcMar>
              <w:top w:w="5" w:type="dxa"/>
              <w:left w:w="5" w:type="dxa"/>
              <w:bottom w:w="5" w:type="dxa"/>
              <w:right w:w="5" w:type="dxa"/>
            </w:tcMar>
            <w:vAlign w:val="bottom"/>
            <w:hideMark/>
          </w:tcPr>
          <w:p w14:paraId="3502330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06D2A6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70173FB"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DCB62F6" w14:textId="77777777" w:rsidR="00954279" w:rsidRDefault="00A66714">
            <w:pPr>
              <w:jc w:val="right"/>
              <w:rPr>
                <w:color w:val="000000"/>
                <w:sz w:val="20"/>
                <w:szCs w:val="20"/>
              </w:rPr>
            </w:pPr>
            <w:r>
              <w:rPr>
                <w:color w:val="000000"/>
                <w:sz w:val="20"/>
                <w:szCs w:val="20"/>
              </w:rPr>
              <w:t>19.6</w:t>
            </w:r>
          </w:p>
        </w:tc>
        <w:tc>
          <w:tcPr>
            <w:tcW w:w="50" w:type="pct"/>
            <w:noWrap/>
            <w:tcMar>
              <w:top w:w="5" w:type="dxa"/>
              <w:left w:w="5" w:type="dxa"/>
              <w:bottom w:w="5" w:type="dxa"/>
              <w:right w:w="5" w:type="dxa"/>
            </w:tcMar>
            <w:vAlign w:val="bottom"/>
            <w:hideMark/>
          </w:tcPr>
          <w:p w14:paraId="3EA05E18" w14:textId="77777777" w:rsidR="00954279" w:rsidRDefault="00A66714">
            <w:pPr>
              <w:rPr>
                <w:color w:val="000000"/>
                <w:sz w:val="20"/>
                <w:szCs w:val="20"/>
              </w:rPr>
            </w:pPr>
            <w:r>
              <w:rPr>
                <w:color w:val="000000"/>
                <w:sz w:val="20"/>
                <w:szCs w:val="20"/>
              </w:rPr>
              <w:t>%</w:t>
            </w:r>
          </w:p>
        </w:tc>
      </w:tr>
    </w:tbl>
    <w:p w14:paraId="70B51C82" w14:textId="2E39E5B4" w:rsidR="00954279" w:rsidRDefault="00A66714">
      <w:pPr>
        <w:ind w:left="144" w:right="144"/>
        <w:rPr>
          <w:sz w:val="18"/>
          <w:szCs w:val="18"/>
        </w:rPr>
      </w:pPr>
      <w:r>
        <w:rPr>
          <w:sz w:val="18"/>
          <w:szCs w:val="18"/>
        </w:rPr>
        <w:t> </w:t>
      </w:r>
      <w:r>
        <w:rPr>
          <w:i/>
          <w:iCs/>
          <w:sz w:val="18"/>
          <w:szCs w:val="18"/>
        </w:rPr>
        <w:t>*Does not foot due to rounding</w:t>
      </w:r>
    </w:p>
    <w:p w14:paraId="6F13A16F" w14:textId="77777777" w:rsidR="00954279" w:rsidRDefault="00A66714">
      <w:pPr>
        <w:ind w:left="144" w:right="144"/>
        <w:rPr>
          <w:sz w:val="20"/>
          <w:szCs w:val="20"/>
        </w:rPr>
      </w:pPr>
      <w:r>
        <w:rPr>
          <w:sz w:val="20"/>
          <w:szCs w:val="20"/>
        </w:rPr>
        <w:t> </w:t>
      </w:r>
    </w:p>
    <w:p w14:paraId="6A77AA49" w14:textId="7AB7E121" w:rsidR="00954279" w:rsidRDefault="00A66714" w:rsidP="00DB5415">
      <w:pPr>
        <w:ind w:left="144" w:right="144"/>
        <w:rPr>
          <w:sz w:val="20"/>
          <w:szCs w:val="20"/>
        </w:rPr>
      </w:pPr>
      <w:r>
        <w:rPr>
          <w:b/>
          <w:bCs/>
          <w:i/>
          <w:iCs/>
          <w:sz w:val="20"/>
          <w:szCs w:val="20"/>
        </w:rPr>
        <w:t>Selling, General and Administrative (“SG&amp;A”) Expenses</w:t>
      </w:r>
      <w:r>
        <w:rPr>
          <w:i/>
          <w:iCs/>
          <w:sz w:val="20"/>
          <w:szCs w:val="20"/>
        </w:rPr>
        <w:t>.</w:t>
      </w:r>
      <w:r>
        <w:rPr>
          <w:sz w:val="20"/>
          <w:szCs w:val="20"/>
        </w:rPr>
        <w:t>  Our SG&amp;A expenses were </w:t>
      </w:r>
      <w:bookmarkStart w:id="60" w:name="led65193F20213301619803710997"/>
      <w:r>
        <w:rPr>
          <w:sz w:val="20"/>
          <w:szCs w:val="20"/>
        </w:rPr>
        <w:t>$102</w:t>
      </w:r>
      <w:bookmarkEnd w:id="60"/>
      <w:r>
        <w:rPr>
          <w:sz w:val="20"/>
          <w:szCs w:val="20"/>
        </w:rPr>
        <w:t xml:space="preserve"> million for the three months ended June 30, 2021 as compared to </w:t>
      </w:r>
      <w:bookmarkStart w:id="61" w:name="led65193F20213301619803723562"/>
      <w:r>
        <w:rPr>
          <w:sz w:val="20"/>
          <w:szCs w:val="20"/>
        </w:rPr>
        <w:t>$126</w:t>
      </w:r>
      <w:bookmarkEnd w:id="61"/>
      <w:r>
        <w:rPr>
          <w:sz w:val="20"/>
          <w:szCs w:val="20"/>
        </w:rPr>
        <w:t xml:space="preserve"> million for the three months ended June 30, 2020. The </w:t>
      </w:r>
      <w:bookmarkStart w:id="62" w:name="led65193F20213301619803740457"/>
      <w:r>
        <w:rPr>
          <w:sz w:val="20"/>
          <w:szCs w:val="20"/>
        </w:rPr>
        <w:t>$24</w:t>
      </w:r>
      <w:bookmarkEnd w:id="62"/>
      <w:r>
        <w:rPr>
          <w:sz w:val="20"/>
          <w:szCs w:val="20"/>
        </w:rPr>
        <w:t xml:space="preserve"> million decrease in SG&amp;A was driven by lower employee-related costs, including incentives and benefits, resulting from the decline in business activity. Additionally, the strengthening of foreign currencies in areas where we operate outside of the U.S. dollar unfavorably impacted SG&amp;A by $3 million. For the three months ended June 30, 2020 personnel costs were partially offset by $15 million of expenses associated with facilities closures and $7 million of severance and restructuring charges. Excluding these charges, SG&amp;A would have been $104 million. </w:t>
      </w:r>
      <w:r w:rsidR="00DB5415">
        <w:rPr>
          <w:sz w:val="20"/>
          <w:szCs w:val="20"/>
        </w:rPr>
        <w:tab/>
      </w:r>
      <w:r w:rsidR="00DB5415">
        <w:rPr>
          <w:sz w:val="20"/>
          <w:szCs w:val="20"/>
        </w:rPr>
        <w:tab/>
      </w:r>
      <w:r w:rsidR="00DB5415">
        <w:rPr>
          <w:sz w:val="20"/>
          <w:szCs w:val="20"/>
        </w:rPr>
        <w:tab/>
      </w:r>
      <w:r w:rsidR="00DB5415">
        <w:rPr>
          <w:sz w:val="20"/>
          <w:szCs w:val="20"/>
        </w:rPr>
        <w:tab/>
      </w:r>
      <w:r w:rsidR="00DB5415">
        <w:rPr>
          <w:sz w:val="20"/>
          <w:szCs w:val="20"/>
        </w:rPr>
        <w:tab/>
      </w:r>
      <w:r>
        <w:rPr>
          <w:sz w:val="20"/>
          <w:szCs w:val="20"/>
        </w:rPr>
        <w:t>22</w:t>
      </w:r>
    </w:p>
    <w:p w14:paraId="0BCCAE14" w14:textId="77777777" w:rsidR="00954279" w:rsidRDefault="00A66714">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463EFCE6" w14:textId="77777777" w:rsidR="00954279" w:rsidRDefault="00A66714">
      <w:pPr>
        <w:ind w:left="144" w:right="144"/>
        <w:rPr>
          <w:sz w:val="20"/>
          <w:szCs w:val="20"/>
        </w:rPr>
      </w:pPr>
      <w:r>
        <w:rPr>
          <w:sz w:val="20"/>
          <w:szCs w:val="20"/>
        </w:rPr>
        <w:t> </w:t>
      </w:r>
    </w:p>
    <w:p w14:paraId="7978CFE7" w14:textId="77777777" w:rsidR="00954279" w:rsidRDefault="00A66714">
      <w:pPr>
        <w:ind w:left="144" w:right="144"/>
        <w:rPr>
          <w:sz w:val="20"/>
          <w:szCs w:val="20"/>
        </w:rPr>
      </w:pPr>
      <w:r>
        <w:rPr>
          <w:b/>
          <w:bCs/>
          <w:i/>
          <w:iCs/>
          <w:sz w:val="20"/>
          <w:szCs w:val="20"/>
        </w:rPr>
        <w:t>Goodwill and Intangible Asset Impairment. </w:t>
      </w:r>
      <w:r>
        <w:rPr>
          <w:sz w:val="20"/>
          <w:szCs w:val="20"/>
        </w:rPr>
        <w:t>In the first half of 2020, demand for oil and natural gas declined sharply as a result of the COVID-19 pandemic. This disruption in demand and the resulting decline in the price of oil had a dramatic negative impact on our business. We experienced a significant reduction in sales beginning in April 2020, which resulted in a more pessimistic long-term outlook due to the significant reduction in the demand for oil, the implications of that demand destruction on the price of oil for an extended period of time and actions our customers have taken to curtail costs and reduce spending. As a result of these developments, we concluded that it was more likely than not the fair values of our U.S. and International reporting units were lower than their carrying values. Accordingly, we completed an interim goodwill impairment test as of April 30, 2020. This test resulted in a $217 million goodwill impairment charge comprised of $177 million in our U.S. reporting unit and $40 million in our International reporting unit.</w:t>
      </w:r>
    </w:p>
    <w:p w14:paraId="2ACCD4A5" w14:textId="77777777" w:rsidR="00954279" w:rsidRDefault="00A66714">
      <w:pPr>
        <w:ind w:left="288" w:right="288"/>
        <w:rPr>
          <w:sz w:val="20"/>
          <w:szCs w:val="20"/>
        </w:rPr>
      </w:pPr>
      <w:r>
        <w:rPr>
          <w:sz w:val="20"/>
          <w:szCs w:val="20"/>
        </w:rPr>
        <w:t> </w:t>
      </w:r>
    </w:p>
    <w:p w14:paraId="0F067E02" w14:textId="77777777" w:rsidR="00954279" w:rsidRDefault="00A66714">
      <w:pPr>
        <w:ind w:left="144" w:right="144"/>
        <w:rPr>
          <w:sz w:val="20"/>
          <w:szCs w:val="20"/>
        </w:rPr>
      </w:pPr>
      <w:r>
        <w:rPr>
          <w:sz w:val="20"/>
          <w:szCs w:val="20"/>
        </w:rPr>
        <w:t>As a result of the same factors that necessitated an interim impairment test for goodwill, we completed an interim impairment test for our U.S. indefinite-lived tradename asset. This test resulted in an impairment charge of $25 million. The remaining balance of the indefinite-lived tradename was $107 million as of June 30, 2021. The U.S. tradename is our only indefinite-lived intangible asset.</w:t>
      </w:r>
    </w:p>
    <w:p w14:paraId="071CD1D2" w14:textId="77777777" w:rsidR="00954279" w:rsidRDefault="00A66714">
      <w:pPr>
        <w:ind w:left="144" w:right="144"/>
        <w:rPr>
          <w:sz w:val="20"/>
          <w:szCs w:val="20"/>
        </w:rPr>
      </w:pPr>
      <w:r>
        <w:rPr>
          <w:sz w:val="20"/>
          <w:szCs w:val="20"/>
        </w:rPr>
        <w:t> </w:t>
      </w:r>
    </w:p>
    <w:p w14:paraId="77AA1684" w14:textId="77777777" w:rsidR="00954279" w:rsidRDefault="00A66714">
      <w:pPr>
        <w:ind w:left="144" w:right="144"/>
        <w:rPr>
          <w:sz w:val="20"/>
          <w:szCs w:val="20"/>
        </w:rPr>
      </w:pPr>
      <w:r>
        <w:rPr>
          <w:b/>
          <w:bCs/>
          <w:i/>
          <w:iCs/>
          <w:sz w:val="20"/>
          <w:szCs w:val="20"/>
        </w:rPr>
        <w:t>Operating Income (Loss)</w:t>
      </w:r>
      <w:r>
        <w:rPr>
          <w:i/>
          <w:iCs/>
          <w:sz w:val="20"/>
          <w:szCs w:val="20"/>
        </w:rPr>
        <w:t>.</w:t>
      </w:r>
      <w:r>
        <w:rPr>
          <w:sz w:val="20"/>
          <w:szCs w:val="20"/>
        </w:rPr>
        <w:t xml:space="preserve"> Operating income was </w:t>
      </w:r>
      <w:bookmarkStart w:id="63" w:name="led65193F20213301619803779440"/>
      <w:r>
        <w:rPr>
          <w:sz w:val="20"/>
          <w:szCs w:val="20"/>
        </w:rPr>
        <w:t>$10</w:t>
      </w:r>
      <w:bookmarkEnd w:id="63"/>
      <w:r>
        <w:rPr>
          <w:sz w:val="20"/>
          <w:szCs w:val="20"/>
        </w:rPr>
        <w:t xml:space="preserve"> million for the three months ended June 30, 2021 as compared to operating loss of </w:t>
      </w:r>
      <w:bookmarkStart w:id="64" w:name="led65193F20213301619803793450"/>
      <w:r>
        <w:rPr>
          <w:sz w:val="20"/>
          <w:szCs w:val="20"/>
        </w:rPr>
        <w:t>$289</w:t>
      </w:r>
      <w:bookmarkEnd w:id="64"/>
      <w:r>
        <w:rPr>
          <w:sz w:val="20"/>
          <w:szCs w:val="20"/>
        </w:rPr>
        <w:t xml:space="preserve"> million for the three months ended June 30, 2020, an increase of </w:t>
      </w:r>
      <w:bookmarkStart w:id="65" w:name="led65193F20213301619803808174"/>
      <w:r>
        <w:rPr>
          <w:sz w:val="20"/>
          <w:szCs w:val="20"/>
        </w:rPr>
        <w:t>$299</w:t>
      </w:r>
      <w:bookmarkEnd w:id="65"/>
      <w:r>
        <w:rPr>
          <w:sz w:val="20"/>
          <w:szCs w:val="20"/>
        </w:rPr>
        <w:t xml:space="preserve"> million.</w:t>
      </w:r>
    </w:p>
    <w:p w14:paraId="532EACC1" w14:textId="77777777" w:rsidR="00954279" w:rsidRDefault="00A66714">
      <w:pPr>
        <w:ind w:left="144" w:right="144"/>
        <w:rPr>
          <w:sz w:val="20"/>
          <w:szCs w:val="20"/>
        </w:rPr>
      </w:pPr>
      <w:r>
        <w:rPr>
          <w:sz w:val="20"/>
          <w:szCs w:val="20"/>
        </w:rPr>
        <w:t> </w:t>
      </w:r>
    </w:p>
    <w:p w14:paraId="40A64A0B" w14:textId="77777777" w:rsidR="00954279" w:rsidRDefault="00A66714">
      <w:pPr>
        <w:ind w:left="144" w:right="144"/>
        <w:rPr>
          <w:sz w:val="20"/>
          <w:szCs w:val="20"/>
        </w:rPr>
      </w:pPr>
      <w:r>
        <w:rPr>
          <w:i/>
          <w:iCs/>
          <w:sz w:val="20"/>
          <w:szCs w:val="20"/>
        </w:rPr>
        <w:t>U.S. Segment</w:t>
      </w:r>
      <w:r>
        <w:rPr>
          <w:sz w:val="20"/>
          <w:szCs w:val="20"/>
        </w:rPr>
        <w:t>—Operating income for our U.S. segment was </w:t>
      </w:r>
      <w:bookmarkStart w:id="66" w:name="led65193F20213301619803825684"/>
      <w:r>
        <w:rPr>
          <w:sz w:val="20"/>
          <w:szCs w:val="20"/>
        </w:rPr>
        <w:t>$7</w:t>
      </w:r>
      <w:bookmarkEnd w:id="66"/>
      <w:r>
        <w:rPr>
          <w:sz w:val="20"/>
          <w:szCs w:val="20"/>
        </w:rPr>
        <w:t xml:space="preserve"> million for the three months ended June 30, 2021 compared to operating loss of </w:t>
      </w:r>
      <w:bookmarkStart w:id="67" w:name="led65193F20213301619803838457"/>
      <w:r>
        <w:rPr>
          <w:sz w:val="20"/>
          <w:szCs w:val="20"/>
        </w:rPr>
        <w:t>$226</w:t>
      </w:r>
      <w:bookmarkEnd w:id="67"/>
      <w:r>
        <w:rPr>
          <w:sz w:val="20"/>
          <w:szCs w:val="20"/>
        </w:rPr>
        <w:t xml:space="preserve"> million for the three months ended June 30, 2020, a </w:t>
      </w:r>
      <w:bookmarkStart w:id="68" w:name="led65193F20213301619803855743"/>
      <w:r>
        <w:rPr>
          <w:sz w:val="20"/>
          <w:szCs w:val="20"/>
        </w:rPr>
        <w:t>$233</w:t>
      </w:r>
      <w:bookmarkEnd w:id="68"/>
      <w:r>
        <w:rPr>
          <w:sz w:val="20"/>
          <w:szCs w:val="20"/>
        </w:rPr>
        <w:t xml:space="preserve"> million increase. Operating loss for the second quarter of 2020 was impacted by $202 million of goodwill and intangible asset impairments, $19 million of inventory-related charges, $6 million of severance costs, and $2 million of costs associated with facility closures. Excluding these charges, operating income would have been $3 million.</w:t>
      </w:r>
    </w:p>
    <w:p w14:paraId="46737158" w14:textId="77777777" w:rsidR="00954279" w:rsidRDefault="00A66714">
      <w:pPr>
        <w:ind w:left="144" w:right="144"/>
        <w:rPr>
          <w:sz w:val="20"/>
          <w:szCs w:val="20"/>
        </w:rPr>
      </w:pPr>
      <w:r>
        <w:rPr>
          <w:sz w:val="20"/>
          <w:szCs w:val="20"/>
        </w:rPr>
        <w:t> </w:t>
      </w:r>
    </w:p>
    <w:p w14:paraId="55D025A4" w14:textId="77777777" w:rsidR="00954279" w:rsidRDefault="00A66714">
      <w:pPr>
        <w:ind w:left="144" w:right="144"/>
        <w:rPr>
          <w:sz w:val="20"/>
          <w:szCs w:val="20"/>
        </w:rPr>
      </w:pPr>
      <w:r>
        <w:rPr>
          <w:i/>
          <w:iCs/>
          <w:sz w:val="20"/>
          <w:szCs w:val="20"/>
        </w:rPr>
        <w:t>Canada Segment</w:t>
      </w:r>
      <w:r>
        <w:rPr>
          <w:sz w:val="20"/>
          <w:szCs w:val="20"/>
        </w:rPr>
        <w:t>—Operating income for our Canada segment was </w:t>
      </w:r>
      <w:bookmarkStart w:id="69" w:name="led65193F20213301619803901640"/>
      <w:r>
        <w:rPr>
          <w:sz w:val="20"/>
          <w:szCs w:val="20"/>
        </w:rPr>
        <w:t>$0</w:t>
      </w:r>
      <w:bookmarkEnd w:id="69"/>
      <w:r>
        <w:rPr>
          <w:sz w:val="20"/>
          <w:szCs w:val="20"/>
        </w:rPr>
        <w:t xml:space="preserve"> million for the three months ended June 30, 2021 and 2020 as compared to </w:t>
      </w:r>
      <w:bookmarkStart w:id="70" w:name="led65193F20213301619803966365"/>
      <w:r>
        <w:rPr>
          <w:sz w:val="20"/>
          <w:szCs w:val="20"/>
        </w:rPr>
        <w:t>$2</w:t>
      </w:r>
      <w:bookmarkEnd w:id="70"/>
      <w:r>
        <w:rPr>
          <w:sz w:val="20"/>
          <w:szCs w:val="20"/>
        </w:rPr>
        <w:t xml:space="preserve"> million operating loss for the three months ended June 30, 2020. </w:t>
      </w:r>
    </w:p>
    <w:p w14:paraId="2D40FB44" w14:textId="77777777" w:rsidR="00954279" w:rsidRDefault="00A66714">
      <w:pPr>
        <w:ind w:left="144" w:right="144"/>
        <w:rPr>
          <w:sz w:val="20"/>
          <w:szCs w:val="20"/>
        </w:rPr>
      </w:pPr>
      <w:r>
        <w:rPr>
          <w:sz w:val="20"/>
          <w:szCs w:val="20"/>
        </w:rPr>
        <w:t> </w:t>
      </w:r>
    </w:p>
    <w:p w14:paraId="30F42EC1" w14:textId="3898D663" w:rsidR="00954279" w:rsidRDefault="00A66714">
      <w:pPr>
        <w:ind w:left="144" w:right="144"/>
        <w:rPr>
          <w:sz w:val="20"/>
          <w:szCs w:val="20"/>
        </w:rPr>
      </w:pPr>
      <w:r>
        <w:rPr>
          <w:i/>
          <w:iCs/>
          <w:sz w:val="20"/>
          <w:szCs w:val="20"/>
        </w:rPr>
        <w:t>International Segment</w:t>
      </w:r>
      <w:r>
        <w:rPr>
          <w:sz w:val="20"/>
          <w:szCs w:val="20"/>
        </w:rPr>
        <w:t>—Operating income for our international segment was </w:t>
      </w:r>
      <w:bookmarkStart w:id="71" w:name="led65193F20213301619803992053"/>
      <w:r>
        <w:rPr>
          <w:sz w:val="20"/>
          <w:szCs w:val="20"/>
        </w:rPr>
        <w:t>$3</w:t>
      </w:r>
      <w:bookmarkEnd w:id="71"/>
      <w:r>
        <w:rPr>
          <w:sz w:val="20"/>
          <w:szCs w:val="20"/>
        </w:rPr>
        <w:t xml:space="preserve"> million for the three months ended June 30, 2021 as compared to operating loss of </w:t>
      </w:r>
      <w:bookmarkStart w:id="72" w:name="led65193F20213301619804003387"/>
      <w:r>
        <w:rPr>
          <w:sz w:val="20"/>
          <w:szCs w:val="20"/>
        </w:rPr>
        <w:t>$61</w:t>
      </w:r>
      <w:bookmarkEnd w:id="72"/>
      <w:r>
        <w:rPr>
          <w:sz w:val="20"/>
          <w:szCs w:val="20"/>
        </w:rPr>
        <w:t xml:space="preserve"> million for the three months ended June 30, 2020. The $61 million operating loss included $40 million of goodwill impairment charges, $14 million of inventory-related charges, $1 million of severance costs and $12</w:t>
      </w:r>
      <w:r w:rsidR="006C5497">
        <w:rPr>
          <w:sz w:val="20"/>
          <w:szCs w:val="20"/>
        </w:rPr>
        <w:t> </w:t>
      </w:r>
      <w:r>
        <w:rPr>
          <w:sz w:val="20"/>
          <w:szCs w:val="20"/>
        </w:rPr>
        <w:t>million of costs associated with facility closures.  Excluding these charges, operating income would have been $6 million for the three months ended June 30, 2020. </w:t>
      </w:r>
    </w:p>
    <w:p w14:paraId="22B26DCB" w14:textId="77777777" w:rsidR="00954279" w:rsidRDefault="00A66714">
      <w:pPr>
        <w:ind w:left="144" w:right="144"/>
        <w:rPr>
          <w:sz w:val="20"/>
          <w:szCs w:val="20"/>
        </w:rPr>
      </w:pPr>
      <w:r>
        <w:rPr>
          <w:sz w:val="20"/>
          <w:szCs w:val="20"/>
        </w:rPr>
        <w:t> </w:t>
      </w:r>
    </w:p>
    <w:p w14:paraId="322AC9C2" w14:textId="77777777" w:rsidR="00954279" w:rsidRDefault="00A66714">
      <w:pPr>
        <w:ind w:left="144" w:right="144"/>
        <w:rPr>
          <w:sz w:val="20"/>
          <w:szCs w:val="20"/>
        </w:rPr>
      </w:pPr>
      <w:r>
        <w:rPr>
          <w:b/>
          <w:bCs/>
          <w:i/>
          <w:iCs/>
          <w:sz w:val="20"/>
          <w:szCs w:val="20"/>
        </w:rPr>
        <w:t>Interest Expense</w:t>
      </w:r>
      <w:r>
        <w:rPr>
          <w:i/>
          <w:iCs/>
          <w:sz w:val="20"/>
          <w:szCs w:val="20"/>
        </w:rPr>
        <w:t>.</w:t>
      </w:r>
      <w:r>
        <w:rPr>
          <w:sz w:val="20"/>
          <w:szCs w:val="20"/>
        </w:rPr>
        <w:t xml:space="preserve"> Our interest expense was </w:t>
      </w:r>
      <w:bookmarkStart w:id="73" w:name="led65193F20213301619804040343"/>
      <w:r>
        <w:rPr>
          <w:sz w:val="20"/>
          <w:szCs w:val="20"/>
        </w:rPr>
        <w:t>$6</w:t>
      </w:r>
      <w:bookmarkEnd w:id="73"/>
      <w:r>
        <w:rPr>
          <w:sz w:val="20"/>
          <w:szCs w:val="20"/>
        </w:rPr>
        <w:t xml:space="preserve"> million and </w:t>
      </w:r>
      <w:bookmarkStart w:id="74" w:name="led65193F20213301619804056576"/>
      <w:r>
        <w:rPr>
          <w:sz w:val="20"/>
          <w:szCs w:val="20"/>
        </w:rPr>
        <w:t>$7</w:t>
      </w:r>
      <w:bookmarkEnd w:id="74"/>
      <w:r>
        <w:rPr>
          <w:sz w:val="20"/>
          <w:szCs w:val="20"/>
        </w:rPr>
        <w:t xml:space="preserve"> million for the three months ended June 30, 2021 and 2020, respectively. The decrease in interest expense was attributable to lower average debt levels and interest rates during the second quarter of </w:t>
      </w:r>
      <w:bookmarkStart w:id="75" w:name="led65141F20213301619804710129"/>
      <w:r>
        <w:rPr>
          <w:sz w:val="20"/>
          <w:szCs w:val="20"/>
        </w:rPr>
        <w:t>2021</w:t>
      </w:r>
      <w:bookmarkEnd w:id="75"/>
      <w:r>
        <w:rPr>
          <w:sz w:val="20"/>
          <w:szCs w:val="20"/>
        </w:rPr>
        <w:t xml:space="preserve"> as compared to the second quarter of </w:t>
      </w:r>
      <w:bookmarkStart w:id="76" w:name="led65141F20213301619804665919"/>
      <w:r>
        <w:rPr>
          <w:sz w:val="20"/>
          <w:szCs w:val="20"/>
        </w:rPr>
        <w:t>2020</w:t>
      </w:r>
      <w:bookmarkEnd w:id="76"/>
      <w:r>
        <w:rPr>
          <w:sz w:val="20"/>
          <w:szCs w:val="20"/>
        </w:rPr>
        <w:t>.</w:t>
      </w:r>
    </w:p>
    <w:p w14:paraId="2E8AD61E" w14:textId="77777777" w:rsidR="00954279" w:rsidRDefault="00A66714">
      <w:pPr>
        <w:ind w:left="144" w:right="144"/>
        <w:rPr>
          <w:sz w:val="20"/>
          <w:szCs w:val="20"/>
        </w:rPr>
      </w:pPr>
      <w:r>
        <w:rPr>
          <w:sz w:val="20"/>
          <w:szCs w:val="20"/>
        </w:rPr>
        <w:t> </w:t>
      </w:r>
    </w:p>
    <w:p w14:paraId="1F45110C" w14:textId="77777777" w:rsidR="00954279" w:rsidRDefault="00A66714">
      <w:pPr>
        <w:ind w:left="144" w:right="144"/>
        <w:rPr>
          <w:sz w:val="20"/>
          <w:szCs w:val="20"/>
        </w:rPr>
      </w:pPr>
      <w:r>
        <w:rPr>
          <w:b/>
          <w:bCs/>
          <w:i/>
          <w:iCs/>
          <w:sz w:val="20"/>
          <w:szCs w:val="20"/>
        </w:rPr>
        <w:t>Other, net</w:t>
      </w:r>
      <w:r>
        <w:rPr>
          <w:i/>
          <w:iCs/>
          <w:sz w:val="20"/>
          <w:szCs w:val="20"/>
        </w:rPr>
        <w:t>.</w:t>
      </w:r>
      <w:r>
        <w:rPr>
          <w:sz w:val="20"/>
          <w:szCs w:val="20"/>
        </w:rPr>
        <w:t xml:space="preserve"> Our other income was </w:t>
      </w:r>
      <w:bookmarkStart w:id="77" w:name="led65193F20213301619804077296"/>
      <w:r>
        <w:rPr>
          <w:sz w:val="20"/>
          <w:szCs w:val="20"/>
        </w:rPr>
        <w:t>$1</w:t>
      </w:r>
      <w:bookmarkEnd w:id="77"/>
      <w:r>
        <w:rPr>
          <w:sz w:val="20"/>
          <w:szCs w:val="20"/>
        </w:rPr>
        <w:t xml:space="preserve"> million for the three months ended June 30, 2021 as compared to other expense of </w:t>
      </w:r>
      <w:bookmarkStart w:id="78" w:name="led65193F20213301619804091401"/>
      <w:r>
        <w:rPr>
          <w:sz w:val="20"/>
          <w:szCs w:val="20"/>
        </w:rPr>
        <w:t>$2</w:t>
      </w:r>
      <w:bookmarkEnd w:id="78"/>
      <w:r>
        <w:rPr>
          <w:sz w:val="20"/>
          <w:szCs w:val="20"/>
        </w:rPr>
        <w:t xml:space="preserve"> million for the three months ended June 30, 2020</w:t>
      </w:r>
      <w:r>
        <w:rPr>
          <w:i/>
          <w:iCs/>
          <w:sz w:val="20"/>
          <w:szCs w:val="20"/>
        </w:rPr>
        <w:t>. </w:t>
      </w:r>
      <w:r>
        <w:rPr>
          <w:sz w:val="20"/>
          <w:szCs w:val="20"/>
        </w:rPr>
        <w:t>Other expense in the second quarter of 2020 included $3 million of asset write-downs related to facility closures.</w:t>
      </w:r>
    </w:p>
    <w:p w14:paraId="37ABAC29" w14:textId="77777777" w:rsidR="00954279" w:rsidRDefault="00A66714">
      <w:pPr>
        <w:ind w:left="144" w:right="144"/>
        <w:rPr>
          <w:sz w:val="20"/>
          <w:szCs w:val="20"/>
        </w:rPr>
      </w:pPr>
      <w:r>
        <w:rPr>
          <w:sz w:val="20"/>
          <w:szCs w:val="20"/>
        </w:rPr>
        <w:t> </w:t>
      </w:r>
    </w:p>
    <w:p w14:paraId="4FF88094" w14:textId="77777777" w:rsidR="00954279" w:rsidRDefault="00A66714">
      <w:pPr>
        <w:ind w:left="144" w:right="144"/>
        <w:rPr>
          <w:sz w:val="20"/>
          <w:szCs w:val="20"/>
        </w:rPr>
      </w:pPr>
      <w:r>
        <w:rPr>
          <w:b/>
          <w:bCs/>
          <w:i/>
          <w:iCs/>
          <w:sz w:val="20"/>
          <w:szCs w:val="20"/>
        </w:rPr>
        <w:t>Income Tax Expense (Benefit)</w:t>
      </w:r>
      <w:r>
        <w:rPr>
          <w:i/>
          <w:iCs/>
          <w:sz w:val="20"/>
          <w:szCs w:val="20"/>
        </w:rPr>
        <w:t>.</w:t>
      </w:r>
      <w:r>
        <w:rPr>
          <w:sz w:val="20"/>
          <w:szCs w:val="20"/>
        </w:rPr>
        <w:t xml:space="preserve"> Our income tax expense was </w:t>
      </w:r>
      <w:bookmarkStart w:id="79" w:name="led65193F20213301619804392540"/>
      <w:r>
        <w:rPr>
          <w:sz w:val="20"/>
          <w:szCs w:val="20"/>
        </w:rPr>
        <w:t>$1</w:t>
      </w:r>
      <w:bookmarkEnd w:id="79"/>
      <w:r>
        <w:rPr>
          <w:sz w:val="20"/>
          <w:szCs w:val="20"/>
        </w:rPr>
        <w:t xml:space="preserve"> million for the three months ended June 30, 2021 as compared to </w:t>
      </w:r>
      <w:bookmarkStart w:id="80" w:name="led65193F20213301619804413585"/>
      <w:r>
        <w:rPr>
          <w:sz w:val="20"/>
          <w:szCs w:val="20"/>
        </w:rPr>
        <w:t>$17</w:t>
      </w:r>
      <w:bookmarkEnd w:id="80"/>
      <w:r>
        <w:rPr>
          <w:sz w:val="20"/>
          <w:szCs w:val="20"/>
        </w:rPr>
        <w:t xml:space="preserve"> million benefit for the three months ended June 30, 2020. We typically record income tax expense for interim periods based on estimated annual effective tax rates. However, due to the uncertainty in our industry and the effects of COVID-19, the income tax expense for the three months ended June 30, 2021 was computed based on a year-to-date effective tax rate. We will return to utilizing an estimated annual effective tax rate when appropriate. Our effective tax rates were </w:t>
      </w:r>
      <w:bookmarkStart w:id="81" w:name="led65193F20213301619804445896"/>
      <w:r>
        <w:rPr>
          <w:sz w:val="20"/>
          <w:szCs w:val="20"/>
        </w:rPr>
        <w:t>20%</w:t>
      </w:r>
      <w:bookmarkEnd w:id="81"/>
      <w:r>
        <w:rPr>
          <w:sz w:val="20"/>
          <w:szCs w:val="20"/>
        </w:rPr>
        <w:t xml:space="preserve"> and </w:t>
      </w:r>
      <w:bookmarkStart w:id="82" w:name="led65193F20213301619804457916"/>
      <w:r>
        <w:rPr>
          <w:sz w:val="20"/>
          <w:szCs w:val="20"/>
        </w:rPr>
        <w:t>6%</w:t>
      </w:r>
      <w:bookmarkEnd w:id="82"/>
      <w:r>
        <w:rPr>
          <w:sz w:val="20"/>
          <w:szCs w:val="20"/>
        </w:rPr>
        <w:t xml:space="preserve"> for the three months ended June 30, 2021 and 2020</w:t>
      </w:r>
      <w:bookmarkEnd w:id="26"/>
      <w:r>
        <w:rPr>
          <w:sz w:val="20"/>
          <w:szCs w:val="20"/>
        </w:rPr>
        <w:t>, respectively. Our rates generally differ from the U.S. federal statutory rate of 21% as a result of state income taxes and differing foreign income tax rates. </w:t>
      </w:r>
    </w:p>
    <w:p w14:paraId="0B6985E3" w14:textId="77777777" w:rsidR="00954279" w:rsidRDefault="00A66714">
      <w:pPr>
        <w:ind w:left="144" w:right="144"/>
        <w:rPr>
          <w:sz w:val="20"/>
          <w:szCs w:val="20"/>
        </w:rPr>
      </w:pPr>
      <w:r>
        <w:rPr>
          <w:sz w:val="20"/>
          <w:szCs w:val="20"/>
        </w:rPr>
        <w:t> </w:t>
      </w:r>
    </w:p>
    <w:p w14:paraId="6A41F9F4" w14:textId="01B937EC" w:rsidR="00954279" w:rsidRDefault="00A66714">
      <w:pPr>
        <w:ind w:left="144" w:right="144"/>
        <w:rPr>
          <w:sz w:val="20"/>
          <w:szCs w:val="20"/>
        </w:rPr>
      </w:pPr>
      <w:r>
        <w:rPr>
          <w:b/>
          <w:bCs/>
          <w:i/>
          <w:iCs/>
          <w:sz w:val="20"/>
          <w:szCs w:val="20"/>
        </w:rPr>
        <w:t>Net Income (Loss)</w:t>
      </w:r>
      <w:r>
        <w:rPr>
          <w:i/>
          <w:iCs/>
          <w:sz w:val="20"/>
          <w:szCs w:val="20"/>
        </w:rPr>
        <w:t>.</w:t>
      </w:r>
      <w:r>
        <w:rPr>
          <w:sz w:val="20"/>
          <w:szCs w:val="20"/>
        </w:rPr>
        <w:t xml:space="preserve"> Our net income was </w:t>
      </w:r>
      <w:bookmarkStart w:id="83" w:name="led65193F20213301619804485459"/>
      <w:r>
        <w:rPr>
          <w:sz w:val="20"/>
          <w:szCs w:val="20"/>
        </w:rPr>
        <w:t>$4</w:t>
      </w:r>
      <w:bookmarkEnd w:id="83"/>
      <w:r>
        <w:rPr>
          <w:sz w:val="20"/>
          <w:szCs w:val="20"/>
        </w:rPr>
        <w:t xml:space="preserve"> million for the three months ended June 30, 2021 as compared to net loss of </w:t>
      </w:r>
      <w:bookmarkStart w:id="84" w:name="led65193F20213301619804496976"/>
      <w:r>
        <w:rPr>
          <w:sz w:val="20"/>
          <w:szCs w:val="20"/>
        </w:rPr>
        <w:t>$281</w:t>
      </w:r>
      <w:bookmarkEnd w:id="84"/>
      <w:r w:rsidR="006C5497">
        <w:rPr>
          <w:sz w:val="20"/>
          <w:szCs w:val="20"/>
        </w:rPr>
        <w:t> </w:t>
      </w:r>
      <w:r>
        <w:rPr>
          <w:sz w:val="20"/>
          <w:szCs w:val="20"/>
        </w:rPr>
        <w:t>million for the three months ended June 30, 2020.  </w:t>
      </w:r>
    </w:p>
    <w:p w14:paraId="001EF118" w14:textId="77777777" w:rsidR="00954279" w:rsidRDefault="00A66714">
      <w:pPr>
        <w:ind w:left="144" w:right="144"/>
        <w:rPr>
          <w:sz w:val="20"/>
          <w:szCs w:val="20"/>
        </w:rPr>
      </w:pPr>
      <w:r>
        <w:rPr>
          <w:sz w:val="20"/>
          <w:szCs w:val="20"/>
        </w:rPr>
        <w:t> </w:t>
      </w:r>
    </w:p>
    <w:p w14:paraId="3E13C4F7" w14:textId="77777777" w:rsidR="00954279" w:rsidRDefault="00A66714">
      <w:pPr>
        <w:ind w:left="144" w:right="144"/>
        <w:jc w:val="center"/>
        <w:rPr>
          <w:sz w:val="20"/>
          <w:szCs w:val="20"/>
        </w:rPr>
      </w:pPr>
      <w:r>
        <w:rPr>
          <w:sz w:val="20"/>
          <w:szCs w:val="20"/>
        </w:rPr>
        <w:t>23</w:t>
      </w:r>
    </w:p>
    <w:p w14:paraId="177807C2" w14:textId="77777777" w:rsidR="00954279" w:rsidRDefault="00A66714">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72CE5F09" w14:textId="77777777" w:rsidR="00954279" w:rsidRDefault="00A66714">
      <w:pPr>
        <w:ind w:left="144" w:right="144"/>
        <w:rPr>
          <w:sz w:val="20"/>
          <w:szCs w:val="20"/>
        </w:rPr>
      </w:pPr>
      <w:r>
        <w:rPr>
          <w:sz w:val="20"/>
          <w:szCs w:val="20"/>
        </w:rPr>
        <w:t> </w:t>
      </w:r>
    </w:p>
    <w:p w14:paraId="7220D9FF" w14:textId="77777777" w:rsidR="00954279" w:rsidRDefault="00A66714">
      <w:pPr>
        <w:ind w:left="144" w:right="144"/>
        <w:rPr>
          <w:sz w:val="20"/>
          <w:szCs w:val="20"/>
        </w:rPr>
      </w:pPr>
      <w:r>
        <w:rPr>
          <w:b/>
          <w:bCs/>
          <w:i/>
          <w:iCs/>
          <w:sz w:val="20"/>
          <w:szCs w:val="20"/>
        </w:rPr>
        <w:t>Adjusted EBITDA</w:t>
      </w:r>
      <w:r>
        <w:rPr>
          <w:i/>
          <w:iCs/>
          <w:sz w:val="20"/>
          <w:szCs w:val="20"/>
        </w:rPr>
        <w:t>.</w:t>
      </w:r>
      <w:r>
        <w:rPr>
          <w:sz w:val="20"/>
          <w:szCs w:val="20"/>
        </w:rPr>
        <w:t xml:space="preserve"> Adjusted EBITDA, a non-GAAP financial measure, was </w:t>
      </w:r>
      <w:bookmarkStart w:id="85" w:name="led65193F20213301619804517726"/>
      <w:r>
        <w:rPr>
          <w:sz w:val="20"/>
          <w:szCs w:val="20"/>
        </w:rPr>
        <w:t>$36</w:t>
      </w:r>
      <w:bookmarkEnd w:id="85"/>
      <w:r>
        <w:rPr>
          <w:sz w:val="20"/>
          <w:szCs w:val="20"/>
        </w:rPr>
        <w:t xml:space="preserve"> million (</w:t>
      </w:r>
      <w:bookmarkStart w:id="86" w:name="led65193F20213301619804540303"/>
      <w:r>
        <w:rPr>
          <w:sz w:val="20"/>
          <w:szCs w:val="20"/>
        </w:rPr>
        <w:t>5.2%</w:t>
      </w:r>
      <w:bookmarkEnd w:id="86"/>
      <w:r>
        <w:rPr>
          <w:sz w:val="20"/>
          <w:szCs w:val="20"/>
        </w:rPr>
        <w:t xml:space="preserve"> of sales) for the three months ended June 30, 2021</w:t>
      </w:r>
      <w:bookmarkEnd w:id="28"/>
      <w:r>
        <w:rPr>
          <w:sz w:val="20"/>
          <w:szCs w:val="20"/>
        </w:rPr>
        <w:t xml:space="preserve"> as compared to </w:t>
      </w:r>
      <w:bookmarkStart w:id="87" w:name="led65193F20213301619804554504"/>
      <w:r>
        <w:rPr>
          <w:sz w:val="20"/>
          <w:szCs w:val="20"/>
        </w:rPr>
        <w:t>$17</w:t>
      </w:r>
      <w:bookmarkEnd w:id="87"/>
      <w:r>
        <w:rPr>
          <w:sz w:val="20"/>
          <w:szCs w:val="20"/>
        </w:rPr>
        <w:t xml:space="preserve"> million (</w:t>
      </w:r>
      <w:bookmarkStart w:id="88" w:name="led65193F20213301619804568658"/>
      <w:r>
        <w:rPr>
          <w:sz w:val="20"/>
          <w:szCs w:val="20"/>
        </w:rPr>
        <w:t>2.8%</w:t>
      </w:r>
      <w:bookmarkEnd w:id="88"/>
      <w:r>
        <w:rPr>
          <w:sz w:val="20"/>
          <w:szCs w:val="20"/>
        </w:rPr>
        <w:t xml:space="preserve"> of sales) for the three months ended June 30, 2020</w:t>
      </w:r>
      <w:bookmarkEnd w:id="30"/>
      <w:r>
        <w:rPr>
          <w:sz w:val="20"/>
          <w:szCs w:val="20"/>
        </w:rPr>
        <w:t>.</w:t>
      </w:r>
    </w:p>
    <w:p w14:paraId="7158040B" w14:textId="77777777" w:rsidR="00954279" w:rsidRDefault="00A66714">
      <w:pPr>
        <w:ind w:left="144" w:right="144"/>
        <w:rPr>
          <w:sz w:val="20"/>
          <w:szCs w:val="20"/>
        </w:rPr>
      </w:pPr>
      <w:r>
        <w:rPr>
          <w:sz w:val="20"/>
          <w:szCs w:val="20"/>
        </w:rPr>
        <w:t> </w:t>
      </w:r>
    </w:p>
    <w:p w14:paraId="58A0164D" w14:textId="77777777" w:rsidR="00954279" w:rsidRDefault="00A66714">
      <w:pPr>
        <w:ind w:left="144" w:right="144"/>
        <w:rPr>
          <w:sz w:val="20"/>
          <w:szCs w:val="20"/>
        </w:rPr>
      </w:pPr>
      <w:r>
        <w:rPr>
          <w:sz w:val="20"/>
          <w:szCs w:val="20"/>
        </w:rPr>
        <w:t>We define Adjusted EBITDA as net income plus interest, income taxes, depreciation and amortization, amortization of intangibles and certain other expenses, including non-cash expenses such as equity-based compensation, severance and restructuring, changes in the fair value of derivative instruments, long-lived asset impairments (including goodwill and intangible assets), inventory-related charges incremental to normal operations and plus or minus the impact of our LIFO inventory costing methodology.</w:t>
      </w:r>
    </w:p>
    <w:p w14:paraId="10846F01" w14:textId="77777777" w:rsidR="00954279" w:rsidRDefault="00A66714">
      <w:pPr>
        <w:ind w:left="144" w:right="144"/>
        <w:rPr>
          <w:sz w:val="20"/>
          <w:szCs w:val="20"/>
        </w:rPr>
      </w:pPr>
      <w:r>
        <w:rPr>
          <w:sz w:val="20"/>
          <w:szCs w:val="20"/>
        </w:rPr>
        <w:t> </w:t>
      </w:r>
    </w:p>
    <w:p w14:paraId="43A32379" w14:textId="77777777" w:rsidR="00954279" w:rsidRDefault="00A66714">
      <w:pPr>
        <w:ind w:left="144" w:right="144"/>
        <w:rPr>
          <w:sz w:val="20"/>
          <w:szCs w:val="20"/>
        </w:rPr>
      </w:pPr>
      <w:r>
        <w:rPr>
          <w:sz w:val="20"/>
          <w:szCs w:val="20"/>
        </w:rPr>
        <w:t>We believe Adjusted EBITDA provides investors a helpful measure for comparing our operating performance with the performance of other companies that may have different financing and capital structures or tax rates. We believe it is a useful indicator of our operating performance without regard to items, such as amortization of intangibles, which can vary substantially from company to company depending upon the nature and extent of acquisitions. Similarly, the impact of the LIFO inventory costing method can cause results to vary substantially from company to company depending upon whether they elect to utilize LIFO and depending upon which method they may elect. We use Adjusted EBITDA as a key performance indicator in managing our business. We believe that net income is the financial measure calculated and presented in accordance with U.S. generally accepted accounting principles that is most directly comparable to Adjusted EBITDA.</w:t>
      </w:r>
    </w:p>
    <w:p w14:paraId="6494B5F1" w14:textId="77777777" w:rsidR="00954279" w:rsidRDefault="00A66714">
      <w:pPr>
        <w:ind w:left="144" w:right="144"/>
        <w:jc w:val="center"/>
        <w:rPr>
          <w:sz w:val="20"/>
          <w:szCs w:val="20"/>
        </w:rPr>
      </w:pPr>
      <w:r>
        <w:rPr>
          <w:sz w:val="20"/>
          <w:szCs w:val="20"/>
        </w:rPr>
        <w:t> </w:t>
      </w:r>
    </w:p>
    <w:p w14:paraId="3814C85A" w14:textId="77777777" w:rsidR="00954279" w:rsidRDefault="00A66714">
      <w:pPr>
        <w:ind w:left="144" w:right="144"/>
        <w:rPr>
          <w:sz w:val="20"/>
          <w:szCs w:val="20"/>
        </w:rPr>
      </w:pPr>
      <w:r>
        <w:rPr>
          <w:sz w:val="20"/>
          <w:szCs w:val="20"/>
        </w:rPr>
        <w:t>The following table reconciles Adjusted EBITDA, a non-GAAP financial measure, with net income, as derived from our financial statements (in millions):</w:t>
      </w:r>
    </w:p>
    <w:p w14:paraId="1056EA75" w14:textId="77777777" w:rsidR="00954279" w:rsidRDefault="00A66714">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7559"/>
        <w:gridCol w:w="107"/>
        <w:gridCol w:w="111"/>
        <w:gridCol w:w="1295"/>
        <w:gridCol w:w="107"/>
        <w:gridCol w:w="107"/>
        <w:gridCol w:w="110"/>
        <w:gridCol w:w="1296"/>
        <w:gridCol w:w="108"/>
      </w:tblGrid>
      <w:tr w:rsidR="00954279" w14:paraId="4E2894CD" w14:textId="77777777">
        <w:tc>
          <w:tcPr>
            <w:tcW w:w="0" w:type="auto"/>
            <w:tcMar>
              <w:top w:w="5" w:type="dxa"/>
              <w:left w:w="5" w:type="dxa"/>
              <w:bottom w:w="5" w:type="dxa"/>
              <w:right w:w="5" w:type="dxa"/>
            </w:tcMar>
            <w:vAlign w:val="bottom"/>
            <w:hideMark/>
          </w:tcPr>
          <w:p w14:paraId="716D421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78DB0BF" w14:textId="77777777" w:rsidR="00954279" w:rsidRDefault="00A66714">
            <w:pPr>
              <w:rPr>
                <w:color w:val="000000"/>
                <w:sz w:val="20"/>
                <w:szCs w:val="20"/>
              </w:rPr>
            </w:pPr>
            <w:r>
              <w:rPr>
                <w:color w:val="000000"/>
                <w:sz w:val="20"/>
                <w:szCs w:val="20"/>
              </w:rPr>
              <w:t> </w:t>
            </w:r>
          </w:p>
        </w:tc>
        <w:tc>
          <w:tcPr>
            <w:tcW w:w="0" w:type="auto"/>
            <w:gridSpan w:val="6"/>
            <w:tcBorders>
              <w:bottom w:val="single" w:sz="6" w:space="0" w:color="000000"/>
            </w:tcBorders>
            <w:tcMar>
              <w:top w:w="5" w:type="dxa"/>
              <w:left w:w="5" w:type="dxa"/>
              <w:bottom w:w="8" w:type="dxa"/>
              <w:right w:w="5" w:type="dxa"/>
            </w:tcMar>
            <w:vAlign w:val="bottom"/>
            <w:hideMark/>
          </w:tcPr>
          <w:p w14:paraId="61C24602" w14:textId="77777777" w:rsidR="00954279" w:rsidRDefault="00A66714">
            <w:pPr>
              <w:jc w:val="center"/>
              <w:rPr>
                <w:color w:val="000000"/>
                <w:sz w:val="20"/>
                <w:szCs w:val="20"/>
              </w:rPr>
            </w:pPr>
            <w:r>
              <w:rPr>
                <w:b/>
                <w:bCs/>
                <w:color w:val="000000"/>
                <w:sz w:val="20"/>
                <w:szCs w:val="20"/>
              </w:rPr>
              <w:t>Three Months Ended</w:t>
            </w:r>
          </w:p>
        </w:tc>
        <w:tc>
          <w:tcPr>
            <w:tcW w:w="0" w:type="auto"/>
            <w:tcMar>
              <w:top w:w="5" w:type="dxa"/>
              <w:left w:w="5" w:type="dxa"/>
              <w:bottom w:w="20" w:type="dxa"/>
              <w:right w:w="5" w:type="dxa"/>
            </w:tcMar>
            <w:vAlign w:val="bottom"/>
            <w:hideMark/>
          </w:tcPr>
          <w:p w14:paraId="7504A486" w14:textId="77777777" w:rsidR="00954279" w:rsidRDefault="00A66714">
            <w:pPr>
              <w:rPr>
                <w:color w:val="000000"/>
                <w:sz w:val="20"/>
                <w:szCs w:val="20"/>
              </w:rPr>
            </w:pPr>
            <w:r>
              <w:rPr>
                <w:color w:val="000000"/>
                <w:sz w:val="20"/>
                <w:szCs w:val="20"/>
              </w:rPr>
              <w:t> </w:t>
            </w:r>
          </w:p>
        </w:tc>
      </w:tr>
      <w:tr w:rsidR="00954279" w14:paraId="42828567" w14:textId="77777777">
        <w:tc>
          <w:tcPr>
            <w:tcW w:w="0" w:type="auto"/>
            <w:tcMar>
              <w:top w:w="5" w:type="dxa"/>
              <w:left w:w="5" w:type="dxa"/>
              <w:bottom w:w="5" w:type="dxa"/>
              <w:right w:w="5" w:type="dxa"/>
            </w:tcMar>
            <w:vAlign w:val="bottom"/>
            <w:hideMark/>
          </w:tcPr>
          <w:p w14:paraId="05E15A8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15A057E"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65918B90" w14:textId="77777777" w:rsidR="00954279" w:rsidRDefault="00A66714">
            <w:pPr>
              <w:jc w:val="center"/>
              <w:rPr>
                <w:color w:val="000000"/>
                <w:sz w:val="20"/>
                <w:szCs w:val="20"/>
              </w:rPr>
            </w:pPr>
            <w:r>
              <w:rPr>
                <w:b/>
                <w:bCs/>
                <w:color w:val="000000"/>
                <w:sz w:val="20"/>
                <w:szCs w:val="20"/>
              </w:rPr>
              <w:t>June 30,</w:t>
            </w:r>
          </w:p>
        </w:tc>
        <w:tc>
          <w:tcPr>
            <w:tcW w:w="0" w:type="auto"/>
            <w:tcMar>
              <w:top w:w="5" w:type="dxa"/>
              <w:left w:w="5" w:type="dxa"/>
              <w:bottom w:w="5" w:type="dxa"/>
              <w:right w:w="5" w:type="dxa"/>
            </w:tcMar>
            <w:vAlign w:val="bottom"/>
            <w:hideMark/>
          </w:tcPr>
          <w:p w14:paraId="1BA3F68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C3512AC"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1B1A3FD5" w14:textId="77777777" w:rsidR="00954279" w:rsidRDefault="00A66714">
            <w:pPr>
              <w:jc w:val="center"/>
              <w:rPr>
                <w:color w:val="000000"/>
                <w:sz w:val="20"/>
                <w:szCs w:val="20"/>
              </w:rPr>
            </w:pPr>
            <w:r>
              <w:rPr>
                <w:b/>
                <w:bCs/>
                <w:color w:val="000000"/>
                <w:sz w:val="20"/>
                <w:szCs w:val="20"/>
              </w:rPr>
              <w:t>June 30,</w:t>
            </w:r>
          </w:p>
        </w:tc>
        <w:tc>
          <w:tcPr>
            <w:tcW w:w="0" w:type="auto"/>
            <w:tcMar>
              <w:top w:w="5" w:type="dxa"/>
              <w:left w:w="5" w:type="dxa"/>
              <w:bottom w:w="5" w:type="dxa"/>
              <w:right w:w="5" w:type="dxa"/>
            </w:tcMar>
            <w:vAlign w:val="bottom"/>
            <w:hideMark/>
          </w:tcPr>
          <w:p w14:paraId="590F7EDB" w14:textId="77777777" w:rsidR="00954279" w:rsidRDefault="00A66714">
            <w:pPr>
              <w:rPr>
                <w:color w:val="000000"/>
                <w:sz w:val="20"/>
                <w:szCs w:val="20"/>
              </w:rPr>
            </w:pPr>
            <w:r>
              <w:rPr>
                <w:color w:val="000000"/>
                <w:sz w:val="20"/>
                <w:szCs w:val="20"/>
              </w:rPr>
              <w:t> </w:t>
            </w:r>
          </w:p>
        </w:tc>
      </w:tr>
      <w:tr w:rsidR="00954279" w14:paraId="07BCA8F7" w14:textId="77777777">
        <w:tc>
          <w:tcPr>
            <w:tcW w:w="0" w:type="auto"/>
            <w:tcMar>
              <w:top w:w="5" w:type="dxa"/>
              <w:left w:w="5" w:type="dxa"/>
              <w:bottom w:w="5" w:type="dxa"/>
              <w:right w:w="5" w:type="dxa"/>
            </w:tcMar>
            <w:vAlign w:val="bottom"/>
            <w:hideMark/>
          </w:tcPr>
          <w:p w14:paraId="2444A53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88254C4"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3AFAC8BB" w14:textId="77777777" w:rsidR="00954279" w:rsidRDefault="00A66714">
            <w:pPr>
              <w:jc w:val="center"/>
              <w:rPr>
                <w:color w:val="000000"/>
                <w:sz w:val="20"/>
                <w:szCs w:val="20"/>
              </w:rPr>
            </w:pPr>
            <w:r>
              <w:rPr>
                <w:b/>
                <w:bCs/>
                <w:color w:val="000000"/>
                <w:sz w:val="20"/>
                <w:szCs w:val="20"/>
              </w:rPr>
              <w:t>2021</w:t>
            </w:r>
          </w:p>
        </w:tc>
        <w:tc>
          <w:tcPr>
            <w:tcW w:w="0" w:type="auto"/>
            <w:tcMar>
              <w:top w:w="5" w:type="dxa"/>
              <w:left w:w="5" w:type="dxa"/>
              <w:bottom w:w="20" w:type="dxa"/>
              <w:right w:w="5" w:type="dxa"/>
            </w:tcMar>
            <w:vAlign w:val="bottom"/>
            <w:hideMark/>
          </w:tcPr>
          <w:p w14:paraId="41F38C9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7648053"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259BCE57" w14:textId="77777777" w:rsidR="00954279" w:rsidRDefault="00A66714">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65479F71" w14:textId="77777777" w:rsidR="00954279" w:rsidRDefault="00A66714">
            <w:pPr>
              <w:rPr>
                <w:color w:val="000000"/>
                <w:sz w:val="20"/>
                <w:szCs w:val="20"/>
              </w:rPr>
            </w:pPr>
            <w:r>
              <w:rPr>
                <w:color w:val="000000"/>
                <w:sz w:val="20"/>
                <w:szCs w:val="20"/>
              </w:rPr>
              <w:t> </w:t>
            </w:r>
          </w:p>
        </w:tc>
      </w:tr>
      <w:tr w:rsidR="00954279" w14:paraId="4204AAA9" w14:textId="77777777">
        <w:tc>
          <w:tcPr>
            <w:tcW w:w="3500" w:type="pct"/>
            <w:tcMar>
              <w:top w:w="5" w:type="dxa"/>
              <w:left w:w="5" w:type="dxa"/>
              <w:bottom w:w="5" w:type="dxa"/>
              <w:right w:w="5" w:type="dxa"/>
            </w:tcMar>
            <w:vAlign w:val="bottom"/>
            <w:hideMark/>
          </w:tcPr>
          <w:p w14:paraId="6BAAC952" w14:textId="77777777" w:rsidR="00954279" w:rsidRDefault="00A66714">
            <w:pPr>
              <w:rPr>
                <w:color w:val="000000"/>
                <w:sz w:val="20"/>
                <w:szCs w:val="20"/>
              </w:rPr>
            </w:pPr>
            <w:r>
              <w:rPr>
                <w:color w:val="000000"/>
                <w:sz w:val="20"/>
                <w:szCs w:val="20"/>
              </w:rPr>
              <w:t>Net income (loss)</w:t>
            </w:r>
          </w:p>
        </w:tc>
        <w:tc>
          <w:tcPr>
            <w:tcW w:w="50" w:type="pct"/>
            <w:tcMar>
              <w:top w:w="5" w:type="dxa"/>
              <w:left w:w="5" w:type="dxa"/>
              <w:bottom w:w="5" w:type="dxa"/>
              <w:right w:w="5" w:type="dxa"/>
            </w:tcMar>
            <w:vAlign w:val="bottom"/>
            <w:hideMark/>
          </w:tcPr>
          <w:p w14:paraId="11FA3478"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6BBA5CD" w14:textId="77777777" w:rsidR="00954279" w:rsidRDefault="00A66714">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27D48AE2" w14:textId="77777777" w:rsidR="00954279" w:rsidRDefault="00A66714">
            <w:pPr>
              <w:jc w:val="right"/>
              <w:rPr>
                <w:color w:val="000000"/>
                <w:sz w:val="20"/>
                <w:szCs w:val="20"/>
              </w:rPr>
            </w:pPr>
            <w:r>
              <w:rPr>
                <w:b/>
                <w:bCs/>
                <w:color w:val="000000"/>
                <w:sz w:val="20"/>
                <w:szCs w:val="20"/>
              </w:rPr>
              <w:t>4</w:t>
            </w:r>
          </w:p>
        </w:tc>
        <w:tc>
          <w:tcPr>
            <w:tcW w:w="50" w:type="pct"/>
            <w:noWrap/>
            <w:tcMar>
              <w:top w:w="5" w:type="dxa"/>
              <w:left w:w="5" w:type="dxa"/>
              <w:bottom w:w="5" w:type="dxa"/>
              <w:right w:w="5" w:type="dxa"/>
            </w:tcMar>
            <w:vAlign w:val="bottom"/>
            <w:hideMark/>
          </w:tcPr>
          <w:p w14:paraId="1FE0B8A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B197DA6"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BF5F0A4" w14:textId="77777777" w:rsidR="00954279" w:rsidRDefault="00A66714">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551DAB47" w14:textId="77777777" w:rsidR="00954279" w:rsidRDefault="00A66714">
            <w:pPr>
              <w:jc w:val="right"/>
              <w:rPr>
                <w:color w:val="000000"/>
                <w:sz w:val="20"/>
                <w:szCs w:val="20"/>
              </w:rPr>
            </w:pPr>
            <w:r>
              <w:rPr>
                <w:color w:val="000000"/>
                <w:sz w:val="20"/>
                <w:szCs w:val="20"/>
              </w:rPr>
              <w:t>(281</w:t>
            </w:r>
          </w:p>
        </w:tc>
        <w:tc>
          <w:tcPr>
            <w:tcW w:w="50" w:type="pct"/>
            <w:noWrap/>
            <w:tcMar>
              <w:top w:w="5" w:type="dxa"/>
              <w:left w:w="5" w:type="dxa"/>
              <w:bottom w:w="5" w:type="dxa"/>
              <w:right w:w="5" w:type="dxa"/>
            </w:tcMar>
            <w:vAlign w:val="bottom"/>
            <w:hideMark/>
          </w:tcPr>
          <w:p w14:paraId="6E40AB9D" w14:textId="77777777" w:rsidR="00954279" w:rsidRDefault="00A66714">
            <w:pPr>
              <w:rPr>
                <w:color w:val="000000"/>
                <w:sz w:val="20"/>
                <w:szCs w:val="20"/>
              </w:rPr>
            </w:pPr>
            <w:r>
              <w:rPr>
                <w:color w:val="000000"/>
                <w:sz w:val="20"/>
                <w:szCs w:val="20"/>
              </w:rPr>
              <w:t>)</w:t>
            </w:r>
          </w:p>
        </w:tc>
      </w:tr>
      <w:tr w:rsidR="00954279" w14:paraId="7A1C7D2B" w14:textId="77777777">
        <w:tc>
          <w:tcPr>
            <w:tcW w:w="0" w:type="auto"/>
            <w:tcMar>
              <w:top w:w="5" w:type="dxa"/>
              <w:left w:w="5" w:type="dxa"/>
              <w:bottom w:w="5" w:type="dxa"/>
              <w:right w:w="5" w:type="dxa"/>
            </w:tcMar>
            <w:vAlign w:val="bottom"/>
            <w:hideMark/>
          </w:tcPr>
          <w:p w14:paraId="4813DC5A" w14:textId="77777777" w:rsidR="00954279" w:rsidRDefault="00A66714">
            <w:pPr>
              <w:rPr>
                <w:color w:val="000000"/>
                <w:sz w:val="20"/>
                <w:szCs w:val="20"/>
              </w:rPr>
            </w:pPr>
            <w:r>
              <w:rPr>
                <w:color w:val="000000"/>
                <w:sz w:val="20"/>
                <w:szCs w:val="20"/>
              </w:rPr>
              <w:t>Income tax expense (benefit)</w:t>
            </w:r>
          </w:p>
        </w:tc>
        <w:tc>
          <w:tcPr>
            <w:tcW w:w="50" w:type="pct"/>
            <w:tcMar>
              <w:top w:w="5" w:type="dxa"/>
              <w:left w:w="5" w:type="dxa"/>
              <w:bottom w:w="5" w:type="dxa"/>
              <w:right w:w="5" w:type="dxa"/>
            </w:tcMar>
            <w:vAlign w:val="bottom"/>
            <w:hideMark/>
          </w:tcPr>
          <w:p w14:paraId="3CF9430F"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18E7289"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0CCD4AE" w14:textId="77777777" w:rsidR="00954279" w:rsidRDefault="00A66714">
            <w:pPr>
              <w:jc w:val="right"/>
              <w:rPr>
                <w:color w:val="000000"/>
                <w:sz w:val="20"/>
                <w:szCs w:val="20"/>
              </w:rPr>
            </w:pPr>
            <w:r>
              <w:rPr>
                <w:b/>
                <w:bCs/>
                <w:color w:val="000000"/>
                <w:sz w:val="20"/>
                <w:szCs w:val="20"/>
              </w:rPr>
              <w:t>1</w:t>
            </w:r>
          </w:p>
        </w:tc>
        <w:tc>
          <w:tcPr>
            <w:tcW w:w="50" w:type="pct"/>
            <w:noWrap/>
            <w:tcMar>
              <w:top w:w="5" w:type="dxa"/>
              <w:left w:w="5" w:type="dxa"/>
              <w:bottom w:w="5" w:type="dxa"/>
              <w:right w:w="5" w:type="dxa"/>
            </w:tcMar>
            <w:vAlign w:val="bottom"/>
            <w:hideMark/>
          </w:tcPr>
          <w:p w14:paraId="1D07C1B3"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D9EA321"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9E4FE2E"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0F818B5" w14:textId="77777777" w:rsidR="00954279" w:rsidRDefault="00A66714">
            <w:pPr>
              <w:jc w:val="right"/>
              <w:rPr>
                <w:color w:val="000000"/>
                <w:sz w:val="20"/>
                <w:szCs w:val="20"/>
              </w:rPr>
            </w:pPr>
            <w:r>
              <w:rPr>
                <w:color w:val="000000"/>
                <w:sz w:val="20"/>
                <w:szCs w:val="20"/>
              </w:rPr>
              <w:t>(17</w:t>
            </w:r>
          </w:p>
        </w:tc>
        <w:tc>
          <w:tcPr>
            <w:tcW w:w="50" w:type="pct"/>
            <w:noWrap/>
            <w:tcMar>
              <w:top w:w="5" w:type="dxa"/>
              <w:left w:w="5" w:type="dxa"/>
              <w:bottom w:w="5" w:type="dxa"/>
              <w:right w:w="5" w:type="dxa"/>
            </w:tcMar>
            <w:vAlign w:val="bottom"/>
            <w:hideMark/>
          </w:tcPr>
          <w:p w14:paraId="08D8A41C" w14:textId="77777777" w:rsidR="00954279" w:rsidRDefault="00A66714">
            <w:pPr>
              <w:rPr>
                <w:color w:val="000000"/>
                <w:sz w:val="20"/>
                <w:szCs w:val="20"/>
              </w:rPr>
            </w:pPr>
            <w:r>
              <w:rPr>
                <w:color w:val="000000"/>
                <w:sz w:val="20"/>
                <w:szCs w:val="20"/>
              </w:rPr>
              <w:t>)</w:t>
            </w:r>
          </w:p>
        </w:tc>
      </w:tr>
      <w:tr w:rsidR="00954279" w14:paraId="2C704F37" w14:textId="77777777">
        <w:tc>
          <w:tcPr>
            <w:tcW w:w="0" w:type="auto"/>
            <w:tcMar>
              <w:top w:w="5" w:type="dxa"/>
              <w:left w:w="5" w:type="dxa"/>
              <w:bottom w:w="5" w:type="dxa"/>
              <w:right w:w="5" w:type="dxa"/>
            </w:tcMar>
            <w:vAlign w:val="bottom"/>
            <w:hideMark/>
          </w:tcPr>
          <w:p w14:paraId="31FAC0E6" w14:textId="77777777" w:rsidR="00954279" w:rsidRDefault="00A66714">
            <w:pPr>
              <w:rPr>
                <w:color w:val="000000"/>
                <w:sz w:val="20"/>
                <w:szCs w:val="20"/>
              </w:rPr>
            </w:pPr>
            <w:r>
              <w:rPr>
                <w:color w:val="000000"/>
                <w:sz w:val="20"/>
                <w:szCs w:val="20"/>
              </w:rPr>
              <w:t>Interest expense</w:t>
            </w:r>
          </w:p>
        </w:tc>
        <w:tc>
          <w:tcPr>
            <w:tcW w:w="50" w:type="pct"/>
            <w:tcMar>
              <w:top w:w="5" w:type="dxa"/>
              <w:left w:w="5" w:type="dxa"/>
              <w:bottom w:w="5" w:type="dxa"/>
              <w:right w:w="5" w:type="dxa"/>
            </w:tcMar>
            <w:vAlign w:val="bottom"/>
            <w:hideMark/>
          </w:tcPr>
          <w:p w14:paraId="7BC70F2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E9CE53F"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4135D75" w14:textId="77777777" w:rsidR="00954279" w:rsidRDefault="00A66714">
            <w:pPr>
              <w:jc w:val="right"/>
              <w:rPr>
                <w:color w:val="000000"/>
                <w:sz w:val="20"/>
                <w:szCs w:val="20"/>
              </w:rPr>
            </w:pPr>
            <w:r>
              <w:rPr>
                <w:b/>
                <w:bCs/>
                <w:color w:val="000000"/>
                <w:sz w:val="20"/>
                <w:szCs w:val="20"/>
              </w:rPr>
              <w:t>6</w:t>
            </w:r>
          </w:p>
        </w:tc>
        <w:tc>
          <w:tcPr>
            <w:tcW w:w="50" w:type="pct"/>
            <w:noWrap/>
            <w:tcMar>
              <w:top w:w="5" w:type="dxa"/>
              <w:left w:w="5" w:type="dxa"/>
              <w:bottom w:w="5" w:type="dxa"/>
              <w:right w:w="5" w:type="dxa"/>
            </w:tcMar>
            <w:vAlign w:val="bottom"/>
            <w:hideMark/>
          </w:tcPr>
          <w:p w14:paraId="75F5147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61FE81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1176464"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9732659" w14:textId="77777777" w:rsidR="00954279" w:rsidRDefault="00A66714">
            <w:pPr>
              <w:jc w:val="right"/>
              <w:rPr>
                <w:color w:val="000000"/>
                <w:sz w:val="20"/>
                <w:szCs w:val="20"/>
              </w:rPr>
            </w:pPr>
            <w:r>
              <w:rPr>
                <w:color w:val="000000"/>
                <w:sz w:val="20"/>
                <w:szCs w:val="20"/>
              </w:rPr>
              <w:t>7</w:t>
            </w:r>
          </w:p>
        </w:tc>
        <w:tc>
          <w:tcPr>
            <w:tcW w:w="50" w:type="pct"/>
            <w:noWrap/>
            <w:tcMar>
              <w:top w:w="5" w:type="dxa"/>
              <w:left w:w="5" w:type="dxa"/>
              <w:bottom w:w="5" w:type="dxa"/>
              <w:right w:w="5" w:type="dxa"/>
            </w:tcMar>
            <w:vAlign w:val="bottom"/>
            <w:hideMark/>
          </w:tcPr>
          <w:p w14:paraId="7192EBE3" w14:textId="77777777" w:rsidR="00954279" w:rsidRDefault="00A66714">
            <w:pPr>
              <w:rPr>
                <w:color w:val="000000"/>
                <w:sz w:val="20"/>
                <w:szCs w:val="20"/>
              </w:rPr>
            </w:pPr>
            <w:r>
              <w:rPr>
                <w:color w:val="000000"/>
                <w:sz w:val="20"/>
                <w:szCs w:val="20"/>
              </w:rPr>
              <w:t> </w:t>
            </w:r>
          </w:p>
        </w:tc>
      </w:tr>
      <w:tr w:rsidR="00954279" w14:paraId="3FF48518" w14:textId="77777777">
        <w:tc>
          <w:tcPr>
            <w:tcW w:w="0" w:type="auto"/>
            <w:tcMar>
              <w:top w:w="5" w:type="dxa"/>
              <w:left w:w="5" w:type="dxa"/>
              <w:bottom w:w="5" w:type="dxa"/>
              <w:right w:w="5" w:type="dxa"/>
            </w:tcMar>
            <w:vAlign w:val="bottom"/>
            <w:hideMark/>
          </w:tcPr>
          <w:p w14:paraId="6B9BAC3F" w14:textId="77777777" w:rsidR="00954279" w:rsidRDefault="00A66714">
            <w:pPr>
              <w:rPr>
                <w:color w:val="000000"/>
                <w:sz w:val="20"/>
                <w:szCs w:val="20"/>
              </w:rPr>
            </w:pPr>
            <w:r>
              <w:rPr>
                <w:color w:val="000000"/>
                <w:sz w:val="20"/>
                <w:szCs w:val="20"/>
              </w:rPr>
              <w:t>Depreciation and amortization</w:t>
            </w:r>
          </w:p>
        </w:tc>
        <w:tc>
          <w:tcPr>
            <w:tcW w:w="50" w:type="pct"/>
            <w:tcMar>
              <w:top w:w="5" w:type="dxa"/>
              <w:left w:w="5" w:type="dxa"/>
              <w:bottom w:w="5" w:type="dxa"/>
              <w:right w:w="5" w:type="dxa"/>
            </w:tcMar>
            <w:vAlign w:val="bottom"/>
            <w:hideMark/>
          </w:tcPr>
          <w:p w14:paraId="4E2BE0BA"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4591285"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8282EB6" w14:textId="77777777" w:rsidR="00954279" w:rsidRDefault="00A66714">
            <w:pPr>
              <w:jc w:val="right"/>
              <w:rPr>
                <w:color w:val="000000"/>
                <w:sz w:val="20"/>
                <w:szCs w:val="20"/>
              </w:rPr>
            </w:pPr>
            <w:r>
              <w:rPr>
                <w:b/>
                <w:bCs/>
                <w:color w:val="000000"/>
                <w:sz w:val="20"/>
                <w:szCs w:val="20"/>
              </w:rPr>
              <w:t>5</w:t>
            </w:r>
          </w:p>
        </w:tc>
        <w:tc>
          <w:tcPr>
            <w:tcW w:w="50" w:type="pct"/>
            <w:noWrap/>
            <w:tcMar>
              <w:top w:w="5" w:type="dxa"/>
              <w:left w:w="5" w:type="dxa"/>
              <w:bottom w:w="5" w:type="dxa"/>
              <w:right w:w="5" w:type="dxa"/>
            </w:tcMar>
            <w:vAlign w:val="bottom"/>
            <w:hideMark/>
          </w:tcPr>
          <w:p w14:paraId="6894F75F"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5E2EFFF"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E1DE679"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C1F8BD2" w14:textId="77777777" w:rsidR="00954279" w:rsidRDefault="00A66714">
            <w:pPr>
              <w:jc w:val="right"/>
              <w:rPr>
                <w:color w:val="000000"/>
                <w:sz w:val="20"/>
                <w:szCs w:val="20"/>
              </w:rPr>
            </w:pPr>
            <w:r>
              <w:rPr>
                <w:color w:val="000000"/>
                <w:sz w:val="20"/>
                <w:szCs w:val="20"/>
              </w:rPr>
              <w:t>5</w:t>
            </w:r>
          </w:p>
        </w:tc>
        <w:tc>
          <w:tcPr>
            <w:tcW w:w="50" w:type="pct"/>
            <w:noWrap/>
            <w:tcMar>
              <w:top w:w="5" w:type="dxa"/>
              <w:left w:w="5" w:type="dxa"/>
              <w:bottom w:w="5" w:type="dxa"/>
              <w:right w:w="5" w:type="dxa"/>
            </w:tcMar>
            <w:vAlign w:val="bottom"/>
            <w:hideMark/>
          </w:tcPr>
          <w:p w14:paraId="2143C54B" w14:textId="77777777" w:rsidR="00954279" w:rsidRDefault="00A66714">
            <w:pPr>
              <w:rPr>
                <w:color w:val="000000"/>
                <w:sz w:val="20"/>
                <w:szCs w:val="20"/>
              </w:rPr>
            </w:pPr>
            <w:r>
              <w:rPr>
                <w:color w:val="000000"/>
                <w:sz w:val="20"/>
                <w:szCs w:val="20"/>
              </w:rPr>
              <w:t> </w:t>
            </w:r>
          </w:p>
        </w:tc>
      </w:tr>
      <w:tr w:rsidR="00954279" w14:paraId="7724CE45" w14:textId="77777777">
        <w:tc>
          <w:tcPr>
            <w:tcW w:w="0" w:type="auto"/>
            <w:tcMar>
              <w:top w:w="5" w:type="dxa"/>
              <w:left w:w="5" w:type="dxa"/>
              <w:bottom w:w="5" w:type="dxa"/>
              <w:right w:w="5" w:type="dxa"/>
            </w:tcMar>
            <w:vAlign w:val="bottom"/>
            <w:hideMark/>
          </w:tcPr>
          <w:p w14:paraId="22A2C210" w14:textId="77777777" w:rsidR="00954279" w:rsidRDefault="00A66714">
            <w:pPr>
              <w:rPr>
                <w:color w:val="000000"/>
                <w:sz w:val="20"/>
                <w:szCs w:val="20"/>
              </w:rPr>
            </w:pPr>
            <w:r>
              <w:rPr>
                <w:color w:val="000000"/>
                <w:sz w:val="20"/>
                <w:szCs w:val="20"/>
              </w:rPr>
              <w:t>Amortization of intangibles</w:t>
            </w:r>
          </w:p>
        </w:tc>
        <w:tc>
          <w:tcPr>
            <w:tcW w:w="50" w:type="pct"/>
            <w:tcMar>
              <w:top w:w="5" w:type="dxa"/>
              <w:left w:w="5" w:type="dxa"/>
              <w:bottom w:w="5" w:type="dxa"/>
              <w:right w:w="5" w:type="dxa"/>
            </w:tcMar>
            <w:vAlign w:val="bottom"/>
            <w:hideMark/>
          </w:tcPr>
          <w:p w14:paraId="58FB993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7316556"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D098156" w14:textId="77777777" w:rsidR="00954279" w:rsidRDefault="00A66714">
            <w:pPr>
              <w:jc w:val="right"/>
              <w:rPr>
                <w:color w:val="000000"/>
                <w:sz w:val="20"/>
                <w:szCs w:val="20"/>
              </w:rPr>
            </w:pPr>
            <w:r>
              <w:rPr>
                <w:b/>
                <w:bCs/>
                <w:color w:val="000000"/>
                <w:sz w:val="20"/>
                <w:szCs w:val="20"/>
              </w:rPr>
              <w:t>6</w:t>
            </w:r>
          </w:p>
        </w:tc>
        <w:tc>
          <w:tcPr>
            <w:tcW w:w="50" w:type="pct"/>
            <w:noWrap/>
            <w:tcMar>
              <w:top w:w="5" w:type="dxa"/>
              <w:left w:w="5" w:type="dxa"/>
              <w:bottom w:w="5" w:type="dxa"/>
              <w:right w:w="5" w:type="dxa"/>
            </w:tcMar>
            <w:vAlign w:val="bottom"/>
            <w:hideMark/>
          </w:tcPr>
          <w:p w14:paraId="00B3AC11"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7DCCA4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C484E1F"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CE9E22D" w14:textId="77777777" w:rsidR="00954279" w:rsidRDefault="00A66714">
            <w:pPr>
              <w:jc w:val="right"/>
              <w:rPr>
                <w:color w:val="000000"/>
                <w:sz w:val="20"/>
                <w:szCs w:val="20"/>
              </w:rPr>
            </w:pPr>
            <w:r>
              <w:rPr>
                <w:color w:val="000000"/>
                <w:sz w:val="20"/>
                <w:szCs w:val="20"/>
              </w:rPr>
              <w:t>6</w:t>
            </w:r>
          </w:p>
        </w:tc>
        <w:tc>
          <w:tcPr>
            <w:tcW w:w="50" w:type="pct"/>
            <w:noWrap/>
            <w:tcMar>
              <w:top w:w="5" w:type="dxa"/>
              <w:left w:w="5" w:type="dxa"/>
              <w:bottom w:w="5" w:type="dxa"/>
              <w:right w:w="5" w:type="dxa"/>
            </w:tcMar>
            <w:vAlign w:val="bottom"/>
            <w:hideMark/>
          </w:tcPr>
          <w:p w14:paraId="7396B182" w14:textId="77777777" w:rsidR="00954279" w:rsidRDefault="00A66714">
            <w:pPr>
              <w:rPr>
                <w:color w:val="000000"/>
                <w:sz w:val="20"/>
                <w:szCs w:val="20"/>
              </w:rPr>
            </w:pPr>
            <w:r>
              <w:rPr>
                <w:color w:val="000000"/>
                <w:sz w:val="20"/>
                <w:szCs w:val="20"/>
              </w:rPr>
              <w:t> </w:t>
            </w:r>
          </w:p>
        </w:tc>
      </w:tr>
      <w:tr w:rsidR="00954279" w14:paraId="79740AE8" w14:textId="77777777">
        <w:tc>
          <w:tcPr>
            <w:tcW w:w="0" w:type="auto"/>
            <w:tcMar>
              <w:top w:w="5" w:type="dxa"/>
              <w:left w:w="5" w:type="dxa"/>
              <w:bottom w:w="5" w:type="dxa"/>
              <w:right w:w="5" w:type="dxa"/>
            </w:tcMar>
            <w:vAlign w:val="bottom"/>
            <w:hideMark/>
          </w:tcPr>
          <w:p w14:paraId="5A0A2B9E" w14:textId="77777777" w:rsidR="00954279" w:rsidRDefault="00A66714">
            <w:pPr>
              <w:rPr>
                <w:color w:val="000000"/>
                <w:sz w:val="20"/>
                <w:szCs w:val="20"/>
              </w:rPr>
            </w:pPr>
            <w:r>
              <w:rPr>
                <w:color w:val="000000"/>
                <w:sz w:val="20"/>
                <w:szCs w:val="20"/>
              </w:rPr>
              <w:t>Goodwill and intangible asset impairment</w:t>
            </w:r>
          </w:p>
        </w:tc>
        <w:tc>
          <w:tcPr>
            <w:tcW w:w="50" w:type="pct"/>
            <w:tcMar>
              <w:top w:w="5" w:type="dxa"/>
              <w:left w:w="5" w:type="dxa"/>
              <w:bottom w:w="5" w:type="dxa"/>
              <w:right w:w="5" w:type="dxa"/>
            </w:tcMar>
            <w:vAlign w:val="bottom"/>
            <w:hideMark/>
          </w:tcPr>
          <w:p w14:paraId="533844A8"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0AECF54"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D548B61" w14:textId="77777777" w:rsidR="00954279" w:rsidRDefault="00A66714">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6F73D51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9C3A150"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1104391"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7FCF2C9" w14:textId="77777777" w:rsidR="00954279" w:rsidRDefault="00A66714">
            <w:pPr>
              <w:jc w:val="right"/>
              <w:rPr>
                <w:color w:val="000000"/>
                <w:sz w:val="20"/>
                <w:szCs w:val="20"/>
              </w:rPr>
            </w:pPr>
            <w:r>
              <w:rPr>
                <w:color w:val="000000"/>
                <w:sz w:val="20"/>
                <w:szCs w:val="20"/>
              </w:rPr>
              <w:t>242</w:t>
            </w:r>
          </w:p>
        </w:tc>
        <w:tc>
          <w:tcPr>
            <w:tcW w:w="50" w:type="pct"/>
            <w:noWrap/>
            <w:tcMar>
              <w:top w:w="5" w:type="dxa"/>
              <w:left w:w="5" w:type="dxa"/>
              <w:bottom w:w="5" w:type="dxa"/>
              <w:right w:w="5" w:type="dxa"/>
            </w:tcMar>
            <w:vAlign w:val="bottom"/>
            <w:hideMark/>
          </w:tcPr>
          <w:p w14:paraId="5DFACC14" w14:textId="77777777" w:rsidR="00954279" w:rsidRDefault="00A66714">
            <w:pPr>
              <w:rPr>
                <w:color w:val="000000"/>
                <w:sz w:val="20"/>
                <w:szCs w:val="20"/>
              </w:rPr>
            </w:pPr>
            <w:r>
              <w:rPr>
                <w:color w:val="000000"/>
                <w:sz w:val="20"/>
                <w:szCs w:val="20"/>
              </w:rPr>
              <w:t> </w:t>
            </w:r>
          </w:p>
        </w:tc>
      </w:tr>
      <w:tr w:rsidR="00954279" w14:paraId="06AE336C" w14:textId="77777777">
        <w:tc>
          <w:tcPr>
            <w:tcW w:w="0" w:type="auto"/>
            <w:tcMar>
              <w:top w:w="5" w:type="dxa"/>
              <w:left w:w="5" w:type="dxa"/>
              <w:bottom w:w="5" w:type="dxa"/>
              <w:right w:w="5" w:type="dxa"/>
            </w:tcMar>
            <w:vAlign w:val="bottom"/>
            <w:hideMark/>
          </w:tcPr>
          <w:p w14:paraId="73D358D8" w14:textId="77777777" w:rsidR="00954279" w:rsidRDefault="00A66714">
            <w:pPr>
              <w:rPr>
                <w:color w:val="000000"/>
                <w:sz w:val="20"/>
                <w:szCs w:val="20"/>
              </w:rPr>
            </w:pPr>
            <w:r>
              <w:rPr>
                <w:color w:val="000000"/>
                <w:sz w:val="20"/>
                <w:szCs w:val="20"/>
              </w:rPr>
              <w:t>Inventory-related charges</w:t>
            </w:r>
          </w:p>
        </w:tc>
        <w:tc>
          <w:tcPr>
            <w:tcW w:w="50" w:type="pct"/>
            <w:tcMar>
              <w:top w:w="5" w:type="dxa"/>
              <w:left w:w="5" w:type="dxa"/>
              <w:bottom w:w="5" w:type="dxa"/>
              <w:right w:w="5" w:type="dxa"/>
            </w:tcMar>
            <w:vAlign w:val="bottom"/>
            <w:hideMark/>
          </w:tcPr>
          <w:p w14:paraId="0E044C56"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5F12814"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F9B60E2" w14:textId="77777777" w:rsidR="00954279" w:rsidRDefault="00A66714">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26E07ADF"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CD67C68"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B6F4886"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73DECA3" w14:textId="77777777" w:rsidR="00954279" w:rsidRDefault="00A66714">
            <w:pPr>
              <w:jc w:val="right"/>
              <w:rPr>
                <w:color w:val="000000"/>
                <w:sz w:val="20"/>
                <w:szCs w:val="20"/>
              </w:rPr>
            </w:pPr>
            <w:r>
              <w:rPr>
                <w:color w:val="000000"/>
                <w:sz w:val="20"/>
                <w:szCs w:val="20"/>
              </w:rPr>
              <w:t>34</w:t>
            </w:r>
          </w:p>
        </w:tc>
        <w:tc>
          <w:tcPr>
            <w:tcW w:w="50" w:type="pct"/>
            <w:noWrap/>
            <w:tcMar>
              <w:top w:w="5" w:type="dxa"/>
              <w:left w:w="5" w:type="dxa"/>
              <w:bottom w:w="5" w:type="dxa"/>
              <w:right w:w="5" w:type="dxa"/>
            </w:tcMar>
            <w:vAlign w:val="bottom"/>
            <w:hideMark/>
          </w:tcPr>
          <w:p w14:paraId="3DABE648" w14:textId="77777777" w:rsidR="00954279" w:rsidRDefault="00A66714">
            <w:pPr>
              <w:rPr>
                <w:color w:val="000000"/>
                <w:sz w:val="20"/>
                <w:szCs w:val="20"/>
              </w:rPr>
            </w:pPr>
            <w:r>
              <w:rPr>
                <w:color w:val="000000"/>
                <w:sz w:val="20"/>
                <w:szCs w:val="20"/>
              </w:rPr>
              <w:t> </w:t>
            </w:r>
          </w:p>
        </w:tc>
      </w:tr>
      <w:tr w:rsidR="00954279" w14:paraId="658EFA5B" w14:textId="77777777">
        <w:tc>
          <w:tcPr>
            <w:tcW w:w="0" w:type="auto"/>
            <w:tcMar>
              <w:top w:w="5" w:type="dxa"/>
              <w:left w:w="5" w:type="dxa"/>
              <w:bottom w:w="5" w:type="dxa"/>
              <w:right w:w="5" w:type="dxa"/>
            </w:tcMar>
            <w:vAlign w:val="bottom"/>
            <w:hideMark/>
          </w:tcPr>
          <w:p w14:paraId="63F772D9" w14:textId="77777777" w:rsidR="00954279" w:rsidRDefault="00A66714">
            <w:pPr>
              <w:rPr>
                <w:color w:val="000000"/>
                <w:sz w:val="20"/>
                <w:szCs w:val="20"/>
              </w:rPr>
            </w:pPr>
            <w:r>
              <w:rPr>
                <w:color w:val="000000"/>
                <w:sz w:val="20"/>
                <w:szCs w:val="20"/>
              </w:rPr>
              <w:t>Facility closures</w:t>
            </w:r>
          </w:p>
        </w:tc>
        <w:tc>
          <w:tcPr>
            <w:tcW w:w="50" w:type="pct"/>
            <w:tcMar>
              <w:top w:w="5" w:type="dxa"/>
              <w:left w:w="5" w:type="dxa"/>
              <w:bottom w:w="5" w:type="dxa"/>
              <w:right w:w="5" w:type="dxa"/>
            </w:tcMar>
            <w:vAlign w:val="bottom"/>
            <w:hideMark/>
          </w:tcPr>
          <w:p w14:paraId="26FDED03"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67A616E"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FF8B4E4" w14:textId="77777777" w:rsidR="00954279" w:rsidRDefault="00A66714">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1340797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B801CD3"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CDEA1A4"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3EC0C5C" w14:textId="77777777" w:rsidR="00954279" w:rsidRDefault="00A66714">
            <w:pPr>
              <w:jc w:val="right"/>
              <w:rPr>
                <w:color w:val="000000"/>
                <w:sz w:val="20"/>
                <w:szCs w:val="20"/>
              </w:rPr>
            </w:pPr>
            <w:r>
              <w:rPr>
                <w:color w:val="000000"/>
                <w:sz w:val="20"/>
                <w:szCs w:val="20"/>
              </w:rPr>
              <w:t>18</w:t>
            </w:r>
          </w:p>
        </w:tc>
        <w:tc>
          <w:tcPr>
            <w:tcW w:w="50" w:type="pct"/>
            <w:noWrap/>
            <w:tcMar>
              <w:top w:w="5" w:type="dxa"/>
              <w:left w:w="5" w:type="dxa"/>
              <w:bottom w:w="5" w:type="dxa"/>
              <w:right w:w="5" w:type="dxa"/>
            </w:tcMar>
            <w:vAlign w:val="bottom"/>
            <w:hideMark/>
          </w:tcPr>
          <w:p w14:paraId="01A301F6" w14:textId="77777777" w:rsidR="00954279" w:rsidRDefault="00A66714">
            <w:pPr>
              <w:rPr>
                <w:color w:val="000000"/>
                <w:sz w:val="20"/>
                <w:szCs w:val="20"/>
              </w:rPr>
            </w:pPr>
            <w:r>
              <w:rPr>
                <w:color w:val="000000"/>
                <w:sz w:val="20"/>
                <w:szCs w:val="20"/>
              </w:rPr>
              <w:t> </w:t>
            </w:r>
          </w:p>
        </w:tc>
      </w:tr>
      <w:tr w:rsidR="00954279" w14:paraId="724B4785" w14:textId="77777777">
        <w:tc>
          <w:tcPr>
            <w:tcW w:w="0" w:type="auto"/>
            <w:tcMar>
              <w:top w:w="5" w:type="dxa"/>
              <w:left w:w="5" w:type="dxa"/>
              <w:bottom w:w="5" w:type="dxa"/>
              <w:right w:w="5" w:type="dxa"/>
            </w:tcMar>
            <w:vAlign w:val="bottom"/>
            <w:hideMark/>
          </w:tcPr>
          <w:p w14:paraId="3927538C" w14:textId="77777777" w:rsidR="00954279" w:rsidRDefault="00A66714">
            <w:pPr>
              <w:rPr>
                <w:color w:val="000000"/>
                <w:sz w:val="20"/>
                <w:szCs w:val="20"/>
              </w:rPr>
            </w:pPr>
            <w:r>
              <w:rPr>
                <w:color w:val="000000"/>
                <w:sz w:val="20"/>
                <w:szCs w:val="20"/>
              </w:rPr>
              <w:t>Severance and restructuring</w:t>
            </w:r>
          </w:p>
        </w:tc>
        <w:tc>
          <w:tcPr>
            <w:tcW w:w="50" w:type="pct"/>
            <w:tcMar>
              <w:top w:w="5" w:type="dxa"/>
              <w:left w:w="5" w:type="dxa"/>
              <w:bottom w:w="5" w:type="dxa"/>
              <w:right w:w="5" w:type="dxa"/>
            </w:tcMar>
            <w:vAlign w:val="bottom"/>
            <w:hideMark/>
          </w:tcPr>
          <w:p w14:paraId="34BCE2A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D50BEE5"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DB82BF0" w14:textId="77777777" w:rsidR="00954279" w:rsidRDefault="00A66714">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0D7A5A60"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9E9D397"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A6722F9"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1B55923" w14:textId="77777777" w:rsidR="00954279" w:rsidRDefault="00A66714">
            <w:pPr>
              <w:jc w:val="right"/>
              <w:rPr>
                <w:color w:val="000000"/>
                <w:sz w:val="20"/>
                <w:szCs w:val="20"/>
              </w:rPr>
            </w:pPr>
            <w:r>
              <w:rPr>
                <w:color w:val="000000"/>
                <w:sz w:val="20"/>
                <w:szCs w:val="20"/>
              </w:rPr>
              <w:t>7</w:t>
            </w:r>
          </w:p>
        </w:tc>
        <w:tc>
          <w:tcPr>
            <w:tcW w:w="50" w:type="pct"/>
            <w:noWrap/>
            <w:tcMar>
              <w:top w:w="5" w:type="dxa"/>
              <w:left w:w="5" w:type="dxa"/>
              <w:bottom w:w="5" w:type="dxa"/>
              <w:right w:w="5" w:type="dxa"/>
            </w:tcMar>
            <w:vAlign w:val="bottom"/>
            <w:hideMark/>
          </w:tcPr>
          <w:p w14:paraId="152973C7" w14:textId="77777777" w:rsidR="00954279" w:rsidRDefault="00A66714">
            <w:pPr>
              <w:rPr>
                <w:color w:val="000000"/>
                <w:sz w:val="20"/>
                <w:szCs w:val="20"/>
              </w:rPr>
            </w:pPr>
            <w:r>
              <w:rPr>
                <w:color w:val="000000"/>
                <w:sz w:val="20"/>
                <w:szCs w:val="20"/>
              </w:rPr>
              <w:t> </w:t>
            </w:r>
          </w:p>
        </w:tc>
      </w:tr>
      <w:tr w:rsidR="00954279" w14:paraId="5D7327AA" w14:textId="77777777">
        <w:tc>
          <w:tcPr>
            <w:tcW w:w="0" w:type="auto"/>
            <w:tcMar>
              <w:top w:w="5" w:type="dxa"/>
              <w:left w:w="5" w:type="dxa"/>
              <w:bottom w:w="5" w:type="dxa"/>
              <w:right w:w="5" w:type="dxa"/>
            </w:tcMar>
            <w:vAlign w:val="bottom"/>
            <w:hideMark/>
          </w:tcPr>
          <w:p w14:paraId="4D03BC4A" w14:textId="77777777" w:rsidR="00954279" w:rsidRDefault="00A66714">
            <w:pPr>
              <w:rPr>
                <w:color w:val="000000"/>
                <w:sz w:val="20"/>
                <w:szCs w:val="20"/>
              </w:rPr>
            </w:pPr>
            <w:r>
              <w:rPr>
                <w:color w:val="000000"/>
                <w:sz w:val="20"/>
                <w:szCs w:val="20"/>
              </w:rPr>
              <w:t>Increase (decrease) in LIFO reserve</w:t>
            </w:r>
          </w:p>
        </w:tc>
        <w:tc>
          <w:tcPr>
            <w:tcW w:w="50" w:type="pct"/>
            <w:tcMar>
              <w:top w:w="5" w:type="dxa"/>
              <w:left w:w="5" w:type="dxa"/>
              <w:bottom w:w="5" w:type="dxa"/>
              <w:right w:w="5" w:type="dxa"/>
            </w:tcMar>
            <w:vAlign w:val="bottom"/>
            <w:hideMark/>
          </w:tcPr>
          <w:p w14:paraId="235B503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120B542"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ED65AB3" w14:textId="77777777" w:rsidR="00954279" w:rsidRDefault="00A66714">
            <w:pPr>
              <w:jc w:val="right"/>
              <w:rPr>
                <w:color w:val="000000"/>
                <w:sz w:val="20"/>
                <w:szCs w:val="20"/>
              </w:rPr>
            </w:pPr>
            <w:r>
              <w:rPr>
                <w:b/>
                <w:bCs/>
                <w:color w:val="000000"/>
                <w:sz w:val="20"/>
                <w:szCs w:val="20"/>
              </w:rPr>
              <w:t>11</w:t>
            </w:r>
          </w:p>
        </w:tc>
        <w:tc>
          <w:tcPr>
            <w:tcW w:w="50" w:type="pct"/>
            <w:noWrap/>
            <w:tcMar>
              <w:top w:w="5" w:type="dxa"/>
              <w:left w:w="5" w:type="dxa"/>
              <w:bottom w:w="5" w:type="dxa"/>
              <w:right w:w="5" w:type="dxa"/>
            </w:tcMar>
            <w:vAlign w:val="bottom"/>
            <w:hideMark/>
          </w:tcPr>
          <w:p w14:paraId="606267EF"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A3A1823"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1BCC829"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257B7BF" w14:textId="77777777" w:rsidR="00954279" w:rsidRDefault="00A66714">
            <w:pPr>
              <w:jc w:val="right"/>
              <w:rPr>
                <w:color w:val="000000"/>
                <w:sz w:val="20"/>
                <w:szCs w:val="20"/>
              </w:rPr>
            </w:pPr>
            <w:r>
              <w:rPr>
                <w:color w:val="000000"/>
                <w:sz w:val="20"/>
                <w:szCs w:val="20"/>
              </w:rPr>
              <w:t>(6</w:t>
            </w:r>
          </w:p>
        </w:tc>
        <w:tc>
          <w:tcPr>
            <w:tcW w:w="50" w:type="pct"/>
            <w:noWrap/>
            <w:tcMar>
              <w:top w:w="5" w:type="dxa"/>
              <w:left w:w="5" w:type="dxa"/>
              <w:bottom w:w="5" w:type="dxa"/>
              <w:right w:w="5" w:type="dxa"/>
            </w:tcMar>
            <w:vAlign w:val="bottom"/>
            <w:hideMark/>
          </w:tcPr>
          <w:p w14:paraId="1A30CE9D" w14:textId="77777777" w:rsidR="00954279" w:rsidRDefault="00A66714">
            <w:pPr>
              <w:rPr>
                <w:color w:val="000000"/>
                <w:sz w:val="20"/>
                <w:szCs w:val="20"/>
              </w:rPr>
            </w:pPr>
            <w:r>
              <w:rPr>
                <w:color w:val="000000"/>
                <w:sz w:val="20"/>
                <w:szCs w:val="20"/>
              </w:rPr>
              <w:t>)</w:t>
            </w:r>
          </w:p>
        </w:tc>
      </w:tr>
      <w:tr w:rsidR="00954279" w14:paraId="2D43D877" w14:textId="77777777">
        <w:tc>
          <w:tcPr>
            <w:tcW w:w="0" w:type="auto"/>
            <w:tcMar>
              <w:top w:w="5" w:type="dxa"/>
              <w:left w:w="5" w:type="dxa"/>
              <w:bottom w:w="5" w:type="dxa"/>
              <w:right w:w="5" w:type="dxa"/>
            </w:tcMar>
            <w:vAlign w:val="bottom"/>
            <w:hideMark/>
          </w:tcPr>
          <w:p w14:paraId="25C57B4D" w14:textId="77777777" w:rsidR="00954279" w:rsidRDefault="00A66714">
            <w:pPr>
              <w:rPr>
                <w:color w:val="000000"/>
                <w:sz w:val="20"/>
                <w:szCs w:val="20"/>
              </w:rPr>
            </w:pPr>
            <w:r>
              <w:rPr>
                <w:color w:val="000000"/>
                <w:sz w:val="20"/>
                <w:szCs w:val="20"/>
              </w:rPr>
              <w:t>Equity-based compensation expense</w:t>
            </w:r>
          </w:p>
        </w:tc>
        <w:tc>
          <w:tcPr>
            <w:tcW w:w="50" w:type="pct"/>
            <w:tcMar>
              <w:top w:w="5" w:type="dxa"/>
              <w:left w:w="5" w:type="dxa"/>
              <w:bottom w:w="5" w:type="dxa"/>
              <w:right w:w="5" w:type="dxa"/>
            </w:tcMar>
            <w:vAlign w:val="bottom"/>
            <w:hideMark/>
          </w:tcPr>
          <w:p w14:paraId="24180AF2"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968B4D0"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0ED73AA" w14:textId="77777777" w:rsidR="00954279" w:rsidRDefault="00A66714">
            <w:pPr>
              <w:jc w:val="right"/>
              <w:rPr>
                <w:color w:val="000000"/>
                <w:sz w:val="20"/>
                <w:szCs w:val="20"/>
              </w:rPr>
            </w:pPr>
            <w:r>
              <w:rPr>
                <w:b/>
                <w:bCs/>
                <w:color w:val="000000"/>
                <w:sz w:val="20"/>
                <w:szCs w:val="20"/>
              </w:rPr>
              <w:t>2</w:t>
            </w:r>
          </w:p>
        </w:tc>
        <w:tc>
          <w:tcPr>
            <w:tcW w:w="50" w:type="pct"/>
            <w:noWrap/>
            <w:tcMar>
              <w:top w:w="5" w:type="dxa"/>
              <w:left w:w="5" w:type="dxa"/>
              <w:bottom w:w="5" w:type="dxa"/>
              <w:right w:w="5" w:type="dxa"/>
            </w:tcMar>
            <w:vAlign w:val="bottom"/>
            <w:hideMark/>
          </w:tcPr>
          <w:p w14:paraId="407B345F"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19504C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CE4AE64"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C030E57" w14:textId="77777777" w:rsidR="00954279" w:rsidRDefault="00A66714">
            <w:pPr>
              <w:jc w:val="right"/>
              <w:rPr>
                <w:color w:val="000000"/>
                <w:sz w:val="20"/>
                <w:szCs w:val="20"/>
              </w:rPr>
            </w:pPr>
            <w:r>
              <w:rPr>
                <w:color w:val="000000"/>
                <w:sz w:val="20"/>
                <w:szCs w:val="20"/>
              </w:rPr>
              <w:t>3</w:t>
            </w:r>
          </w:p>
        </w:tc>
        <w:tc>
          <w:tcPr>
            <w:tcW w:w="50" w:type="pct"/>
            <w:noWrap/>
            <w:tcMar>
              <w:top w:w="5" w:type="dxa"/>
              <w:left w:w="5" w:type="dxa"/>
              <w:bottom w:w="5" w:type="dxa"/>
              <w:right w:w="5" w:type="dxa"/>
            </w:tcMar>
            <w:vAlign w:val="bottom"/>
            <w:hideMark/>
          </w:tcPr>
          <w:p w14:paraId="2C49FB8B" w14:textId="77777777" w:rsidR="00954279" w:rsidRDefault="00A66714">
            <w:pPr>
              <w:rPr>
                <w:color w:val="000000"/>
                <w:sz w:val="20"/>
                <w:szCs w:val="20"/>
              </w:rPr>
            </w:pPr>
            <w:r>
              <w:rPr>
                <w:color w:val="000000"/>
                <w:sz w:val="20"/>
                <w:szCs w:val="20"/>
              </w:rPr>
              <w:t> </w:t>
            </w:r>
          </w:p>
        </w:tc>
      </w:tr>
      <w:tr w:rsidR="00954279" w14:paraId="6B736105" w14:textId="77777777">
        <w:tc>
          <w:tcPr>
            <w:tcW w:w="0" w:type="auto"/>
            <w:tcMar>
              <w:top w:w="5" w:type="dxa"/>
              <w:left w:w="5" w:type="dxa"/>
              <w:bottom w:w="5" w:type="dxa"/>
              <w:right w:w="5" w:type="dxa"/>
            </w:tcMar>
            <w:vAlign w:val="bottom"/>
            <w:hideMark/>
          </w:tcPr>
          <w:p w14:paraId="1ED42653" w14:textId="77777777" w:rsidR="00954279" w:rsidRDefault="00A66714">
            <w:pPr>
              <w:rPr>
                <w:color w:val="000000"/>
                <w:sz w:val="20"/>
                <w:szCs w:val="20"/>
              </w:rPr>
            </w:pPr>
            <w:r>
              <w:rPr>
                <w:color w:val="000000"/>
                <w:sz w:val="20"/>
                <w:szCs w:val="20"/>
              </w:rPr>
              <w:t>Foreign currency losses (gains)</w:t>
            </w:r>
          </w:p>
        </w:tc>
        <w:tc>
          <w:tcPr>
            <w:tcW w:w="50" w:type="pct"/>
            <w:tcMar>
              <w:top w:w="5" w:type="dxa"/>
              <w:left w:w="5" w:type="dxa"/>
              <w:bottom w:w="5" w:type="dxa"/>
              <w:right w:w="5" w:type="dxa"/>
            </w:tcMar>
            <w:vAlign w:val="bottom"/>
            <w:hideMark/>
          </w:tcPr>
          <w:p w14:paraId="4BCEF081"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CED6119" w14:textId="77777777" w:rsidR="00954279" w:rsidRDefault="00A66714">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19B2ECED" w14:textId="77777777" w:rsidR="00954279" w:rsidRDefault="00A66714">
            <w:pPr>
              <w:jc w:val="right"/>
              <w:rPr>
                <w:color w:val="000000"/>
                <w:sz w:val="20"/>
                <w:szCs w:val="20"/>
              </w:rPr>
            </w:pPr>
            <w:r>
              <w:rPr>
                <w:b/>
                <w:bCs/>
                <w:color w:val="000000"/>
                <w:sz w:val="20"/>
                <w:szCs w:val="20"/>
              </w:rPr>
              <w:t>1</w:t>
            </w:r>
          </w:p>
        </w:tc>
        <w:tc>
          <w:tcPr>
            <w:tcW w:w="50" w:type="pct"/>
            <w:noWrap/>
            <w:tcMar>
              <w:top w:w="5" w:type="dxa"/>
              <w:left w:w="5" w:type="dxa"/>
              <w:bottom w:w="20" w:type="dxa"/>
              <w:right w:w="5" w:type="dxa"/>
            </w:tcMar>
            <w:vAlign w:val="bottom"/>
            <w:hideMark/>
          </w:tcPr>
          <w:p w14:paraId="003808B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0B2BB9C"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3D3F775" w14:textId="77777777" w:rsidR="00954279" w:rsidRDefault="00A66714">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5C93D06" w14:textId="77777777" w:rsidR="00954279" w:rsidRDefault="00A66714">
            <w:pPr>
              <w:jc w:val="right"/>
              <w:rPr>
                <w:color w:val="000000"/>
                <w:sz w:val="20"/>
                <w:szCs w:val="20"/>
              </w:rPr>
            </w:pPr>
            <w:r>
              <w:rPr>
                <w:color w:val="000000"/>
                <w:sz w:val="20"/>
                <w:szCs w:val="20"/>
              </w:rPr>
              <w:t>(1</w:t>
            </w:r>
          </w:p>
        </w:tc>
        <w:tc>
          <w:tcPr>
            <w:tcW w:w="50" w:type="pct"/>
            <w:noWrap/>
            <w:tcMar>
              <w:top w:w="5" w:type="dxa"/>
              <w:left w:w="5" w:type="dxa"/>
              <w:bottom w:w="20" w:type="dxa"/>
              <w:right w:w="5" w:type="dxa"/>
            </w:tcMar>
            <w:vAlign w:val="bottom"/>
            <w:hideMark/>
          </w:tcPr>
          <w:p w14:paraId="2436F575" w14:textId="77777777" w:rsidR="00954279" w:rsidRDefault="00A66714">
            <w:pPr>
              <w:rPr>
                <w:color w:val="000000"/>
                <w:sz w:val="20"/>
                <w:szCs w:val="20"/>
              </w:rPr>
            </w:pPr>
            <w:r>
              <w:rPr>
                <w:color w:val="000000"/>
                <w:sz w:val="20"/>
                <w:szCs w:val="20"/>
              </w:rPr>
              <w:t>)</w:t>
            </w:r>
          </w:p>
        </w:tc>
      </w:tr>
      <w:tr w:rsidR="00954279" w14:paraId="33A8B08A" w14:textId="77777777">
        <w:tc>
          <w:tcPr>
            <w:tcW w:w="0" w:type="auto"/>
            <w:tcMar>
              <w:top w:w="5" w:type="dxa"/>
              <w:left w:w="5" w:type="dxa"/>
              <w:bottom w:w="5" w:type="dxa"/>
              <w:right w:w="5" w:type="dxa"/>
            </w:tcMar>
            <w:vAlign w:val="bottom"/>
            <w:hideMark/>
          </w:tcPr>
          <w:p w14:paraId="445DDCA6" w14:textId="77777777" w:rsidR="00954279" w:rsidRDefault="00A66714">
            <w:pPr>
              <w:rPr>
                <w:color w:val="000000"/>
                <w:sz w:val="20"/>
                <w:szCs w:val="20"/>
              </w:rPr>
            </w:pPr>
            <w:r>
              <w:rPr>
                <w:color w:val="000000"/>
                <w:sz w:val="20"/>
                <w:szCs w:val="20"/>
              </w:rPr>
              <w:t>Adjusted EBITDA</w:t>
            </w:r>
          </w:p>
        </w:tc>
        <w:tc>
          <w:tcPr>
            <w:tcW w:w="50" w:type="pct"/>
            <w:tcMar>
              <w:top w:w="5" w:type="dxa"/>
              <w:left w:w="5" w:type="dxa"/>
              <w:bottom w:w="5" w:type="dxa"/>
              <w:right w:w="5" w:type="dxa"/>
            </w:tcMar>
            <w:vAlign w:val="bottom"/>
            <w:hideMark/>
          </w:tcPr>
          <w:p w14:paraId="5FE6B26E"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05815E8" w14:textId="77777777" w:rsidR="00954279" w:rsidRDefault="00A66714">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3E4D26FE" w14:textId="77777777" w:rsidR="00954279" w:rsidRDefault="00A66714">
            <w:pPr>
              <w:jc w:val="right"/>
              <w:rPr>
                <w:color w:val="000000"/>
                <w:sz w:val="20"/>
                <w:szCs w:val="20"/>
              </w:rPr>
            </w:pPr>
            <w:r>
              <w:rPr>
                <w:b/>
                <w:bCs/>
                <w:color w:val="000000"/>
                <w:sz w:val="20"/>
                <w:szCs w:val="20"/>
              </w:rPr>
              <w:t>36</w:t>
            </w:r>
          </w:p>
        </w:tc>
        <w:tc>
          <w:tcPr>
            <w:tcW w:w="50" w:type="pct"/>
            <w:noWrap/>
            <w:tcMar>
              <w:top w:w="5" w:type="dxa"/>
              <w:left w:w="5" w:type="dxa"/>
              <w:bottom w:w="50" w:type="dxa"/>
              <w:right w:w="5" w:type="dxa"/>
            </w:tcMar>
            <w:vAlign w:val="bottom"/>
            <w:hideMark/>
          </w:tcPr>
          <w:p w14:paraId="30DDC39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6A4CE6C"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B8FCDEA" w14:textId="77777777" w:rsidR="00954279" w:rsidRDefault="00A66714">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16DB6B31" w14:textId="77777777" w:rsidR="00954279" w:rsidRDefault="00A66714">
            <w:pPr>
              <w:jc w:val="right"/>
              <w:rPr>
                <w:color w:val="000000"/>
                <w:sz w:val="20"/>
                <w:szCs w:val="20"/>
              </w:rPr>
            </w:pPr>
            <w:r>
              <w:rPr>
                <w:color w:val="000000"/>
                <w:sz w:val="20"/>
                <w:szCs w:val="20"/>
              </w:rPr>
              <w:t>17</w:t>
            </w:r>
          </w:p>
        </w:tc>
        <w:tc>
          <w:tcPr>
            <w:tcW w:w="50" w:type="pct"/>
            <w:noWrap/>
            <w:tcMar>
              <w:top w:w="5" w:type="dxa"/>
              <w:left w:w="5" w:type="dxa"/>
              <w:bottom w:w="50" w:type="dxa"/>
              <w:right w:w="5" w:type="dxa"/>
            </w:tcMar>
            <w:vAlign w:val="bottom"/>
            <w:hideMark/>
          </w:tcPr>
          <w:p w14:paraId="7AAC00D4" w14:textId="77777777" w:rsidR="00954279" w:rsidRDefault="00A66714">
            <w:pPr>
              <w:rPr>
                <w:color w:val="000000"/>
                <w:sz w:val="20"/>
                <w:szCs w:val="20"/>
              </w:rPr>
            </w:pPr>
            <w:r>
              <w:rPr>
                <w:color w:val="000000"/>
                <w:sz w:val="20"/>
                <w:szCs w:val="20"/>
              </w:rPr>
              <w:t> </w:t>
            </w:r>
          </w:p>
        </w:tc>
      </w:tr>
    </w:tbl>
    <w:p w14:paraId="69896AC8" w14:textId="77777777" w:rsidR="00954279" w:rsidRDefault="00A66714">
      <w:pPr>
        <w:ind w:left="144" w:right="144"/>
        <w:rPr>
          <w:sz w:val="20"/>
          <w:szCs w:val="20"/>
        </w:rPr>
      </w:pPr>
      <w:r>
        <w:rPr>
          <w:sz w:val="20"/>
          <w:szCs w:val="20"/>
        </w:rPr>
        <w:t> </w:t>
      </w:r>
    </w:p>
    <w:p w14:paraId="57D273E4" w14:textId="77777777" w:rsidR="00954279" w:rsidRDefault="00A66714">
      <w:pPr>
        <w:ind w:left="144" w:right="144"/>
        <w:jc w:val="center"/>
        <w:rPr>
          <w:sz w:val="20"/>
          <w:szCs w:val="20"/>
        </w:rPr>
      </w:pPr>
      <w:r>
        <w:rPr>
          <w:sz w:val="20"/>
          <w:szCs w:val="20"/>
        </w:rPr>
        <w:t>24</w:t>
      </w:r>
    </w:p>
    <w:p w14:paraId="3FB4C79F" w14:textId="77777777" w:rsidR="00954279" w:rsidRDefault="00A66714">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155AF7C8" w14:textId="77777777" w:rsidR="00954279" w:rsidRDefault="00A66714">
      <w:pPr>
        <w:ind w:left="144" w:right="144"/>
        <w:rPr>
          <w:sz w:val="20"/>
          <w:szCs w:val="20"/>
        </w:rPr>
      </w:pPr>
      <w:r>
        <w:rPr>
          <w:sz w:val="20"/>
          <w:szCs w:val="20"/>
        </w:rPr>
        <w:t> </w:t>
      </w:r>
    </w:p>
    <w:p w14:paraId="5DE05F0A" w14:textId="77777777" w:rsidR="00954279" w:rsidRDefault="00A66714">
      <w:pPr>
        <w:ind w:left="144" w:right="144"/>
        <w:rPr>
          <w:sz w:val="20"/>
          <w:szCs w:val="20"/>
        </w:rPr>
      </w:pPr>
      <w:bookmarkStart w:id="89" w:name="led65144F20205251593121993403"/>
      <w:r>
        <w:rPr>
          <w:b/>
          <w:bCs/>
          <w:i/>
          <w:iCs/>
          <w:sz w:val="20"/>
          <w:szCs w:val="20"/>
        </w:rPr>
        <w:t>Six Months Ended June 30, 2021</w:t>
      </w:r>
      <w:bookmarkEnd w:id="89"/>
      <w:r>
        <w:rPr>
          <w:b/>
          <w:bCs/>
          <w:i/>
          <w:iCs/>
          <w:sz w:val="20"/>
          <w:szCs w:val="20"/>
        </w:rPr>
        <w:t xml:space="preserve"> Compared to the </w:t>
      </w:r>
      <w:bookmarkStart w:id="90" w:name="led65144F20206281595969071199"/>
      <w:r>
        <w:rPr>
          <w:b/>
          <w:bCs/>
          <w:i/>
          <w:iCs/>
          <w:sz w:val="20"/>
          <w:szCs w:val="20"/>
        </w:rPr>
        <w:t>Six Months Ended June 30, 2020</w:t>
      </w:r>
      <w:bookmarkEnd w:id="90"/>
      <w:r>
        <w:rPr>
          <w:b/>
          <w:bCs/>
          <w:i/>
          <w:iCs/>
          <w:sz w:val="20"/>
          <w:szCs w:val="20"/>
        </w:rPr>
        <w:t> </w:t>
      </w:r>
    </w:p>
    <w:p w14:paraId="03AAE2FF" w14:textId="77777777" w:rsidR="00954279" w:rsidRDefault="00A66714">
      <w:pPr>
        <w:ind w:left="144" w:right="144"/>
        <w:rPr>
          <w:sz w:val="20"/>
          <w:szCs w:val="20"/>
        </w:rPr>
      </w:pPr>
      <w:r>
        <w:rPr>
          <w:sz w:val="20"/>
          <w:szCs w:val="20"/>
        </w:rPr>
        <w:t> </w:t>
      </w:r>
    </w:p>
    <w:p w14:paraId="4DD2F461" w14:textId="77777777" w:rsidR="00954279" w:rsidRDefault="00A66714">
      <w:pPr>
        <w:ind w:left="144" w:right="144"/>
        <w:rPr>
          <w:sz w:val="20"/>
          <w:szCs w:val="20"/>
        </w:rPr>
      </w:pPr>
      <w:r>
        <w:rPr>
          <w:sz w:val="20"/>
          <w:szCs w:val="20"/>
        </w:rPr>
        <w:t xml:space="preserve">The breakdown of our sales by sector for the </w:t>
      </w:r>
      <w:bookmarkStart w:id="91" w:name="led65141F20205251593122037647"/>
      <w:r>
        <w:rPr>
          <w:sz w:val="20"/>
          <w:szCs w:val="20"/>
        </w:rPr>
        <w:t>six months ended June 30, 2021 and 2020 was as follows (in millions):</w:t>
      </w:r>
    </w:p>
    <w:p w14:paraId="30F5F95E" w14:textId="77777777" w:rsidR="00954279" w:rsidRDefault="00A66714">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5602"/>
        <w:gridCol w:w="94"/>
        <w:gridCol w:w="110"/>
        <w:gridCol w:w="958"/>
        <w:gridCol w:w="94"/>
        <w:gridCol w:w="94"/>
        <w:gridCol w:w="94"/>
        <w:gridCol w:w="959"/>
        <w:gridCol w:w="210"/>
        <w:gridCol w:w="95"/>
        <w:gridCol w:w="110"/>
        <w:gridCol w:w="959"/>
        <w:gridCol w:w="95"/>
        <w:gridCol w:w="95"/>
        <w:gridCol w:w="95"/>
        <w:gridCol w:w="959"/>
        <w:gridCol w:w="177"/>
      </w:tblGrid>
      <w:tr w:rsidR="00954279" w14:paraId="00D15EA5" w14:textId="77777777">
        <w:tc>
          <w:tcPr>
            <w:tcW w:w="0" w:type="auto"/>
            <w:tcMar>
              <w:top w:w="5" w:type="dxa"/>
              <w:left w:w="5" w:type="dxa"/>
              <w:bottom w:w="5" w:type="dxa"/>
              <w:right w:w="5" w:type="dxa"/>
            </w:tcMar>
            <w:vAlign w:val="bottom"/>
            <w:hideMark/>
          </w:tcPr>
          <w:p w14:paraId="676C539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1D02D96" w14:textId="77777777" w:rsidR="00954279" w:rsidRDefault="00A66714">
            <w:pPr>
              <w:rPr>
                <w:color w:val="000000"/>
                <w:sz w:val="20"/>
                <w:szCs w:val="20"/>
              </w:rPr>
            </w:pPr>
            <w:r>
              <w:rPr>
                <w:color w:val="000000"/>
                <w:sz w:val="20"/>
                <w:szCs w:val="20"/>
              </w:rPr>
              <w:t> </w:t>
            </w:r>
          </w:p>
        </w:tc>
        <w:tc>
          <w:tcPr>
            <w:tcW w:w="0" w:type="auto"/>
            <w:gridSpan w:val="14"/>
            <w:tcBorders>
              <w:bottom w:val="single" w:sz="6" w:space="0" w:color="000000"/>
            </w:tcBorders>
            <w:tcMar>
              <w:top w:w="5" w:type="dxa"/>
              <w:left w:w="5" w:type="dxa"/>
              <w:bottom w:w="8" w:type="dxa"/>
              <w:right w:w="5" w:type="dxa"/>
            </w:tcMar>
            <w:vAlign w:val="bottom"/>
            <w:hideMark/>
          </w:tcPr>
          <w:p w14:paraId="6A71A9E2" w14:textId="77777777" w:rsidR="00954279" w:rsidRDefault="00A66714">
            <w:pPr>
              <w:jc w:val="center"/>
              <w:rPr>
                <w:color w:val="000000"/>
                <w:sz w:val="20"/>
                <w:szCs w:val="20"/>
              </w:rPr>
            </w:pPr>
            <w:r>
              <w:rPr>
                <w:b/>
                <w:bCs/>
                <w:color w:val="000000"/>
                <w:sz w:val="20"/>
                <w:szCs w:val="20"/>
              </w:rPr>
              <w:t>Six Months Ended</w:t>
            </w:r>
          </w:p>
        </w:tc>
        <w:tc>
          <w:tcPr>
            <w:tcW w:w="0" w:type="auto"/>
            <w:tcMar>
              <w:top w:w="5" w:type="dxa"/>
              <w:left w:w="5" w:type="dxa"/>
              <w:bottom w:w="20" w:type="dxa"/>
              <w:right w:w="5" w:type="dxa"/>
            </w:tcMar>
            <w:vAlign w:val="bottom"/>
            <w:hideMark/>
          </w:tcPr>
          <w:p w14:paraId="258F2D80" w14:textId="77777777" w:rsidR="00954279" w:rsidRDefault="00A66714">
            <w:pPr>
              <w:rPr>
                <w:color w:val="000000"/>
                <w:sz w:val="20"/>
                <w:szCs w:val="20"/>
              </w:rPr>
            </w:pPr>
            <w:r>
              <w:rPr>
                <w:color w:val="000000"/>
                <w:sz w:val="20"/>
                <w:szCs w:val="20"/>
              </w:rPr>
              <w:t> </w:t>
            </w:r>
          </w:p>
        </w:tc>
      </w:tr>
      <w:tr w:rsidR="00954279" w14:paraId="64F395FD" w14:textId="77777777">
        <w:tc>
          <w:tcPr>
            <w:tcW w:w="0" w:type="auto"/>
            <w:tcMar>
              <w:top w:w="5" w:type="dxa"/>
              <w:left w:w="5" w:type="dxa"/>
              <w:bottom w:w="5" w:type="dxa"/>
              <w:right w:w="5" w:type="dxa"/>
            </w:tcMar>
            <w:vAlign w:val="bottom"/>
            <w:hideMark/>
          </w:tcPr>
          <w:p w14:paraId="7B289CE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019511E" w14:textId="77777777" w:rsidR="00954279" w:rsidRDefault="00A66714">
            <w:pPr>
              <w:rPr>
                <w:color w:val="000000"/>
                <w:sz w:val="20"/>
                <w:szCs w:val="20"/>
              </w:rPr>
            </w:pPr>
            <w:r>
              <w:rPr>
                <w:color w:val="000000"/>
                <w:sz w:val="20"/>
                <w:szCs w:val="20"/>
              </w:rPr>
              <w:t> </w:t>
            </w:r>
          </w:p>
        </w:tc>
        <w:tc>
          <w:tcPr>
            <w:tcW w:w="0" w:type="auto"/>
            <w:gridSpan w:val="6"/>
            <w:tcBorders>
              <w:bottom w:val="single" w:sz="6" w:space="0" w:color="000000"/>
            </w:tcBorders>
            <w:tcMar>
              <w:top w:w="5" w:type="dxa"/>
              <w:left w:w="5" w:type="dxa"/>
              <w:bottom w:w="8" w:type="dxa"/>
              <w:right w:w="5" w:type="dxa"/>
            </w:tcMar>
            <w:vAlign w:val="bottom"/>
            <w:hideMark/>
          </w:tcPr>
          <w:p w14:paraId="4649DE9D" w14:textId="77777777" w:rsidR="00954279" w:rsidRDefault="00A66714">
            <w:pPr>
              <w:jc w:val="center"/>
              <w:rPr>
                <w:color w:val="000000"/>
                <w:sz w:val="20"/>
                <w:szCs w:val="20"/>
              </w:rPr>
            </w:pPr>
            <w:r>
              <w:rPr>
                <w:b/>
                <w:bCs/>
                <w:color w:val="000000"/>
                <w:sz w:val="20"/>
                <w:szCs w:val="20"/>
              </w:rPr>
              <w:t>June 30, 2021</w:t>
            </w:r>
          </w:p>
        </w:tc>
        <w:tc>
          <w:tcPr>
            <w:tcW w:w="0" w:type="auto"/>
            <w:tcMar>
              <w:top w:w="5" w:type="dxa"/>
              <w:left w:w="5" w:type="dxa"/>
              <w:bottom w:w="20" w:type="dxa"/>
              <w:right w:w="5" w:type="dxa"/>
            </w:tcMar>
            <w:vAlign w:val="bottom"/>
            <w:hideMark/>
          </w:tcPr>
          <w:p w14:paraId="1AEE0A6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911AAF8" w14:textId="77777777" w:rsidR="00954279" w:rsidRDefault="00A66714">
            <w:pPr>
              <w:rPr>
                <w:color w:val="000000"/>
                <w:sz w:val="20"/>
                <w:szCs w:val="20"/>
              </w:rPr>
            </w:pPr>
            <w:r>
              <w:rPr>
                <w:color w:val="000000"/>
                <w:sz w:val="20"/>
                <w:szCs w:val="20"/>
              </w:rPr>
              <w:t> </w:t>
            </w:r>
          </w:p>
        </w:tc>
        <w:tc>
          <w:tcPr>
            <w:tcW w:w="0" w:type="auto"/>
            <w:gridSpan w:val="6"/>
            <w:tcBorders>
              <w:bottom w:val="single" w:sz="6" w:space="0" w:color="000000"/>
            </w:tcBorders>
            <w:tcMar>
              <w:top w:w="5" w:type="dxa"/>
              <w:left w:w="5" w:type="dxa"/>
              <w:bottom w:w="8" w:type="dxa"/>
              <w:right w:w="5" w:type="dxa"/>
            </w:tcMar>
            <w:vAlign w:val="bottom"/>
            <w:hideMark/>
          </w:tcPr>
          <w:p w14:paraId="75D8C39B" w14:textId="77777777" w:rsidR="00954279" w:rsidRDefault="00A66714">
            <w:pPr>
              <w:jc w:val="center"/>
              <w:rPr>
                <w:color w:val="000000"/>
                <w:sz w:val="20"/>
                <w:szCs w:val="20"/>
              </w:rPr>
            </w:pPr>
            <w:r>
              <w:rPr>
                <w:b/>
                <w:bCs/>
                <w:color w:val="000000"/>
                <w:sz w:val="20"/>
                <w:szCs w:val="20"/>
              </w:rPr>
              <w:t>June 30, 2020</w:t>
            </w:r>
          </w:p>
        </w:tc>
        <w:tc>
          <w:tcPr>
            <w:tcW w:w="0" w:type="auto"/>
            <w:tcMar>
              <w:top w:w="5" w:type="dxa"/>
              <w:left w:w="5" w:type="dxa"/>
              <w:bottom w:w="20" w:type="dxa"/>
              <w:right w:w="5" w:type="dxa"/>
            </w:tcMar>
            <w:vAlign w:val="bottom"/>
            <w:hideMark/>
          </w:tcPr>
          <w:p w14:paraId="17D51782" w14:textId="77777777" w:rsidR="00954279" w:rsidRDefault="00A66714">
            <w:pPr>
              <w:rPr>
                <w:color w:val="000000"/>
                <w:sz w:val="20"/>
                <w:szCs w:val="20"/>
              </w:rPr>
            </w:pPr>
            <w:r>
              <w:rPr>
                <w:color w:val="000000"/>
                <w:sz w:val="20"/>
                <w:szCs w:val="20"/>
              </w:rPr>
              <w:t> </w:t>
            </w:r>
          </w:p>
        </w:tc>
      </w:tr>
      <w:tr w:rsidR="00954279" w14:paraId="0CABCDE3" w14:textId="77777777">
        <w:tc>
          <w:tcPr>
            <w:tcW w:w="0" w:type="auto"/>
            <w:tcMar>
              <w:top w:w="5" w:type="dxa"/>
              <w:left w:w="5" w:type="dxa"/>
              <w:bottom w:w="5" w:type="dxa"/>
              <w:right w:w="5" w:type="dxa"/>
            </w:tcMar>
            <w:vAlign w:val="bottom"/>
            <w:hideMark/>
          </w:tcPr>
          <w:p w14:paraId="6FCDFADA" w14:textId="77777777" w:rsidR="00954279" w:rsidRDefault="00A66714">
            <w:pPr>
              <w:rPr>
                <w:color w:val="000000"/>
                <w:sz w:val="20"/>
                <w:szCs w:val="20"/>
              </w:rPr>
            </w:pPr>
            <w:r>
              <w:rPr>
                <w:color w:val="000000"/>
                <w:sz w:val="20"/>
                <w:szCs w:val="20"/>
              </w:rPr>
              <w:t>Gas utilities</w:t>
            </w:r>
          </w:p>
        </w:tc>
        <w:tc>
          <w:tcPr>
            <w:tcW w:w="50" w:type="pct"/>
            <w:tcMar>
              <w:top w:w="5" w:type="dxa"/>
              <w:left w:w="5" w:type="dxa"/>
              <w:bottom w:w="5" w:type="dxa"/>
              <w:right w:w="5" w:type="dxa"/>
            </w:tcMar>
            <w:vAlign w:val="bottom"/>
            <w:hideMark/>
          </w:tcPr>
          <w:p w14:paraId="4C1D654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EC2ED72"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371BFF0A" w14:textId="77777777" w:rsidR="00954279" w:rsidRDefault="00A66714">
            <w:pPr>
              <w:jc w:val="right"/>
              <w:rPr>
                <w:color w:val="000000"/>
                <w:sz w:val="20"/>
                <w:szCs w:val="20"/>
              </w:rPr>
            </w:pPr>
            <w:r>
              <w:rPr>
                <w:b/>
                <w:bCs/>
                <w:color w:val="000000"/>
                <w:sz w:val="20"/>
                <w:szCs w:val="20"/>
              </w:rPr>
              <w:t>479</w:t>
            </w:r>
          </w:p>
        </w:tc>
        <w:tc>
          <w:tcPr>
            <w:tcW w:w="50" w:type="pct"/>
            <w:noWrap/>
            <w:tcMar>
              <w:top w:w="5" w:type="dxa"/>
              <w:left w:w="5" w:type="dxa"/>
              <w:bottom w:w="5" w:type="dxa"/>
              <w:right w:w="5" w:type="dxa"/>
            </w:tcMar>
            <w:vAlign w:val="bottom"/>
            <w:hideMark/>
          </w:tcPr>
          <w:p w14:paraId="4813E731"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E99245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414A3EF"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6E1B860" w14:textId="77777777" w:rsidR="00954279" w:rsidRDefault="00A66714">
            <w:pPr>
              <w:jc w:val="right"/>
              <w:rPr>
                <w:color w:val="000000"/>
                <w:sz w:val="20"/>
                <w:szCs w:val="20"/>
              </w:rPr>
            </w:pPr>
            <w:r>
              <w:rPr>
                <w:b/>
                <w:bCs/>
                <w:color w:val="000000"/>
                <w:sz w:val="20"/>
                <w:szCs w:val="20"/>
              </w:rPr>
              <w:t>37</w:t>
            </w:r>
          </w:p>
        </w:tc>
        <w:tc>
          <w:tcPr>
            <w:tcW w:w="50" w:type="pct"/>
            <w:noWrap/>
            <w:tcMar>
              <w:top w:w="5" w:type="dxa"/>
              <w:left w:w="5" w:type="dxa"/>
              <w:bottom w:w="5" w:type="dxa"/>
              <w:right w:w="5" w:type="dxa"/>
            </w:tcMar>
            <w:vAlign w:val="bottom"/>
            <w:hideMark/>
          </w:tcPr>
          <w:p w14:paraId="4C6B2FB0" w14:textId="77777777" w:rsidR="00954279" w:rsidRDefault="00A66714">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471153A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EC3B410"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34DFCE10" w14:textId="77777777" w:rsidR="00954279" w:rsidRDefault="00A66714">
            <w:pPr>
              <w:jc w:val="right"/>
              <w:rPr>
                <w:color w:val="000000"/>
                <w:sz w:val="20"/>
                <w:szCs w:val="20"/>
              </w:rPr>
            </w:pPr>
            <w:r>
              <w:rPr>
                <w:color w:val="000000"/>
                <w:sz w:val="20"/>
                <w:szCs w:val="20"/>
              </w:rPr>
              <w:t>407</w:t>
            </w:r>
          </w:p>
        </w:tc>
        <w:tc>
          <w:tcPr>
            <w:tcW w:w="50" w:type="pct"/>
            <w:noWrap/>
            <w:tcMar>
              <w:top w:w="5" w:type="dxa"/>
              <w:left w:w="5" w:type="dxa"/>
              <w:bottom w:w="5" w:type="dxa"/>
              <w:right w:w="5" w:type="dxa"/>
            </w:tcMar>
            <w:vAlign w:val="bottom"/>
            <w:hideMark/>
          </w:tcPr>
          <w:p w14:paraId="08F10638"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18853F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60AA286"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1099617" w14:textId="77777777" w:rsidR="00954279" w:rsidRDefault="00A66714">
            <w:pPr>
              <w:jc w:val="right"/>
              <w:rPr>
                <w:color w:val="000000"/>
                <w:sz w:val="20"/>
                <w:szCs w:val="20"/>
              </w:rPr>
            </w:pPr>
            <w:r>
              <w:rPr>
                <w:color w:val="000000"/>
                <w:sz w:val="20"/>
                <w:szCs w:val="20"/>
              </w:rPr>
              <w:t>29</w:t>
            </w:r>
          </w:p>
        </w:tc>
        <w:tc>
          <w:tcPr>
            <w:tcW w:w="50" w:type="pct"/>
            <w:noWrap/>
            <w:tcMar>
              <w:top w:w="5" w:type="dxa"/>
              <w:left w:w="5" w:type="dxa"/>
              <w:bottom w:w="5" w:type="dxa"/>
              <w:right w:w="5" w:type="dxa"/>
            </w:tcMar>
            <w:vAlign w:val="bottom"/>
            <w:hideMark/>
          </w:tcPr>
          <w:p w14:paraId="47CFDF06" w14:textId="77777777" w:rsidR="00954279" w:rsidRDefault="00A66714">
            <w:pPr>
              <w:rPr>
                <w:color w:val="000000"/>
                <w:sz w:val="20"/>
                <w:szCs w:val="20"/>
              </w:rPr>
            </w:pPr>
            <w:r>
              <w:rPr>
                <w:color w:val="000000"/>
                <w:sz w:val="20"/>
                <w:szCs w:val="20"/>
              </w:rPr>
              <w:t>%</w:t>
            </w:r>
          </w:p>
        </w:tc>
      </w:tr>
      <w:tr w:rsidR="00954279" w14:paraId="698994CA" w14:textId="77777777">
        <w:tc>
          <w:tcPr>
            <w:tcW w:w="0" w:type="auto"/>
            <w:tcMar>
              <w:top w:w="5" w:type="dxa"/>
              <w:left w:w="5" w:type="dxa"/>
              <w:bottom w:w="5" w:type="dxa"/>
              <w:right w:w="5" w:type="dxa"/>
            </w:tcMar>
            <w:vAlign w:val="bottom"/>
            <w:hideMark/>
          </w:tcPr>
          <w:p w14:paraId="360635BD" w14:textId="77777777" w:rsidR="00954279" w:rsidRDefault="00A66714">
            <w:pPr>
              <w:rPr>
                <w:color w:val="000000"/>
                <w:sz w:val="20"/>
                <w:szCs w:val="20"/>
              </w:rPr>
            </w:pPr>
            <w:r>
              <w:rPr>
                <w:color w:val="000000"/>
                <w:sz w:val="20"/>
                <w:szCs w:val="20"/>
              </w:rPr>
              <w:t>Downstream &amp; industrial</w:t>
            </w:r>
          </w:p>
        </w:tc>
        <w:tc>
          <w:tcPr>
            <w:tcW w:w="50" w:type="pct"/>
            <w:tcMar>
              <w:top w:w="5" w:type="dxa"/>
              <w:left w:w="5" w:type="dxa"/>
              <w:bottom w:w="5" w:type="dxa"/>
              <w:right w:w="5" w:type="dxa"/>
            </w:tcMar>
            <w:vAlign w:val="bottom"/>
            <w:hideMark/>
          </w:tcPr>
          <w:p w14:paraId="274856F3"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D3C601A"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03F8549" w14:textId="77777777" w:rsidR="00954279" w:rsidRDefault="00A66714">
            <w:pPr>
              <w:jc w:val="right"/>
              <w:rPr>
                <w:color w:val="000000"/>
                <w:sz w:val="20"/>
                <w:szCs w:val="20"/>
              </w:rPr>
            </w:pPr>
            <w:r>
              <w:rPr>
                <w:b/>
                <w:bCs/>
                <w:color w:val="000000"/>
                <w:sz w:val="20"/>
                <w:szCs w:val="20"/>
              </w:rPr>
              <w:t>385</w:t>
            </w:r>
          </w:p>
        </w:tc>
        <w:tc>
          <w:tcPr>
            <w:tcW w:w="50" w:type="pct"/>
            <w:noWrap/>
            <w:tcMar>
              <w:top w:w="5" w:type="dxa"/>
              <w:left w:w="5" w:type="dxa"/>
              <w:bottom w:w="20" w:type="dxa"/>
              <w:right w:w="5" w:type="dxa"/>
            </w:tcMar>
            <w:vAlign w:val="bottom"/>
            <w:hideMark/>
          </w:tcPr>
          <w:p w14:paraId="0FE91212"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B66FA20"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896A9AB"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6F7CB55" w14:textId="77777777" w:rsidR="00954279" w:rsidRDefault="00A66714">
            <w:pPr>
              <w:jc w:val="right"/>
              <w:rPr>
                <w:color w:val="000000"/>
                <w:sz w:val="20"/>
                <w:szCs w:val="20"/>
              </w:rPr>
            </w:pPr>
            <w:r>
              <w:rPr>
                <w:b/>
                <w:bCs/>
                <w:color w:val="000000"/>
                <w:sz w:val="20"/>
                <w:szCs w:val="20"/>
              </w:rPr>
              <w:t>30</w:t>
            </w:r>
          </w:p>
        </w:tc>
        <w:tc>
          <w:tcPr>
            <w:tcW w:w="50" w:type="pct"/>
            <w:noWrap/>
            <w:tcMar>
              <w:top w:w="5" w:type="dxa"/>
              <w:left w:w="5" w:type="dxa"/>
              <w:bottom w:w="20" w:type="dxa"/>
              <w:right w:w="5" w:type="dxa"/>
            </w:tcMar>
            <w:vAlign w:val="bottom"/>
            <w:hideMark/>
          </w:tcPr>
          <w:p w14:paraId="6B4036EC" w14:textId="77777777" w:rsidR="00954279" w:rsidRDefault="00A66714">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1987DAA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BDCB15C"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C8CC4BB" w14:textId="77777777" w:rsidR="00954279" w:rsidRDefault="00A66714">
            <w:pPr>
              <w:jc w:val="right"/>
              <w:rPr>
                <w:color w:val="000000"/>
                <w:sz w:val="20"/>
                <w:szCs w:val="20"/>
              </w:rPr>
            </w:pPr>
            <w:r>
              <w:rPr>
                <w:color w:val="000000"/>
                <w:sz w:val="20"/>
                <w:szCs w:val="20"/>
              </w:rPr>
              <w:t>427</w:t>
            </w:r>
          </w:p>
        </w:tc>
        <w:tc>
          <w:tcPr>
            <w:tcW w:w="50" w:type="pct"/>
            <w:noWrap/>
            <w:tcMar>
              <w:top w:w="5" w:type="dxa"/>
              <w:left w:w="5" w:type="dxa"/>
              <w:bottom w:w="20" w:type="dxa"/>
              <w:right w:w="5" w:type="dxa"/>
            </w:tcMar>
            <w:vAlign w:val="bottom"/>
            <w:hideMark/>
          </w:tcPr>
          <w:p w14:paraId="2F63F727"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90D5601"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FA93F19"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AE6A103" w14:textId="77777777" w:rsidR="00954279" w:rsidRDefault="00A66714">
            <w:pPr>
              <w:jc w:val="right"/>
              <w:rPr>
                <w:color w:val="000000"/>
                <w:sz w:val="20"/>
                <w:szCs w:val="20"/>
              </w:rPr>
            </w:pPr>
            <w:r>
              <w:rPr>
                <w:color w:val="000000"/>
                <w:sz w:val="20"/>
                <w:szCs w:val="20"/>
              </w:rPr>
              <w:t>31</w:t>
            </w:r>
          </w:p>
        </w:tc>
        <w:tc>
          <w:tcPr>
            <w:tcW w:w="50" w:type="pct"/>
            <w:noWrap/>
            <w:tcMar>
              <w:top w:w="5" w:type="dxa"/>
              <w:left w:w="5" w:type="dxa"/>
              <w:bottom w:w="20" w:type="dxa"/>
              <w:right w:w="5" w:type="dxa"/>
            </w:tcMar>
            <w:vAlign w:val="bottom"/>
            <w:hideMark/>
          </w:tcPr>
          <w:p w14:paraId="1CBBBE8B" w14:textId="77777777" w:rsidR="00954279" w:rsidRDefault="00A66714">
            <w:pPr>
              <w:rPr>
                <w:color w:val="000000"/>
                <w:sz w:val="20"/>
                <w:szCs w:val="20"/>
              </w:rPr>
            </w:pPr>
            <w:r>
              <w:rPr>
                <w:color w:val="000000"/>
                <w:sz w:val="20"/>
                <w:szCs w:val="20"/>
              </w:rPr>
              <w:t>%</w:t>
            </w:r>
          </w:p>
        </w:tc>
      </w:tr>
      <w:tr w:rsidR="00954279" w14:paraId="0F5562E0" w14:textId="77777777">
        <w:tc>
          <w:tcPr>
            <w:tcW w:w="2600" w:type="pct"/>
            <w:tcMar>
              <w:top w:w="5" w:type="dxa"/>
              <w:left w:w="5" w:type="dxa"/>
              <w:bottom w:w="5" w:type="dxa"/>
              <w:right w:w="5" w:type="dxa"/>
            </w:tcMar>
            <w:vAlign w:val="bottom"/>
            <w:hideMark/>
          </w:tcPr>
          <w:p w14:paraId="5E1DEF5C" w14:textId="77777777" w:rsidR="00954279" w:rsidRDefault="00A66714">
            <w:pPr>
              <w:rPr>
                <w:color w:val="000000"/>
                <w:sz w:val="20"/>
                <w:szCs w:val="20"/>
              </w:rPr>
            </w:pPr>
            <w:r>
              <w:rPr>
                <w:color w:val="000000"/>
                <w:sz w:val="20"/>
                <w:szCs w:val="20"/>
              </w:rPr>
              <w:t>Upstream production</w:t>
            </w:r>
          </w:p>
        </w:tc>
        <w:tc>
          <w:tcPr>
            <w:tcW w:w="50" w:type="pct"/>
            <w:tcMar>
              <w:top w:w="5" w:type="dxa"/>
              <w:left w:w="5" w:type="dxa"/>
              <w:bottom w:w="5" w:type="dxa"/>
              <w:right w:w="5" w:type="dxa"/>
            </w:tcMar>
            <w:vAlign w:val="bottom"/>
            <w:hideMark/>
          </w:tcPr>
          <w:p w14:paraId="3D747E6E"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9230BEA"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08CF491" w14:textId="77777777" w:rsidR="00954279" w:rsidRDefault="00A66714">
            <w:pPr>
              <w:jc w:val="right"/>
              <w:rPr>
                <w:color w:val="000000"/>
                <w:sz w:val="20"/>
                <w:szCs w:val="20"/>
              </w:rPr>
            </w:pPr>
            <w:r>
              <w:rPr>
                <w:b/>
                <w:bCs/>
                <w:color w:val="000000"/>
                <w:sz w:val="20"/>
                <w:szCs w:val="20"/>
              </w:rPr>
              <w:t>270</w:t>
            </w:r>
          </w:p>
        </w:tc>
        <w:tc>
          <w:tcPr>
            <w:tcW w:w="50" w:type="pct"/>
            <w:noWrap/>
            <w:tcMar>
              <w:top w:w="5" w:type="dxa"/>
              <w:left w:w="5" w:type="dxa"/>
              <w:bottom w:w="5" w:type="dxa"/>
              <w:right w:w="5" w:type="dxa"/>
            </w:tcMar>
            <w:vAlign w:val="bottom"/>
            <w:hideMark/>
          </w:tcPr>
          <w:p w14:paraId="0A8F090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C59839E"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11B21D7"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8EDD5A1" w14:textId="77777777" w:rsidR="00954279" w:rsidRDefault="00A66714">
            <w:pPr>
              <w:jc w:val="right"/>
              <w:rPr>
                <w:color w:val="000000"/>
                <w:sz w:val="20"/>
                <w:szCs w:val="20"/>
              </w:rPr>
            </w:pPr>
            <w:r>
              <w:rPr>
                <w:b/>
                <w:bCs/>
                <w:color w:val="000000"/>
                <w:sz w:val="20"/>
                <w:szCs w:val="20"/>
              </w:rPr>
              <w:t>21</w:t>
            </w:r>
          </w:p>
        </w:tc>
        <w:tc>
          <w:tcPr>
            <w:tcW w:w="50" w:type="pct"/>
            <w:noWrap/>
            <w:tcMar>
              <w:top w:w="5" w:type="dxa"/>
              <w:left w:w="5" w:type="dxa"/>
              <w:bottom w:w="5" w:type="dxa"/>
              <w:right w:w="5" w:type="dxa"/>
            </w:tcMar>
            <w:vAlign w:val="bottom"/>
            <w:hideMark/>
          </w:tcPr>
          <w:p w14:paraId="27292E86" w14:textId="77777777" w:rsidR="00954279" w:rsidRDefault="00A66714">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71EA9006"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EA4275C"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A86C952" w14:textId="77777777" w:rsidR="00954279" w:rsidRDefault="00A66714">
            <w:pPr>
              <w:jc w:val="right"/>
              <w:rPr>
                <w:color w:val="000000"/>
                <w:sz w:val="20"/>
                <w:szCs w:val="20"/>
              </w:rPr>
            </w:pPr>
            <w:r>
              <w:rPr>
                <w:color w:val="000000"/>
                <w:sz w:val="20"/>
                <w:szCs w:val="20"/>
              </w:rPr>
              <w:t>356</w:t>
            </w:r>
          </w:p>
        </w:tc>
        <w:tc>
          <w:tcPr>
            <w:tcW w:w="50" w:type="pct"/>
            <w:noWrap/>
            <w:tcMar>
              <w:top w:w="5" w:type="dxa"/>
              <w:left w:w="5" w:type="dxa"/>
              <w:bottom w:w="5" w:type="dxa"/>
              <w:right w:w="5" w:type="dxa"/>
            </w:tcMar>
            <w:vAlign w:val="bottom"/>
            <w:hideMark/>
          </w:tcPr>
          <w:p w14:paraId="6FE5FA8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4C9A9B2"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77FED9A"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1CB01E9" w14:textId="77777777" w:rsidR="00954279" w:rsidRDefault="00A66714">
            <w:pPr>
              <w:jc w:val="right"/>
              <w:rPr>
                <w:color w:val="000000"/>
                <w:sz w:val="20"/>
                <w:szCs w:val="20"/>
              </w:rPr>
            </w:pPr>
            <w:r>
              <w:rPr>
                <w:color w:val="000000"/>
                <w:sz w:val="20"/>
                <w:szCs w:val="20"/>
              </w:rPr>
              <w:t>25</w:t>
            </w:r>
          </w:p>
        </w:tc>
        <w:tc>
          <w:tcPr>
            <w:tcW w:w="50" w:type="pct"/>
            <w:noWrap/>
            <w:tcMar>
              <w:top w:w="5" w:type="dxa"/>
              <w:left w:w="5" w:type="dxa"/>
              <w:bottom w:w="5" w:type="dxa"/>
              <w:right w:w="5" w:type="dxa"/>
            </w:tcMar>
            <w:vAlign w:val="bottom"/>
            <w:hideMark/>
          </w:tcPr>
          <w:p w14:paraId="1415471A" w14:textId="77777777" w:rsidR="00954279" w:rsidRDefault="00A66714">
            <w:pPr>
              <w:rPr>
                <w:color w:val="000000"/>
                <w:sz w:val="20"/>
                <w:szCs w:val="20"/>
              </w:rPr>
            </w:pPr>
            <w:r>
              <w:rPr>
                <w:color w:val="000000"/>
                <w:sz w:val="20"/>
                <w:szCs w:val="20"/>
              </w:rPr>
              <w:t>%</w:t>
            </w:r>
          </w:p>
        </w:tc>
      </w:tr>
      <w:tr w:rsidR="00954279" w14:paraId="21D6926A" w14:textId="77777777">
        <w:tc>
          <w:tcPr>
            <w:tcW w:w="0" w:type="auto"/>
            <w:tcMar>
              <w:top w:w="5" w:type="dxa"/>
              <w:left w:w="5" w:type="dxa"/>
              <w:bottom w:w="5" w:type="dxa"/>
              <w:right w:w="5" w:type="dxa"/>
            </w:tcMar>
            <w:vAlign w:val="bottom"/>
            <w:hideMark/>
          </w:tcPr>
          <w:p w14:paraId="59BEE837" w14:textId="77777777" w:rsidR="00954279" w:rsidRDefault="00A66714">
            <w:pPr>
              <w:rPr>
                <w:color w:val="000000"/>
                <w:sz w:val="20"/>
                <w:szCs w:val="20"/>
              </w:rPr>
            </w:pPr>
            <w:r>
              <w:rPr>
                <w:color w:val="000000"/>
                <w:sz w:val="20"/>
                <w:szCs w:val="20"/>
              </w:rPr>
              <w:t>Midstream pipeline</w:t>
            </w:r>
          </w:p>
        </w:tc>
        <w:tc>
          <w:tcPr>
            <w:tcW w:w="50" w:type="pct"/>
            <w:tcMar>
              <w:top w:w="5" w:type="dxa"/>
              <w:left w:w="5" w:type="dxa"/>
              <w:bottom w:w="20" w:type="dxa"/>
              <w:right w:w="5" w:type="dxa"/>
            </w:tcMar>
            <w:vAlign w:val="bottom"/>
            <w:hideMark/>
          </w:tcPr>
          <w:p w14:paraId="0BDF72B4"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6402C60"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36F30F34" w14:textId="77777777" w:rsidR="00954279" w:rsidRDefault="00A66714">
            <w:pPr>
              <w:jc w:val="right"/>
              <w:rPr>
                <w:color w:val="000000"/>
                <w:sz w:val="20"/>
                <w:szCs w:val="20"/>
              </w:rPr>
            </w:pPr>
            <w:r>
              <w:rPr>
                <w:b/>
                <w:bCs/>
                <w:color w:val="000000"/>
                <w:sz w:val="20"/>
                <w:szCs w:val="20"/>
              </w:rPr>
              <w:t>161</w:t>
            </w:r>
          </w:p>
        </w:tc>
        <w:tc>
          <w:tcPr>
            <w:tcW w:w="50" w:type="pct"/>
            <w:noWrap/>
            <w:tcMar>
              <w:top w:w="5" w:type="dxa"/>
              <w:left w:w="5" w:type="dxa"/>
              <w:bottom w:w="20" w:type="dxa"/>
              <w:right w:w="5" w:type="dxa"/>
            </w:tcMar>
            <w:vAlign w:val="bottom"/>
            <w:hideMark/>
          </w:tcPr>
          <w:p w14:paraId="259B1DCD" w14:textId="77777777" w:rsidR="00954279" w:rsidRDefault="00A66714">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4AD30821"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CEBBED8"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1B052AAE" w14:textId="77777777" w:rsidR="00954279" w:rsidRDefault="00A66714">
            <w:pPr>
              <w:jc w:val="right"/>
              <w:rPr>
                <w:color w:val="000000"/>
                <w:sz w:val="20"/>
                <w:szCs w:val="20"/>
              </w:rPr>
            </w:pPr>
            <w:r>
              <w:rPr>
                <w:b/>
                <w:bCs/>
                <w:color w:val="000000"/>
                <w:sz w:val="20"/>
                <w:szCs w:val="20"/>
              </w:rPr>
              <w:t>12</w:t>
            </w:r>
          </w:p>
        </w:tc>
        <w:tc>
          <w:tcPr>
            <w:tcW w:w="50" w:type="pct"/>
            <w:noWrap/>
            <w:tcMar>
              <w:top w:w="5" w:type="dxa"/>
              <w:left w:w="5" w:type="dxa"/>
              <w:bottom w:w="20" w:type="dxa"/>
              <w:right w:w="5" w:type="dxa"/>
            </w:tcMar>
            <w:vAlign w:val="bottom"/>
            <w:hideMark/>
          </w:tcPr>
          <w:p w14:paraId="30431041" w14:textId="77777777" w:rsidR="00954279" w:rsidRDefault="00A66714">
            <w:pPr>
              <w:rPr>
                <w:color w:val="000000"/>
                <w:sz w:val="20"/>
                <w:szCs w:val="20"/>
              </w:rPr>
            </w:pPr>
            <w:r>
              <w:rPr>
                <w:b/>
                <w:bCs/>
                <w:color w:val="000000"/>
                <w:sz w:val="20"/>
                <w:szCs w:val="20"/>
              </w:rPr>
              <w:t>%</w:t>
            </w:r>
          </w:p>
        </w:tc>
        <w:tc>
          <w:tcPr>
            <w:tcW w:w="50" w:type="pct"/>
            <w:tcMar>
              <w:top w:w="5" w:type="dxa"/>
              <w:left w:w="5" w:type="dxa"/>
              <w:bottom w:w="20" w:type="dxa"/>
              <w:right w:w="5" w:type="dxa"/>
            </w:tcMar>
            <w:vAlign w:val="bottom"/>
            <w:hideMark/>
          </w:tcPr>
          <w:p w14:paraId="17D36C8D"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4F81605"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5C718B84" w14:textId="77777777" w:rsidR="00954279" w:rsidRDefault="00A66714">
            <w:pPr>
              <w:jc w:val="right"/>
              <w:rPr>
                <w:color w:val="000000"/>
                <w:sz w:val="20"/>
                <w:szCs w:val="20"/>
              </w:rPr>
            </w:pPr>
            <w:r>
              <w:rPr>
                <w:color w:val="000000"/>
                <w:sz w:val="20"/>
                <w:szCs w:val="20"/>
              </w:rPr>
              <w:t>206</w:t>
            </w:r>
          </w:p>
        </w:tc>
        <w:tc>
          <w:tcPr>
            <w:tcW w:w="50" w:type="pct"/>
            <w:noWrap/>
            <w:tcMar>
              <w:top w:w="5" w:type="dxa"/>
              <w:left w:w="5" w:type="dxa"/>
              <w:bottom w:w="20" w:type="dxa"/>
              <w:right w:w="5" w:type="dxa"/>
            </w:tcMar>
            <w:vAlign w:val="bottom"/>
            <w:hideMark/>
          </w:tcPr>
          <w:p w14:paraId="0B022EA8" w14:textId="77777777" w:rsidR="00954279" w:rsidRDefault="00A66714">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6DC4A57D"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C0DB109"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244D6D3B" w14:textId="77777777" w:rsidR="00954279" w:rsidRDefault="00A66714">
            <w:pPr>
              <w:jc w:val="right"/>
              <w:rPr>
                <w:color w:val="000000"/>
                <w:sz w:val="20"/>
                <w:szCs w:val="20"/>
              </w:rPr>
            </w:pPr>
            <w:r>
              <w:rPr>
                <w:color w:val="000000"/>
                <w:sz w:val="20"/>
                <w:szCs w:val="20"/>
              </w:rPr>
              <w:t>15</w:t>
            </w:r>
          </w:p>
        </w:tc>
        <w:tc>
          <w:tcPr>
            <w:tcW w:w="50" w:type="pct"/>
            <w:noWrap/>
            <w:tcMar>
              <w:top w:w="5" w:type="dxa"/>
              <w:left w:w="5" w:type="dxa"/>
              <w:bottom w:w="20" w:type="dxa"/>
              <w:right w:w="5" w:type="dxa"/>
            </w:tcMar>
            <w:vAlign w:val="bottom"/>
            <w:hideMark/>
          </w:tcPr>
          <w:p w14:paraId="4964246F" w14:textId="77777777" w:rsidR="00954279" w:rsidRDefault="00A66714">
            <w:pPr>
              <w:rPr>
                <w:color w:val="000000"/>
                <w:sz w:val="20"/>
                <w:szCs w:val="20"/>
              </w:rPr>
            </w:pPr>
            <w:r>
              <w:rPr>
                <w:color w:val="000000"/>
                <w:sz w:val="20"/>
                <w:szCs w:val="20"/>
              </w:rPr>
              <w:t>%</w:t>
            </w:r>
          </w:p>
        </w:tc>
      </w:tr>
      <w:tr w:rsidR="00954279" w14:paraId="69720AD8" w14:textId="77777777">
        <w:tc>
          <w:tcPr>
            <w:tcW w:w="0" w:type="auto"/>
            <w:tcMar>
              <w:top w:w="5" w:type="dxa"/>
              <w:left w:w="5" w:type="dxa"/>
              <w:bottom w:w="5" w:type="dxa"/>
              <w:right w:w="5" w:type="dxa"/>
            </w:tcMar>
            <w:vAlign w:val="bottom"/>
            <w:hideMark/>
          </w:tcPr>
          <w:p w14:paraId="3FBBA90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D512893"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D8E4281"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659A240E" w14:textId="77777777" w:rsidR="00954279" w:rsidRDefault="00A66714">
            <w:pPr>
              <w:jc w:val="right"/>
              <w:rPr>
                <w:color w:val="000000"/>
                <w:sz w:val="20"/>
                <w:szCs w:val="20"/>
              </w:rPr>
            </w:pPr>
            <w:r>
              <w:rPr>
                <w:b/>
                <w:bCs/>
                <w:color w:val="000000"/>
                <w:sz w:val="20"/>
                <w:szCs w:val="20"/>
              </w:rPr>
              <w:t>1,295</w:t>
            </w:r>
          </w:p>
        </w:tc>
        <w:tc>
          <w:tcPr>
            <w:tcW w:w="50" w:type="pct"/>
            <w:noWrap/>
            <w:tcMar>
              <w:top w:w="5" w:type="dxa"/>
              <w:left w:w="5" w:type="dxa"/>
              <w:bottom w:w="50" w:type="dxa"/>
              <w:right w:w="5" w:type="dxa"/>
            </w:tcMar>
            <w:vAlign w:val="bottom"/>
            <w:hideMark/>
          </w:tcPr>
          <w:p w14:paraId="65661B1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929C0FC"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1DD3A8B" w14:textId="77777777" w:rsidR="00954279" w:rsidRDefault="00A66714">
            <w:pPr>
              <w:rPr>
                <w:color w:val="000000"/>
                <w:sz w:val="20"/>
                <w:szCs w:val="20"/>
              </w:rPr>
            </w:pPr>
            <w:r>
              <w:rPr>
                <w:color w:val="000000"/>
                <w:sz w:val="20"/>
                <w:szCs w:val="20"/>
              </w:rPr>
              <w:t> </w:t>
            </w:r>
          </w:p>
        </w:tc>
        <w:tc>
          <w:tcPr>
            <w:tcW w:w="450" w:type="pct"/>
            <w:tcBorders>
              <w:bottom w:val="double" w:sz="6" w:space="0" w:color="000000"/>
            </w:tcBorders>
            <w:tcMar>
              <w:top w:w="5" w:type="dxa"/>
              <w:left w:w="5" w:type="dxa"/>
              <w:bottom w:w="22" w:type="dxa"/>
              <w:right w:w="5" w:type="dxa"/>
            </w:tcMar>
            <w:vAlign w:val="bottom"/>
            <w:hideMark/>
          </w:tcPr>
          <w:p w14:paraId="4F1BCCC6" w14:textId="77777777" w:rsidR="00954279" w:rsidRDefault="00A66714">
            <w:pPr>
              <w:jc w:val="right"/>
              <w:rPr>
                <w:color w:val="000000"/>
                <w:sz w:val="20"/>
                <w:szCs w:val="20"/>
              </w:rPr>
            </w:pPr>
            <w:r>
              <w:rPr>
                <w:b/>
                <w:bCs/>
                <w:color w:val="000000"/>
                <w:sz w:val="20"/>
                <w:szCs w:val="20"/>
              </w:rPr>
              <w:t>100</w:t>
            </w:r>
          </w:p>
        </w:tc>
        <w:tc>
          <w:tcPr>
            <w:tcW w:w="50" w:type="pct"/>
            <w:noWrap/>
            <w:tcMar>
              <w:top w:w="5" w:type="dxa"/>
              <w:left w:w="5" w:type="dxa"/>
              <w:bottom w:w="50" w:type="dxa"/>
              <w:right w:w="5" w:type="dxa"/>
            </w:tcMar>
            <w:vAlign w:val="bottom"/>
            <w:hideMark/>
          </w:tcPr>
          <w:p w14:paraId="788B9F85" w14:textId="77777777" w:rsidR="00954279" w:rsidRDefault="00A66714">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1F73981F"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09F98D5"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75B6E65D" w14:textId="77777777" w:rsidR="00954279" w:rsidRDefault="00A66714">
            <w:pPr>
              <w:jc w:val="right"/>
              <w:rPr>
                <w:color w:val="000000"/>
                <w:sz w:val="20"/>
                <w:szCs w:val="20"/>
              </w:rPr>
            </w:pPr>
            <w:r>
              <w:rPr>
                <w:color w:val="000000"/>
                <w:sz w:val="20"/>
                <w:szCs w:val="20"/>
              </w:rPr>
              <w:t>1,396</w:t>
            </w:r>
          </w:p>
        </w:tc>
        <w:tc>
          <w:tcPr>
            <w:tcW w:w="50" w:type="pct"/>
            <w:noWrap/>
            <w:tcMar>
              <w:top w:w="5" w:type="dxa"/>
              <w:left w:w="5" w:type="dxa"/>
              <w:bottom w:w="50" w:type="dxa"/>
              <w:right w:w="5" w:type="dxa"/>
            </w:tcMar>
            <w:vAlign w:val="bottom"/>
            <w:hideMark/>
          </w:tcPr>
          <w:p w14:paraId="04B06677"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E578D43"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FD33FB8" w14:textId="77777777" w:rsidR="00954279" w:rsidRDefault="00A66714">
            <w:pPr>
              <w:rPr>
                <w:color w:val="000000"/>
                <w:sz w:val="20"/>
                <w:szCs w:val="20"/>
              </w:rPr>
            </w:pPr>
            <w:r>
              <w:rPr>
                <w:color w:val="000000"/>
                <w:sz w:val="20"/>
                <w:szCs w:val="20"/>
              </w:rPr>
              <w:t> </w:t>
            </w:r>
          </w:p>
        </w:tc>
        <w:tc>
          <w:tcPr>
            <w:tcW w:w="450" w:type="pct"/>
            <w:tcBorders>
              <w:bottom w:val="double" w:sz="6" w:space="0" w:color="000000"/>
            </w:tcBorders>
            <w:tcMar>
              <w:top w:w="5" w:type="dxa"/>
              <w:left w:w="5" w:type="dxa"/>
              <w:bottom w:w="22" w:type="dxa"/>
              <w:right w:w="5" w:type="dxa"/>
            </w:tcMar>
            <w:vAlign w:val="bottom"/>
            <w:hideMark/>
          </w:tcPr>
          <w:p w14:paraId="664063C3" w14:textId="77777777" w:rsidR="00954279" w:rsidRDefault="00A66714">
            <w:pPr>
              <w:jc w:val="right"/>
              <w:rPr>
                <w:color w:val="000000"/>
                <w:sz w:val="20"/>
                <w:szCs w:val="20"/>
              </w:rPr>
            </w:pPr>
            <w:r>
              <w:rPr>
                <w:color w:val="000000"/>
                <w:sz w:val="20"/>
                <w:szCs w:val="20"/>
              </w:rPr>
              <w:t>100</w:t>
            </w:r>
          </w:p>
        </w:tc>
        <w:tc>
          <w:tcPr>
            <w:tcW w:w="50" w:type="pct"/>
            <w:noWrap/>
            <w:tcMar>
              <w:top w:w="5" w:type="dxa"/>
              <w:left w:w="5" w:type="dxa"/>
              <w:bottom w:w="50" w:type="dxa"/>
              <w:right w:w="5" w:type="dxa"/>
            </w:tcMar>
            <w:vAlign w:val="bottom"/>
            <w:hideMark/>
          </w:tcPr>
          <w:p w14:paraId="4F401BA9" w14:textId="77777777" w:rsidR="00954279" w:rsidRDefault="00A66714">
            <w:pPr>
              <w:rPr>
                <w:color w:val="000000"/>
                <w:sz w:val="20"/>
                <w:szCs w:val="20"/>
              </w:rPr>
            </w:pPr>
            <w:r>
              <w:rPr>
                <w:color w:val="000000"/>
                <w:sz w:val="20"/>
                <w:szCs w:val="20"/>
              </w:rPr>
              <w:t>%</w:t>
            </w:r>
          </w:p>
        </w:tc>
      </w:tr>
    </w:tbl>
    <w:p w14:paraId="5716E240" w14:textId="77777777" w:rsidR="00954279" w:rsidRDefault="00A66714">
      <w:pPr>
        <w:ind w:left="144" w:right="144"/>
        <w:rPr>
          <w:sz w:val="20"/>
          <w:szCs w:val="20"/>
        </w:rPr>
      </w:pPr>
      <w:r>
        <w:rPr>
          <w:sz w:val="20"/>
          <w:szCs w:val="20"/>
        </w:rPr>
        <w:t> </w:t>
      </w:r>
    </w:p>
    <w:p w14:paraId="23F28CAA" w14:textId="77777777" w:rsidR="00954279" w:rsidRDefault="00A66714">
      <w:pPr>
        <w:ind w:left="144" w:right="144"/>
        <w:rPr>
          <w:sz w:val="20"/>
          <w:szCs w:val="20"/>
        </w:rPr>
      </w:pPr>
      <w:r>
        <w:rPr>
          <w:sz w:val="20"/>
          <w:szCs w:val="20"/>
        </w:rPr>
        <w:t>For the six months ended June 30, 2021 and 2020, the following table summarizes our results of operations (in millions):</w:t>
      </w:r>
    </w:p>
    <w:p w14:paraId="2B0B2050" w14:textId="77777777" w:rsidR="00954279" w:rsidRDefault="00A66714">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5605"/>
        <w:gridCol w:w="97"/>
        <w:gridCol w:w="110"/>
        <w:gridCol w:w="961"/>
        <w:gridCol w:w="97"/>
        <w:gridCol w:w="97"/>
        <w:gridCol w:w="110"/>
        <w:gridCol w:w="961"/>
        <w:gridCol w:w="97"/>
        <w:gridCol w:w="97"/>
        <w:gridCol w:w="111"/>
        <w:gridCol w:w="961"/>
        <w:gridCol w:w="97"/>
        <w:gridCol w:w="97"/>
        <w:gridCol w:w="97"/>
        <w:gridCol w:w="961"/>
        <w:gridCol w:w="244"/>
      </w:tblGrid>
      <w:tr w:rsidR="00954279" w14:paraId="7BB188D9" w14:textId="77777777">
        <w:tc>
          <w:tcPr>
            <w:tcW w:w="0" w:type="auto"/>
            <w:tcMar>
              <w:top w:w="5" w:type="dxa"/>
              <w:left w:w="5" w:type="dxa"/>
              <w:bottom w:w="5" w:type="dxa"/>
              <w:right w:w="5" w:type="dxa"/>
            </w:tcMar>
            <w:vAlign w:val="bottom"/>
            <w:hideMark/>
          </w:tcPr>
          <w:p w14:paraId="64E36CA2"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3CB7F50" w14:textId="77777777" w:rsidR="00954279" w:rsidRDefault="00A66714">
            <w:pPr>
              <w:rPr>
                <w:color w:val="000000"/>
                <w:sz w:val="20"/>
                <w:szCs w:val="20"/>
              </w:rPr>
            </w:pPr>
            <w:r>
              <w:rPr>
                <w:color w:val="000000"/>
                <w:sz w:val="20"/>
                <w:szCs w:val="20"/>
              </w:rPr>
              <w:t> </w:t>
            </w:r>
          </w:p>
        </w:tc>
        <w:tc>
          <w:tcPr>
            <w:tcW w:w="0" w:type="auto"/>
            <w:gridSpan w:val="6"/>
            <w:tcBorders>
              <w:bottom w:val="single" w:sz="12" w:space="0" w:color="000000"/>
            </w:tcBorders>
            <w:tcMar>
              <w:top w:w="5" w:type="dxa"/>
              <w:left w:w="5" w:type="dxa"/>
              <w:bottom w:w="15" w:type="dxa"/>
              <w:right w:w="5" w:type="dxa"/>
            </w:tcMar>
            <w:vAlign w:val="bottom"/>
            <w:hideMark/>
          </w:tcPr>
          <w:p w14:paraId="30DFC83A" w14:textId="77777777" w:rsidR="00954279" w:rsidRDefault="00A66714">
            <w:pPr>
              <w:jc w:val="center"/>
              <w:rPr>
                <w:color w:val="000000"/>
                <w:sz w:val="20"/>
                <w:szCs w:val="20"/>
              </w:rPr>
            </w:pPr>
            <w:r>
              <w:rPr>
                <w:b/>
                <w:bCs/>
                <w:color w:val="000000"/>
                <w:sz w:val="20"/>
                <w:szCs w:val="20"/>
              </w:rPr>
              <w:t>Six Months Ended</w:t>
            </w:r>
          </w:p>
        </w:tc>
        <w:tc>
          <w:tcPr>
            <w:tcW w:w="0" w:type="auto"/>
            <w:tcMar>
              <w:top w:w="5" w:type="dxa"/>
              <w:left w:w="5" w:type="dxa"/>
              <w:bottom w:w="5" w:type="dxa"/>
              <w:right w:w="5" w:type="dxa"/>
            </w:tcMar>
            <w:vAlign w:val="bottom"/>
            <w:hideMark/>
          </w:tcPr>
          <w:p w14:paraId="14111A5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F2C10B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88ADEA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28D7FB8" w14:textId="77777777" w:rsidR="00954279" w:rsidRDefault="00A66714">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9698CC3" w14:textId="77777777" w:rsidR="00954279" w:rsidRDefault="00A66714">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0149E34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AA16E8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E1A8A1C" w14:textId="77777777" w:rsidR="00954279" w:rsidRDefault="00A66714">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B3141AF" w14:textId="77777777" w:rsidR="00954279" w:rsidRDefault="00A66714">
            <w:pPr>
              <w:rPr>
                <w:color w:val="000000"/>
                <w:sz w:val="20"/>
                <w:szCs w:val="20"/>
              </w:rPr>
            </w:pPr>
            <w:r>
              <w:rPr>
                <w:b/>
                <w:bCs/>
                <w:color w:val="000000"/>
                <w:sz w:val="20"/>
                <w:szCs w:val="20"/>
              </w:rPr>
              <w:t> </w:t>
            </w:r>
          </w:p>
        </w:tc>
      </w:tr>
      <w:tr w:rsidR="00954279" w14:paraId="1CAD2B23" w14:textId="77777777">
        <w:tc>
          <w:tcPr>
            <w:tcW w:w="0" w:type="auto"/>
            <w:tcMar>
              <w:top w:w="5" w:type="dxa"/>
              <w:left w:w="5" w:type="dxa"/>
              <w:bottom w:w="5" w:type="dxa"/>
              <w:right w:w="5" w:type="dxa"/>
            </w:tcMar>
            <w:vAlign w:val="bottom"/>
            <w:hideMark/>
          </w:tcPr>
          <w:p w14:paraId="64DBE87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371EBFA"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2476D25A" w14:textId="77777777" w:rsidR="00954279" w:rsidRDefault="00A66714">
            <w:pPr>
              <w:jc w:val="center"/>
              <w:rPr>
                <w:color w:val="000000"/>
                <w:sz w:val="20"/>
                <w:szCs w:val="20"/>
              </w:rPr>
            </w:pPr>
            <w:r>
              <w:rPr>
                <w:b/>
                <w:bCs/>
                <w:color w:val="000000"/>
                <w:sz w:val="20"/>
                <w:szCs w:val="20"/>
              </w:rPr>
              <w:t>June 30,</w:t>
            </w:r>
          </w:p>
        </w:tc>
        <w:tc>
          <w:tcPr>
            <w:tcW w:w="0" w:type="auto"/>
            <w:tcMar>
              <w:top w:w="5" w:type="dxa"/>
              <w:left w:w="5" w:type="dxa"/>
              <w:bottom w:w="5" w:type="dxa"/>
              <w:right w:w="5" w:type="dxa"/>
            </w:tcMar>
            <w:vAlign w:val="bottom"/>
            <w:hideMark/>
          </w:tcPr>
          <w:p w14:paraId="7D709C2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424C0F1"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710ABFC7" w14:textId="77777777" w:rsidR="00954279" w:rsidRDefault="00A66714">
            <w:pPr>
              <w:jc w:val="center"/>
              <w:rPr>
                <w:color w:val="000000"/>
                <w:sz w:val="20"/>
                <w:szCs w:val="20"/>
              </w:rPr>
            </w:pPr>
            <w:r>
              <w:rPr>
                <w:b/>
                <w:bCs/>
                <w:color w:val="000000"/>
                <w:sz w:val="20"/>
                <w:szCs w:val="20"/>
              </w:rPr>
              <w:t>June 30,</w:t>
            </w:r>
          </w:p>
        </w:tc>
        <w:tc>
          <w:tcPr>
            <w:tcW w:w="0" w:type="auto"/>
            <w:tcMar>
              <w:top w:w="5" w:type="dxa"/>
              <w:left w:w="5" w:type="dxa"/>
              <w:bottom w:w="5" w:type="dxa"/>
              <w:right w:w="5" w:type="dxa"/>
            </w:tcMar>
            <w:vAlign w:val="bottom"/>
            <w:hideMark/>
          </w:tcPr>
          <w:p w14:paraId="446C3A8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70DB24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37DC70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B485072" w14:textId="77777777" w:rsidR="00954279" w:rsidRDefault="00A66714">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0431283" w14:textId="77777777" w:rsidR="00954279" w:rsidRDefault="00A66714">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4829F10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C1141D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D1683FC" w14:textId="77777777" w:rsidR="00954279" w:rsidRDefault="00A66714">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3D20F99" w14:textId="77777777" w:rsidR="00954279" w:rsidRDefault="00A66714">
            <w:pPr>
              <w:rPr>
                <w:color w:val="000000"/>
                <w:sz w:val="20"/>
                <w:szCs w:val="20"/>
              </w:rPr>
            </w:pPr>
            <w:r>
              <w:rPr>
                <w:b/>
                <w:bCs/>
                <w:color w:val="000000"/>
                <w:sz w:val="20"/>
                <w:szCs w:val="20"/>
              </w:rPr>
              <w:t> </w:t>
            </w:r>
          </w:p>
        </w:tc>
      </w:tr>
      <w:tr w:rsidR="00954279" w14:paraId="71F4B4DE" w14:textId="77777777">
        <w:tc>
          <w:tcPr>
            <w:tcW w:w="0" w:type="auto"/>
            <w:tcMar>
              <w:top w:w="5" w:type="dxa"/>
              <w:left w:w="5" w:type="dxa"/>
              <w:bottom w:w="5" w:type="dxa"/>
              <w:right w:w="5" w:type="dxa"/>
            </w:tcMar>
            <w:vAlign w:val="bottom"/>
            <w:hideMark/>
          </w:tcPr>
          <w:p w14:paraId="3A5CAD4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070C5FB"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167D658" w14:textId="77777777" w:rsidR="00954279" w:rsidRDefault="00A66714">
            <w:pPr>
              <w:jc w:val="center"/>
              <w:rPr>
                <w:color w:val="000000"/>
                <w:sz w:val="20"/>
                <w:szCs w:val="20"/>
              </w:rPr>
            </w:pPr>
            <w:r>
              <w:rPr>
                <w:b/>
                <w:bCs/>
                <w:color w:val="000000"/>
                <w:sz w:val="20"/>
                <w:szCs w:val="20"/>
              </w:rPr>
              <w:t>2021</w:t>
            </w:r>
          </w:p>
        </w:tc>
        <w:tc>
          <w:tcPr>
            <w:tcW w:w="0" w:type="auto"/>
            <w:tcMar>
              <w:top w:w="5" w:type="dxa"/>
              <w:left w:w="5" w:type="dxa"/>
              <w:bottom w:w="20" w:type="dxa"/>
              <w:right w:w="5" w:type="dxa"/>
            </w:tcMar>
            <w:vAlign w:val="bottom"/>
            <w:hideMark/>
          </w:tcPr>
          <w:p w14:paraId="1796D59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08D0A14"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DC85D49" w14:textId="77777777" w:rsidR="00954279" w:rsidRDefault="00A66714">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5AAF7FF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9CC8397"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5E10A6D" w14:textId="77777777" w:rsidR="00954279" w:rsidRDefault="00A66714">
            <w:pPr>
              <w:jc w:val="center"/>
              <w:rPr>
                <w:color w:val="000000"/>
                <w:sz w:val="20"/>
                <w:szCs w:val="20"/>
              </w:rPr>
            </w:pPr>
            <w:r>
              <w:rPr>
                <w:b/>
                <w:bCs/>
                <w:color w:val="000000"/>
                <w:sz w:val="20"/>
                <w:szCs w:val="20"/>
              </w:rPr>
              <w:t>$ Change</w:t>
            </w:r>
          </w:p>
        </w:tc>
        <w:tc>
          <w:tcPr>
            <w:tcW w:w="0" w:type="auto"/>
            <w:tcMar>
              <w:top w:w="5" w:type="dxa"/>
              <w:left w:w="5" w:type="dxa"/>
              <w:bottom w:w="20" w:type="dxa"/>
              <w:right w:w="5" w:type="dxa"/>
            </w:tcMar>
            <w:vAlign w:val="bottom"/>
            <w:hideMark/>
          </w:tcPr>
          <w:p w14:paraId="3559D7E2"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2BBBC3D"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731406A" w14:textId="77777777" w:rsidR="00954279" w:rsidRDefault="00A66714">
            <w:pPr>
              <w:jc w:val="center"/>
              <w:rPr>
                <w:color w:val="000000"/>
                <w:sz w:val="20"/>
                <w:szCs w:val="20"/>
              </w:rPr>
            </w:pPr>
            <w:r>
              <w:rPr>
                <w:b/>
                <w:bCs/>
                <w:color w:val="000000"/>
                <w:sz w:val="20"/>
                <w:szCs w:val="20"/>
              </w:rPr>
              <w:t>% Change</w:t>
            </w:r>
          </w:p>
        </w:tc>
        <w:tc>
          <w:tcPr>
            <w:tcW w:w="0" w:type="auto"/>
            <w:tcMar>
              <w:top w:w="5" w:type="dxa"/>
              <w:left w:w="5" w:type="dxa"/>
              <w:bottom w:w="20" w:type="dxa"/>
              <w:right w:w="5" w:type="dxa"/>
            </w:tcMar>
            <w:vAlign w:val="bottom"/>
            <w:hideMark/>
          </w:tcPr>
          <w:p w14:paraId="0780C43B" w14:textId="77777777" w:rsidR="00954279" w:rsidRDefault="00A66714">
            <w:pPr>
              <w:rPr>
                <w:color w:val="000000"/>
                <w:sz w:val="20"/>
                <w:szCs w:val="20"/>
              </w:rPr>
            </w:pPr>
            <w:r>
              <w:rPr>
                <w:color w:val="000000"/>
                <w:sz w:val="20"/>
                <w:szCs w:val="20"/>
              </w:rPr>
              <w:t> </w:t>
            </w:r>
          </w:p>
        </w:tc>
      </w:tr>
      <w:tr w:rsidR="00954279" w14:paraId="08BABEBF" w14:textId="77777777">
        <w:tc>
          <w:tcPr>
            <w:tcW w:w="2600" w:type="pct"/>
            <w:tcMar>
              <w:top w:w="5" w:type="dxa"/>
              <w:left w:w="5" w:type="dxa"/>
              <w:bottom w:w="5" w:type="dxa"/>
              <w:right w:w="5" w:type="dxa"/>
            </w:tcMar>
            <w:vAlign w:val="bottom"/>
            <w:hideMark/>
          </w:tcPr>
          <w:p w14:paraId="53CB93A5" w14:textId="77777777" w:rsidR="00954279" w:rsidRDefault="00A66714">
            <w:pPr>
              <w:rPr>
                <w:color w:val="000000"/>
                <w:sz w:val="20"/>
                <w:szCs w:val="20"/>
              </w:rPr>
            </w:pPr>
            <w:r>
              <w:rPr>
                <w:i/>
                <w:iCs/>
                <w:color w:val="000000"/>
                <w:sz w:val="20"/>
                <w:szCs w:val="20"/>
              </w:rPr>
              <w:t>Sales:</w:t>
            </w:r>
          </w:p>
        </w:tc>
        <w:tc>
          <w:tcPr>
            <w:tcW w:w="0" w:type="auto"/>
            <w:tcMar>
              <w:top w:w="5" w:type="dxa"/>
              <w:left w:w="5" w:type="dxa"/>
              <w:bottom w:w="5" w:type="dxa"/>
              <w:right w:w="5" w:type="dxa"/>
            </w:tcMar>
            <w:vAlign w:val="bottom"/>
            <w:hideMark/>
          </w:tcPr>
          <w:p w14:paraId="43EC097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13402F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3632E7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EFAC940" w14:textId="77777777" w:rsidR="00954279" w:rsidRDefault="00A66714">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1607684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53939D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F6C240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2AFDCBE" w14:textId="77777777" w:rsidR="00954279" w:rsidRDefault="00A66714">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4FB42C9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E1F158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989241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D39AC71" w14:textId="77777777" w:rsidR="00954279" w:rsidRDefault="00A66714">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6899461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B22AE6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C8A962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BAEB74C" w14:textId="77777777" w:rsidR="00954279" w:rsidRDefault="00A66714">
            <w:pPr>
              <w:rPr>
                <w:color w:val="000000"/>
                <w:sz w:val="20"/>
                <w:szCs w:val="20"/>
              </w:rPr>
            </w:pPr>
            <w:r>
              <w:rPr>
                <w:i/>
                <w:iCs/>
                <w:color w:val="000000"/>
                <w:sz w:val="20"/>
                <w:szCs w:val="20"/>
              </w:rPr>
              <w:t> </w:t>
            </w:r>
          </w:p>
        </w:tc>
      </w:tr>
      <w:tr w:rsidR="00954279" w14:paraId="26C2EEF6" w14:textId="77777777">
        <w:tc>
          <w:tcPr>
            <w:tcW w:w="0" w:type="auto"/>
            <w:tcMar>
              <w:top w:w="5" w:type="dxa"/>
              <w:left w:w="5" w:type="dxa"/>
              <w:bottom w:w="5" w:type="dxa"/>
              <w:right w:w="5" w:type="dxa"/>
            </w:tcMar>
            <w:vAlign w:val="bottom"/>
            <w:hideMark/>
          </w:tcPr>
          <w:p w14:paraId="7F345A95" w14:textId="77777777" w:rsidR="00954279" w:rsidRDefault="00A66714">
            <w:pPr>
              <w:rPr>
                <w:color w:val="000000"/>
                <w:sz w:val="20"/>
                <w:szCs w:val="20"/>
              </w:rPr>
            </w:pPr>
            <w:r>
              <w:rPr>
                <w:color w:val="000000"/>
                <w:sz w:val="20"/>
                <w:szCs w:val="20"/>
              </w:rPr>
              <w:t>U.S.</w:t>
            </w:r>
          </w:p>
        </w:tc>
        <w:tc>
          <w:tcPr>
            <w:tcW w:w="50" w:type="pct"/>
            <w:tcMar>
              <w:top w:w="5" w:type="dxa"/>
              <w:left w:w="5" w:type="dxa"/>
              <w:bottom w:w="5" w:type="dxa"/>
              <w:right w:w="5" w:type="dxa"/>
            </w:tcMar>
            <w:vAlign w:val="bottom"/>
            <w:hideMark/>
          </w:tcPr>
          <w:p w14:paraId="168404F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1BFFEF4"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1DA4B474" w14:textId="77777777" w:rsidR="00954279" w:rsidRDefault="00A66714">
            <w:pPr>
              <w:jc w:val="right"/>
              <w:rPr>
                <w:color w:val="000000"/>
                <w:sz w:val="20"/>
                <w:szCs w:val="20"/>
              </w:rPr>
            </w:pPr>
            <w:r>
              <w:rPr>
                <w:b/>
                <w:bCs/>
                <w:color w:val="000000"/>
                <w:sz w:val="20"/>
                <w:szCs w:val="20"/>
              </w:rPr>
              <w:t>1,042</w:t>
            </w:r>
          </w:p>
        </w:tc>
        <w:tc>
          <w:tcPr>
            <w:tcW w:w="50" w:type="pct"/>
            <w:noWrap/>
            <w:tcMar>
              <w:top w:w="5" w:type="dxa"/>
              <w:left w:w="5" w:type="dxa"/>
              <w:bottom w:w="5" w:type="dxa"/>
              <w:right w:w="5" w:type="dxa"/>
            </w:tcMar>
            <w:vAlign w:val="bottom"/>
            <w:hideMark/>
          </w:tcPr>
          <w:p w14:paraId="52AB8980"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9C6D8A8"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C7260BF"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4AF676AC" w14:textId="77777777" w:rsidR="00954279" w:rsidRDefault="00A66714">
            <w:pPr>
              <w:jc w:val="right"/>
              <w:rPr>
                <w:color w:val="000000"/>
                <w:sz w:val="20"/>
                <w:szCs w:val="20"/>
              </w:rPr>
            </w:pPr>
            <w:r>
              <w:rPr>
                <w:color w:val="000000"/>
                <w:sz w:val="20"/>
                <w:szCs w:val="20"/>
              </w:rPr>
              <w:t>1,112</w:t>
            </w:r>
          </w:p>
        </w:tc>
        <w:tc>
          <w:tcPr>
            <w:tcW w:w="50" w:type="pct"/>
            <w:noWrap/>
            <w:tcMar>
              <w:top w:w="5" w:type="dxa"/>
              <w:left w:w="5" w:type="dxa"/>
              <w:bottom w:w="5" w:type="dxa"/>
              <w:right w:w="5" w:type="dxa"/>
            </w:tcMar>
            <w:vAlign w:val="bottom"/>
            <w:hideMark/>
          </w:tcPr>
          <w:p w14:paraId="6C3384EA"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F7EFC72"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5A76993"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5289DCCE" w14:textId="77777777" w:rsidR="00954279" w:rsidRDefault="00A66714">
            <w:pPr>
              <w:jc w:val="right"/>
              <w:rPr>
                <w:color w:val="000000"/>
                <w:sz w:val="20"/>
                <w:szCs w:val="20"/>
              </w:rPr>
            </w:pPr>
            <w:r>
              <w:rPr>
                <w:color w:val="000000"/>
                <w:sz w:val="20"/>
                <w:szCs w:val="20"/>
              </w:rPr>
              <w:t>(70</w:t>
            </w:r>
          </w:p>
        </w:tc>
        <w:tc>
          <w:tcPr>
            <w:tcW w:w="50" w:type="pct"/>
            <w:noWrap/>
            <w:tcMar>
              <w:top w:w="5" w:type="dxa"/>
              <w:left w:w="5" w:type="dxa"/>
              <w:bottom w:w="5" w:type="dxa"/>
              <w:right w:w="5" w:type="dxa"/>
            </w:tcMar>
            <w:vAlign w:val="bottom"/>
            <w:hideMark/>
          </w:tcPr>
          <w:p w14:paraId="0DE8B1B7"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32F67C0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5008AAF"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0D51E42" w14:textId="77777777" w:rsidR="00954279" w:rsidRDefault="00A66714">
            <w:pPr>
              <w:jc w:val="right"/>
              <w:rPr>
                <w:color w:val="000000"/>
                <w:sz w:val="20"/>
                <w:szCs w:val="20"/>
              </w:rPr>
            </w:pPr>
            <w:r>
              <w:rPr>
                <w:color w:val="000000"/>
                <w:sz w:val="20"/>
                <w:szCs w:val="20"/>
              </w:rPr>
              <w:t>(6</w:t>
            </w:r>
          </w:p>
        </w:tc>
        <w:tc>
          <w:tcPr>
            <w:tcW w:w="50" w:type="pct"/>
            <w:noWrap/>
            <w:tcMar>
              <w:top w:w="5" w:type="dxa"/>
              <w:left w:w="5" w:type="dxa"/>
              <w:bottom w:w="5" w:type="dxa"/>
              <w:right w:w="5" w:type="dxa"/>
            </w:tcMar>
            <w:vAlign w:val="bottom"/>
            <w:hideMark/>
          </w:tcPr>
          <w:p w14:paraId="3AF6BD24" w14:textId="77777777" w:rsidR="00954279" w:rsidRDefault="00A66714">
            <w:pPr>
              <w:rPr>
                <w:color w:val="000000"/>
                <w:sz w:val="20"/>
                <w:szCs w:val="20"/>
              </w:rPr>
            </w:pPr>
            <w:r>
              <w:rPr>
                <w:color w:val="000000"/>
                <w:sz w:val="20"/>
                <w:szCs w:val="20"/>
              </w:rPr>
              <w:t>)%</w:t>
            </w:r>
          </w:p>
        </w:tc>
      </w:tr>
      <w:tr w:rsidR="00954279" w14:paraId="311CE3FB" w14:textId="77777777">
        <w:tc>
          <w:tcPr>
            <w:tcW w:w="0" w:type="auto"/>
            <w:tcMar>
              <w:top w:w="5" w:type="dxa"/>
              <w:left w:w="5" w:type="dxa"/>
              <w:bottom w:w="5" w:type="dxa"/>
              <w:right w:w="5" w:type="dxa"/>
            </w:tcMar>
            <w:vAlign w:val="bottom"/>
            <w:hideMark/>
          </w:tcPr>
          <w:p w14:paraId="1F5627E3" w14:textId="77777777" w:rsidR="00954279" w:rsidRDefault="00A66714">
            <w:pPr>
              <w:rPr>
                <w:color w:val="000000"/>
                <w:sz w:val="20"/>
                <w:szCs w:val="20"/>
              </w:rPr>
            </w:pPr>
            <w:r>
              <w:rPr>
                <w:color w:val="000000"/>
                <w:sz w:val="20"/>
                <w:szCs w:val="20"/>
              </w:rPr>
              <w:t>Canada</w:t>
            </w:r>
          </w:p>
        </w:tc>
        <w:tc>
          <w:tcPr>
            <w:tcW w:w="50" w:type="pct"/>
            <w:tcMar>
              <w:top w:w="5" w:type="dxa"/>
              <w:left w:w="5" w:type="dxa"/>
              <w:bottom w:w="5" w:type="dxa"/>
              <w:right w:w="5" w:type="dxa"/>
            </w:tcMar>
            <w:vAlign w:val="bottom"/>
            <w:hideMark/>
          </w:tcPr>
          <w:p w14:paraId="4745051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DE1CE40"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AB2473E" w14:textId="77777777" w:rsidR="00954279" w:rsidRDefault="00A66714">
            <w:pPr>
              <w:jc w:val="right"/>
              <w:rPr>
                <w:color w:val="000000"/>
                <w:sz w:val="20"/>
                <w:szCs w:val="20"/>
              </w:rPr>
            </w:pPr>
            <w:r>
              <w:rPr>
                <w:b/>
                <w:bCs/>
                <w:color w:val="000000"/>
                <w:sz w:val="20"/>
                <w:szCs w:val="20"/>
              </w:rPr>
              <w:t>62</w:t>
            </w:r>
          </w:p>
        </w:tc>
        <w:tc>
          <w:tcPr>
            <w:tcW w:w="50" w:type="pct"/>
            <w:noWrap/>
            <w:tcMar>
              <w:top w:w="5" w:type="dxa"/>
              <w:left w:w="5" w:type="dxa"/>
              <w:bottom w:w="5" w:type="dxa"/>
              <w:right w:w="5" w:type="dxa"/>
            </w:tcMar>
            <w:vAlign w:val="bottom"/>
            <w:hideMark/>
          </w:tcPr>
          <w:p w14:paraId="4463CEC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4002CB7"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5C03774"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A1C4836" w14:textId="77777777" w:rsidR="00954279" w:rsidRDefault="00A66714">
            <w:pPr>
              <w:jc w:val="right"/>
              <w:rPr>
                <w:color w:val="000000"/>
                <w:sz w:val="20"/>
                <w:szCs w:val="20"/>
              </w:rPr>
            </w:pPr>
            <w:r>
              <w:rPr>
                <w:color w:val="000000"/>
                <w:sz w:val="20"/>
                <w:szCs w:val="20"/>
              </w:rPr>
              <w:t>78</w:t>
            </w:r>
          </w:p>
        </w:tc>
        <w:tc>
          <w:tcPr>
            <w:tcW w:w="50" w:type="pct"/>
            <w:noWrap/>
            <w:tcMar>
              <w:top w:w="5" w:type="dxa"/>
              <w:left w:w="5" w:type="dxa"/>
              <w:bottom w:w="5" w:type="dxa"/>
              <w:right w:w="5" w:type="dxa"/>
            </w:tcMar>
            <w:vAlign w:val="bottom"/>
            <w:hideMark/>
          </w:tcPr>
          <w:p w14:paraId="3A0B2F1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A1B29C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F1F7523"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4DDAD7C" w14:textId="77777777" w:rsidR="00954279" w:rsidRDefault="00A66714">
            <w:pPr>
              <w:jc w:val="right"/>
              <w:rPr>
                <w:color w:val="000000"/>
                <w:sz w:val="20"/>
                <w:szCs w:val="20"/>
              </w:rPr>
            </w:pPr>
            <w:r>
              <w:rPr>
                <w:color w:val="000000"/>
                <w:sz w:val="20"/>
                <w:szCs w:val="20"/>
              </w:rPr>
              <w:t>(16</w:t>
            </w:r>
          </w:p>
        </w:tc>
        <w:tc>
          <w:tcPr>
            <w:tcW w:w="50" w:type="pct"/>
            <w:noWrap/>
            <w:tcMar>
              <w:top w:w="5" w:type="dxa"/>
              <w:left w:w="5" w:type="dxa"/>
              <w:bottom w:w="5" w:type="dxa"/>
              <w:right w:w="5" w:type="dxa"/>
            </w:tcMar>
            <w:vAlign w:val="bottom"/>
            <w:hideMark/>
          </w:tcPr>
          <w:p w14:paraId="57554BDB"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7E4BFA47"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3CD814F"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DE695EE" w14:textId="77777777" w:rsidR="00954279" w:rsidRDefault="00A66714">
            <w:pPr>
              <w:jc w:val="right"/>
              <w:rPr>
                <w:color w:val="000000"/>
                <w:sz w:val="20"/>
                <w:szCs w:val="20"/>
              </w:rPr>
            </w:pPr>
            <w:r>
              <w:rPr>
                <w:color w:val="000000"/>
                <w:sz w:val="20"/>
                <w:szCs w:val="20"/>
              </w:rPr>
              <w:t>(21</w:t>
            </w:r>
          </w:p>
        </w:tc>
        <w:tc>
          <w:tcPr>
            <w:tcW w:w="50" w:type="pct"/>
            <w:noWrap/>
            <w:tcMar>
              <w:top w:w="5" w:type="dxa"/>
              <w:left w:w="5" w:type="dxa"/>
              <w:bottom w:w="5" w:type="dxa"/>
              <w:right w:w="5" w:type="dxa"/>
            </w:tcMar>
            <w:vAlign w:val="bottom"/>
            <w:hideMark/>
          </w:tcPr>
          <w:p w14:paraId="5212AA52" w14:textId="77777777" w:rsidR="00954279" w:rsidRDefault="00A66714">
            <w:pPr>
              <w:rPr>
                <w:color w:val="000000"/>
                <w:sz w:val="20"/>
                <w:szCs w:val="20"/>
              </w:rPr>
            </w:pPr>
            <w:r>
              <w:rPr>
                <w:color w:val="000000"/>
                <w:sz w:val="20"/>
                <w:szCs w:val="20"/>
              </w:rPr>
              <w:t>)%</w:t>
            </w:r>
          </w:p>
        </w:tc>
      </w:tr>
      <w:tr w:rsidR="00954279" w14:paraId="2AE0227F" w14:textId="77777777">
        <w:tc>
          <w:tcPr>
            <w:tcW w:w="0" w:type="auto"/>
            <w:tcMar>
              <w:top w:w="5" w:type="dxa"/>
              <w:left w:w="5" w:type="dxa"/>
              <w:bottom w:w="5" w:type="dxa"/>
              <w:right w:w="5" w:type="dxa"/>
            </w:tcMar>
            <w:vAlign w:val="bottom"/>
            <w:hideMark/>
          </w:tcPr>
          <w:p w14:paraId="3C62E601" w14:textId="77777777" w:rsidR="00954279" w:rsidRDefault="00A66714">
            <w:pPr>
              <w:rPr>
                <w:color w:val="000000"/>
                <w:sz w:val="20"/>
                <w:szCs w:val="20"/>
              </w:rPr>
            </w:pPr>
            <w:r>
              <w:rPr>
                <w:color w:val="000000"/>
                <w:sz w:val="20"/>
                <w:szCs w:val="20"/>
              </w:rPr>
              <w:t>International</w:t>
            </w:r>
          </w:p>
        </w:tc>
        <w:tc>
          <w:tcPr>
            <w:tcW w:w="50" w:type="pct"/>
            <w:tcMar>
              <w:top w:w="5" w:type="dxa"/>
              <w:left w:w="5" w:type="dxa"/>
              <w:bottom w:w="20" w:type="dxa"/>
              <w:right w:w="5" w:type="dxa"/>
            </w:tcMar>
            <w:vAlign w:val="bottom"/>
            <w:hideMark/>
          </w:tcPr>
          <w:p w14:paraId="391E9BB1"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6479B48"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641D0C05" w14:textId="77777777" w:rsidR="00954279" w:rsidRDefault="00A66714">
            <w:pPr>
              <w:jc w:val="right"/>
              <w:rPr>
                <w:color w:val="000000"/>
                <w:sz w:val="20"/>
                <w:szCs w:val="20"/>
              </w:rPr>
            </w:pPr>
            <w:r>
              <w:rPr>
                <w:b/>
                <w:bCs/>
                <w:color w:val="000000"/>
                <w:sz w:val="20"/>
                <w:szCs w:val="20"/>
              </w:rPr>
              <w:t>191</w:t>
            </w:r>
          </w:p>
        </w:tc>
        <w:tc>
          <w:tcPr>
            <w:tcW w:w="50" w:type="pct"/>
            <w:noWrap/>
            <w:tcMar>
              <w:top w:w="5" w:type="dxa"/>
              <w:left w:w="5" w:type="dxa"/>
              <w:bottom w:w="20" w:type="dxa"/>
              <w:right w:w="5" w:type="dxa"/>
            </w:tcMar>
            <w:vAlign w:val="bottom"/>
            <w:hideMark/>
          </w:tcPr>
          <w:p w14:paraId="4963071D" w14:textId="77777777" w:rsidR="00954279" w:rsidRDefault="00A66714">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7714C191"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252D64D"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6EF44746" w14:textId="77777777" w:rsidR="00954279" w:rsidRDefault="00A66714">
            <w:pPr>
              <w:jc w:val="right"/>
              <w:rPr>
                <w:color w:val="000000"/>
                <w:sz w:val="20"/>
                <w:szCs w:val="20"/>
              </w:rPr>
            </w:pPr>
            <w:r>
              <w:rPr>
                <w:color w:val="000000"/>
                <w:sz w:val="20"/>
                <w:szCs w:val="20"/>
              </w:rPr>
              <w:t>206</w:t>
            </w:r>
          </w:p>
        </w:tc>
        <w:tc>
          <w:tcPr>
            <w:tcW w:w="50" w:type="pct"/>
            <w:noWrap/>
            <w:tcMar>
              <w:top w:w="5" w:type="dxa"/>
              <w:left w:w="5" w:type="dxa"/>
              <w:bottom w:w="20" w:type="dxa"/>
              <w:right w:w="5" w:type="dxa"/>
            </w:tcMar>
            <w:vAlign w:val="bottom"/>
            <w:hideMark/>
          </w:tcPr>
          <w:p w14:paraId="2C5F39A6" w14:textId="77777777" w:rsidR="00954279" w:rsidRDefault="00A66714">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5C335A76"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92253CF"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74F5F819" w14:textId="77777777" w:rsidR="00954279" w:rsidRDefault="00A66714">
            <w:pPr>
              <w:jc w:val="right"/>
              <w:rPr>
                <w:color w:val="000000"/>
                <w:sz w:val="20"/>
                <w:szCs w:val="20"/>
              </w:rPr>
            </w:pPr>
            <w:r>
              <w:rPr>
                <w:color w:val="000000"/>
                <w:sz w:val="20"/>
                <w:szCs w:val="20"/>
              </w:rPr>
              <w:t>(15</w:t>
            </w:r>
          </w:p>
        </w:tc>
        <w:tc>
          <w:tcPr>
            <w:tcW w:w="50" w:type="pct"/>
            <w:noWrap/>
            <w:tcMar>
              <w:top w:w="5" w:type="dxa"/>
              <w:left w:w="5" w:type="dxa"/>
              <w:bottom w:w="20" w:type="dxa"/>
              <w:right w:w="5" w:type="dxa"/>
            </w:tcMar>
            <w:vAlign w:val="bottom"/>
            <w:hideMark/>
          </w:tcPr>
          <w:p w14:paraId="1B3BD75D" w14:textId="77777777" w:rsidR="00954279" w:rsidRDefault="00A66714">
            <w:pPr>
              <w:rPr>
                <w:color w:val="000000"/>
                <w:sz w:val="20"/>
                <w:szCs w:val="20"/>
              </w:rPr>
            </w:pPr>
            <w:r>
              <w:rPr>
                <w:color w:val="000000"/>
                <w:sz w:val="20"/>
                <w:szCs w:val="20"/>
              </w:rPr>
              <w:t>)</w:t>
            </w:r>
          </w:p>
        </w:tc>
        <w:tc>
          <w:tcPr>
            <w:tcW w:w="50" w:type="pct"/>
            <w:tcMar>
              <w:top w:w="5" w:type="dxa"/>
              <w:left w:w="5" w:type="dxa"/>
              <w:bottom w:w="20" w:type="dxa"/>
              <w:right w:w="5" w:type="dxa"/>
            </w:tcMar>
            <w:vAlign w:val="bottom"/>
            <w:hideMark/>
          </w:tcPr>
          <w:p w14:paraId="61C1BD0F"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07EE414"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F00C83A" w14:textId="77777777" w:rsidR="00954279" w:rsidRDefault="00A66714">
            <w:pPr>
              <w:jc w:val="right"/>
              <w:rPr>
                <w:color w:val="000000"/>
                <w:sz w:val="20"/>
                <w:szCs w:val="20"/>
              </w:rPr>
            </w:pPr>
            <w:r>
              <w:rPr>
                <w:color w:val="000000"/>
                <w:sz w:val="20"/>
                <w:szCs w:val="20"/>
              </w:rPr>
              <w:t>(7</w:t>
            </w:r>
          </w:p>
        </w:tc>
        <w:tc>
          <w:tcPr>
            <w:tcW w:w="50" w:type="pct"/>
            <w:noWrap/>
            <w:tcMar>
              <w:top w:w="5" w:type="dxa"/>
              <w:left w:w="5" w:type="dxa"/>
              <w:bottom w:w="20" w:type="dxa"/>
              <w:right w:w="5" w:type="dxa"/>
            </w:tcMar>
            <w:vAlign w:val="bottom"/>
            <w:hideMark/>
          </w:tcPr>
          <w:p w14:paraId="5C0E47AA" w14:textId="77777777" w:rsidR="00954279" w:rsidRDefault="00A66714">
            <w:pPr>
              <w:rPr>
                <w:color w:val="000000"/>
                <w:sz w:val="20"/>
                <w:szCs w:val="20"/>
              </w:rPr>
            </w:pPr>
            <w:r>
              <w:rPr>
                <w:color w:val="000000"/>
                <w:sz w:val="20"/>
                <w:szCs w:val="20"/>
              </w:rPr>
              <w:t>)%</w:t>
            </w:r>
          </w:p>
        </w:tc>
      </w:tr>
      <w:tr w:rsidR="00954279" w14:paraId="753A2B43" w14:textId="77777777">
        <w:tc>
          <w:tcPr>
            <w:tcW w:w="0" w:type="auto"/>
            <w:tcMar>
              <w:top w:w="5" w:type="dxa"/>
              <w:left w:w="5" w:type="dxa"/>
              <w:bottom w:w="5" w:type="dxa"/>
              <w:right w:w="5" w:type="dxa"/>
            </w:tcMar>
            <w:vAlign w:val="bottom"/>
            <w:hideMark/>
          </w:tcPr>
          <w:p w14:paraId="73981E87" w14:textId="77777777" w:rsidR="00954279" w:rsidRDefault="00A66714">
            <w:pPr>
              <w:ind w:left="180"/>
              <w:rPr>
                <w:color w:val="000000"/>
                <w:sz w:val="20"/>
                <w:szCs w:val="20"/>
              </w:rPr>
            </w:pPr>
            <w:r>
              <w:rPr>
                <w:color w:val="000000"/>
                <w:sz w:val="20"/>
                <w:szCs w:val="20"/>
              </w:rPr>
              <w:t>Consolidated</w:t>
            </w:r>
          </w:p>
        </w:tc>
        <w:tc>
          <w:tcPr>
            <w:tcW w:w="50" w:type="pct"/>
            <w:tcMar>
              <w:top w:w="5" w:type="dxa"/>
              <w:left w:w="5" w:type="dxa"/>
              <w:bottom w:w="5" w:type="dxa"/>
              <w:right w:w="5" w:type="dxa"/>
            </w:tcMar>
            <w:vAlign w:val="bottom"/>
            <w:hideMark/>
          </w:tcPr>
          <w:p w14:paraId="2DD80A52"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410A735"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1DEB77AB" w14:textId="77777777" w:rsidR="00954279" w:rsidRDefault="00A66714">
            <w:pPr>
              <w:jc w:val="right"/>
              <w:rPr>
                <w:color w:val="000000"/>
                <w:sz w:val="20"/>
                <w:szCs w:val="20"/>
              </w:rPr>
            </w:pPr>
            <w:r>
              <w:rPr>
                <w:b/>
                <w:bCs/>
                <w:color w:val="000000"/>
                <w:sz w:val="20"/>
                <w:szCs w:val="20"/>
              </w:rPr>
              <w:t>1,295</w:t>
            </w:r>
          </w:p>
        </w:tc>
        <w:tc>
          <w:tcPr>
            <w:tcW w:w="50" w:type="pct"/>
            <w:noWrap/>
            <w:tcMar>
              <w:top w:w="5" w:type="dxa"/>
              <w:left w:w="5" w:type="dxa"/>
              <w:bottom w:w="50" w:type="dxa"/>
              <w:right w:w="5" w:type="dxa"/>
            </w:tcMar>
            <w:vAlign w:val="bottom"/>
            <w:hideMark/>
          </w:tcPr>
          <w:p w14:paraId="6D5AA5A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992AD6C"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B13DE7B"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644ACAC8" w14:textId="77777777" w:rsidR="00954279" w:rsidRDefault="00A66714">
            <w:pPr>
              <w:jc w:val="right"/>
              <w:rPr>
                <w:color w:val="000000"/>
                <w:sz w:val="20"/>
                <w:szCs w:val="20"/>
              </w:rPr>
            </w:pPr>
            <w:r>
              <w:rPr>
                <w:color w:val="000000"/>
                <w:sz w:val="20"/>
                <w:szCs w:val="20"/>
              </w:rPr>
              <w:t>1,396</w:t>
            </w:r>
          </w:p>
        </w:tc>
        <w:tc>
          <w:tcPr>
            <w:tcW w:w="50" w:type="pct"/>
            <w:noWrap/>
            <w:tcMar>
              <w:top w:w="5" w:type="dxa"/>
              <w:left w:w="5" w:type="dxa"/>
              <w:bottom w:w="50" w:type="dxa"/>
              <w:right w:w="5" w:type="dxa"/>
            </w:tcMar>
            <w:vAlign w:val="bottom"/>
            <w:hideMark/>
          </w:tcPr>
          <w:p w14:paraId="24523A0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189743E"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13D2380"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7187A915" w14:textId="77777777" w:rsidR="00954279" w:rsidRDefault="00A66714">
            <w:pPr>
              <w:jc w:val="right"/>
              <w:rPr>
                <w:color w:val="000000"/>
                <w:sz w:val="20"/>
                <w:szCs w:val="20"/>
              </w:rPr>
            </w:pPr>
            <w:r>
              <w:rPr>
                <w:color w:val="000000"/>
                <w:sz w:val="20"/>
                <w:szCs w:val="20"/>
              </w:rPr>
              <w:t>(101</w:t>
            </w:r>
          </w:p>
        </w:tc>
        <w:tc>
          <w:tcPr>
            <w:tcW w:w="50" w:type="pct"/>
            <w:noWrap/>
            <w:tcMar>
              <w:top w:w="5" w:type="dxa"/>
              <w:left w:w="5" w:type="dxa"/>
              <w:bottom w:w="50" w:type="dxa"/>
              <w:right w:w="5" w:type="dxa"/>
            </w:tcMar>
            <w:vAlign w:val="bottom"/>
            <w:hideMark/>
          </w:tcPr>
          <w:p w14:paraId="7C6E902F"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389E65E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FB8B22D"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B983EF7" w14:textId="77777777" w:rsidR="00954279" w:rsidRDefault="00A66714">
            <w:pPr>
              <w:jc w:val="right"/>
              <w:rPr>
                <w:color w:val="000000"/>
                <w:sz w:val="20"/>
                <w:szCs w:val="20"/>
              </w:rPr>
            </w:pPr>
            <w:r>
              <w:rPr>
                <w:color w:val="000000"/>
                <w:sz w:val="20"/>
                <w:szCs w:val="20"/>
              </w:rPr>
              <w:t>(7</w:t>
            </w:r>
          </w:p>
        </w:tc>
        <w:tc>
          <w:tcPr>
            <w:tcW w:w="50" w:type="pct"/>
            <w:noWrap/>
            <w:tcMar>
              <w:top w:w="5" w:type="dxa"/>
              <w:left w:w="5" w:type="dxa"/>
              <w:bottom w:w="5" w:type="dxa"/>
              <w:right w:w="5" w:type="dxa"/>
            </w:tcMar>
            <w:vAlign w:val="bottom"/>
            <w:hideMark/>
          </w:tcPr>
          <w:p w14:paraId="7AB462AB" w14:textId="77777777" w:rsidR="00954279" w:rsidRDefault="00A66714">
            <w:pPr>
              <w:rPr>
                <w:color w:val="000000"/>
                <w:sz w:val="20"/>
                <w:szCs w:val="20"/>
              </w:rPr>
            </w:pPr>
            <w:r>
              <w:rPr>
                <w:color w:val="000000"/>
                <w:sz w:val="20"/>
                <w:szCs w:val="20"/>
              </w:rPr>
              <w:t>)%</w:t>
            </w:r>
          </w:p>
        </w:tc>
      </w:tr>
      <w:tr w:rsidR="00954279" w14:paraId="1E73994C" w14:textId="77777777">
        <w:tc>
          <w:tcPr>
            <w:tcW w:w="0" w:type="auto"/>
            <w:tcMar>
              <w:top w:w="5" w:type="dxa"/>
              <w:left w:w="5" w:type="dxa"/>
              <w:bottom w:w="5" w:type="dxa"/>
              <w:right w:w="5" w:type="dxa"/>
            </w:tcMar>
            <w:vAlign w:val="bottom"/>
            <w:hideMark/>
          </w:tcPr>
          <w:p w14:paraId="539A8DF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B453AD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9EEF21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ECB42B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6CC1E5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FB47C4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A10314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A3FD60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E0189F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C171CB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DB4F9E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2E4354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7DD22F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993115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A0DC6A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D8B208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D6CB54A" w14:textId="77777777" w:rsidR="00954279" w:rsidRDefault="00A66714">
            <w:pPr>
              <w:rPr>
                <w:color w:val="000000"/>
                <w:sz w:val="20"/>
                <w:szCs w:val="20"/>
              </w:rPr>
            </w:pPr>
            <w:r>
              <w:rPr>
                <w:color w:val="000000"/>
                <w:sz w:val="20"/>
                <w:szCs w:val="20"/>
              </w:rPr>
              <w:t> </w:t>
            </w:r>
          </w:p>
        </w:tc>
      </w:tr>
      <w:tr w:rsidR="00954279" w14:paraId="13F10A4A" w14:textId="77777777">
        <w:tc>
          <w:tcPr>
            <w:tcW w:w="0" w:type="auto"/>
            <w:tcMar>
              <w:top w:w="5" w:type="dxa"/>
              <w:left w:w="5" w:type="dxa"/>
              <w:bottom w:w="5" w:type="dxa"/>
              <w:right w:w="5" w:type="dxa"/>
            </w:tcMar>
            <w:vAlign w:val="bottom"/>
            <w:hideMark/>
          </w:tcPr>
          <w:p w14:paraId="53CCC20A" w14:textId="77777777" w:rsidR="00954279" w:rsidRDefault="00A66714">
            <w:pPr>
              <w:rPr>
                <w:color w:val="000000"/>
                <w:sz w:val="20"/>
                <w:szCs w:val="20"/>
              </w:rPr>
            </w:pPr>
            <w:r>
              <w:rPr>
                <w:i/>
                <w:iCs/>
                <w:color w:val="000000"/>
                <w:sz w:val="20"/>
                <w:szCs w:val="20"/>
              </w:rPr>
              <w:t>Operating income (loss):</w:t>
            </w:r>
          </w:p>
        </w:tc>
        <w:tc>
          <w:tcPr>
            <w:tcW w:w="0" w:type="auto"/>
            <w:tcMar>
              <w:top w:w="5" w:type="dxa"/>
              <w:left w:w="5" w:type="dxa"/>
              <w:bottom w:w="5" w:type="dxa"/>
              <w:right w:w="5" w:type="dxa"/>
            </w:tcMar>
            <w:vAlign w:val="bottom"/>
            <w:hideMark/>
          </w:tcPr>
          <w:p w14:paraId="713CD3C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5951A1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417939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785E585" w14:textId="77777777" w:rsidR="00954279" w:rsidRDefault="00A66714">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06C2D4BE"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B68440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A07AE6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3BB16E9" w14:textId="77777777" w:rsidR="00954279" w:rsidRDefault="00A66714">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7B6AD2E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C29646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AFD625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5B3644D" w14:textId="77777777" w:rsidR="00954279" w:rsidRDefault="00A66714">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1E1BA1A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5149E8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311FF8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48596A6" w14:textId="77777777" w:rsidR="00954279" w:rsidRDefault="00A66714">
            <w:pPr>
              <w:rPr>
                <w:color w:val="000000"/>
                <w:sz w:val="20"/>
                <w:szCs w:val="20"/>
              </w:rPr>
            </w:pPr>
            <w:r>
              <w:rPr>
                <w:i/>
                <w:iCs/>
                <w:color w:val="000000"/>
                <w:sz w:val="20"/>
                <w:szCs w:val="20"/>
              </w:rPr>
              <w:t> </w:t>
            </w:r>
          </w:p>
        </w:tc>
      </w:tr>
      <w:tr w:rsidR="00954279" w14:paraId="041B2E86" w14:textId="77777777">
        <w:tc>
          <w:tcPr>
            <w:tcW w:w="0" w:type="auto"/>
            <w:tcMar>
              <w:top w:w="5" w:type="dxa"/>
              <w:left w:w="5" w:type="dxa"/>
              <w:bottom w:w="5" w:type="dxa"/>
              <w:right w:w="5" w:type="dxa"/>
            </w:tcMar>
            <w:vAlign w:val="bottom"/>
            <w:hideMark/>
          </w:tcPr>
          <w:p w14:paraId="21248443" w14:textId="77777777" w:rsidR="00954279" w:rsidRDefault="00A66714">
            <w:pPr>
              <w:rPr>
                <w:color w:val="000000"/>
                <w:sz w:val="20"/>
                <w:szCs w:val="20"/>
              </w:rPr>
            </w:pPr>
            <w:r>
              <w:rPr>
                <w:color w:val="000000"/>
                <w:sz w:val="20"/>
                <w:szCs w:val="20"/>
              </w:rPr>
              <w:t>U.S.</w:t>
            </w:r>
          </w:p>
        </w:tc>
        <w:tc>
          <w:tcPr>
            <w:tcW w:w="50" w:type="pct"/>
            <w:tcMar>
              <w:top w:w="5" w:type="dxa"/>
              <w:left w:w="5" w:type="dxa"/>
              <w:bottom w:w="5" w:type="dxa"/>
              <w:right w:w="5" w:type="dxa"/>
            </w:tcMar>
            <w:vAlign w:val="bottom"/>
            <w:hideMark/>
          </w:tcPr>
          <w:p w14:paraId="10F2CDD8"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DCF803B"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2C772A15" w14:textId="77777777" w:rsidR="00954279" w:rsidRDefault="00A66714">
            <w:pPr>
              <w:jc w:val="right"/>
              <w:rPr>
                <w:color w:val="000000"/>
                <w:sz w:val="20"/>
                <w:szCs w:val="20"/>
              </w:rPr>
            </w:pPr>
            <w:r>
              <w:rPr>
                <w:b/>
                <w:bCs/>
                <w:color w:val="000000"/>
                <w:sz w:val="20"/>
                <w:szCs w:val="20"/>
              </w:rPr>
              <w:t>6</w:t>
            </w:r>
          </w:p>
        </w:tc>
        <w:tc>
          <w:tcPr>
            <w:tcW w:w="50" w:type="pct"/>
            <w:noWrap/>
            <w:tcMar>
              <w:top w:w="5" w:type="dxa"/>
              <w:left w:w="5" w:type="dxa"/>
              <w:bottom w:w="5" w:type="dxa"/>
              <w:right w:w="5" w:type="dxa"/>
            </w:tcMar>
            <w:vAlign w:val="bottom"/>
            <w:hideMark/>
          </w:tcPr>
          <w:p w14:paraId="7296288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59D3556"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B13CE93"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41E8CF4B" w14:textId="77777777" w:rsidR="00954279" w:rsidRDefault="00A66714">
            <w:pPr>
              <w:jc w:val="right"/>
              <w:rPr>
                <w:color w:val="000000"/>
                <w:sz w:val="20"/>
                <w:szCs w:val="20"/>
              </w:rPr>
            </w:pPr>
            <w:r>
              <w:rPr>
                <w:color w:val="000000"/>
                <w:sz w:val="20"/>
                <w:szCs w:val="20"/>
              </w:rPr>
              <w:t>(208</w:t>
            </w:r>
          </w:p>
        </w:tc>
        <w:tc>
          <w:tcPr>
            <w:tcW w:w="50" w:type="pct"/>
            <w:noWrap/>
            <w:tcMar>
              <w:top w:w="5" w:type="dxa"/>
              <w:left w:w="5" w:type="dxa"/>
              <w:bottom w:w="5" w:type="dxa"/>
              <w:right w:w="5" w:type="dxa"/>
            </w:tcMar>
            <w:vAlign w:val="bottom"/>
            <w:hideMark/>
          </w:tcPr>
          <w:p w14:paraId="1B654DAF"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1861F976"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1ABD0E7"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3779E7C3" w14:textId="77777777" w:rsidR="00954279" w:rsidRDefault="00A66714">
            <w:pPr>
              <w:jc w:val="right"/>
              <w:rPr>
                <w:color w:val="000000"/>
                <w:sz w:val="20"/>
                <w:szCs w:val="20"/>
              </w:rPr>
            </w:pPr>
            <w:r>
              <w:rPr>
                <w:color w:val="000000"/>
                <w:sz w:val="20"/>
                <w:szCs w:val="20"/>
              </w:rPr>
              <w:t>214</w:t>
            </w:r>
          </w:p>
        </w:tc>
        <w:tc>
          <w:tcPr>
            <w:tcW w:w="50" w:type="pct"/>
            <w:noWrap/>
            <w:tcMar>
              <w:top w:w="5" w:type="dxa"/>
              <w:left w:w="5" w:type="dxa"/>
              <w:bottom w:w="5" w:type="dxa"/>
              <w:right w:w="5" w:type="dxa"/>
            </w:tcMar>
            <w:vAlign w:val="bottom"/>
            <w:hideMark/>
          </w:tcPr>
          <w:p w14:paraId="5ABD065F"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0AA55E3"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1ADA41B"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D7D73F4" w14:textId="77777777" w:rsidR="00954279" w:rsidRDefault="00A66714">
            <w:pPr>
              <w:jc w:val="right"/>
              <w:rPr>
                <w:color w:val="000000"/>
                <w:sz w:val="20"/>
                <w:szCs w:val="20"/>
              </w:rPr>
            </w:pPr>
            <w:r>
              <w:rPr>
                <w:color w:val="000000"/>
                <w:sz w:val="20"/>
                <w:szCs w:val="20"/>
              </w:rPr>
              <w:t>N/M</w:t>
            </w:r>
          </w:p>
        </w:tc>
        <w:tc>
          <w:tcPr>
            <w:tcW w:w="50" w:type="pct"/>
            <w:noWrap/>
            <w:tcMar>
              <w:top w:w="5" w:type="dxa"/>
              <w:left w:w="5" w:type="dxa"/>
              <w:bottom w:w="5" w:type="dxa"/>
              <w:right w:w="5" w:type="dxa"/>
            </w:tcMar>
            <w:vAlign w:val="bottom"/>
            <w:hideMark/>
          </w:tcPr>
          <w:p w14:paraId="10D630CF" w14:textId="77777777" w:rsidR="00954279" w:rsidRDefault="00A66714">
            <w:pPr>
              <w:rPr>
                <w:color w:val="000000"/>
                <w:sz w:val="20"/>
                <w:szCs w:val="20"/>
              </w:rPr>
            </w:pPr>
            <w:r>
              <w:rPr>
                <w:color w:val="000000"/>
                <w:sz w:val="20"/>
                <w:szCs w:val="20"/>
              </w:rPr>
              <w:t> </w:t>
            </w:r>
          </w:p>
        </w:tc>
      </w:tr>
      <w:tr w:rsidR="00954279" w14:paraId="2A5FE1C9" w14:textId="77777777">
        <w:tc>
          <w:tcPr>
            <w:tcW w:w="0" w:type="auto"/>
            <w:tcMar>
              <w:top w:w="5" w:type="dxa"/>
              <w:left w:w="5" w:type="dxa"/>
              <w:bottom w:w="5" w:type="dxa"/>
              <w:right w:w="5" w:type="dxa"/>
            </w:tcMar>
            <w:vAlign w:val="bottom"/>
            <w:hideMark/>
          </w:tcPr>
          <w:p w14:paraId="21D47C6F" w14:textId="77777777" w:rsidR="00954279" w:rsidRDefault="00A66714">
            <w:pPr>
              <w:rPr>
                <w:color w:val="000000"/>
                <w:sz w:val="20"/>
                <w:szCs w:val="20"/>
              </w:rPr>
            </w:pPr>
            <w:r>
              <w:rPr>
                <w:color w:val="000000"/>
                <w:sz w:val="20"/>
                <w:szCs w:val="20"/>
              </w:rPr>
              <w:t>Canada</w:t>
            </w:r>
          </w:p>
        </w:tc>
        <w:tc>
          <w:tcPr>
            <w:tcW w:w="50" w:type="pct"/>
            <w:tcMar>
              <w:top w:w="5" w:type="dxa"/>
              <w:left w:w="5" w:type="dxa"/>
              <w:bottom w:w="5" w:type="dxa"/>
              <w:right w:w="5" w:type="dxa"/>
            </w:tcMar>
            <w:vAlign w:val="bottom"/>
            <w:hideMark/>
          </w:tcPr>
          <w:p w14:paraId="6FB6792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6539ECB"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0FFBDDF" w14:textId="77777777" w:rsidR="00954279" w:rsidRDefault="00A66714">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3E23CB9C"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E46F0F7"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2973702"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E260431" w14:textId="77777777" w:rsidR="00954279" w:rsidRDefault="00A66714">
            <w:pPr>
              <w:jc w:val="right"/>
              <w:rPr>
                <w:color w:val="000000"/>
                <w:sz w:val="20"/>
                <w:szCs w:val="20"/>
              </w:rPr>
            </w:pPr>
            <w:r>
              <w:rPr>
                <w:color w:val="000000"/>
                <w:sz w:val="20"/>
                <w:szCs w:val="20"/>
              </w:rPr>
              <w:t>(2</w:t>
            </w:r>
          </w:p>
        </w:tc>
        <w:tc>
          <w:tcPr>
            <w:tcW w:w="50" w:type="pct"/>
            <w:noWrap/>
            <w:tcMar>
              <w:top w:w="5" w:type="dxa"/>
              <w:left w:w="5" w:type="dxa"/>
              <w:bottom w:w="5" w:type="dxa"/>
              <w:right w:w="5" w:type="dxa"/>
            </w:tcMar>
            <w:vAlign w:val="bottom"/>
            <w:hideMark/>
          </w:tcPr>
          <w:p w14:paraId="137BBC0C"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0CE9E6AA"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442B41F"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E04AAC2" w14:textId="77777777" w:rsidR="00954279" w:rsidRDefault="00A66714">
            <w:pPr>
              <w:jc w:val="right"/>
              <w:rPr>
                <w:color w:val="000000"/>
                <w:sz w:val="20"/>
                <w:szCs w:val="20"/>
              </w:rPr>
            </w:pPr>
            <w:r>
              <w:rPr>
                <w:color w:val="000000"/>
                <w:sz w:val="20"/>
                <w:szCs w:val="20"/>
              </w:rPr>
              <w:t>2</w:t>
            </w:r>
          </w:p>
        </w:tc>
        <w:tc>
          <w:tcPr>
            <w:tcW w:w="50" w:type="pct"/>
            <w:noWrap/>
            <w:tcMar>
              <w:top w:w="5" w:type="dxa"/>
              <w:left w:w="5" w:type="dxa"/>
              <w:bottom w:w="5" w:type="dxa"/>
              <w:right w:w="5" w:type="dxa"/>
            </w:tcMar>
            <w:vAlign w:val="bottom"/>
            <w:hideMark/>
          </w:tcPr>
          <w:p w14:paraId="64178F5E"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6E40082"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3F462A1"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1788770" w14:textId="77777777" w:rsidR="00954279" w:rsidRDefault="00A66714">
            <w:pPr>
              <w:jc w:val="right"/>
              <w:rPr>
                <w:color w:val="000000"/>
                <w:sz w:val="20"/>
                <w:szCs w:val="20"/>
              </w:rPr>
            </w:pPr>
            <w:r>
              <w:rPr>
                <w:color w:val="000000"/>
                <w:sz w:val="20"/>
                <w:szCs w:val="20"/>
              </w:rPr>
              <w:t>N/M</w:t>
            </w:r>
          </w:p>
        </w:tc>
        <w:tc>
          <w:tcPr>
            <w:tcW w:w="50" w:type="pct"/>
            <w:noWrap/>
            <w:tcMar>
              <w:top w:w="5" w:type="dxa"/>
              <w:left w:w="5" w:type="dxa"/>
              <w:bottom w:w="5" w:type="dxa"/>
              <w:right w:w="5" w:type="dxa"/>
            </w:tcMar>
            <w:vAlign w:val="bottom"/>
            <w:hideMark/>
          </w:tcPr>
          <w:p w14:paraId="37F0C26F" w14:textId="77777777" w:rsidR="00954279" w:rsidRDefault="00A66714">
            <w:pPr>
              <w:rPr>
                <w:color w:val="000000"/>
                <w:sz w:val="20"/>
                <w:szCs w:val="20"/>
              </w:rPr>
            </w:pPr>
            <w:r>
              <w:rPr>
                <w:color w:val="000000"/>
                <w:sz w:val="20"/>
                <w:szCs w:val="20"/>
              </w:rPr>
              <w:t> </w:t>
            </w:r>
          </w:p>
        </w:tc>
      </w:tr>
      <w:tr w:rsidR="00954279" w14:paraId="23083AF4" w14:textId="77777777">
        <w:tc>
          <w:tcPr>
            <w:tcW w:w="0" w:type="auto"/>
            <w:tcMar>
              <w:top w:w="5" w:type="dxa"/>
              <w:left w:w="5" w:type="dxa"/>
              <w:bottom w:w="5" w:type="dxa"/>
              <w:right w:w="5" w:type="dxa"/>
            </w:tcMar>
            <w:vAlign w:val="bottom"/>
            <w:hideMark/>
          </w:tcPr>
          <w:p w14:paraId="3B659E1B" w14:textId="77777777" w:rsidR="00954279" w:rsidRDefault="00A66714">
            <w:pPr>
              <w:rPr>
                <w:color w:val="000000"/>
                <w:sz w:val="20"/>
                <w:szCs w:val="20"/>
              </w:rPr>
            </w:pPr>
            <w:r>
              <w:rPr>
                <w:color w:val="000000"/>
                <w:sz w:val="20"/>
                <w:szCs w:val="20"/>
              </w:rPr>
              <w:t>International</w:t>
            </w:r>
          </w:p>
        </w:tc>
        <w:tc>
          <w:tcPr>
            <w:tcW w:w="50" w:type="pct"/>
            <w:tcMar>
              <w:top w:w="5" w:type="dxa"/>
              <w:left w:w="5" w:type="dxa"/>
              <w:bottom w:w="20" w:type="dxa"/>
              <w:right w:w="5" w:type="dxa"/>
            </w:tcMar>
            <w:vAlign w:val="bottom"/>
            <w:hideMark/>
          </w:tcPr>
          <w:p w14:paraId="446F5397"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DE6A344"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141258A0" w14:textId="77777777" w:rsidR="00954279" w:rsidRDefault="00A66714">
            <w:pPr>
              <w:jc w:val="right"/>
              <w:rPr>
                <w:color w:val="000000"/>
                <w:sz w:val="20"/>
                <w:szCs w:val="20"/>
              </w:rPr>
            </w:pPr>
            <w:r>
              <w:rPr>
                <w:b/>
                <w:bCs/>
                <w:color w:val="000000"/>
                <w:sz w:val="20"/>
                <w:szCs w:val="20"/>
              </w:rPr>
              <w:t>7</w:t>
            </w:r>
          </w:p>
        </w:tc>
        <w:tc>
          <w:tcPr>
            <w:tcW w:w="50" w:type="pct"/>
            <w:noWrap/>
            <w:tcMar>
              <w:top w:w="5" w:type="dxa"/>
              <w:left w:w="5" w:type="dxa"/>
              <w:bottom w:w="20" w:type="dxa"/>
              <w:right w:w="5" w:type="dxa"/>
            </w:tcMar>
            <w:vAlign w:val="bottom"/>
            <w:hideMark/>
          </w:tcPr>
          <w:p w14:paraId="1EDE9B6A" w14:textId="77777777" w:rsidR="00954279" w:rsidRDefault="00A66714">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5CFCE834"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D6503A8"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574A2C08" w14:textId="77777777" w:rsidR="00954279" w:rsidRDefault="00A66714">
            <w:pPr>
              <w:jc w:val="right"/>
              <w:rPr>
                <w:color w:val="000000"/>
                <w:sz w:val="20"/>
                <w:szCs w:val="20"/>
              </w:rPr>
            </w:pPr>
            <w:r>
              <w:rPr>
                <w:color w:val="000000"/>
                <w:sz w:val="20"/>
                <w:szCs w:val="20"/>
              </w:rPr>
              <w:t>(57</w:t>
            </w:r>
          </w:p>
        </w:tc>
        <w:tc>
          <w:tcPr>
            <w:tcW w:w="50" w:type="pct"/>
            <w:noWrap/>
            <w:tcMar>
              <w:top w:w="5" w:type="dxa"/>
              <w:left w:w="5" w:type="dxa"/>
              <w:bottom w:w="20" w:type="dxa"/>
              <w:right w:w="5" w:type="dxa"/>
            </w:tcMar>
            <w:vAlign w:val="bottom"/>
            <w:hideMark/>
          </w:tcPr>
          <w:p w14:paraId="53880D3D" w14:textId="77777777" w:rsidR="00954279" w:rsidRDefault="00A66714">
            <w:pPr>
              <w:rPr>
                <w:color w:val="000000"/>
                <w:sz w:val="20"/>
                <w:szCs w:val="20"/>
              </w:rPr>
            </w:pPr>
            <w:r>
              <w:rPr>
                <w:color w:val="000000"/>
                <w:sz w:val="20"/>
                <w:szCs w:val="20"/>
              </w:rPr>
              <w:t>)</w:t>
            </w:r>
          </w:p>
        </w:tc>
        <w:tc>
          <w:tcPr>
            <w:tcW w:w="50" w:type="pct"/>
            <w:tcMar>
              <w:top w:w="5" w:type="dxa"/>
              <w:left w:w="5" w:type="dxa"/>
              <w:bottom w:w="20" w:type="dxa"/>
              <w:right w:w="5" w:type="dxa"/>
            </w:tcMar>
            <w:vAlign w:val="bottom"/>
            <w:hideMark/>
          </w:tcPr>
          <w:p w14:paraId="2570D14D"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41A3F47"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2DFA6B7F" w14:textId="77777777" w:rsidR="00954279" w:rsidRDefault="00A66714">
            <w:pPr>
              <w:jc w:val="right"/>
              <w:rPr>
                <w:color w:val="000000"/>
                <w:sz w:val="20"/>
                <w:szCs w:val="20"/>
              </w:rPr>
            </w:pPr>
            <w:r>
              <w:rPr>
                <w:color w:val="000000"/>
                <w:sz w:val="20"/>
                <w:szCs w:val="20"/>
              </w:rPr>
              <w:t>64</w:t>
            </w:r>
          </w:p>
        </w:tc>
        <w:tc>
          <w:tcPr>
            <w:tcW w:w="50" w:type="pct"/>
            <w:noWrap/>
            <w:tcMar>
              <w:top w:w="5" w:type="dxa"/>
              <w:left w:w="5" w:type="dxa"/>
              <w:bottom w:w="20" w:type="dxa"/>
              <w:right w:w="5" w:type="dxa"/>
            </w:tcMar>
            <w:vAlign w:val="bottom"/>
            <w:hideMark/>
          </w:tcPr>
          <w:p w14:paraId="7AFAC5C5" w14:textId="77777777" w:rsidR="00954279" w:rsidRDefault="00A66714">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01820038"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34F1C50"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CFE1D34" w14:textId="77777777" w:rsidR="00954279" w:rsidRDefault="00A66714">
            <w:pPr>
              <w:jc w:val="right"/>
              <w:rPr>
                <w:color w:val="000000"/>
                <w:sz w:val="20"/>
                <w:szCs w:val="20"/>
              </w:rPr>
            </w:pPr>
            <w:r>
              <w:rPr>
                <w:color w:val="000000"/>
                <w:sz w:val="20"/>
                <w:szCs w:val="20"/>
              </w:rPr>
              <w:t>N/M</w:t>
            </w:r>
          </w:p>
        </w:tc>
        <w:tc>
          <w:tcPr>
            <w:tcW w:w="50" w:type="pct"/>
            <w:noWrap/>
            <w:tcMar>
              <w:top w:w="5" w:type="dxa"/>
              <w:left w:w="5" w:type="dxa"/>
              <w:bottom w:w="20" w:type="dxa"/>
              <w:right w:w="5" w:type="dxa"/>
            </w:tcMar>
            <w:vAlign w:val="bottom"/>
            <w:hideMark/>
          </w:tcPr>
          <w:p w14:paraId="7BB327BB" w14:textId="77777777" w:rsidR="00954279" w:rsidRDefault="00A66714">
            <w:pPr>
              <w:rPr>
                <w:color w:val="000000"/>
                <w:sz w:val="20"/>
                <w:szCs w:val="20"/>
              </w:rPr>
            </w:pPr>
            <w:r>
              <w:rPr>
                <w:color w:val="000000"/>
                <w:sz w:val="20"/>
                <w:szCs w:val="20"/>
              </w:rPr>
              <w:t> </w:t>
            </w:r>
          </w:p>
        </w:tc>
      </w:tr>
      <w:tr w:rsidR="00954279" w14:paraId="5FC329F6" w14:textId="77777777">
        <w:tc>
          <w:tcPr>
            <w:tcW w:w="0" w:type="auto"/>
            <w:tcMar>
              <w:top w:w="5" w:type="dxa"/>
              <w:left w:w="5" w:type="dxa"/>
              <w:bottom w:w="5" w:type="dxa"/>
              <w:right w:w="5" w:type="dxa"/>
            </w:tcMar>
            <w:vAlign w:val="bottom"/>
            <w:hideMark/>
          </w:tcPr>
          <w:p w14:paraId="0DCA6C99" w14:textId="77777777" w:rsidR="00954279" w:rsidRDefault="00A66714">
            <w:pPr>
              <w:ind w:left="180"/>
              <w:rPr>
                <w:color w:val="000000"/>
                <w:sz w:val="20"/>
                <w:szCs w:val="20"/>
              </w:rPr>
            </w:pPr>
            <w:r>
              <w:rPr>
                <w:color w:val="000000"/>
                <w:sz w:val="20"/>
                <w:szCs w:val="20"/>
              </w:rPr>
              <w:t>Consolidated</w:t>
            </w:r>
          </w:p>
        </w:tc>
        <w:tc>
          <w:tcPr>
            <w:tcW w:w="50" w:type="pct"/>
            <w:tcMar>
              <w:top w:w="5" w:type="dxa"/>
              <w:left w:w="5" w:type="dxa"/>
              <w:bottom w:w="5" w:type="dxa"/>
              <w:right w:w="5" w:type="dxa"/>
            </w:tcMar>
            <w:vAlign w:val="bottom"/>
            <w:hideMark/>
          </w:tcPr>
          <w:p w14:paraId="29B4E7C6"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C2C67A1"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E905703" w14:textId="77777777" w:rsidR="00954279" w:rsidRDefault="00A66714">
            <w:pPr>
              <w:jc w:val="right"/>
              <w:rPr>
                <w:color w:val="000000"/>
                <w:sz w:val="20"/>
                <w:szCs w:val="20"/>
              </w:rPr>
            </w:pPr>
            <w:r>
              <w:rPr>
                <w:b/>
                <w:bCs/>
                <w:color w:val="000000"/>
                <w:sz w:val="20"/>
                <w:szCs w:val="20"/>
              </w:rPr>
              <w:t>13</w:t>
            </w:r>
          </w:p>
        </w:tc>
        <w:tc>
          <w:tcPr>
            <w:tcW w:w="50" w:type="pct"/>
            <w:noWrap/>
            <w:tcMar>
              <w:top w:w="5" w:type="dxa"/>
              <w:left w:w="5" w:type="dxa"/>
              <w:bottom w:w="5" w:type="dxa"/>
              <w:right w:w="5" w:type="dxa"/>
            </w:tcMar>
            <w:vAlign w:val="bottom"/>
            <w:hideMark/>
          </w:tcPr>
          <w:p w14:paraId="326711E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7261EC9"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C77DF62"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DC18EB1" w14:textId="77777777" w:rsidR="00954279" w:rsidRDefault="00A66714">
            <w:pPr>
              <w:jc w:val="right"/>
              <w:rPr>
                <w:color w:val="000000"/>
                <w:sz w:val="20"/>
                <w:szCs w:val="20"/>
              </w:rPr>
            </w:pPr>
            <w:r>
              <w:rPr>
                <w:color w:val="000000"/>
                <w:sz w:val="20"/>
                <w:szCs w:val="20"/>
              </w:rPr>
              <w:t>(267</w:t>
            </w:r>
          </w:p>
        </w:tc>
        <w:tc>
          <w:tcPr>
            <w:tcW w:w="50" w:type="pct"/>
            <w:noWrap/>
            <w:tcMar>
              <w:top w:w="5" w:type="dxa"/>
              <w:left w:w="5" w:type="dxa"/>
              <w:bottom w:w="5" w:type="dxa"/>
              <w:right w:w="5" w:type="dxa"/>
            </w:tcMar>
            <w:vAlign w:val="bottom"/>
            <w:hideMark/>
          </w:tcPr>
          <w:p w14:paraId="758BD8D7"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110AA752"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0C1A7F7"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0558AE5" w14:textId="77777777" w:rsidR="00954279" w:rsidRDefault="00A66714">
            <w:pPr>
              <w:jc w:val="right"/>
              <w:rPr>
                <w:color w:val="000000"/>
                <w:sz w:val="20"/>
                <w:szCs w:val="20"/>
              </w:rPr>
            </w:pPr>
            <w:r>
              <w:rPr>
                <w:color w:val="000000"/>
                <w:sz w:val="20"/>
                <w:szCs w:val="20"/>
              </w:rPr>
              <w:t>280</w:t>
            </w:r>
          </w:p>
        </w:tc>
        <w:tc>
          <w:tcPr>
            <w:tcW w:w="50" w:type="pct"/>
            <w:noWrap/>
            <w:tcMar>
              <w:top w:w="5" w:type="dxa"/>
              <w:left w:w="5" w:type="dxa"/>
              <w:bottom w:w="5" w:type="dxa"/>
              <w:right w:w="5" w:type="dxa"/>
            </w:tcMar>
            <w:vAlign w:val="bottom"/>
            <w:hideMark/>
          </w:tcPr>
          <w:p w14:paraId="6CBE36B3"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845641E"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91EBB1F"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AFD8781" w14:textId="77777777" w:rsidR="00954279" w:rsidRDefault="00A66714">
            <w:pPr>
              <w:jc w:val="right"/>
              <w:rPr>
                <w:color w:val="000000"/>
                <w:sz w:val="20"/>
                <w:szCs w:val="20"/>
              </w:rPr>
            </w:pPr>
            <w:r>
              <w:rPr>
                <w:color w:val="000000"/>
                <w:sz w:val="20"/>
                <w:szCs w:val="20"/>
              </w:rPr>
              <w:t>N/M</w:t>
            </w:r>
          </w:p>
        </w:tc>
        <w:tc>
          <w:tcPr>
            <w:tcW w:w="50" w:type="pct"/>
            <w:noWrap/>
            <w:tcMar>
              <w:top w:w="5" w:type="dxa"/>
              <w:left w:w="5" w:type="dxa"/>
              <w:bottom w:w="5" w:type="dxa"/>
              <w:right w:w="5" w:type="dxa"/>
            </w:tcMar>
            <w:vAlign w:val="bottom"/>
            <w:hideMark/>
          </w:tcPr>
          <w:p w14:paraId="5B44216D" w14:textId="77777777" w:rsidR="00954279" w:rsidRDefault="00A66714">
            <w:pPr>
              <w:rPr>
                <w:color w:val="000000"/>
                <w:sz w:val="20"/>
                <w:szCs w:val="20"/>
              </w:rPr>
            </w:pPr>
            <w:r>
              <w:rPr>
                <w:color w:val="000000"/>
                <w:sz w:val="20"/>
                <w:szCs w:val="20"/>
              </w:rPr>
              <w:t> </w:t>
            </w:r>
          </w:p>
        </w:tc>
      </w:tr>
      <w:tr w:rsidR="00954279" w14:paraId="1F20F1C0" w14:textId="77777777">
        <w:tc>
          <w:tcPr>
            <w:tcW w:w="0" w:type="auto"/>
            <w:tcMar>
              <w:top w:w="5" w:type="dxa"/>
              <w:left w:w="5" w:type="dxa"/>
              <w:bottom w:w="5" w:type="dxa"/>
              <w:right w:w="5" w:type="dxa"/>
            </w:tcMar>
            <w:vAlign w:val="bottom"/>
            <w:hideMark/>
          </w:tcPr>
          <w:p w14:paraId="5D2DBAA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E5D7A6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32E431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0D0E2F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89FB8C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2809A1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AA4182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43E978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0482BA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BC05B92"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D85D412"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2257CD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3326CA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07F9092"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8DA27A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42FF9D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F8FEA6C" w14:textId="77777777" w:rsidR="00954279" w:rsidRDefault="00A66714">
            <w:pPr>
              <w:rPr>
                <w:color w:val="000000"/>
                <w:sz w:val="20"/>
                <w:szCs w:val="20"/>
              </w:rPr>
            </w:pPr>
            <w:r>
              <w:rPr>
                <w:color w:val="000000"/>
                <w:sz w:val="20"/>
                <w:szCs w:val="20"/>
              </w:rPr>
              <w:t> </w:t>
            </w:r>
          </w:p>
        </w:tc>
      </w:tr>
      <w:tr w:rsidR="00954279" w14:paraId="07D28E1E" w14:textId="77777777">
        <w:tc>
          <w:tcPr>
            <w:tcW w:w="0" w:type="auto"/>
            <w:tcMar>
              <w:top w:w="5" w:type="dxa"/>
              <w:left w:w="5" w:type="dxa"/>
              <w:bottom w:w="5" w:type="dxa"/>
              <w:right w:w="5" w:type="dxa"/>
            </w:tcMar>
            <w:vAlign w:val="bottom"/>
            <w:hideMark/>
          </w:tcPr>
          <w:p w14:paraId="4DE71549" w14:textId="77777777" w:rsidR="00954279" w:rsidRDefault="00A66714">
            <w:pPr>
              <w:rPr>
                <w:color w:val="000000"/>
                <w:sz w:val="20"/>
                <w:szCs w:val="20"/>
              </w:rPr>
            </w:pPr>
            <w:r>
              <w:rPr>
                <w:color w:val="000000"/>
                <w:sz w:val="20"/>
                <w:szCs w:val="20"/>
              </w:rPr>
              <w:t>Interest expense</w:t>
            </w:r>
          </w:p>
        </w:tc>
        <w:tc>
          <w:tcPr>
            <w:tcW w:w="50" w:type="pct"/>
            <w:tcMar>
              <w:top w:w="5" w:type="dxa"/>
              <w:left w:w="5" w:type="dxa"/>
              <w:bottom w:w="5" w:type="dxa"/>
              <w:right w:w="5" w:type="dxa"/>
            </w:tcMar>
            <w:vAlign w:val="bottom"/>
            <w:hideMark/>
          </w:tcPr>
          <w:p w14:paraId="352876C0"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C60666F"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946A37D" w14:textId="77777777" w:rsidR="00954279" w:rsidRDefault="00A66714">
            <w:pPr>
              <w:jc w:val="right"/>
              <w:rPr>
                <w:color w:val="000000"/>
                <w:sz w:val="20"/>
                <w:szCs w:val="20"/>
              </w:rPr>
            </w:pPr>
            <w:r>
              <w:rPr>
                <w:b/>
                <w:bCs/>
                <w:color w:val="000000"/>
                <w:sz w:val="20"/>
                <w:szCs w:val="20"/>
              </w:rPr>
              <w:t>(12</w:t>
            </w:r>
          </w:p>
        </w:tc>
        <w:tc>
          <w:tcPr>
            <w:tcW w:w="50" w:type="pct"/>
            <w:noWrap/>
            <w:tcMar>
              <w:top w:w="5" w:type="dxa"/>
              <w:left w:w="5" w:type="dxa"/>
              <w:bottom w:w="5" w:type="dxa"/>
              <w:right w:w="5" w:type="dxa"/>
            </w:tcMar>
            <w:vAlign w:val="bottom"/>
            <w:hideMark/>
          </w:tcPr>
          <w:p w14:paraId="35FAD34B" w14:textId="77777777" w:rsidR="00954279" w:rsidRDefault="00A66714">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7288B8C3"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2250CDA"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26AABFC" w14:textId="77777777" w:rsidR="00954279" w:rsidRDefault="00A66714">
            <w:pPr>
              <w:jc w:val="right"/>
              <w:rPr>
                <w:color w:val="000000"/>
                <w:sz w:val="20"/>
                <w:szCs w:val="20"/>
              </w:rPr>
            </w:pPr>
            <w:r>
              <w:rPr>
                <w:color w:val="000000"/>
                <w:sz w:val="20"/>
                <w:szCs w:val="20"/>
              </w:rPr>
              <w:t>(15</w:t>
            </w:r>
          </w:p>
        </w:tc>
        <w:tc>
          <w:tcPr>
            <w:tcW w:w="50" w:type="pct"/>
            <w:noWrap/>
            <w:tcMar>
              <w:top w:w="5" w:type="dxa"/>
              <w:left w:w="5" w:type="dxa"/>
              <w:bottom w:w="5" w:type="dxa"/>
              <w:right w:w="5" w:type="dxa"/>
            </w:tcMar>
            <w:vAlign w:val="bottom"/>
            <w:hideMark/>
          </w:tcPr>
          <w:p w14:paraId="3154C382"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1BDD1E5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CE25185"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15E013A" w14:textId="77777777" w:rsidR="00954279" w:rsidRDefault="00A66714">
            <w:pPr>
              <w:jc w:val="right"/>
              <w:rPr>
                <w:color w:val="000000"/>
                <w:sz w:val="20"/>
                <w:szCs w:val="20"/>
              </w:rPr>
            </w:pPr>
            <w:r>
              <w:rPr>
                <w:color w:val="000000"/>
                <w:sz w:val="20"/>
                <w:szCs w:val="20"/>
              </w:rPr>
              <w:t>3</w:t>
            </w:r>
          </w:p>
        </w:tc>
        <w:tc>
          <w:tcPr>
            <w:tcW w:w="50" w:type="pct"/>
            <w:noWrap/>
            <w:tcMar>
              <w:top w:w="5" w:type="dxa"/>
              <w:left w:w="5" w:type="dxa"/>
              <w:bottom w:w="5" w:type="dxa"/>
              <w:right w:w="5" w:type="dxa"/>
            </w:tcMar>
            <w:vAlign w:val="bottom"/>
            <w:hideMark/>
          </w:tcPr>
          <w:p w14:paraId="6E620AD3"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2462B0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8EE68DE"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D39C9A5" w14:textId="77777777" w:rsidR="00954279" w:rsidRDefault="00A66714">
            <w:pPr>
              <w:jc w:val="right"/>
              <w:rPr>
                <w:color w:val="000000"/>
                <w:sz w:val="20"/>
                <w:szCs w:val="20"/>
              </w:rPr>
            </w:pPr>
            <w:r>
              <w:rPr>
                <w:color w:val="000000"/>
                <w:sz w:val="20"/>
                <w:szCs w:val="20"/>
              </w:rPr>
              <w:t>(20</w:t>
            </w:r>
          </w:p>
        </w:tc>
        <w:tc>
          <w:tcPr>
            <w:tcW w:w="50" w:type="pct"/>
            <w:noWrap/>
            <w:tcMar>
              <w:top w:w="5" w:type="dxa"/>
              <w:left w:w="5" w:type="dxa"/>
              <w:bottom w:w="5" w:type="dxa"/>
              <w:right w:w="5" w:type="dxa"/>
            </w:tcMar>
            <w:vAlign w:val="bottom"/>
            <w:hideMark/>
          </w:tcPr>
          <w:p w14:paraId="7CF96CDE" w14:textId="77777777" w:rsidR="00954279" w:rsidRDefault="00A66714">
            <w:pPr>
              <w:rPr>
                <w:color w:val="000000"/>
                <w:sz w:val="20"/>
                <w:szCs w:val="20"/>
              </w:rPr>
            </w:pPr>
            <w:r>
              <w:rPr>
                <w:color w:val="000000"/>
                <w:sz w:val="20"/>
                <w:szCs w:val="20"/>
              </w:rPr>
              <w:t>)%</w:t>
            </w:r>
          </w:p>
        </w:tc>
      </w:tr>
      <w:tr w:rsidR="00954279" w14:paraId="4B59A10F" w14:textId="77777777">
        <w:tc>
          <w:tcPr>
            <w:tcW w:w="0" w:type="auto"/>
            <w:tcMar>
              <w:top w:w="5" w:type="dxa"/>
              <w:left w:w="5" w:type="dxa"/>
              <w:bottom w:w="5" w:type="dxa"/>
              <w:right w:w="5" w:type="dxa"/>
            </w:tcMar>
            <w:vAlign w:val="bottom"/>
            <w:hideMark/>
          </w:tcPr>
          <w:p w14:paraId="33A2C5FA" w14:textId="77777777" w:rsidR="00954279" w:rsidRDefault="00A66714">
            <w:pPr>
              <w:rPr>
                <w:color w:val="000000"/>
                <w:sz w:val="20"/>
                <w:szCs w:val="20"/>
              </w:rPr>
            </w:pPr>
            <w:r>
              <w:rPr>
                <w:color w:val="000000"/>
                <w:sz w:val="20"/>
                <w:szCs w:val="20"/>
              </w:rPr>
              <w:t>Other, net</w:t>
            </w:r>
          </w:p>
        </w:tc>
        <w:tc>
          <w:tcPr>
            <w:tcW w:w="50" w:type="pct"/>
            <w:tcMar>
              <w:top w:w="5" w:type="dxa"/>
              <w:left w:w="5" w:type="dxa"/>
              <w:bottom w:w="5" w:type="dxa"/>
              <w:right w:w="5" w:type="dxa"/>
            </w:tcMar>
            <w:vAlign w:val="bottom"/>
            <w:hideMark/>
          </w:tcPr>
          <w:p w14:paraId="0691E0B0"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56583C0"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27C1EFD" w14:textId="77777777" w:rsidR="00954279" w:rsidRDefault="00A66714">
            <w:pPr>
              <w:jc w:val="right"/>
              <w:rPr>
                <w:color w:val="000000"/>
                <w:sz w:val="20"/>
                <w:szCs w:val="20"/>
              </w:rPr>
            </w:pPr>
            <w:r>
              <w:rPr>
                <w:b/>
                <w:bCs/>
                <w:color w:val="000000"/>
                <w:sz w:val="20"/>
                <w:szCs w:val="20"/>
              </w:rPr>
              <w:t>1</w:t>
            </w:r>
          </w:p>
        </w:tc>
        <w:tc>
          <w:tcPr>
            <w:tcW w:w="50" w:type="pct"/>
            <w:noWrap/>
            <w:tcMar>
              <w:top w:w="5" w:type="dxa"/>
              <w:left w:w="5" w:type="dxa"/>
              <w:bottom w:w="5" w:type="dxa"/>
              <w:right w:w="5" w:type="dxa"/>
            </w:tcMar>
            <w:vAlign w:val="bottom"/>
            <w:hideMark/>
          </w:tcPr>
          <w:p w14:paraId="2EBD994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AAD98E0"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0CE94AE"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02A9FBF" w14:textId="77777777" w:rsidR="00954279" w:rsidRDefault="00A66714">
            <w:pPr>
              <w:jc w:val="right"/>
              <w:rPr>
                <w:color w:val="000000"/>
                <w:sz w:val="20"/>
                <w:szCs w:val="20"/>
              </w:rPr>
            </w:pPr>
            <w:r>
              <w:rPr>
                <w:color w:val="000000"/>
                <w:sz w:val="20"/>
                <w:szCs w:val="20"/>
              </w:rPr>
              <w:t>(2</w:t>
            </w:r>
          </w:p>
        </w:tc>
        <w:tc>
          <w:tcPr>
            <w:tcW w:w="50" w:type="pct"/>
            <w:noWrap/>
            <w:tcMar>
              <w:top w:w="5" w:type="dxa"/>
              <w:left w:w="5" w:type="dxa"/>
              <w:bottom w:w="5" w:type="dxa"/>
              <w:right w:w="5" w:type="dxa"/>
            </w:tcMar>
            <w:vAlign w:val="bottom"/>
            <w:hideMark/>
          </w:tcPr>
          <w:p w14:paraId="7E3F0F44"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54399C57"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12F8867"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790A63E" w14:textId="77777777" w:rsidR="00954279" w:rsidRDefault="00A66714">
            <w:pPr>
              <w:jc w:val="right"/>
              <w:rPr>
                <w:color w:val="000000"/>
                <w:sz w:val="20"/>
                <w:szCs w:val="20"/>
              </w:rPr>
            </w:pPr>
            <w:r>
              <w:rPr>
                <w:color w:val="000000"/>
                <w:sz w:val="20"/>
                <w:szCs w:val="20"/>
              </w:rPr>
              <w:t>3</w:t>
            </w:r>
          </w:p>
        </w:tc>
        <w:tc>
          <w:tcPr>
            <w:tcW w:w="50" w:type="pct"/>
            <w:noWrap/>
            <w:tcMar>
              <w:top w:w="5" w:type="dxa"/>
              <w:left w:w="5" w:type="dxa"/>
              <w:bottom w:w="5" w:type="dxa"/>
              <w:right w:w="5" w:type="dxa"/>
            </w:tcMar>
            <w:vAlign w:val="bottom"/>
            <w:hideMark/>
          </w:tcPr>
          <w:p w14:paraId="634675A8"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11CA5C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3103415"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FAAE856" w14:textId="77777777" w:rsidR="00954279" w:rsidRDefault="00A66714">
            <w:pPr>
              <w:jc w:val="right"/>
              <w:rPr>
                <w:color w:val="000000"/>
                <w:sz w:val="20"/>
                <w:szCs w:val="20"/>
              </w:rPr>
            </w:pPr>
            <w:r>
              <w:rPr>
                <w:color w:val="000000"/>
                <w:sz w:val="20"/>
                <w:szCs w:val="20"/>
              </w:rPr>
              <w:t>N/M</w:t>
            </w:r>
          </w:p>
        </w:tc>
        <w:tc>
          <w:tcPr>
            <w:tcW w:w="50" w:type="pct"/>
            <w:noWrap/>
            <w:tcMar>
              <w:top w:w="5" w:type="dxa"/>
              <w:left w:w="5" w:type="dxa"/>
              <w:bottom w:w="5" w:type="dxa"/>
              <w:right w:w="5" w:type="dxa"/>
            </w:tcMar>
            <w:vAlign w:val="bottom"/>
            <w:hideMark/>
          </w:tcPr>
          <w:p w14:paraId="5AA01BDC" w14:textId="77777777" w:rsidR="00954279" w:rsidRDefault="00A66714">
            <w:pPr>
              <w:rPr>
                <w:color w:val="000000"/>
                <w:sz w:val="20"/>
                <w:szCs w:val="20"/>
              </w:rPr>
            </w:pPr>
            <w:r>
              <w:rPr>
                <w:color w:val="000000"/>
                <w:sz w:val="20"/>
                <w:szCs w:val="20"/>
              </w:rPr>
              <w:t> </w:t>
            </w:r>
          </w:p>
        </w:tc>
      </w:tr>
      <w:tr w:rsidR="00954279" w14:paraId="1BEBDE95" w14:textId="77777777">
        <w:tc>
          <w:tcPr>
            <w:tcW w:w="0" w:type="auto"/>
            <w:tcMar>
              <w:top w:w="5" w:type="dxa"/>
              <w:left w:w="5" w:type="dxa"/>
              <w:bottom w:w="5" w:type="dxa"/>
              <w:right w:w="5" w:type="dxa"/>
            </w:tcMar>
            <w:vAlign w:val="bottom"/>
            <w:hideMark/>
          </w:tcPr>
          <w:p w14:paraId="4884A9FF" w14:textId="77777777" w:rsidR="00954279" w:rsidRDefault="00A66714">
            <w:pPr>
              <w:rPr>
                <w:color w:val="000000"/>
                <w:sz w:val="20"/>
                <w:szCs w:val="20"/>
              </w:rPr>
            </w:pPr>
            <w:r>
              <w:rPr>
                <w:color w:val="000000"/>
                <w:sz w:val="20"/>
                <w:szCs w:val="20"/>
              </w:rPr>
              <w:t>Income tax (expense) benefit</w:t>
            </w:r>
          </w:p>
        </w:tc>
        <w:tc>
          <w:tcPr>
            <w:tcW w:w="50" w:type="pct"/>
            <w:tcMar>
              <w:top w:w="5" w:type="dxa"/>
              <w:left w:w="5" w:type="dxa"/>
              <w:bottom w:w="20" w:type="dxa"/>
              <w:right w:w="5" w:type="dxa"/>
            </w:tcMar>
            <w:vAlign w:val="bottom"/>
            <w:hideMark/>
          </w:tcPr>
          <w:p w14:paraId="247A648B"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66FF839"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10926060" w14:textId="77777777" w:rsidR="00954279" w:rsidRDefault="00A66714">
            <w:pPr>
              <w:jc w:val="right"/>
              <w:rPr>
                <w:color w:val="000000"/>
                <w:sz w:val="20"/>
                <w:szCs w:val="20"/>
              </w:rPr>
            </w:pPr>
            <w:r>
              <w:rPr>
                <w:b/>
                <w:bCs/>
                <w:color w:val="000000"/>
                <w:sz w:val="20"/>
                <w:szCs w:val="20"/>
              </w:rPr>
              <w:t>(1</w:t>
            </w:r>
          </w:p>
        </w:tc>
        <w:tc>
          <w:tcPr>
            <w:tcW w:w="50" w:type="pct"/>
            <w:noWrap/>
            <w:tcMar>
              <w:top w:w="5" w:type="dxa"/>
              <w:left w:w="5" w:type="dxa"/>
              <w:bottom w:w="20" w:type="dxa"/>
              <w:right w:w="5" w:type="dxa"/>
            </w:tcMar>
            <w:vAlign w:val="bottom"/>
            <w:hideMark/>
          </w:tcPr>
          <w:p w14:paraId="5A880928" w14:textId="77777777" w:rsidR="00954279" w:rsidRDefault="00A66714">
            <w:pPr>
              <w:rPr>
                <w:color w:val="000000"/>
                <w:sz w:val="20"/>
                <w:szCs w:val="20"/>
              </w:rPr>
            </w:pPr>
            <w:r>
              <w:rPr>
                <w:color w:val="000000"/>
                <w:sz w:val="20"/>
                <w:szCs w:val="20"/>
              </w:rPr>
              <w:t>)</w:t>
            </w:r>
          </w:p>
        </w:tc>
        <w:tc>
          <w:tcPr>
            <w:tcW w:w="50" w:type="pct"/>
            <w:tcMar>
              <w:top w:w="5" w:type="dxa"/>
              <w:left w:w="5" w:type="dxa"/>
              <w:bottom w:w="20" w:type="dxa"/>
              <w:right w:w="5" w:type="dxa"/>
            </w:tcMar>
            <w:vAlign w:val="bottom"/>
            <w:hideMark/>
          </w:tcPr>
          <w:p w14:paraId="2FD42BE8"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9A53E17"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534BFE40" w14:textId="77777777" w:rsidR="00954279" w:rsidRDefault="00A66714">
            <w:pPr>
              <w:jc w:val="right"/>
              <w:rPr>
                <w:color w:val="000000"/>
                <w:sz w:val="20"/>
                <w:szCs w:val="20"/>
              </w:rPr>
            </w:pPr>
            <w:r>
              <w:rPr>
                <w:color w:val="000000"/>
                <w:sz w:val="20"/>
                <w:szCs w:val="20"/>
              </w:rPr>
              <w:t>12</w:t>
            </w:r>
          </w:p>
        </w:tc>
        <w:tc>
          <w:tcPr>
            <w:tcW w:w="50" w:type="pct"/>
            <w:noWrap/>
            <w:tcMar>
              <w:top w:w="5" w:type="dxa"/>
              <w:left w:w="5" w:type="dxa"/>
              <w:bottom w:w="20" w:type="dxa"/>
              <w:right w:w="5" w:type="dxa"/>
            </w:tcMar>
            <w:vAlign w:val="bottom"/>
            <w:hideMark/>
          </w:tcPr>
          <w:p w14:paraId="2565CDDF" w14:textId="77777777" w:rsidR="00954279" w:rsidRDefault="00A66714">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4D9797B6"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BA407B2"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6EC804B0" w14:textId="77777777" w:rsidR="00954279" w:rsidRDefault="00A66714">
            <w:pPr>
              <w:jc w:val="right"/>
              <w:rPr>
                <w:color w:val="000000"/>
                <w:sz w:val="20"/>
                <w:szCs w:val="20"/>
              </w:rPr>
            </w:pPr>
            <w:r>
              <w:rPr>
                <w:color w:val="000000"/>
                <w:sz w:val="20"/>
                <w:szCs w:val="20"/>
              </w:rPr>
              <w:t>(13</w:t>
            </w:r>
          </w:p>
        </w:tc>
        <w:tc>
          <w:tcPr>
            <w:tcW w:w="50" w:type="pct"/>
            <w:noWrap/>
            <w:tcMar>
              <w:top w:w="5" w:type="dxa"/>
              <w:left w:w="5" w:type="dxa"/>
              <w:bottom w:w="20" w:type="dxa"/>
              <w:right w:w="5" w:type="dxa"/>
            </w:tcMar>
            <w:vAlign w:val="bottom"/>
            <w:hideMark/>
          </w:tcPr>
          <w:p w14:paraId="0A68C9A7" w14:textId="77777777" w:rsidR="00954279" w:rsidRDefault="00A66714">
            <w:pPr>
              <w:rPr>
                <w:color w:val="000000"/>
                <w:sz w:val="20"/>
                <w:szCs w:val="20"/>
              </w:rPr>
            </w:pPr>
            <w:r>
              <w:rPr>
                <w:color w:val="000000"/>
                <w:sz w:val="20"/>
                <w:szCs w:val="20"/>
              </w:rPr>
              <w:t>)</w:t>
            </w:r>
          </w:p>
        </w:tc>
        <w:tc>
          <w:tcPr>
            <w:tcW w:w="50" w:type="pct"/>
            <w:tcMar>
              <w:top w:w="5" w:type="dxa"/>
              <w:left w:w="5" w:type="dxa"/>
              <w:bottom w:w="20" w:type="dxa"/>
              <w:right w:w="5" w:type="dxa"/>
            </w:tcMar>
            <w:vAlign w:val="bottom"/>
            <w:hideMark/>
          </w:tcPr>
          <w:p w14:paraId="710CCCEE"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31EA852"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A2C0DF6" w14:textId="77777777" w:rsidR="00954279" w:rsidRDefault="00A66714">
            <w:pPr>
              <w:jc w:val="right"/>
              <w:rPr>
                <w:color w:val="000000"/>
                <w:sz w:val="20"/>
                <w:szCs w:val="20"/>
              </w:rPr>
            </w:pPr>
            <w:r>
              <w:rPr>
                <w:color w:val="000000"/>
                <w:sz w:val="20"/>
                <w:szCs w:val="20"/>
              </w:rPr>
              <w:t>N/M</w:t>
            </w:r>
          </w:p>
        </w:tc>
        <w:tc>
          <w:tcPr>
            <w:tcW w:w="50" w:type="pct"/>
            <w:noWrap/>
            <w:tcMar>
              <w:top w:w="5" w:type="dxa"/>
              <w:left w:w="5" w:type="dxa"/>
              <w:bottom w:w="20" w:type="dxa"/>
              <w:right w:w="5" w:type="dxa"/>
            </w:tcMar>
            <w:vAlign w:val="bottom"/>
            <w:hideMark/>
          </w:tcPr>
          <w:p w14:paraId="27204460" w14:textId="77777777" w:rsidR="00954279" w:rsidRDefault="00A66714">
            <w:pPr>
              <w:rPr>
                <w:color w:val="000000"/>
                <w:sz w:val="20"/>
                <w:szCs w:val="20"/>
              </w:rPr>
            </w:pPr>
            <w:r>
              <w:rPr>
                <w:color w:val="000000"/>
                <w:sz w:val="20"/>
                <w:szCs w:val="20"/>
              </w:rPr>
              <w:t> </w:t>
            </w:r>
          </w:p>
        </w:tc>
      </w:tr>
      <w:tr w:rsidR="00954279" w14:paraId="726DF1B1" w14:textId="77777777">
        <w:tc>
          <w:tcPr>
            <w:tcW w:w="0" w:type="auto"/>
            <w:tcMar>
              <w:top w:w="5" w:type="dxa"/>
              <w:left w:w="5" w:type="dxa"/>
              <w:bottom w:w="5" w:type="dxa"/>
              <w:right w:w="5" w:type="dxa"/>
            </w:tcMar>
            <w:vAlign w:val="bottom"/>
            <w:hideMark/>
          </w:tcPr>
          <w:p w14:paraId="42C6CD73" w14:textId="77777777" w:rsidR="00954279" w:rsidRDefault="00A66714">
            <w:pPr>
              <w:rPr>
                <w:color w:val="000000"/>
                <w:sz w:val="20"/>
                <w:szCs w:val="20"/>
              </w:rPr>
            </w:pPr>
            <w:r>
              <w:rPr>
                <w:color w:val="000000"/>
                <w:sz w:val="20"/>
                <w:szCs w:val="20"/>
              </w:rPr>
              <w:t>Net income (loss)</w:t>
            </w:r>
          </w:p>
        </w:tc>
        <w:tc>
          <w:tcPr>
            <w:tcW w:w="50" w:type="pct"/>
            <w:tcMar>
              <w:top w:w="5" w:type="dxa"/>
              <w:left w:w="5" w:type="dxa"/>
              <w:bottom w:w="5" w:type="dxa"/>
              <w:right w:w="5" w:type="dxa"/>
            </w:tcMar>
            <w:vAlign w:val="bottom"/>
            <w:hideMark/>
          </w:tcPr>
          <w:p w14:paraId="5FC48E0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289161C"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021DDCE" w14:textId="77777777" w:rsidR="00954279" w:rsidRDefault="00A66714">
            <w:pPr>
              <w:jc w:val="right"/>
              <w:rPr>
                <w:color w:val="000000"/>
                <w:sz w:val="20"/>
                <w:szCs w:val="20"/>
              </w:rPr>
            </w:pPr>
            <w:r>
              <w:rPr>
                <w:b/>
                <w:bCs/>
                <w:color w:val="000000"/>
                <w:sz w:val="20"/>
                <w:szCs w:val="20"/>
              </w:rPr>
              <w:t>1</w:t>
            </w:r>
          </w:p>
        </w:tc>
        <w:tc>
          <w:tcPr>
            <w:tcW w:w="50" w:type="pct"/>
            <w:noWrap/>
            <w:tcMar>
              <w:top w:w="5" w:type="dxa"/>
              <w:left w:w="5" w:type="dxa"/>
              <w:bottom w:w="5" w:type="dxa"/>
              <w:right w:w="5" w:type="dxa"/>
            </w:tcMar>
            <w:vAlign w:val="bottom"/>
            <w:hideMark/>
          </w:tcPr>
          <w:p w14:paraId="1E46F311"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2E794B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941EE07"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1555470" w14:textId="77777777" w:rsidR="00954279" w:rsidRDefault="00A66714">
            <w:pPr>
              <w:jc w:val="right"/>
              <w:rPr>
                <w:color w:val="000000"/>
                <w:sz w:val="20"/>
                <w:szCs w:val="20"/>
              </w:rPr>
            </w:pPr>
            <w:r>
              <w:rPr>
                <w:color w:val="000000"/>
                <w:sz w:val="20"/>
                <w:szCs w:val="20"/>
              </w:rPr>
              <w:t>(272</w:t>
            </w:r>
          </w:p>
        </w:tc>
        <w:tc>
          <w:tcPr>
            <w:tcW w:w="50" w:type="pct"/>
            <w:noWrap/>
            <w:tcMar>
              <w:top w:w="5" w:type="dxa"/>
              <w:left w:w="5" w:type="dxa"/>
              <w:bottom w:w="5" w:type="dxa"/>
              <w:right w:w="5" w:type="dxa"/>
            </w:tcMar>
            <w:vAlign w:val="bottom"/>
            <w:hideMark/>
          </w:tcPr>
          <w:p w14:paraId="21953AFC"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75049768"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C316405"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DD6FBBF" w14:textId="77777777" w:rsidR="00954279" w:rsidRDefault="00A66714">
            <w:pPr>
              <w:jc w:val="right"/>
              <w:rPr>
                <w:color w:val="000000"/>
                <w:sz w:val="20"/>
                <w:szCs w:val="20"/>
              </w:rPr>
            </w:pPr>
            <w:r>
              <w:rPr>
                <w:color w:val="000000"/>
                <w:sz w:val="20"/>
                <w:szCs w:val="20"/>
              </w:rPr>
              <w:t>273</w:t>
            </w:r>
          </w:p>
        </w:tc>
        <w:tc>
          <w:tcPr>
            <w:tcW w:w="50" w:type="pct"/>
            <w:noWrap/>
            <w:tcMar>
              <w:top w:w="5" w:type="dxa"/>
              <w:left w:w="5" w:type="dxa"/>
              <w:bottom w:w="5" w:type="dxa"/>
              <w:right w:w="5" w:type="dxa"/>
            </w:tcMar>
            <w:vAlign w:val="bottom"/>
            <w:hideMark/>
          </w:tcPr>
          <w:p w14:paraId="5B847F63"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517F13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28E0601"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D89163A" w14:textId="77777777" w:rsidR="00954279" w:rsidRDefault="00A66714">
            <w:pPr>
              <w:jc w:val="right"/>
              <w:rPr>
                <w:color w:val="000000"/>
                <w:sz w:val="20"/>
                <w:szCs w:val="20"/>
              </w:rPr>
            </w:pPr>
            <w:r>
              <w:rPr>
                <w:color w:val="000000"/>
                <w:sz w:val="20"/>
                <w:szCs w:val="20"/>
              </w:rPr>
              <w:t>N/M</w:t>
            </w:r>
          </w:p>
        </w:tc>
        <w:tc>
          <w:tcPr>
            <w:tcW w:w="50" w:type="pct"/>
            <w:noWrap/>
            <w:tcMar>
              <w:top w:w="5" w:type="dxa"/>
              <w:left w:w="5" w:type="dxa"/>
              <w:bottom w:w="5" w:type="dxa"/>
              <w:right w:w="5" w:type="dxa"/>
            </w:tcMar>
            <w:vAlign w:val="bottom"/>
            <w:hideMark/>
          </w:tcPr>
          <w:p w14:paraId="2F267BF3" w14:textId="77777777" w:rsidR="00954279" w:rsidRDefault="00A66714">
            <w:pPr>
              <w:rPr>
                <w:color w:val="000000"/>
                <w:sz w:val="20"/>
                <w:szCs w:val="20"/>
              </w:rPr>
            </w:pPr>
            <w:r>
              <w:rPr>
                <w:color w:val="000000"/>
                <w:sz w:val="20"/>
                <w:szCs w:val="20"/>
              </w:rPr>
              <w:t> </w:t>
            </w:r>
          </w:p>
        </w:tc>
      </w:tr>
      <w:tr w:rsidR="00954279" w14:paraId="7DA6DC79" w14:textId="77777777">
        <w:tc>
          <w:tcPr>
            <w:tcW w:w="0" w:type="auto"/>
            <w:tcMar>
              <w:top w:w="5" w:type="dxa"/>
              <w:left w:w="5" w:type="dxa"/>
              <w:bottom w:w="5" w:type="dxa"/>
              <w:right w:w="5" w:type="dxa"/>
            </w:tcMar>
            <w:vAlign w:val="bottom"/>
            <w:hideMark/>
          </w:tcPr>
          <w:p w14:paraId="7EDDFA06" w14:textId="77777777" w:rsidR="00954279" w:rsidRDefault="00A66714">
            <w:pPr>
              <w:rPr>
                <w:color w:val="000000"/>
                <w:sz w:val="20"/>
                <w:szCs w:val="20"/>
              </w:rPr>
            </w:pPr>
            <w:r>
              <w:rPr>
                <w:color w:val="000000"/>
                <w:sz w:val="20"/>
                <w:szCs w:val="20"/>
              </w:rPr>
              <w:t>Series A preferred stock dividends</w:t>
            </w:r>
          </w:p>
        </w:tc>
        <w:tc>
          <w:tcPr>
            <w:tcW w:w="50" w:type="pct"/>
            <w:tcMar>
              <w:top w:w="5" w:type="dxa"/>
              <w:left w:w="5" w:type="dxa"/>
              <w:bottom w:w="20" w:type="dxa"/>
              <w:right w:w="5" w:type="dxa"/>
            </w:tcMar>
            <w:vAlign w:val="bottom"/>
            <w:hideMark/>
          </w:tcPr>
          <w:p w14:paraId="24CDB995"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3555748"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7C0229F0" w14:textId="77777777" w:rsidR="00954279" w:rsidRDefault="00A66714">
            <w:pPr>
              <w:jc w:val="right"/>
              <w:rPr>
                <w:color w:val="000000"/>
                <w:sz w:val="20"/>
                <w:szCs w:val="20"/>
              </w:rPr>
            </w:pPr>
            <w:r>
              <w:rPr>
                <w:b/>
                <w:bCs/>
                <w:color w:val="000000"/>
                <w:sz w:val="20"/>
                <w:szCs w:val="20"/>
              </w:rPr>
              <w:t>12</w:t>
            </w:r>
          </w:p>
        </w:tc>
        <w:tc>
          <w:tcPr>
            <w:tcW w:w="50" w:type="pct"/>
            <w:noWrap/>
            <w:tcMar>
              <w:top w:w="5" w:type="dxa"/>
              <w:left w:w="5" w:type="dxa"/>
              <w:bottom w:w="20" w:type="dxa"/>
              <w:right w:w="5" w:type="dxa"/>
            </w:tcMar>
            <w:vAlign w:val="bottom"/>
            <w:hideMark/>
          </w:tcPr>
          <w:p w14:paraId="7A0FD2A6" w14:textId="77777777" w:rsidR="00954279" w:rsidRDefault="00A66714">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4C1121D1"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84B1DFA"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04C9CB80" w14:textId="77777777" w:rsidR="00954279" w:rsidRDefault="00A66714">
            <w:pPr>
              <w:jc w:val="right"/>
              <w:rPr>
                <w:color w:val="000000"/>
                <w:sz w:val="20"/>
                <w:szCs w:val="20"/>
              </w:rPr>
            </w:pPr>
            <w:r>
              <w:rPr>
                <w:color w:val="000000"/>
                <w:sz w:val="20"/>
                <w:szCs w:val="20"/>
              </w:rPr>
              <w:t>12</w:t>
            </w:r>
          </w:p>
        </w:tc>
        <w:tc>
          <w:tcPr>
            <w:tcW w:w="50" w:type="pct"/>
            <w:noWrap/>
            <w:tcMar>
              <w:top w:w="5" w:type="dxa"/>
              <w:left w:w="5" w:type="dxa"/>
              <w:bottom w:w="20" w:type="dxa"/>
              <w:right w:w="5" w:type="dxa"/>
            </w:tcMar>
            <w:vAlign w:val="bottom"/>
            <w:hideMark/>
          </w:tcPr>
          <w:p w14:paraId="4C90B282" w14:textId="77777777" w:rsidR="00954279" w:rsidRDefault="00A66714">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661D0A3A"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31E4D95" w14:textId="77777777" w:rsidR="00954279" w:rsidRDefault="00A66714">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3C92FFEE" w14:textId="77777777" w:rsidR="00954279" w:rsidRDefault="00A66714">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6E712D25" w14:textId="77777777" w:rsidR="00954279" w:rsidRDefault="00A66714">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06DDD390"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709FD2E"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542743A" w14:textId="77777777" w:rsidR="00954279" w:rsidRDefault="00A66714">
            <w:pPr>
              <w:jc w:val="right"/>
              <w:rPr>
                <w:color w:val="000000"/>
                <w:sz w:val="20"/>
                <w:szCs w:val="20"/>
              </w:rPr>
            </w:pPr>
            <w:r>
              <w:rPr>
                <w:color w:val="000000"/>
                <w:sz w:val="20"/>
                <w:szCs w:val="20"/>
              </w:rPr>
              <w:t>0</w:t>
            </w:r>
          </w:p>
        </w:tc>
        <w:tc>
          <w:tcPr>
            <w:tcW w:w="50" w:type="pct"/>
            <w:noWrap/>
            <w:tcMar>
              <w:top w:w="5" w:type="dxa"/>
              <w:left w:w="5" w:type="dxa"/>
              <w:bottom w:w="20" w:type="dxa"/>
              <w:right w:w="5" w:type="dxa"/>
            </w:tcMar>
            <w:vAlign w:val="bottom"/>
            <w:hideMark/>
          </w:tcPr>
          <w:p w14:paraId="0171967D" w14:textId="77777777" w:rsidR="00954279" w:rsidRDefault="00A66714">
            <w:pPr>
              <w:rPr>
                <w:color w:val="000000"/>
                <w:sz w:val="20"/>
                <w:szCs w:val="20"/>
              </w:rPr>
            </w:pPr>
            <w:r>
              <w:rPr>
                <w:color w:val="000000"/>
                <w:sz w:val="20"/>
                <w:szCs w:val="20"/>
              </w:rPr>
              <w:t>%</w:t>
            </w:r>
          </w:p>
        </w:tc>
      </w:tr>
      <w:tr w:rsidR="00954279" w14:paraId="73FFB1CC" w14:textId="77777777">
        <w:tc>
          <w:tcPr>
            <w:tcW w:w="0" w:type="auto"/>
            <w:tcMar>
              <w:top w:w="5" w:type="dxa"/>
              <w:left w:w="5" w:type="dxa"/>
              <w:bottom w:w="5" w:type="dxa"/>
              <w:right w:w="5" w:type="dxa"/>
            </w:tcMar>
            <w:vAlign w:val="bottom"/>
            <w:hideMark/>
          </w:tcPr>
          <w:p w14:paraId="05650E77" w14:textId="77777777" w:rsidR="00954279" w:rsidRDefault="00A66714">
            <w:pPr>
              <w:rPr>
                <w:color w:val="000000"/>
                <w:sz w:val="20"/>
                <w:szCs w:val="20"/>
              </w:rPr>
            </w:pPr>
            <w:r>
              <w:rPr>
                <w:color w:val="000000"/>
                <w:sz w:val="20"/>
                <w:szCs w:val="20"/>
              </w:rPr>
              <w:t>Net loss attributable to common stockholders</w:t>
            </w:r>
          </w:p>
        </w:tc>
        <w:tc>
          <w:tcPr>
            <w:tcW w:w="50" w:type="pct"/>
            <w:tcMar>
              <w:top w:w="5" w:type="dxa"/>
              <w:left w:w="5" w:type="dxa"/>
              <w:bottom w:w="5" w:type="dxa"/>
              <w:right w:w="5" w:type="dxa"/>
            </w:tcMar>
            <w:vAlign w:val="bottom"/>
            <w:hideMark/>
          </w:tcPr>
          <w:p w14:paraId="10E897A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60F2395"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4DD4E844" w14:textId="77777777" w:rsidR="00954279" w:rsidRDefault="00A66714">
            <w:pPr>
              <w:jc w:val="right"/>
              <w:rPr>
                <w:color w:val="000000"/>
                <w:sz w:val="20"/>
                <w:szCs w:val="20"/>
              </w:rPr>
            </w:pPr>
            <w:r>
              <w:rPr>
                <w:b/>
                <w:bCs/>
                <w:color w:val="000000"/>
                <w:sz w:val="20"/>
                <w:szCs w:val="20"/>
              </w:rPr>
              <w:t>(11</w:t>
            </w:r>
          </w:p>
        </w:tc>
        <w:tc>
          <w:tcPr>
            <w:tcW w:w="50" w:type="pct"/>
            <w:noWrap/>
            <w:tcMar>
              <w:top w:w="5" w:type="dxa"/>
              <w:left w:w="5" w:type="dxa"/>
              <w:bottom w:w="5" w:type="dxa"/>
              <w:right w:w="5" w:type="dxa"/>
            </w:tcMar>
            <w:vAlign w:val="bottom"/>
            <w:hideMark/>
          </w:tcPr>
          <w:p w14:paraId="7BDF4A12" w14:textId="77777777" w:rsidR="00954279" w:rsidRDefault="00A66714">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40299EC8"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7BD3D71"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51EAE946" w14:textId="77777777" w:rsidR="00954279" w:rsidRDefault="00A66714">
            <w:pPr>
              <w:jc w:val="right"/>
              <w:rPr>
                <w:color w:val="000000"/>
                <w:sz w:val="20"/>
                <w:szCs w:val="20"/>
              </w:rPr>
            </w:pPr>
            <w:r>
              <w:rPr>
                <w:color w:val="000000"/>
                <w:sz w:val="20"/>
                <w:szCs w:val="20"/>
              </w:rPr>
              <w:t>(284</w:t>
            </w:r>
          </w:p>
        </w:tc>
        <w:tc>
          <w:tcPr>
            <w:tcW w:w="50" w:type="pct"/>
            <w:noWrap/>
            <w:tcMar>
              <w:top w:w="5" w:type="dxa"/>
              <w:left w:w="5" w:type="dxa"/>
              <w:bottom w:w="5" w:type="dxa"/>
              <w:right w:w="5" w:type="dxa"/>
            </w:tcMar>
            <w:vAlign w:val="bottom"/>
            <w:hideMark/>
          </w:tcPr>
          <w:p w14:paraId="3C03F85F"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7F5C3B76"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0620DBD" w14:textId="77777777" w:rsidR="00954279" w:rsidRDefault="00A66714">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1CB5C67B" w14:textId="77777777" w:rsidR="00954279" w:rsidRDefault="00A66714">
            <w:pPr>
              <w:jc w:val="right"/>
              <w:rPr>
                <w:color w:val="000000"/>
                <w:sz w:val="20"/>
                <w:szCs w:val="20"/>
              </w:rPr>
            </w:pPr>
            <w:r>
              <w:rPr>
                <w:color w:val="000000"/>
                <w:sz w:val="20"/>
                <w:szCs w:val="20"/>
              </w:rPr>
              <w:t>273</w:t>
            </w:r>
          </w:p>
        </w:tc>
        <w:tc>
          <w:tcPr>
            <w:tcW w:w="50" w:type="pct"/>
            <w:noWrap/>
            <w:tcMar>
              <w:top w:w="5" w:type="dxa"/>
              <w:left w:w="5" w:type="dxa"/>
              <w:bottom w:w="5" w:type="dxa"/>
              <w:right w:w="5" w:type="dxa"/>
            </w:tcMar>
            <w:vAlign w:val="bottom"/>
            <w:hideMark/>
          </w:tcPr>
          <w:p w14:paraId="048C26B7"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FB5FFA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41D0327"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80EE16E" w14:textId="77777777" w:rsidR="00954279" w:rsidRDefault="00A66714">
            <w:pPr>
              <w:jc w:val="right"/>
              <w:rPr>
                <w:color w:val="000000"/>
                <w:sz w:val="20"/>
                <w:szCs w:val="20"/>
              </w:rPr>
            </w:pPr>
            <w:r>
              <w:rPr>
                <w:color w:val="000000"/>
                <w:sz w:val="20"/>
                <w:szCs w:val="20"/>
              </w:rPr>
              <w:t>(96</w:t>
            </w:r>
          </w:p>
        </w:tc>
        <w:tc>
          <w:tcPr>
            <w:tcW w:w="50" w:type="pct"/>
            <w:noWrap/>
            <w:tcMar>
              <w:top w:w="5" w:type="dxa"/>
              <w:left w:w="5" w:type="dxa"/>
              <w:bottom w:w="5" w:type="dxa"/>
              <w:right w:w="5" w:type="dxa"/>
            </w:tcMar>
            <w:vAlign w:val="bottom"/>
            <w:hideMark/>
          </w:tcPr>
          <w:p w14:paraId="6DEB393C" w14:textId="77777777" w:rsidR="00954279" w:rsidRDefault="00A66714">
            <w:pPr>
              <w:rPr>
                <w:color w:val="000000"/>
                <w:sz w:val="20"/>
                <w:szCs w:val="20"/>
              </w:rPr>
            </w:pPr>
            <w:r>
              <w:rPr>
                <w:color w:val="000000"/>
                <w:sz w:val="20"/>
                <w:szCs w:val="20"/>
              </w:rPr>
              <w:t>)%</w:t>
            </w:r>
          </w:p>
        </w:tc>
      </w:tr>
      <w:tr w:rsidR="00954279" w14:paraId="38E1805D" w14:textId="77777777">
        <w:tc>
          <w:tcPr>
            <w:tcW w:w="0" w:type="auto"/>
            <w:tcMar>
              <w:top w:w="5" w:type="dxa"/>
              <w:left w:w="5" w:type="dxa"/>
              <w:bottom w:w="5" w:type="dxa"/>
              <w:right w:w="5" w:type="dxa"/>
            </w:tcMar>
            <w:vAlign w:val="bottom"/>
            <w:hideMark/>
          </w:tcPr>
          <w:p w14:paraId="3354DAD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95B599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088011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C9FB5E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611A51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DF69B0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8A710B2"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C3867B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AF086C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86FD80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5BEC2C2"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24253E1"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598E2E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545EE5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6D6716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BC858E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00848E6" w14:textId="77777777" w:rsidR="00954279" w:rsidRDefault="00A66714">
            <w:pPr>
              <w:rPr>
                <w:color w:val="000000"/>
                <w:sz w:val="20"/>
                <w:szCs w:val="20"/>
              </w:rPr>
            </w:pPr>
            <w:r>
              <w:rPr>
                <w:color w:val="000000"/>
                <w:sz w:val="20"/>
                <w:szCs w:val="20"/>
              </w:rPr>
              <w:t> </w:t>
            </w:r>
          </w:p>
        </w:tc>
      </w:tr>
      <w:tr w:rsidR="00954279" w14:paraId="28068E8B" w14:textId="77777777">
        <w:tc>
          <w:tcPr>
            <w:tcW w:w="0" w:type="auto"/>
            <w:tcMar>
              <w:top w:w="5" w:type="dxa"/>
              <w:left w:w="5" w:type="dxa"/>
              <w:bottom w:w="5" w:type="dxa"/>
              <w:right w:w="5" w:type="dxa"/>
            </w:tcMar>
            <w:vAlign w:val="bottom"/>
            <w:hideMark/>
          </w:tcPr>
          <w:p w14:paraId="3E063D56" w14:textId="77777777" w:rsidR="00954279" w:rsidRDefault="00A66714">
            <w:pPr>
              <w:rPr>
                <w:color w:val="000000"/>
                <w:sz w:val="20"/>
                <w:szCs w:val="20"/>
              </w:rPr>
            </w:pPr>
            <w:r>
              <w:rPr>
                <w:color w:val="000000"/>
                <w:sz w:val="20"/>
                <w:szCs w:val="20"/>
              </w:rPr>
              <w:t>Gross profit</w:t>
            </w:r>
          </w:p>
        </w:tc>
        <w:tc>
          <w:tcPr>
            <w:tcW w:w="50" w:type="pct"/>
            <w:tcMar>
              <w:top w:w="5" w:type="dxa"/>
              <w:left w:w="5" w:type="dxa"/>
              <w:bottom w:w="5" w:type="dxa"/>
              <w:right w:w="5" w:type="dxa"/>
            </w:tcMar>
            <w:vAlign w:val="bottom"/>
            <w:hideMark/>
          </w:tcPr>
          <w:p w14:paraId="106BE602"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663A56F"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07CE4A7A" w14:textId="77777777" w:rsidR="00954279" w:rsidRDefault="00A66714">
            <w:pPr>
              <w:jc w:val="right"/>
              <w:rPr>
                <w:color w:val="000000"/>
                <w:sz w:val="20"/>
                <w:szCs w:val="20"/>
              </w:rPr>
            </w:pPr>
            <w:r>
              <w:rPr>
                <w:b/>
                <w:bCs/>
                <w:color w:val="000000"/>
                <w:sz w:val="20"/>
                <w:szCs w:val="20"/>
              </w:rPr>
              <w:t>215</w:t>
            </w:r>
          </w:p>
        </w:tc>
        <w:tc>
          <w:tcPr>
            <w:tcW w:w="50" w:type="pct"/>
            <w:noWrap/>
            <w:tcMar>
              <w:top w:w="5" w:type="dxa"/>
              <w:left w:w="5" w:type="dxa"/>
              <w:bottom w:w="50" w:type="dxa"/>
              <w:right w:w="5" w:type="dxa"/>
            </w:tcMar>
            <w:vAlign w:val="bottom"/>
            <w:hideMark/>
          </w:tcPr>
          <w:p w14:paraId="100BD1D0"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07CC17A"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D171F8A"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3B21D024" w14:textId="77777777" w:rsidR="00954279" w:rsidRDefault="00A66714">
            <w:pPr>
              <w:jc w:val="right"/>
              <w:rPr>
                <w:color w:val="000000"/>
                <w:sz w:val="20"/>
                <w:szCs w:val="20"/>
              </w:rPr>
            </w:pPr>
            <w:r>
              <w:rPr>
                <w:color w:val="000000"/>
                <w:sz w:val="20"/>
                <w:szCs w:val="20"/>
              </w:rPr>
              <w:t>227</w:t>
            </w:r>
          </w:p>
        </w:tc>
        <w:tc>
          <w:tcPr>
            <w:tcW w:w="50" w:type="pct"/>
            <w:noWrap/>
            <w:tcMar>
              <w:top w:w="5" w:type="dxa"/>
              <w:left w:w="5" w:type="dxa"/>
              <w:bottom w:w="50" w:type="dxa"/>
              <w:right w:w="5" w:type="dxa"/>
            </w:tcMar>
            <w:vAlign w:val="bottom"/>
            <w:hideMark/>
          </w:tcPr>
          <w:p w14:paraId="1B3ADB35"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BF849D6"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F355874"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7C8F3F71" w14:textId="77777777" w:rsidR="00954279" w:rsidRDefault="00A66714">
            <w:pPr>
              <w:jc w:val="right"/>
              <w:rPr>
                <w:color w:val="000000"/>
                <w:sz w:val="20"/>
                <w:szCs w:val="20"/>
              </w:rPr>
            </w:pPr>
            <w:r>
              <w:rPr>
                <w:color w:val="000000"/>
                <w:sz w:val="20"/>
                <w:szCs w:val="20"/>
              </w:rPr>
              <w:t>(12</w:t>
            </w:r>
          </w:p>
        </w:tc>
        <w:tc>
          <w:tcPr>
            <w:tcW w:w="50" w:type="pct"/>
            <w:noWrap/>
            <w:tcMar>
              <w:top w:w="5" w:type="dxa"/>
              <w:left w:w="5" w:type="dxa"/>
              <w:bottom w:w="50" w:type="dxa"/>
              <w:right w:w="5" w:type="dxa"/>
            </w:tcMar>
            <w:vAlign w:val="bottom"/>
            <w:hideMark/>
          </w:tcPr>
          <w:p w14:paraId="1E81C212"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72FEF54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A152666"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86EDD1D" w14:textId="77777777" w:rsidR="00954279" w:rsidRDefault="00A66714">
            <w:pPr>
              <w:jc w:val="right"/>
              <w:rPr>
                <w:color w:val="000000"/>
                <w:sz w:val="20"/>
                <w:szCs w:val="20"/>
              </w:rPr>
            </w:pPr>
            <w:r>
              <w:rPr>
                <w:color w:val="000000"/>
                <w:sz w:val="20"/>
                <w:szCs w:val="20"/>
              </w:rPr>
              <w:t>(5</w:t>
            </w:r>
          </w:p>
        </w:tc>
        <w:tc>
          <w:tcPr>
            <w:tcW w:w="50" w:type="pct"/>
            <w:noWrap/>
            <w:tcMar>
              <w:top w:w="5" w:type="dxa"/>
              <w:left w:w="5" w:type="dxa"/>
              <w:bottom w:w="5" w:type="dxa"/>
              <w:right w:w="5" w:type="dxa"/>
            </w:tcMar>
            <w:vAlign w:val="bottom"/>
            <w:hideMark/>
          </w:tcPr>
          <w:p w14:paraId="30257502" w14:textId="77777777" w:rsidR="00954279" w:rsidRDefault="00A66714">
            <w:pPr>
              <w:rPr>
                <w:color w:val="000000"/>
                <w:sz w:val="20"/>
                <w:szCs w:val="20"/>
              </w:rPr>
            </w:pPr>
            <w:r>
              <w:rPr>
                <w:color w:val="000000"/>
                <w:sz w:val="20"/>
                <w:szCs w:val="20"/>
              </w:rPr>
              <w:t>)%</w:t>
            </w:r>
          </w:p>
        </w:tc>
      </w:tr>
      <w:tr w:rsidR="00954279" w14:paraId="3E374DE5" w14:textId="77777777">
        <w:tc>
          <w:tcPr>
            <w:tcW w:w="0" w:type="auto"/>
            <w:tcMar>
              <w:top w:w="5" w:type="dxa"/>
              <w:left w:w="5" w:type="dxa"/>
              <w:bottom w:w="5" w:type="dxa"/>
              <w:right w:w="5" w:type="dxa"/>
            </w:tcMar>
            <w:vAlign w:val="bottom"/>
            <w:hideMark/>
          </w:tcPr>
          <w:p w14:paraId="1E97228B" w14:textId="77777777" w:rsidR="00954279" w:rsidRDefault="00A66714">
            <w:pPr>
              <w:rPr>
                <w:color w:val="000000"/>
                <w:sz w:val="20"/>
                <w:szCs w:val="20"/>
              </w:rPr>
            </w:pPr>
            <w:r>
              <w:rPr>
                <w:color w:val="000000"/>
                <w:sz w:val="20"/>
                <w:szCs w:val="20"/>
              </w:rPr>
              <w:t>Adjusted Gross Profit (1)</w:t>
            </w:r>
          </w:p>
        </w:tc>
        <w:tc>
          <w:tcPr>
            <w:tcW w:w="50" w:type="pct"/>
            <w:tcMar>
              <w:top w:w="5" w:type="dxa"/>
              <w:left w:w="5" w:type="dxa"/>
              <w:bottom w:w="5" w:type="dxa"/>
              <w:right w:w="5" w:type="dxa"/>
            </w:tcMar>
            <w:vAlign w:val="bottom"/>
            <w:hideMark/>
          </w:tcPr>
          <w:p w14:paraId="2715033E"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C2A25B5"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27F575D5" w14:textId="77777777" w:rsidR="00954279" w:rsidRDefault="00A66714">
            <w:pPr>
              <w:jc w:val="right"/>
              <w:rPr>
                <w:color w:val="000000"/>
                <w:sz w:val="20"/>
                <w:szCs w:val="20"/>
              </w:rPr>
            </w:pPr>
            <w:r>
              <w:rPr>
                <w:b/>
                <w:bCs/>
                <w:color w:val="000000"/>
                <w:sz w:val="20"/>
                <w:szCs w:val="20"/>
              </w:rPr>
              <w:t>252</w:t>
            </w:r>
          </w:p>
        </w:tc>
        <w:tc>
          <w:tcPr>
            <w:tcW w:w="50" w:type="pct"/>
            <w:noWrap/>
            <w:tcMar>
              <w:top w:w="5" w:type="dxa"/>
              <w:left w:w="5" w:type="dxa"/>
              <w:bottom w:w="50" w:type="dxa"/>
              <w:right w:w="5" w:type="dxa"/>
            </w:tcMar>
            <w:vAlign w:val="bottom"/>
            <w:hideMark/>
          </w:tcPr>
          <w:p w14:paraId="0EB64792"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1E461B1"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18478E0"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421DFE59" w14:textId="77777777" w:rsidR="00954279" w:rsidRDefault="00A66714">
            <w:pPr>
              <w:jc w:val="right"/>
              <w:rPr>
                <w:color w:val="000000"/>
                <w:sz w:val="20"/>
                <w:szCs w:val="20"/>
              </w:rPr>
            </w:pPr>
            <w:r>
              <w:rPr>
                <w:color w:val="000000"/>
                <w:sz w:val="20"/>
                <w:szCs w:val="20"/>
              </w:rPr>
              <w:t>275</w:t>
            </w:r>
          </w:p>
        </w:tc>
        <w:tc>
          <w:tcPr>
            <w:tcW w:w="50" w:type="pct"/>
            <w:noWrap/>
            <w:tcMar>
              <w:top w:w="5" w:type="dxa"/>
              <w:left w:w="5" w:type="dxa"/>
              <w:bottom w:w="50" w:type="dxa"/>
              <w:right w:w="5" w:type="dxa"/>
            </w:tcMar>
            <w:vAlign w:val="bottom"/>
            <w:hideMark/>
          </w:tcPr>
          <w:p w14:paraId="13B36611"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45F4376"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5ABE2EE"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1E2D8EDE" w14:textId="77777777" w:rsidR="00954279" w:rsidRDefault="00A66714">
            <w:pPr>
              <w:jc w:val="right"/>
              <w:rPr>
                <w:color w:val="000000"/>
                <w:sz w:val="20"/>
                <w:szCs w:val="20"/>
              </w:rPr>
            </w:pPr>
            <w:r>
              <w:rPr>
                <w:color w:val="000000"/>
                <w:sz w:val="20"/>
                <w:szCs w:val="20"/>
              </w:rPr>
              <w:t>(23</w:t>
            </w:r>
          </w:p>
        </w:tc>
        <w:tc>
          <w:tcPr>
            <w:tcW w:w="50" w:type="pct"/>
            <w:noWrap/>
            <w:tcMar>
              <w:top w:w="5" w:type="dxa"/>
              <w:left w:w="5" w:type="dxa"/>
              <w:bottom w:w="50" w:type="dxa"/>
              <w:right w:w="5" w:type="dxa"/>
            </w:tcMar>
            <w:vAlign w:val="bottom"/>
            <w:hideMark/>
          </w:tcPr>
          <w:p w14:paraId="54CE9C49"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154E7AD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ECBF155"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0F6388C" w14:textId="77777777" w:rsidR="00954279" w:rsidRDefault="00A66714">
            <w:pPr>
              <w:jc w:val="right"/>
              <w:rPr>
                <w:color w:val="000000"/>
                <w:sz w:val="20"/>
                <w:szCs w:val="20"/>
              </w:rPr>
            </w:pPr>
            <w:r>
              <w:rPr>
                <w:color w:val="000000"/>
                <w:sz w:val="20"/>
                <w:szCs w:val="20"/>
              </w:rPr>
              <w:t>(8</w:t>
            </w:r>
          </w:p>
        </w:tc>
        <w:tc>
          <w:tcPr>
            <w:tcW w:w="50" w:type="pct"/>
            <w:noWrap/>
            <w:tcMar>
              <w:top w:w="5" w:type="dxa"/>
              <w:left w:w="5" w:type="dxa"/>
              <w:bottom w:w="5" w:type="dxa"/>
              <w:right w:w="5" w:type="dxa"/>
            </w:tcMar>
            <w:vAlign w:val="bottom"/>
            <w:hideMark/>
          </w:tcPr>
          <w:p w14:paraId="30E437A4" w14:textId="77777777" w:rsidR="00954279" w:rsidRDefault="00A66714">
            <w:pPr>
              <w:rPr>
                <w:color w:val="000000"/>
                <w:sz w:val="20"/>
                <w:szCs w:val="20"/>
              </w:rPr>
            </w:pPr>
            <w:r>
              <w:rPr>
                <w:color w:val="000000"/>
                <w:sz w:val="20"/>
                <w:szCs w:val="20"/>
              </w:rPr>
              <w:t>)%</w:t>
            </w:r>
          </w:p>
        </w:tc>
      </w:tr>
      <w:tr w:rsidR="00954279" w14:paraId="57521B73" w14:textId="77777777">
        <w:tc>
          <w:tcPr>
            <w:tcW w:w="0" w:type="auto"/>
            <w:tcMar>
              <w:top w:w="5" w:type="dxa"/>
              <w:left w:w="5" w:type="dxa"/>
              <w:bottom w:w="5" w:type="dxa"/>
              <w:right w:w="5" w:type="dxa"/>
            </w:tcMar>
            <w:vAlign w:val="bottom"/>
            <w:hideMark/>
          </w:tcPr>
          <w:p w14:paraId="6AB41052" w14:textId="77777777" w:rsidR="00954279" w:rsidRDefault="00A66714">
            <w:pPr>
              <w:rPr>
                <w:color w:val="000000"/>
                <w:sz w:val="20"/>
                <w:szCs w:val="20"/>
              </w:rPr>
            </w:pPr>
            <w:r>
              <w:rPr>
                <w:color w:val="000000"/>
                <w:sz w:val="20"/>
                <w:szCs w:val="20"/>
              </w:rPr>
              <w:t>Adjusted EBITDA (1)</w:t>
            </w:r>
          </w:p>
        </w:tc>
        <w:tc>
          <w:tcPr>
            <w:tcW w:w="50" w:type="pct"/>
            <w:tcMar>
              <w:top w:w="5" w:type="dxa"/>
              <w:left w:w="5" w:type="dxa"/>
              <w:bottom w:w="5" w:type="dxa"/>
              <w:right w:w="5" w:type="dxa"/>
            </w:tcMar>
            <w:vAlign w:val="bottom"/>
            <w:hideMark/>
          </w:tcPr>
          <w:p w14:paraId="18E31A98"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B7FF5E9"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5709CA6E" w14:textId="77777777" w:rsidR="00954279" w:rsidRDefault="00A66714">
            <w:pPr>
              <w:jc w:val="right"/>
              <w:rPr>
                <w:color w:val="000000"/>
                <w:sz w:val="20"/>
                <w:szCs w:val="20"/>
              </w:rPr>
            </w:pPr>
            <w:r>
              <w:rPr>
                <w:b/>
                <w:bCs/>
                <w:color w:val="000000"/>
                <w:sz w:val="20"/>
                <w:szCs w:val="20"/>
              </w:rPr>
              <w:t>60</w:t>
            </w:r>
          </w:p>
        </w:tc>
        <w:tc>
          <w:tcPr>
            <w:tcW w:w="50" w:type="pct"/>
            <w:noWrap/>
            <w:tcMar>
              <w:top w:w="5" w:type="dxa"/>
              <w:left w:w="5" w:type="dxa"/>
              <w:bottom w:w="50" w:type="dxa"/>
              <w:right w:w="5" w:type="dxa"/>
            </w:tcMar>
            <w:vAlign w:val="bottom"/>
            <w:hideMark/>
          </w:tcPr>
          <w:p w14:paraId="2DA7AF2F"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4F87405"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A87A468"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60BAF349" w14:textId="77777777" w:rsidR="00954279" w:rsidRDefault="00A66714">
            <w:pPr>
              <w:jc w:val="right"/>
              <w:rPr>
                <w:color w:val="000000"/>
                <w:sz w:val="20"/>
                <w:szCs w:val="20"/>
              </w:rPr>
            </w:pPr>
            <w:r>
              <w:rPr>
                <w:color w:val="000000"/>
                <w:sz w:val="20"/>
                <w:szCs w:val="20"/>
              </w:rPr>
              <w:t>51</w:t>
            </w:r>
          </w:p>
        </w:tc>
        <w:tc>
          <w:tcPr>
            <w:tcW w:w="50" w:type="pct"/>
            <w:noWrap/>
            <w:tcMar>
              <w:top w:w="5" w:type="dxa"/>
              <w:left w:w="5" w:type="dxa"/>
              <w:bottom w:w="50" w:type="dxa"/>
              <w:right w:w="5" w:type="dxa"/>
            </w:tcMar>
            <w:vAlign w:val="bottom"/>
            <w:hideMark/>
          </w:tcPr>
          <w:p w14:paraId="7F1418A0"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1019B8D"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5B93993" w14:textId="77777777" w:rsidR="00954279" w:rsidRDefault="00A66714">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5DE2B5EF" w14:textId="77777777" w:rsidR="00954279" w:rsidRDefault="00A66714">
            <w:pPr>
              <w:jc w:val="right"/>
              <w:rPr>
                <w:color w:val="000000"/>
                <w:sz w:val="20"/>
                <w:szCs w:val="20"/>
              </w:rPr>
            </w:pPr>
            <w:r>
              <w:rPr>
                <w:color w:val="000000"/>
                <w:sz w:val="20"/>
                <w:szCs w:val="20"/>
              </w:rPr>
              <w:t>9</w:t>
            </w:r>
          </w:p>
        </w:tc>
        <w:tc>
          <w:tcPr>
            <w:tcW w:w="50" w:type="pct"/>
            <w:noWrap/>
            <w:tcMar>
              <w:top w:w="5" w:type="dxa"/>
              <w:left w:w="5" w:type="dxa"/>
              <w:bottom w:w="50" w:type="dxa"/>
              <w:right w:w="5" w:type="dxa"/>
            </w:tcMar>
            <w:vAlign w:val="bottom"/>
            <w:hideMark/>
          </w:tcPr>
          <w:p w14:paraId="5D6A83A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A49010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DB9F45D" w14:textId="77777777" w:rsidR="00954279" w:rsidRDefault="00A66714">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1E066CF" w14:textId="77777777" w:rsidR="00954279" w:rsidRDefault="00A66714">
            <w:pPr>
              <w:jc w:val="right"/>
              <w:rPr>
                <w:color w:val="000000"/>
                <w:sz w:val="20"/>
                <w:szCs w:val="20"/>
              </w:rPr>
            </w:pPr>
            <w:r>
              <w:rPr>
                <w:color w:val="000000"/>
                <w:sz w:val="20"/>
                <w:szCs w:val="20"/>
              </w:rPr>
              <w:t>18</w:t>
            </w:r>
          </w:p>
        </w:tc>
        <w:tc>
          <w:tcPr>
            <w:tcW w:w="50" w:type="pct"/>
            <w:noWrap/>
            <w:tcMar>
              <w:top w:w="5" w:type="dxa"/>
              <w:left w:w="5" w:type="dxa"/>
              <w:bottom w:w="5" w:type="dxa"/>
              <w:right w:w="5" w:type="dxa"/>
            </w:tcMar>
            <w:vAlign w:val="bottom"/>
            <w:hideMark/>
          </w:tcPr>
          <w:p w14:paraId="38D4D091" w14:textId="77777777" w:rsidR="00954279" w:rsidRDefault="00A66714">
            <w:pPr>
              <w:rPr>
                <w:color w:val="000000"/>
                <w:sz w:val="20"/>
                <w:szCs w:val="20"/>
              </w:rPr>
            </w:pPr>
            <w:r>
              <w:rPr>
                <w:color w:val="000000"/>
                <w:sz w:val="20"/>
                <w:szCs w:val="20"/>
              </w:rPr>
              <w:t>%</w:t>
            </w:r>
          </w:p>
        </w:tc>
      </w:tr>
    </w:tbl>
    <w:p w14:paraId="03F3DD47" w14:textId="77777777" w:rsidR="00954279" w:rsidRDefault="00A66714">
      <w:pPr>
        <w:ind w:left="864" w:right="144" w:hanging="360"/>
        <w:rPr>
          <w:sz w:val="20"/>
          <w:szCs w:val="20"/>
        </w:rPr>
      </w:pPr>
      <w:r>
        <w:rPr>
          <w:sz w:val="20"/>
          <w:szCs w:val="20"/>
        </w:rPr>
        <w:t> </w:t>
      </w:r>
    </w:p>
    <w:p w14:paraId="3D7C9FBF" w14:textId="77777777" w:rsidR="00954279" w:rsidRDefault="00A66714">
      <w:pPr>
        <w:ind w:left="864" w:right="144" w:hanging="360"/>
        <w:rPr>
          <w:sz w:val="20"/>
          <w:szCs w:val="20"/>
        </w:rPr>
      </w:pPr>
      <w:r>
        <w:rPr>
          <w:sz w:val="20"/>
          <w:szCs w:val="20"/>
        </w:rPr>
        <w:t>(1) Adjusted Gross Profit and Adjusted EBITDA are non-GAAP financial measures. For a reconciliation of these measures to an equivalent GAAP measure, see pages 26-28 herein.</w:t>
      </w:r>
    </w:p>
    <w:p w14:paraId="710929A4" w14:textId="77777777" w:rsidR="00954279" w:rsidRDefault="00A66714">
      <w:pPr>
        <w:ind w:left="864" w:right="144" w:hanging="360"/>
        <w:rPr>
          <w:sz w:val="20"/>
          <w:szCs w:val="20"/>
        </w:rPr>
      </w:pPr>
      <w:r>
        <w:rPr>
          <w:sz w:val="20"/>
          <w:szCs w:val="20"/>
        </w:rPr>
        <w:t> </w:t>
      </w:r>
    </w:p>
    <w:p w14:paraId="078F6ED2" w14:textId="77777777" w:rsidR="00954279" w:rsidRDefault="00A66714">
      <w:pPr>
        <w:ind w:left="144" w:right="144"/>
        <w:jc w:val="center"/>
        <w:rPr>
          <w:sz w:val="20"/>
          <w:szCs w:val="20"/>
        </w:rPr>
      </w:pPr>
      <w:r>
        <w:rPr>
          <w:sz w:val="20"/>
          <w:szCs w:val="20"/>
        </w:rPr>
        <w:t>25</w:t>
      </w:r>
    </w:p>
    <w:p w14:paraId="249B13AE" w14:textId="77777777" w:rsidR="00954279" w:rsidRDefault="00A66714">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25160052" w14:textId="12F9573E" w:rsidR="00954279" w:rsidRDefault="00A66714">
      <w:pPr>
        <w:ind w:left="144" w:right="144"/>
        <w:rPr>
          <w:sz w:val="20"/>
          <w:szCs w:val="20"/>
        </w:rPr>
      </w:pPr>
      <w:r>
        <w:rPr>
          <w:sz w:val="20"/>
          <w:szCs w:val="20"/>
        </w:rPr>
        <w:t> </w:t>
      </w:r>
      <w:r>
        <w:rPr>
          <w:b/>
          <w:bCs/>
          <w:i/>
          <w:iCs/>
          <w:sz w:val="20"/>
          <w:szCs w:val="20"/>
        </w:rPr>
        <w:t>Sales</w:t>
      </w:r>
      <w:r>
        <w:rPr>
          <w:i/>
          <w:iCs/>
          <w:sz w:val="20"/>
          <w:szCs w:val="20"/>
        </w:rPr>
        <w:t>.</w:t>
      </w:r>
      <w:r>
        <w:rPr>
          <w:sz w:val="20"/>
          <w:szCs w:val="20"/>
        </w:rPr>
        <w:t xml:space="preserve">  Our sales were </w:t>
      </w:r>
      <w:bookmarkStart w:id="92" w:name="led65173F20206121594584540613"/>
      <w:r>
        <w:rPr>
          <w:sz w:val="20"/>
          <w:szCs w:val="20"/>
        </w:rPr>
        <w:t>$1,295</w:t>
      </w:r>
      <w:bookmarkEnd w:id="92"/>
      <w:r>
        <w:rPr>
          <w:sz w:val="20"/>
          <w:szCs w:val="20"/>
        </w:rPr>
        <w:t xml:space="preserve"> million for the </w:t>
      </w:r>
      <w:bookmarkStart w:id="93" w:name="led65141F20205251593122415334"/>
      <w:r>
        <w:rPr>
          <w:sz w:val="20"/>
          <w:szCs w:val="20"/>
        </w:rPr>
        <w:t xml:space="preserve">six months ended June 30, 2021 as compared to </w:t>
      </w:r>
      <w:bookmarkStart w:id="94" w:name="led65173F20206121594584574117"/>
      <w:r>
        <w:rPr>
          <w:sz w:val="20"/>
          <w:szCs w:val="20"/>
        </w:rPr>
        <w:t>$1,396</w:t>
      </w:r>
      <w:bookmarkEnd w:id="94"/>
      <w:r>
        <w:rPr>
          <w:sz w:val="20"/>
          <w:szCs w:val="20"/>
        </w:rPr>
        <w:t xml:space="preserve"> million for the </w:t>
      </w:r>
      <w:bookmarkStart w:id="95" w:name="led65141F20205261593197860555"/>
      <w:r>
        <w:rPr>
          <w:sz w:val="20"/>
          <w:szCs w:val="20"/>
        </w:rPr>
        <w:t xml:space="preserve">six months ended June 30, 2020, a decrease of </w:t>
      </w:r>
      <w:bookmarkStart w:id="96" w:name="led65173F20206121594584604525"/>
      <w:r>
        <w:rPr>
          <w:sz w:val="20"/>
          <w:szCs w:val="20"/>
        </w:rPr>
        <w:t>$101</w:t>
      </w:r>
      <w:bookmarkEnd w:id="96"/>
      <w:r>
        <w:rPr>
          <w:sz w:val="20"/>
          <w:szCs w:val="20"/>
        </w:rPr>
        <w:t xml:space="preserve"> million, or </w:t>
      </w:r>
      <w:bookmarkStart w:id="97" w:name="led65173F20206121594584628142"/>
      <w:r>
        <w:rPr>
          <w:sz w:val="20"/>
          <w:szCs w:val="20"/>
        </w:rPr>
        <w:t>7%</w:t>
      </w:r>
      <w:bookmarkEnd w:id="97"/>
      <w:r>
        <w:rPr>
          <w:sz w:val="20"/>
          <w:szCs w:val="20"/>
        </w:rPr>
        <w:t>. The decline was primarily due to the first quarter of 2020 being largely unaffected by the COVID-19 pandemic before impacting revenue in the second quarter of 2020. The strengthening of foreign currencies in areas where we operate relative to the U.S. dollar favorably impacted sales by $24 million, or 2%.</w:t>
      </w:r>
    </w:p>
    <w:p w14:paraId="58171E62" w14:textId="77777777" w:rsidR="00954279" w:rsidRDefault="00A66714">
      <w:pPr>
        <w:ind w:left="144" w:right="144"/>
        <w:rPr>
          <w:sz w:val="20"/>
          <w:szCs w:val="20"/>
        </w:rPr>
      </w:pPr>
      <w:r>
        <w:rPr>
          <w:sz w:val="20"/>
          <w:szCs w:val="20"/>
        </w:rPr>
        <w:t> </w:t>
      </w:r>
    </w:p>
    <w:p w14:paraId="09F57237" w14:textId="4145EC34" w:rsidR="00954279" w:rsidRDefault="00A66714">
      <w:pPr>
        <w:ind w:left="144" w:right="144"/>
        <w:rPr>
          <w:sz w:val="20"/>
          <w:szCs w:val="20"/>
        </w:rPr>
      </w:pPr>
      <w:r>
        <w:rPr>
          <w:i/>
          <w:iCs/>
          <w:sz w:val="20"/>
          <w:szCs w:val="20"/>
        </w:rPr>
        <w:t>U.S. Segment—</w:t>
      </w:r>
      <w:r>
        <w:rPr>
          <w:sz w:val="20"/>
          <w:szCs w:val="20"/>
        </w:rPr>
        <w:t xml:space="preserve">Our U.S. sales decreased to </w:t>
      </w:r>
      <w:bookmarkStart w:id="98" w:name="led65173F20206121594584651366"/>
      <w:r>
        <w:rPr>
          <w:sz w:val="20"/>
          <w:szCs w:val="20"/>
        </w:rPr>
        <w:t>$1,042</w:t>
      </w:r>
      <w:bookmarkEnd w:id="98"/>
      <w:r>
        <w:rPr>
          <w:sz w:val="20"/>
          <w:szCs w:val="20"/>
        </w:rPr>
        <w:t xml:space="preserve"> million for the six months ended June 30, 2021 from </w:t>
      </w:r>
      <w:bookmarkStart w:id="99" w:name="led65173F20206121594584675439"/>
      <w:r>
        <w:rPr>
          <w:sz w:val="20"/>
          <w:szCs w:val="20"/>
        </w:rPr>
        <w:t>$1,112</w:t>
      </w:r>
      <w:bookmarkEnd w:id="99"/>
      <w:r>
        <w:rPr>
          <w:sz w:val="20"/>
          <w:szCs w:val="20"/>
        </w:rPr>
        <w:t> million for the six</w:t>
      </w:r>
      <w:r w:rsidR="006C5497">
        <w:rPr>
          <w:sz w:val="20"/>
          <w:szCs w:val="20"/>
        </w:rPr>
        <w:t> </w:t>
      </w:r>
      <w:r>
        <w:rPr>
          <w:sz w:val="20"/>
          <w:szCs w:val="20"/>
        </w:rPr>
        <w:t xml:space="preserve">months ended June 30, 2020. This </w:t>
      </w:r>
      <w:bookmarkStart w:id="100" w:name="led65173F20206121594584698656"/>
      <w:r>
        <w:rPr>
          <w:sz w:val="20"/>
          <w:szCs w:val="20"/>
        </w:rPr>
        <w:t>$70</w:t>
      </w:r>
      <w:bookmarkEnd w:id="100"/>
      <w:r>
        <w:rPr>
          <w:sz w:val="20"/>
          <w:szCs w:val="20"/>
        </w:rPr>
        <w:t xml:space="preserve"> million, or </w:t>
      </w:r>
      <w:bookmarkStart w:id="101" w:name="led65173F20206121594584725832"/>
      <w:r>
        <w:rPr>
          <w:sz w:val="20"/>
          <w:szCs w:val="20"/>
        </w:rPr>
        <w:t>6%</w:t>
      </w:r>
      <w:bookmarkEnd w:id="101"/>
      <w:r>
        <w:rPr>
          <w:sz w:val="20"/>
          <w:szCs w:val="20"/>
        </w:rPr>
        <w:t xml:space="preserve">, decrease reflected a </w:t>
      </w:r>
      <w:bookmarkStart w:id="102" w:name="led65162F20206161594943966964"/>
      <w:r>
        <w:rPr>
          <w:sz w:val="20"/>
          <w:szCs w:val="20"/>
        </w:rPr>
        <w:t>$42</w:t>
      </w:r>
      <w:bookmarkEnd w:id="102"/>
      <w:r>
        <w:rPr>
          <w:sz w:val="20"/>
          <w:szCs w:val="20"/>
        </w:rPr>
        <w:t xml:space="preserve"> million decrease in the downstream and industrial sector, a </w:t>
      </w:r>
      <w:bookmarkStart w:id="103" w:name="led65162F20206161594943864122"/>
      <w:r>
        <w:rPr>
          <w:sz w:val="20"/>
          <w:szCs w:val="20"/>
        </w:rPr>
        <w:t>$56</w:t>
      </w:r>
      <w:bookmarkEnd w:id="103"/>
      <w:r>
        <w:rPr>
          <w:sz w:val="20"/>
          <w:szCs w:val="20"/>
        </w:rPr>
        <w:t xml:space="preserve"> million decrease in the upstream production sector, a </w:t>
      </w:r>
      <w:bookmarkStart w:id="104" w:name="led65162F20206161594943894467"/>
      <w:r>
        <w:rPr>
          <w:sz w:val="20"/>
          <w:szCs w:val="20"/>
        </w:rPr>
        <w:t>$49</w:t>
      </w:r>
      <w:bookmarkEnd w:id="104"/>
      <w:r>
        <w:rPr>
          <w:sz w:val="20"/>
          <w:szCs w:val="20"/>
        </w:rPr>
        <w:t> million decrease in the midstream pipeline sector offset by a </w:t>
      </w:r>
      <w:bookmarkStart w:id="105" w:name="led65162F20206161594943924371"/>
      <w:r>
        <w:rPr>
          <w:sz w:val="20"/>
          <w:szCs w:val="20"/>
        </w:rPr>
        <w:t>$77</w:t>
      </w:r>
      <w:bookmarkEnd w:id="105"/>
      <w:r>
        <w:rPr>
          <w:sz w:val="20"/>
          <w:szCs w:val="20"/>
        </w:rPr>
        <w:t> million increase in the gas utilities sector.  Downstream and industrial sales declined due to delayed or reduced maintenance spending from lower demand as well as non-recurring turnarounds.  The decline in the upstream production sector is a result of reduced customer spending and lower activity levels. The decline in the midstream pipeline sector is attributable to lower production levels and reduced demand for infrastructure, as well as the timing of project activity.  The increase in the gas utilities sector was primarily due to increasing activity levels as pandemic restrictions eased and customers continued to execute their integrity upgrade programs.</w:t>
      </w:r>
    </w:p>
    <w:p w14:paraId="282B6EF0" w14:textId="77777777" w:rsidR="00954279" w:rsidRDefault="00A66714">
      <w:pPr>
        <w:ind w:left="144" w:right="144"/>
        <w:rPr>
          <w:sz w:val="20"/>
          <w:szCs w:val="20"/>
        </w:rPr>
      </w:pPr>
      <w:r>
        <w:rPr>
          <w:sz w:val="20"/>
          <w:szCs w:val="20"/>
        </w:rPr>
        <w:t> </w:t>
      </w:r>
    </w:p>
    <w:p w14:paraId="254BC78E" w14:textId="73AFE849" w:rsidR="00954279" w:rsidRDefault="00A66714">
      <w:pPr>
        <w:ind w:left="144" w:right="144"/>
        <w:rPr>
          <w:sz w:val="20"/>
          <w:szCs w:val="20"/>
        </w:rPr>
      </w:pPr>
      <w:r>
        <w:rPr>
          <w:i/>
          <w:iCs/>
          <w:sz w:val="20"/>
          <w:szCs w:val="20"/>
        </w:rPr>
        <w:t>Canada Segment—</w:t>
      </w:r>
      <w:r>
        <w:rPr>
          <w:sz w:val="20"/>
          <w:szCs w:val="20"/>
        </w:rPr>
        <w:t xml:space="preserve">Our Canada sales decreased to </w:t>
      </w:r>
      <w:bookmarkStart w:id="106" w:name="led65173F20206121594584756448"/>
      <w:r>
        <w:rPr>
          <w:sz w:val="20"/>
          <w:szCs w:val="20"/>
        </w:rPr>
        <w:t>$62</w:t>
      </w:r>
      <w:bookmarkEnd w:id="106"/>
      <w:r>
        <w:rPr>
          <w:sz w:val="20"/>
          <w:szCs w:val="20"/>
        </w:rPr>
        <w:t xml:space="preserve"> million for the six months ended June 30, 2021 from </w:t>
      </w:r>
      <w:bookmarkStart w:id="107" w:name="led65173F20206121594584776800"/>
      <w:r>
        <w:rPr>
          <w:sz w:val="20"/>
          <w:szCs w:val="20"/>
        </w:rPr>
        <w:t>$78</w:t>
      </w:r>
      <w:bookmarkEnd w:id="107"/>
      <w:r>
        <w:rPr>
          <w:sz w:val="20"/>
          <w:szCs w:val="20"/>
        </w:rPr>
        <w:t> million for the six</w:t>
      </w:r>
      <w:r w:rsidR="006C5497">
        <w:rPr>
          <w:sz w:val="20"/>
          <w:szCs w:val="20"/>
        </w:rPr>
        <w:t> </w:t>
      </w:r>
      <w:r>
        <w:rPr>
          <w:sz w:val="20"/>
          <w:szCs w:val="20"/>
        </w:rPr>
        <w:t xml:space="preserve">months ended June 30, 2020, a decrease of </w:t>
      </w:r>
      <w:bookmarkStart w:id="108" w:name="led65173F20206121594584806369"/>
      <w:r>
        <w:rPr>
          <w:sz w:val="20"/>
          <w:szCs w:val="20"/>
        </w:rPr>
        <w:t>$16</w:t>
      </w:r>
      <w:bookmarkEnd w:id="108"/>
      <w:r>
        <w:rPr>
          <w:sz w:val="20"/>
          <w:szCs w:val="20"/>
        </w:rPr>
        <w:t xml:space="preserve"> million, or </w:t>
      </w:r>
      <w:bookmarkStart w:id="109" w:name="led65173F20206121594584829001"/>
      <w:r>
        <w:rPr>
          <w:sz w:val="20"/>
          <w:szCs w:val="20"/>
        </w:rPr>
        <w:t>21%</w:t>
      </w:r>
      <w:bookmarkEnd w:id="109"/>
      <w:r>
        <w:rPr>
          <w:sz w:val="20"/>
          <w:szCs w:val="20"/>
        </w:rPr>
        <w:t>. The decline was primarily due to an $11 million decrease in the upstream production sector, due to reduced demand. The strengthening of the Canadian dollar relative to the U.S. dollar favorably impacted sales by $5 million, or 6%.</w:t>
      </w:r>
    </w:p>
    <w:p w14:paraId="6733484F" w14:textId="77777777" w:rsidR="00954279" w:rsidRDefault="00A66714">
      <w:pPr>
        <w:ind w:left="144" w:right="144"/>
        <w:rPr>
          <w:sz w:val="20"/>
          <w:szCs w:val="20"/>
        </w:rPr>
      </w:pPr>
      <w:r>
        <w:rPr>
          <w:sz w:val="20"/>
          <w:szCs w:val="20"/>
        </w:rPr>
        <w:t> </w:t>
      </w:r>
    </w:p>
    <w:p w14:paraId="3569E19B" w14:textId="77777777" w:rsidR="00954279" w:rsidRDefault="00A66714">
      <w:pPr>
        <w:ind w:left="144" w:right="144"/>
        <w:rPr>
          <w:sz w:val="20"/>
          <w:szCs w:val="20"/>
        </w:rPr>
      </w:pPr>
      <w:r>
        <w:rPr>
          <w:i/>
          <w:iCs/>
          <w:sz w:val="20"/>
          <w:szCs w:val="20"/>
        </w:rPr>
        <w:t>International Segment</w:t>
      </w:r>
      <w:r>
        <w:rPr>
          <w:sz w:val="20"/>
          <w:szCs w:val="20"/>
        </w:rPr>
        <w:t xml:space="preserve">—Our International sales decreased to </w:t>
      </w:r>
      <w:bookmarkStart w:id="110" w:name="led65173F20206121594584855401"/>
      <w:r>
        <w:rPr>
          <w:sz w:val="20"/>
          <w:szCs w:val="20"/>
        </w:rPr>
        <w:t>$191</w:t>
      </w:r>
      <w:bookmarkEnd w:id="110"/>
      <w:r>
        <w:rPr>
          <w:sz w:val="20"/>
          <w:szCs w:val="20"/>
        </w:rPr>
        <w:t xml:space="preserve"> million for the six months ended June 30, 2021 from </w:t>
      </w:r>
      <w:bookmarkStart w:id="111" w:name="led65173F20206121594584882969"/>
      <w:r>
        <w:rPr>
          <w:sz w:val="20"/>
          <w:szCs w:val="20"/>
        </w:rPr>
        <w:t>$206</w:t>
      </w:r>
      <w:bookmarkEnd w:id="111"/>
      <w:r>
        <w:rPr>
          <w:sz w:val="20"/>
          <w:szCs w:val="20"/>
        </w:rPr>
        <w:t xml:space="preserve"> million for the same period in 2020. The </w:t>
      </w:r>
      <w:bookmarkStart w:id="112" w:name="led65173F20206121594584908435"/>
      <w:r>
        <w:rPr>
          <w:sz w:val="20"/>
          <w:szCs w:val="20"/>
        </w:rPr>
        <w:t>$15</w:t>
      </w:r>
      <w:bookmarkEnd w:id="112"/>
      <w:r>
        <w:rPr>
          <w:sz w:val="20"/>
          <w:szCs w:val="20"/>
        </w:rPr>
        <w:t xml:space="preserve"> million, or </w:t>
      </w:r>
      <w:bookmarkStart w:id="113" w:name="led65173F20206121594584932179"/>
      <w:r>
        <w:rPr>
          <w:sz w:val="20"/>
          <w:szCs w:val="20"/>
        </w:rPr>
        <w:t>7%</w:t>
      </w:r>
      <w:bookmarkEnd w:id="113"/>
      <w:r>
        <w:rPr>
          <w:sz w:val="20"/>
          <w:szCs w:val="20"/>
        </w:rPr>
        <w:t>, decrease is attributable to reduced spending in the upstream production sector due to lower activity associated with reduced demand. The strengthening of foreign currencies in areas where we operate relative to the U.S. dollar favorably impacted sales by $19 million, or 9%.</w:t>
      </w:r>
    </w:p>
    <w:p w14:paraId="3A00C828" w14:textId="77777777" w:rsidR="00954279" w:rsidRDefault="00A66714">
      <w:pPr>
        <w:ind w:left="144" w:right="144"/>
        <w:rPr>
          <w:sz w:val="20"/>
          <w:szCs w:val="20"/>
        </w:rPr>
      </w:pPr>
      <w:r>
        <w:rPr>
          <w:sz w:val="20"/>
          <w:szCs w:val="20"/>
        </w:rPr>
        <w:t> </w:t>
      </w:r>
    </w:p>
    <w:p w14:paraId="4B0B7FFF" w14:textId="77777777" w:rsidR="00954279" w:rsidRDefault="00A66714">
      <w:pPr>
        <w:ind w:left="144" w:right="144"/>
        <w:rPr>
          <w:sz w:val="20"/>
          <w:szCs w:val="20"/>
        </w:rPr>
      </w:pPr>
      <w:r>
        <w:rPr>
          <w:b/>
          <w:bCs/>
          <w:i/>
          <w:iCs/>
          <w:sz w:val="20"/>
          <w:szCs w:val="20"/>
        </w:rPr>
        <w:t>Gross Profit</w:t>
      </w:r>
      <w:r>
        <w:rPr>
          <w:i/>
          <w:iCs/>
          <w:sz w:val="20"/>
          <w:szCs w:val="20"/>
        </w:rPr>
        <w:t>.</w:t>
      </w:r>
      <w:r>
        <w:rPr>
          <w:sz w:val="20"/>
          <w:szCs w:val="20"/>
        </w:rPr>
        <w:t xml:space="preserve">  Our gross profit was </w:t>
      </w:r>
      <w:bookmarkStart w:id="114" w:name="led65173F20206121594584966787"/>
      <w:r>
        <w:rPr>
          <w:sz w:val="20"/>
          <w:szCs w:val="20"/>
        </w:rPr>
        <w:t>$215</w:t>
      </w:r>
      <w:bookmarkEnd w:id="114"/>
      <w:r>
        <w:rPr>
          <w:sz w:val="20"/>
          <w:szCs w:val="20"/>
        </w:rPr>
        <w:t> million (</w:t>
      </w:r>
      <w:bookmarkStart w:id="115" w:name="led65173F20206121594584989531"/>
      <w:r>
        <w:rPr>
          <w:sz w:val="20"/>
          <w:szCs w:val="20"/>
        </w:rPr>
        <w:t>16.6%</w:t>
      </w:r>
      <w:bookmarkEnd w:id="115"/>
      <w:r>
        <w:rPr>
          <w:sz w:val="20"/>
          <w:szCs w:val="20"/>
        </w:rPr>
        <w:t xml:space="preserve"> of sales) for the six months ended June 30, 2021 as compared to </w:t>
      </w:r>
      <w:bookmarkStart w:id="116" w:name="led65173F20206121594585024732"/>
      <w:r>
        <w:rPr>
          <w:sz w:val="20"/>
          <w:szCs w:val="20"/>
        </w:rPr>
        <w:t>$227</w:t>
      </w:r>
      <w:bookmarkEnd w:id="116"/>
      <w:r>
        <w:rPr>
          <w:sz w:val="20"/>
          <w:szCs w:val="20"/>
        </w:rPr>
        <w:t> million (</w:t>
      </w:r>
      <w:bookmarkStart w:id="117" w:name="led65173F20206121594585048900"/>
      <w:r>
        <w:rPr>
          <w:sz w:val="20"/>
          <w:szCs w:val="20"/>
        </w:rPr>
        <w:t>16.3%</w:t>
      </w:r>
      <w:bookmarkEnd w:id="117"/>
      <w:r>
        <w:rPr>
          <w:sz w:val="20"/>
          <w:szCs w:val="20"/>
        </w:rPr>
        <w:t> of sales) for the six months ended June 30, 2020. As compared to average cost, our LIFO inventory costing methodology increased cost of sales by $15 million for the first six months of 2021 compared to a reduction of $9 million in the first six months of 2020.</w:t>
      </w:r>
    </w:p>
    <w:p w14:paraId="133A2ED5" w14:textId="77777777" w:rsidR="00954279" w:rsidRDefault="00A66714">
      <w:pPr>
        <w:ind w:left="144" w:right="144"/>
        <w:rPr>
          <w:sz w:val="20"/>
          <w:szCs w:val="20"/>
        </w:rPr>
      </w:pPr>
      <w:r>
        <w:rPr>
          <w:sz w:val="20"/>
          <w:szCs w:val="20"/>
        </w:rPr>
        <w:t> </w:t>
      </w:r>
    </w:p>
    <w:p w14:paraId="3A236903" w14:textId="77777777" w:rsidR="00954279" w:rsidRDefault="00A66714">
      <w:pPr>
        <w:ind w:left="144" w:right="144"/>
        <w:rPr>
          <w:sz w:val="20"/>
          <w:szCs w:val="20"/>
        </w:rPr>
      </w:pPr>
      <w:r>
        <w:rPr>
          <w:b/>
          <w:bCs/>
          <w:i/>
          <w:iCs/>
          <w:sz w:val="20"/>
          <w:szCs w:val="20"/>
        </w:rPr>
        <w:t>Adjusted Gross Profit</w:t>
      </w:r>
      <w:r>
        <w:rPr>
          <w:i/>
          <w:iCs/>
          <w:sz w:val="20"/>
          <w:szCs w:val="20"/>
        </w:rPr>
        <w:t>.</w:t>
      </w:r>
      <w:r>
        <w:rPr>
          <w:sz w:val="20"/>
          <w:szCs w:val="20"/>
        </w:rPr>
        <w:t xml:space="preserve">  Adjusted Gross Profit decreased to </w:t>
      </w:r>
      <w:bookmarkStart w:id="118" w:name="led65173F20206121594585083085"/>
      <w:r>
        <w:rPr>
          <w:sz w:val="20"/>
          <w:szCs w:val="20"/>
        </w:rPr>
        <w:t>$252</w:t>
      </w:r>
      <w:bookmarkEnd w:id="118"/>
      <w:r>
        <w:rPr>
          <w:sz w:val="20"/>
          <w:szCs w:val="20"/>
        </w:rPr>
        <w:t> million (</w:t>
      </w:r>
      <w:bookmarkStart w:id="119" w:name="led65173F20206121594585121021"/>
      <w:r>
        <w:rPr>
          <w:sz w:val="20"/>
          <w:szCs w:val="20"/>
        </w:rPr>
        <w:t>19.5%</w:t>
      </w:r>
      <w:bookmarkEnd w:id="119"/>
      <w:r>
        <w:rPr>
          <w:sz w:val="20"/>
          <w:szCs w:val="20"/>
        </w:rPr>
        <w:t xml:space="preserve"> of sales) for the six months ended June 30, 2021 from </w:t>
      </w:r>
      <w:bookmarkStart w:id="120" w:name="led65173F20206121594585169406"/>
      <w:r>
        <w:rPr>
          <w:sz w:val="20"/>
          <w:szCs w:val="20"/>
        </w:rPr>
        <w:t>$275</w:t>
      </w:r>
      <w:bookmarkEnd w:id="120"/>
      <w:r>
        <w:rPr>
          <w:sz w:val="20"/>
          <w:szCs w:val="20"/>
        </w:rPr>
        <w:t> million (</w:t>
      </w:r>
      <w:bookmarkStart w:id="121" w:name="led65173F20206121594585196951"/>
      <w:r>
        <w:rPr>
          <w:sz w:val="20"/>
          <w:szCs w:val="20"/>
        </w:rPr>
        <w:t>19.7%</w:t>
      </w:r>
      <w:bookmarkEnd w:id="121"/>
      <w:r>
        <w:rPr>
          <w:sz w:val="20"/>
          <w:szCs w:val="20"/>
        </w:rPr>
        <w:t xml:space="preserve"> of sales) for the six months ended June 30, 2020, a decrease of </w:t>
      </w:r>
      <w:bookmarkStart w:id="122" w:name="led65173F20206121594585221656"/>
      <w:r>
        <w:rPr>
          <w:sz w:val="20"/>
          <w:szCs w:val="20"/>
        </w:rPr>
        <w:t>$23</w:t>
      </w:r>
      <w:bookmarkEnd w:id="122"/>
      <w:r>
        <w:rPr>
          <w:sz w:val="20"/>
          <w:szCs w:val="20"/>
        </w:rPr>
        <w:t> million. Adjusted Gross Profit is a non-GAAP financial measure. We define Adjusted Gross Profit as sales, less cost of sales, plus depreciation and amortization, plus amortization of intangibles, plus inventory-related charges incremental to normal operations and plus or minus the impact of our LIFO inventory costing methodology. We present Adjusted Gross Profit because we believe it is a useful indicator of our operating performance without regard to items, such as amortization of intangibles, that can vary substantially from company to company depending upon the nature and extent of acquisitions. Similarly, the impact of the LIFO inventory costing method can cause results to vary substantially from company to company depending upon whether they elect to utilize LIFO and depending upon which method they may elect. We use Adjusted Gross Profit as a key performance indicator in managing our business. We believe that gross profit is the financial measure calculated and presented in accordance with U.S. generally accepted accounting principles that is most directly comparable to Adjusted Gross Profit.</w:t>
      </w:r>
    </w:p>
    <w:p w14:paraId="7B806470" w14:textId="77777777" w:rsidR="00954279" w:rsidRDefault="00A66714">
      <w:pPr>
        <w:ind w:left="144" w:right="144"/>
        <w:rPr>
          <w:sz w:val="20"/>
          <w:szCs w:val="20"/>
        </w:rPr>
      </w:pPr>
      <w:r>
        <w:rPr>
          <w:sz w:val="20"/>
          <w:szCs w:val="20"/>
        </w:rPr>
        <w:t> </w:t>
      </w:r>
    </w:p>
    <w:p w14:paraId="079A206A" w14:textId="77777777" w:rsidR="00954279" w:rsidRDefault="00A66714">
      <w:pPr>
        <w:ind w:left="144" w:right="144"/>
        <w:rPr>
          <w:sz w:val="20"/>
          <w:szCs w:val="20"/>
        </w:rPr>
      </w:pPr>
      <w:r>
        <w:rPr>
          <w:sz w:val="20"/>
          <w:szCs w:val="20"/>
        </w:rPr>
        <w:t>The following table reconciles Adjusted Gross Profit, a non-GAAP financial measure, with gross profit, as derived from our financial statements (in millions):</w:t>
      </w:r>
    </w:p>
    <w:tbl>
      <w:tblPr>
        <w:tblStyle w:val="finTable"/>
        <w:tblW w:w="5000" w:type="pct"/>
        <w:tblInd w:w="149" w:type="dxa"/>
        <w:tblCellMar>
          <w:left w:w="0" w:type="dxa"/>
          <w:right w:w="0" w:type="dxa"/>
        </w:tblCellMar>
        <w:tblLook w:val="05E0" w:firstRow="1" w:lastRow="1" w:firstColumn="1" w:lastColumn="1" w:noHBand="0" w:noVBand="1"/>
      </w:tblPr>
      <w:tblGrid>
        <w:gridCol w:w="5598"/>
        <w:gridCol w:w="88"/>
        <w:gridCol w:w="110"/>
        <w:gridCol w:w="952"/>
        <w:gridCol w:w="89"/>
        <w:gridCol w:w="89"/>
        <w:gridCol w:w="95"/>
        <w:gridCol w:w="946"/>
        <w:gridCol w:w="210"/>
        <w:gridCol w:w="89"/>
        <w:gridCol w:w="110"/>
        <w:gridCol w:w="955"/>
        <w:gridCol w:w="91"/>
        <w:gridCol w:w="91"/>
        <w:gridCol w:w="95"/>
        <w:gridCol w:w="948"/>
        <w:gridCol w:w="244"/>
      </w:tblGrid>
      <w:tr w:rsidR="00954279" w14:paraId="7D68E795" w14:textId="77777777">
        <w:tc>
          <w:tcPr>
            <w:tcW w:w="0" w:type="auto"/>
            <w:tcMar>
              <w:top w:w="5" w:type="dxa"/>
              <w:left w:w="5" w:type="dxa"/>
              <w:bottom w:w="5" w:type="dxa"/>
              <w:right w:w="5" w:type="dxa"/>
            </w:tcMar>
            <w:vAlign w:val="bottom"/>
            <w:hideMark/>
          </w:tcPr>
          <w:p w14:paraId="5638C07E" w14:textId="649A6AA0" w:rsidR="00954279" w:rsidRDefault="00A66714">
            <w:pPr>
              <w:rPr>
                <w:color w:val="000000"/>
                <w:sz w:val="20"/>
                <w:szCs w:val="20"/>
              </w:rPr>
            </w:pPr>
            <w:r>
              <w:rPr>
                <w:sz w:val="20"/>
                <w:szCs w:val="20"/>
              </w:rPr>
              <w:t> </w:t>
            </w:r>
            <w:r>
              <w:rPr>
                <w:color w:val="000000"/>
                <w:sz w:val="20"/>
                <w:szCs w:val="20"/>
              </w:rPr>
              <w:t> </w:t>
            </w:r>
          </w:p>
        </w:tc>
        <w:tc>
          <w:tcPr>
            <w:tcW w:w="0" w:type="auto"/>
            <w:tcMar>
              <w:top w:w="5" w:type="dxa"/>
              <w:left w:w="5" w:type="dxa"/>
              <w:bottom w:w="5" w:type="dxa"/>
              <w:right w:w="5" w:type="dxa"/>
            </w:tcMar>
            <w:vAlign w:val="bottom"/>
            <w:hideMark/>
          </w:tcPr>
          <w:p w14:paraId="5A3D795D" w14:textId="77777777" w:rsidR="00954279" w:rsidRDefault="00A66714">
            <w:pPr>
              <w:rPr>
                <w:color w:val="000000"/>
                <w:sz w:val="20"/>
                <w:szCs w:val="20"/>
              </w:rPr>
            </w:pPr>
            <w:r>
              <w:rPr>
                <w:color w:val="000000"/>
                <w:sz w:val="20"/>
                <w:szCs w:val="20"/>
              </w:rPr>
              <w:t> </w:t>
            </w:r>
          </w:p>
        </w:tc>
        <w:tc>
          <w:tcPr>
            <w:tcW w:w="0" w:type="auto"/>
            <w:gridSpan w:val="14"/>
            <w:tcBorders>
              <w:bottom w:val="single" w:sz="6" w:space="0" w:color="000000"/>
            </w:tcBorders>
            <w:tcMar>
              <w:top w:w="5" w:type="dxa"/>
              <w:left w:w="5" w:type="dxa"/>
              <w:bottom w:w="8" w:type="dxa"/>
              <w:right w:w="5" w:type="dxa"/>
            </w:tcMar>
            <w:vAlign w:val="bottom"/>
            <w:hideMark/>
          </w:tcPr>
          <w:p w14:paraId="0365CB97" w14:textId="77777777" w:rsidR="00954279" w:rsidRDefault="00A66714">
            <w:pPr>
              <w:jc w:val="center"/>
              <w:rPr>
                <w:color w:val="000000"/>
                <w:sz w:val="20"/>
                <w:szCs w:val="20"/>
              </w:rPr>
            </w:pPr>
            <w:r>
              <w:rPr>
                <w:b/>
                <w:bCs/>
                <w:color w:val="000000"/>
                <w:sz w:val="20"/>
                <w:szCs w:val="20"/>
              </w:rPr>
              <w:t>Six Months Ended</w:t>
            </w:r>
          </w:p>
        </w:tc>
        <w:tc>
          <w:tcPr>
            <w:tcW w:w="0" w:type="auto"/>
            <w:tcMar>
              <w:top w:w="5" w:type="dxa"/>
              <w:left w:w="5" w:type="dxa"/>
              <w:bottom w:w="20" w:type="dxa"/>
              <w:right w:w="5" w:type="dxa"/>
            </w:tcMar>
            <w:vAlign w:val="bottom"/>
            <w:hideMark/>
          </w:tcPr>
          <w:p w14:paraId="73401B6C" w14:textId="77777777" w:rsidR="00954279" w:rsidRDefault="00A66714">
            <w:pPr>
              <w:rPr>
                <w:color w:val="000000"/>
                <w:sz w:val="20"/>
                <w:szCs w:val="20"/>
              </w:rPr>
            </w:pPr>
            <w:r>
              <w:rPr>
                <w:color w:val="000000"/>
                <w:sz w:val="20"/>
                <w:szCs w:val="20"/>
              </w:rPr>
              <w:t> </w:t>
            </w:r>
          </w:p>
        </w:tc>
      </w:tr>
      <w:tr w:rsidR="00954279" w14:paraId="6DE23CCE" w14:textId="77777777">
        <w:tc>
          <w:tcPr>
            <w:tcW w:w="0" w:type="auto"/>
            <w:tcMar>
              <w:top w:w="5" w:type="dxa"/>
              <w:left w:w="5" w:type="dxa"/>
              <w:bottom w:w="5" w:type="dxa"/>
              <w:right w:w="5" w:type="dxa"/>
            </w:tcMar>
            <w:vAlign w:val="bottom"/>
            <w:hideMark/>
          </w:tcPr>
          <w:p w14:paraId="3C8927F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4CE99F9"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34F5D999" w14:textId="77777777" w:rsidR="00954279" w:rsidRDefault="00A66714">
            <w:pPr>
              <w:jc w:val="center"/>
              <w:rPr>
                <w:color w:val="000000"/>
                <w:sz w:val="20"/>
                <w:szCs w:val="20"/>
              </w:rPr>
            </w:pPr>
            <w:r>
              <w:rPr>
                <w:b/>
                <w:bCs/>
                <w:color w:val="000000"/>
                <w:sz w:val="20"/>
                <w:szCs w:val="20"/>
              </w:rPr>
              <w:t>June 30,</w:t>
            </w:r>
          </w:p>
        </w:tc>
        <w:tc>
          <w:tcPr>
            <w:tcW w:w="0" w:type="auto"/>
            <w:tcMar>
              <w:top w:w="5" w:type="dxa"/>
              <w:left w:w="5" w:type="dxa"/>
              <w:bottom w:w="5" w:type="dxa"/>
              <w:right w:w="5" w:type="dxa"/>
            </w:tcMar>
            <w:vAlign w:val="bottom"/>
            <w:hideMark/>
          </w:tcPr>
          <w:p w14:paraId="56A98B0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147CAE9"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7A402309" w14:textId="77777777" w:rsidR="00954279" w:rsidRDefault="00A66714">
            <w:pPr>
              <w:jc w:val="center"/>
              <w:rPr>
                <w:color w:val="000000"/>
                <w:sz w:val="20"/>
                <w:szCs w:val="20"/>
              </w:rPr>
            </w:pPr>
            <w:r>
              <w:rPr>
                <w:b/>
                <w:bCs/>
                <w:color w:val="000000"/>
                <w:sz w:val="20"/>
                <w:szCs w:val="20"/>
              </w:rPr>
              <w:t>Percentage</w:t>
            </w:r>
          </w:p>
        </w:tc>
        <w:tc>
          <w:tcPr>
            <w:tcW w:w="0" w:type="auto"/>
            <w:tcMar>
              <w:top w:w="5" w:type="dxa"/>
              <w:left w:w="5" w:type="dxa"/>
              <w:bottom w:w="5" w:type="dxa"/>
              <w:right w:w="5" w:type="dxa"/>
            </w:tcMar>
            <w:vAlign w:val="bottom"/>
            <w:hideMark/>
          </w:tcPr>
          <w:p w14:paraId="098CFAA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0794944"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47FC72B2" w14:textId="77777777" w:rsidR="00954279" w:rsidRDefault="00A66714">
            <w:pPr>
              <w:jc w:val="center"/>
              <w:rPr>
                <w:color w:val="000000"/>
                <w:sz w:val="20"/>
                <w:szCs w:val="20"/>
              </w:rPr>
            </w:pPr>
            <w:r>
              <w:rPr>
                <w:b/>
                <w:bCs/>
                <w:color w:val="000000"/>
                <w:sz w:val="20"/>
                <w:szCs w:val="20"/>
              </w:rPr>
              <w:t>June 30,</w:t>
            </w:r>
          </w:p>
        </w:tc>
        <w:tc>
          <w:tcPr>
            <w:tcW w:w="0" w:type="auto"/>
            <w:tcMar>
              <w:top w:w="5" w:type="dxa"/>
              <w:left w:w="5" w:type="dxa"/>
              <w:bottom w:w="5" w:type="dxa"/>
              <w:right w:w="5" w:type="dxa"/>
            </w:tcMar>
            <w:vAlign w:val="bottom"/>
            <w:hideMark/>
          </w:tcPr>
          <w:p w14:paraId="3AC8EAF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8EAAB92"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6DC4CF76" w14:textId="77777777" w:rsidR="00954279" w:rsidRDefault="00A66714">
            <w:pPr>
              <w:jc w:val="center"/>
              <w:rPr>
                <w:color w:val="000000"/>
                <w:sz w:val="20"/>
                <w:szCs w:val="20"/>
              </w:rPr>
            </w:pPr>
            <w:r>
              <w:rPr>
                <w:b/>
                <w:bCs/>
                <w:color w:val="000000"/>
                <w:sz w:val="20"/>
                <w:szCs w:val="20"/>
              </w:rPr>
              <w:t>Percentage</w:t>
            </w:r>
          </w:p>
        </w:tc>
        <w:tc>
          <w:tcPr>
            <w:tcW w:w="0" w:type="auto"/>
            <w:tcMar>
              <w:top w:w="5" w:type="dxa"/>
              <w:left w:w="5" w:type="dxa"/>
              <w:bottom w:w="5" w:type="dxa"/>
              <w:right w:w="5" w:type="dxa"/>
            </w:tcMar>
            <w:vAlign w:val="bottom"/>
            <w:hideMark/>
          </w:tcPr>
          <w:p w14:paraId="3257D063" w14:textId="77777777" w:rsidR="00954279" w:rsidRDefault="00A66714">
            <w:pPr>
              <w:rPr>
                <w:color w:val="000000"/>
                <w:sz w:val="20"/>
                <w:szCs w:val="20"/>
              </w:rPr>
            </w:pPr>
            <w:r>
              <w:rPr>
                <w:color w:val="000000"/>
                <w:sz w:val="20"/>
                <w:szCs w:val="20"/>
              </w:rPr>
              <w:t> </w:t>
            </w:r>
          </w:p>
        </w:tc>
      </w:tr>
      <w:tr w:rsidR="00954279" w14:paraId="78C1BA2B" w14:textId="77777777">
        <w:tc>
          <w:tcPr>
            <w:tcW w:w="0" w:type="auto"/>
            <w:tcMar>
              <w:top w:w="5" w:type="dxa"/>
              <w:left w:w="5" w:type="dxa"/>
              <w:bottom w:w="5" w:type="dxa"/>
              <w:right w:w="5" w:type="dxa"/>
            </w:tcMar>
            <w:vAlign w:val="bottom"/>
            <w:hideMark/>
          </w:tcPr>
          <w:p w14:paraId="1B4398A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B453025"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7854A240" w14:textId="77777777" w:rsidR="00954279" w:rsidRDefault="00A66714">
            <w:pPr>
              <w:jc w:val="center"/>
              <w:rPr>
                <w:color w:val="000000"/>
                <w:sz w:val="20"/>
                <w:szCs w:val="20"/>
              </w:rPr>
            </w:pPr>
            <w:r>
              <w:rPr>
                <w:b/>
                <w:bCs/>
                <w:color w:val="000000"/>
                <w:sz w:val="20"/>
                <w:szCs w:val="20"/>
              </w:rPr>
              <w:t>2021</w:t>
            </w:r>
          </w:p>
        </w:tc>
        <w:tc>
          <w:tcPr>
            <w:tcW w:w="0" w:type="auto"/>
            <w:tcMar>
              <w:top w:w="5" w:type="dxa"/>
              <w:left w:w="5" w:type="dxa"/>
              <w:bottom w:w="20" w:type="dxa"/>
              <w:right w:w="5" w:type="dxa"/>
            </w:tcMar>
            <w:vAlign w:val="bottom"/>
            <w:hideMark/>
          </w:tcPr>
          <w:p w14:paraId="61E174E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14E7AF1"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ACF2BCB" w14:textId="77777777" w:rsidR="00954279" w:rsidRDefault="00A66714">
            <w:pPr>
              <w:jc w:val="center"/>
              <w:rPr>
                <w:color w:val="000000"/>
                <w:sz w:val="20"/>
                <w:szCs w:val="20"/>
              </w:rPr>
            </w:pPr>
            <w:r>
              <w:rPr>
                <w:b/>
                <w:bCs/>
                <w:color w:val="000000"/>
                <w:sz w:val="20"/>
                <w:szCs w:val="20"/>
              </w:rPr>
              <w:t>of Revenue</w:t>
            </w:r>
          </w:p>
        </w:tc>
        <w:tc>
          <w:tcPr>
            <w:tcW w:w="0" w:type="auto"/>
            <w:tcMar>
              <w:top w:w="5" w:type="dxa"/>
              <w:left w:w="5" w:type="dxa"/>
              <w:bottom w:w="20" w:type="dxa"/>
              <w:right w:w="5" w:type="dxa"/>
            </w:tcMar>
            <w:vAlign w:val="bottom"/>
            <w:hideMark/>
          </w:tcPr>
          <w:p w14:paraId="58CFE61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ABA9D94"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243C0A76" w14:textId="77777777" w:rsidR="00954279" w:rsidRDefault="00A66714">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2E6A269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9571A8A"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DA1F600" w14:textId="77777777" w:rsidR="00954279" w:rsidRDefault="00A66714">
            <w:pPr>
              <w:jc w:val="center"/>
              <w:rPr>
                <w:color w:val="000000"/>
                <w:sz w:val="20"/>
                <w:szCs w:val="20"/>
              </w:rPr>
            </w:pPr>
            <w:r>
              <w:rPr>
                <w:b/>
                <w:bCs/>
                <w:color w:val="000000"/>
                <w:sz w:val="20"/>
                <w:szCs w:val="20"/>
              </w:rPr>
              <w:t>of Revenue</w:t>
            </w:r>
          </w:p>
        </w:tc>
        <w:tc>
          <w:tcPr>
            <w:tcW w:w="0" w:type="auto"/>
            <w:tcMar>
              <w:top w:w="5" w:type="dxa"/>
              <w:left w:w="5" w:type="dxa"/>
              <w:bottom w:w="20" w:type="dxa"/>
              <w:right w:w="5" w:type="dxa"/>
            </w:tcMar>
            <w:vAlign w:val="bottom"/>
            <w:hideMark/>
          </w:tcPr>
          <w:p w14:paraId="29673DFC" w14:textId="77777777" w:rsidR="00954279" w:rsidRDefault="00A66714">
            <w:pPr>
              <w:rPr>
                <w:color w:val="000000"/>
                <w:sz w:val="20"/>
                <w:szCs w:val="20"/>
              </w:rPr>
            </w:pPr>
            <w:r>
              <w:rPr>
                <w:color w:val="000000"/>
                <w:sz w:val="20"/>
                <w:szCs w:val="20"/>
              </w:rPr>
              <w:t> </w:t>
            </w:r>
          </w:p>
        </w:tc>
      </w:tr>
      <w:tr w:rsidR="00954279" w14:paraId="622CF252" w14:textId="77777777" w:rsidTr="005554C6">
        <w:tc>
          <w:tcPr>
            <w:tcW w:w="2591" w:type="pct"/>
            <w:tcMar>
              <w:top w:w="5" w:type="dxa"/>
              <w:left w:w="5" w:type="dxa"/>
              <w:bottom w:w="5" w:type="dxa"/>
              <w:right w:w="5" w:type="dxa"/>
            </w:tcMar>
            <w:vAlign w:val="bottom"/>
            <w:hideMark/>
          </w:tcPr>
          <w:p w14:paraId="3B100AB8" w14:textId="77777777" w:rsidR="00954279" w:rsidRDefault="00A66714">
            <w:pPr>
              <w:rPr>
                <w:color w:val="000000"/>
                <w:sz w:val="20"/>
                <w:szCs w:val="20"/>
              </w:rPr>
            </w:pPr>
            <w:r>
              <w:rPr>
                <w:color w:val="000000"/>
                <w:sz w:val="20"/>
                <w:szCs w:val="20"/>
              </w:rPr>
              <w:t>Gross profit, as reported</w:t>
            </w:r>
          </w:p>
        </w:tc>
        <w:tc>
          <w:tcPr>
            <w:tcW w:w="41" w:type="pct"/>
            <w:tcMar>
              <w:top w:w="5" w:type="dxa"/>
              <w:left w:w="5" w:type="dxa"/>
              <w:bottom w:w="5" w:type="dxa"/>
              <w:right w:w="5" w:type="dxa"/>
            </w:tcMar>
            <w:vAlign w:val="bottom"/>
            <w:hideMark/>
          </w:tcPr>
          <w:p w14:paraId="7177FB80"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22F8425B" w14:textId="77777777" w:rsidR="00954279" w:rsidRDefault="00A66714">
            <w:pPr>
              <w:rPr>
                <w:color w:val="000000"/>
                <w:sz w:val="20"/>
                <w:szCs w:val="20"/>
              </w:rPr>
            </w:pPr>
            <w:r>
              <w:rPr>
                <w:color w:val="000000"/>
                <w:sz w:val="20"/>
                <w:szCs w:val="20"/>
              </w:rPr>
              <w:t>$</w:t>
            </w:r>
          </w:p>
        </w:tc>
        <w:tc>
          <w:tcPr>
            <w:tcW w:w="441" w:type="pct"/>
            <w:tcMar>
              <w:top w:w="5" w:type="dxa"/>
              <w:left w:w="5" w:type="dxa"/>
              <w:bottom w:w="5" w:type="dxa"/>
              <w:right w:w="5" w:type="dxa"/>
            </w:tcMar>
            <w:vAlign w:val="bottom"/>
            <w:hideMark/>
          </w:tcPr>
          <w:p w14:paraId="2916636B" w14:textId="77777777" w:rsidR="00954279" w:rsidRDefault="00A66714">
            <w:pPr>
              <w:jc w:val="right"/>
              <w:rPr>
                <w:color w:val="000000"/>
                <w:sz w:val="20"/>
                <w:szCs w:val="20"/>
              </w:rPr>
            </w:pPr>
            <w:r>
              <w:rPr>
                <w:b/>
                <w:bCs/>
                <w:color w:val="000000"/>
                <w:sz w:val="20"/>
                <w:szCs w:val="20"/>
              </w:rPr>
              <w:t>215</w:t>
            </w:r>
          </w:p>
        </w:tc>
        <w:tc>
          <w:tcPr>
            <w:tcW w:w="41" w:type="pct"/>
            <w:noWrap/>
            <w:tcMar>
              <w:top w:w="5" w:type="dxa"/>
              <w:left w:w="5" w:type="dxa"/>
              <w:bottom w:w="5" w:type="dxa"/>
              <w:right w:w="5" w:type="dxa"/>
            </w:tcMar>
            <w:vAlign w:val="bottom"/>
            <w:hideMark/>
          </w:tcPr>
          <w:p w14:paraId="5AF0C8DA" w14:textId="77777777" w:rsidR="00954279" w:rsidRDefault="00A66714">
            <w:pPr>
              <w:rPr>
                <w:color w:val="000000"/>
                <w:sz w:val="20"/>
                <w:szCs w:val="20"/>
              </w:rPr>
            </w:pPr>
            <w:r>
              <w:rPr>
                <w:color w:val="000000"/>
                <w:sz w:val="20"/>
                <w:szCs w:val="20"/>
              </w:rPr>
              <w:t> </w:t>
            </w:r>
          </w:p>
        </w:tc>
        <w:tc>
          <w:tcPr>
            <w:tcW w:w="41" w:type="pct"/>
            <w:tcMar>
              <w:top w:w="5" w:type="dxa"/>
              <w:left w:w="5" w:type="dxa"/>
              <w:bottom w:w="5" w:type="dxa"/>
              <w:right w:w="5" w:type="dxa"/>
            </w:tcMar>
            <w:vAlign w:val="bottom"/>
            <w:hideMark/>
          </w:tcPr>
          <w:p w14:paraId="625629E3" w14:textId="77777777" w:rsidR="00954279" w:rsidRDefault="00A66714">
            <w:pPr>
              <w:rPr>
                <w:color w:val="000000"/>
                <w:sz w:val="20"/>
                <w:szCs w:val="20"/>
              </w:rPr>
            </w:pPr>
            <w:r>
              <w:rPr>
                <w:color w:val="000000"/>
                <w:sz w:val="20"/>
                <w:szCs w:val="20"/>
              </w:rPr>
              <w:t> </w:t>
            </w:r>
          </w:p>
        </w:tc>
        <w:tc>
          <w:tcPr>
            <w:tcW w:w="44" w:type="pct"/>
            <w:tcMar>
              <w:top w:w="5" w:type="dxa"/>
              <w:left w:w="5" w:type="dxa"/>
              <w:bottom w:w="5" w:type="dxa"/>
              <w:right w:w="5" w:type="dxa"/>
            </w:tcMar>
            <w:vAlign w:val="bottom"/>
            <w:hideMark/>
          </w:tcPr>
          <w:p w14:paraId="1E91C960" w14:textId="77777777" w:rsidR="00954279" w:rsidRDefault="00A66714">
            <w:pPr>
              <w:rPr>
                <w:color w:val="000000"/>
                <w:sz w:val="20"/>
                <w:szCs w:val="20"/>
              </w:rPr>
            </w:pPr>
            <w:r>
              <w:rPr>
                <w:color w:val="000000"/>
                <w:sz w:val="20"/>
                <w:szCs w:val="20"/>
              </w:rPr>
              <w:t> </w:t>
            </w:r>
          </w:p>
        </w:tc>
        <w:tc>
          <w:tcPr>
            <w:tcW w:w="438" w:type="pct"/>
            <w:tcMar>
              <w:top w:w="5" w:type="dxa"/>
              <w:left w:w="5" w:type="dxa"/>
              <w:bottom w:w="5" w:type="dxa"/>
              <w:right w:w="5" w:type="dxa"/>
            </w:tcMar>
            <w:vAlign w:val="bottom"/>
            <w:hideMark/>
          </w:tcPr>
          <w:p w14:paraId="59E72E88" w14:textId="77777777" w:rsidR="00954279" w:rsidRDefault="00A66714">
            <w:pPr>
              <w:jc w:val="right"/>
              <w:rPr>
                <w:color w:val="000000"/>
                <w:sz w:val="20"/>
                <w:szCs w:val="20"/>
              </w:rPr>
            </w:pPr>
            <w:r>
              <w:rPr>
                <w:b/>
                <w:bCs/>
                <w:color w:val="000000"/>
                <w:sz w:val="20"/>
                <w:szCs w:val="20"/>
              </w:rPr>
              <w:t>16.6</w:t>
            </w:r>
          </w:p>
        </w:tc>
        <w:tc>
          <w:tcPr>
            <w:tcW w:w="97" w:type="pct"/>
            <w:noWrap/>
            <w:tcMar>
              <w:top w:w="5" w:type="dxa"/>
              <w:left w:w="5" w:type="dxa"/>
              <w:bottom w:w="5" w:type="dxa"/>
              <w:right w:w="5" w:type="dxa"/>
            </w:tcMar>
            <w:vAlign w:val="bottom"/>
            <w:hideMark/>
          </w:tcPr>
          <w:p w14:paraId="14F0FC43" w14:textId="77777777" w:rsidR="00954279" w:rsidRDefault="00A66714">
            <w:pPr>
              <w:rPr>
                <w:color w:val="000000"/>
                <w:sz w:val="20"/>
                <w:szCs w:val="20"/>
              </w:rPr>
            </w:pPr>
            <w:r>
              <w:rPr>
                <w:b/>
                <w:bCs/>
                <w:color w:val="000000"/>
                <w:sz w:val="20"/>
                <w:szCs w:val="20"/>
              </w:rPr>
              <w:t>%</w:t>
            </w:r>
          </w:p>
        </w:tc>
        <w:tc>
          <w:tcPr>
            <w:tcW w:w="41" w:type="pct"/>
            <w:tcMar>
              <w:top w:w="5" w:type="dxa"/>
              <w:left w:w="5" w:type="dxa"/>
              <w:bottom w:w="5" w:type="dxa"/>
              <w:right w:w="5" w:type="dxa"/>
            </w:tcMar>
            <w:vAlign w:val="bottom"/>
            <w:hideMark/>
          </w:tcPr>
          <w:p w14:paraId="7C0A5C8B"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348D4844" w14:textId="77777777" w:rsidR="00954279" w:rsidRDefault="00A66714">
            <w:pPr>
              <w:rPr>
                <w:color w:val="000000"/>
                <w:sz w:val="20"/>
                <w:szCs w:val="20"/>
              </w:rPr>
            </w:pPr>
            <w:r>
              <w:rPr>
                <w:color w:val="000000"/>
                <w:sz w:val="20"/>
                <w:szCs w:val="20"/>
              </w:rPr>
              <w:t>$</w:t>
            </w:r>
          </w:p>
        </w:tc>
        <w:tc>
          <w:tcPr>
            <w:tcW w:w="442" w:type="pct"/>
            <w:tcMar>
              <w:top w:w="5" w:type="dxa"/>
              <w:left w:w="5" w:type="dxa"/>
              <w:bottom w:w="5" w:type="dxa"/>
              <w:right w:w="5" w:type="dxa"/>
            </w:tcMar>
            <w:vAlign w:val="bottom"/>
            <w:hideMark/>
          </w:tcPr>
          <w:p w14:paraId="2B1A37A4" w14:textId="77777777" w:rsidR="00954279" w:rsidRDefault="00A66714">
            <w:pPr>
              <w:jc w:val="right"/>
              <w:rPr>
                <w:color w:val="000000"/>
                <w:sz w:val="20"/>
                <w:szCs w:val="20"/>
              </w:rPr>
            </w:pPr>
            <w:r>
              <w:rPr>
                <w:color w:val="000000"/>
                <w:sz w:val="20"/>
                <w:szCs w:val="20"/>
              </w:rPr>
              <w:t>227</w:t>
            </w:r>
          </w:p>
        </w:tc>
        <w:tc>
          <w:tcPr>
            <w:tcW w:w="42" w:type="pct"/>
            <w:noWrap/>
            <w:tcMar>
              <w:top w:w="5" w:type="dxa"/>
              <w:left w:w="5" w:type="dxa"/>
              <w:bottom w:w="5" w:type="dxa"/>
              <w:right w:w="5" w:type="dxa"/>
            </w:tcMar>
            <w:vAlign w:val="bottom"/>
            <w:hideMark/>
          </w:tcPr>
          <w:p w14:paraId="27D54760" w14:textId="77777777" w:rsidR="00954279" w:rsidRDefault="00A66714">
            <w:pPr>
              <w:rPr>
                <w:color w:val="000000"/>
                <w:sz w:val="20"/>
                <w:szCs w:val="20"/>
              </w:rPr>
            </w:pPr>
            <w:r>
              <w:rPr>
                <w:color w:val="000000"/>
                <w:sz w:val="20"/>
                <w:szCs w:val="20"/>
              </w:rPr>
              <w:t> </w:t>
            </w:r>
          </w:p>
        </w:tc>
        <w:tc>
          <w:tcPr>
            <w:tcW w:w="42" w:type="pct"/>
            <w:tcMar>
              <w:top w:w="5" w:type="dxa"/>
              <w:left w:w="5" w:type="dxa"/>
              <w:bottom w:w="5" w:type="dxa"/>
              <w:right w:w="5" w:type="dxa"/>
            </w:tcMar>
            <w:vAlign w:val="bottom"/>
            <w:hideMark/>
          </w:tcPr>
          <w:p w14:paraId="3C1FFB94" w14:textId="77777777" w:rsidR="00954279" w:rsidRDefault="00A66714">
            <w:pPr>
              <w:rPr>
                <w:color w:val="000000"/>
                <w:sz w:val="20"/>
                <w:szCs w:val="20"/>
              </w:rPr>
            </w:pPr>
            <w:r>
              <w:rPr>
                <w:color w:val="000000"/>
                <w:sz w:val="20"/>
                <w:szCs w:val="20"/>
              </w:rPr>
              <w:t> </w:t>
            </w:r>
          </w:p>
        </w:tc>
        <w:tc>
          <w:tcPr>
            <w:tcW w:w="44" w:type="pct"/>
            <w:tcMar>
              <w:top w:w="5" w:type="dxa"/>
              <w:left w:w="5" w:type="dxa"/>
              <w:bottom w:w="5" w:type="dxa"/>
              <w:right w:w="5" w:type="dxa"/>
            </w:tcMar>
            <w:vAlign w:val="bottom"/>
            <w:hideMark/>
          </w:tcPr>
          <w:p w14:paraId="32031E1B" w14:textId="77777777" w:rsidR="00954279" w:rsidRDefault="00A66714">
            <w:pPr>
              <w:rPr>
                <w:color w:val="000000"/>
                <w:sz w:val="20"/>
                <w:szCs w:val="20"/>
              </w:rPr>
            </w:pPr>
            <w:r>
              <w:rPr>
                <w:color w:val="000000"/>
                <w:sz w:val="20"/>
                <w:szCs w:val="20"/>
              </w:rPr>
              <w:t> </w:t>
            </w:r>
          </w:p>
        </w:tc>
        <w:tc>
          <w:tcPr>
            <w:tcW w:w="439" w:type="pct"/>
            <w:tcMar>
              <w:top w:w="5" w:type="dxa"/>
              <w:left w:w="5" w:type="dxa"/>
              <w:bottom w:w="5" w:type="dxa"/>
              <w:right w:w="5" w:type="dxa"/>
            </w:tcMar>
            <w:vAlign w:val="bottom"/>
            <w:hideMark/>
          </w:tcPr>
          <w:p w14:paraId="3CA6B445" w14:textId="77777777" w:rsidR="00954279" w:rsidRDefault="00A66714">
            <w:pPr>
              <w:jc w:val="right"/>
              <w:rPr>
                <w:color w:val="000000"/>
                <w:sz w:val="20"/>
                <w:szCs w:val="20"/>
              </w:rPr>
            </w:pPr>
            <w:r>
              <w:rPr>
                <w:color w:val="000000"/>
                <w:sz w:val="20"/>
                <w:szCs w:val="20"/>
              </w:rPr>
              <w:t>16.3</w:t>
            </w:r>
          </w:p>
        </w:tc>
        <w:tc>
          <w:tcPr>
            <w:tcW w:w="113" w:type="pct"/>
            <w:noWrap/>
            <w:tcMar>
              <w:top w:w="5" w:type="dxa"/>
              <w:left w:w="5" w:type="dxa"/>
              <w:bottom w:w="5" w:type="dxa"/>
              <w:right w:w="5" w:type="dxa"/>
            </w:tcMar>
            <w:vAlign w:val="bottom"/>
            <w:hideMark/>
          </w:tcPr>
          <w:p w14:paraId="625E9953" w14:textId="77777777" w:rsidR="00954279" w:rsidRDefault="00A66714">
            <w:pPr>
              <w:rPr>
                <w:color w:val="000000"/>
                <w:sz w:val="20"/>
                <w:szCs w:val="20"/>
              </w:rPr>
            </w:pPr>
            <w:r>
              <w:rPr>
                <w:color w:val="000000"/>
                <w:sz w:val="20"/>
                <w:szCs w:val="20"/>
              </w:rPr>
              <w:t>%</w:t>
            </w:r>
          </w:p>
        </w:tc>
      </w:tr>
      <w:tr w:rsidR="00954279" w14:paraId="20E526E8" w14:textId="77777777" w:rsidTr="005554C6">
        <w:tc>
          <w:tcPr>
            <w:tcW w:w="0" w:type="auto"/>
            <w:tcMar>
              <w:top w:w="5" w:type="dxa"/>
              <w:left w:w="5" w:type="dxa"/>
              <w:bottom w:w="5" w:type="dxa"/>
              <w:right w:w="5" w:type="dxa"/>
            </w:tcMar>
            <w:vAlign w:val="bottom"/>
            <w:hideMark/>
          </w:tcPr>
          <w:p w14:paraId="71592694" w14:textId="77777777" w:rsidR="00954279" w:rsidRDefault="00A66714">
            <w:pPr>
              <w:rPr>
                <w:color w:val="000000"/>
                <w:sz w:val="20"/>
                <w:szCs w:val="20"/>
              </w:rPr>
            </w:pPr>
            <w:r>
              <w:rPr>
                <w:color w:val="000000"/>
                <w:sz w:val="20"/>
                <w:szCs w:val="20"/>
              </w:rPr>
              <w:t>Depreciation and amortization</w:t>
            </w:r>
          </w:p>
        </w:tc>
        <w:tc>
          <w:tcPr>
            <w:tcW w:w="41" w:type="pct"/>
            <w:tcMar>
              <w:top w:w="5" w:type="dxa"/>
              <w:left w:w="5" w:type="dxa"/>
              <w:bottom w:w="5" w:type="dxa"/>
              <w:right w:w="5" w:type="dxa"/>
            </w:tcMar>
            <w:vAlign w:val="bottom"/>
            <w:hideMark/>
          </w:tcPr>
          <w:p w14:paraId="0429E019"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5586DAF3" w14:textId="77777777" w:rsidR="00954279" w:rsidRDefault="00A66714">
            <w:pPr>
              <w:rPr>
                <w:color w:val="000000"/>
                <w:sz w:val="20"/>
                <w:szCs w:val="20"/>
              </w:rPr>
            </w:pPr>
            <w:r>
              <w:rPr>
                <w:color w:val="000000"/>
                <w:sz w:val="20"/>
                <w:szCs w:val="20"/>
              </w:rPr>
              <w:t> </w:t>
            </w:r>
          </w:p>
        </w:tc>
        <w:tc>
          <w:tcPr>
            <w:tcW w:w="441" w:type="pct"/>
            <w:tcMar>
              <w:top w:w="5" w:type="dxa"/>
              <w:left w:w="5" w:type="dxa"/>
              <w:bottom w:w="5" w:type="dxa"/>
              <w:right w:w="5" w:type="dxa"/>
            </w:tcMar>
            <w:vAlign w:val="bottom"/>
            <w:hideMark/>
          </w:tcPr>
          <w:p w14:paraId="318A7B23" w14:textId="77777777" w:rsidR="00954279" w:rsidRDefault="00A66714">
            <w:pPr>
              <w:jc w:val="right"/>
              <w:rPr>
                <w:color w:val="000000"/>
                <w:sz w:val="20"/>
                <w:szCs w:val="20"/>
              </w:rPr>
            </w:pPr>
            <w:r>
              <w:rPr>
                <w:b/>
                <w:bCs/>
                <w:color w:val="000000"/>
                <w:sz w:val="20"/>
                <w:szCs w:val="20"/>
              </w:rPr>
              <w:t>10</w:t>
            </w:r>
          </w:p>
        </w:tc>
        <w:tc>
          <w:tcPr>
            <w:tcW w:w="41" w:type="pct"/>
            <w:noWrap/>
            <w:tcMar>
              <w:top w:w="5" w:type="dxa"/>
              <w:left w:w="5" w:type="dxa"/>
              <w:bottom w:w="5" w:type="dxa"/>
              <w:right w:w="5" w:type="dxa"/>
            </w:tcMar>
            <w:vAlign w:val="bottom"/>
            <w:hideMark/>
          </w:tcPr>
          <w:p w14:paraId="28A2C5E8" w14:textId="77777777" w:rsidR="00954279" w:rsidRDefault="00A66714">
            <w:pPr>
              <w:rPr>
                <w:color w:val="000000"/>
                <w:sz w:val="20"/>
                <w:szCs w:val="20"/>
              </w:rPr>
            </w:pPr>
            <w:r>
              <w:rPr>
                <w:color w:val="000000"/>
                <w:sz w:val="20"/>
                <w:szCs w:val="20"/>
              </w:rPr>
              <w:t> </w:t>
            </w:r>
          </w:p>
        </w:tc>
        <w:tc>
          <w:tcPr>
            <w:tcW w:w="41" w:type="pct"/>
            <w:tcMar>
              <w:top w:w="5" w:type="dxa"/>
              <w:left w:w="5" w:type="dxa"/>
              <w:bottom w:w="5" w:type="dxa"/>
              <w:right w:w="5" w:type="dxa"/>
            </w:tcMar>
            <w:vAlign w:val="bottom"/>
            <w:hideMark/>
          </w:tcPr>
          <w:p w14:paraId="078F271B" w14:textId="77777777" w:rsidR="00954279" w:rsidRDefault="00A66714">
            <w:pPr>
              <w:rPr>
                <w:color w:val="000000"/>
                <w:sz w:val="20"/>
                <w:szCs w:val="20"/>
              </w:rPr>
            </w:pPr>
            <w:r>
              <w:rPr>
                <w:color w:val="000000"/>
                <w:sz w:val="20"/>
                <w:szCs w:val="20"/>
              </w:rPr>
              <w:t> </w:t>
            </w:r>
          </w:p>
        </w:tc>
        <w:tc>
          <w:tcPr>
            <w:tcW w:w="44" w:type="pct"/>
            <w:tcMar>
              <w:top w:w="5" w:type="dxa"/>
              <w:left w:w="5" w:type="dxa"/>
              <w:bottom w:w="5" w:type="dxa"/>
              <w:right w:w="5" w:type="dxa"/>
            </w:tcMar>
            <w:vAlign w:val="bottom"/>
            <w:hideMark/>
          </w:tcPr>
          <w:p w14:paraId="19DBF7C6" w14:textId="77777777" w:rsidR="00954279" w:rsidRDefault="00A66714">
            <w:pPr>
              <w:rPr>
                <w:color w:val="000000"/>
                <w:sz w:val="20"/>
                <w:szCs w:val="20"/>
              </w:rPr>
            </w:pPr>
            <w:r>
              <w:rPr>
                <w:color w:val="000000"/>
                <w:sz w:val="20"/>
                <w:szCs w:val="20"/>
              </w:rPr>
              <w:t> </w:t>
            </w:r>
          </w:p>
        </w:tc>
        <w:tc>
          <w:tcPr>
            <w:tcW w:w="438" w:type="pct"/>
            <w:tcMar>
              <w:top w:w="5" w:type="dxa"/>
              <w:left w:w="5" w:type="dxa"/>
              <w:bottom w:w="5" w:type="dxa"/>
              <w:right w:w="5" w:type="dxa"/>
            </w:tcMar>
            <w:vAlign w:val="bottom"/>
            <w:hideMark/>
          </w:tcPr>
          <w:p w14:paraId="26BD2CEA" w14:textId="77777777" w:rsidR="00954279" w:rsidRDefault="00A66714">
            <w:pPr>
              <w:jc w:val="right"/>
              <w:rPr>
                <w:color w:val="000000"/>
                <w:sz w:val="20"/>
                <w:szCs w:val="20"/>
              </w:rPr>
            </w:pPr>
            <w:r>
              <w:rPr>
                <w:b/>
                <w:bCs/>
                <w:color w:val="000000"/>
                <w:sz w:val="20"/>
                <w:szCs w:val="20"/>
              </w:rPr>
              <w:t>0.8</w:t>
            </w:r>
          </w:p>
        </w:tc>
        <w:tc>
          <w:tcPr>
            <w:tcW w:w="97" w:type="pct"/>
            <w:noWrap/>
            <w:tcMar>
              <w:top w:w="5" w:type="dxa"/>
              <w:left w:w="5" w:type="dxa"/>
              <w:bottom w:w="5" w:type="dxa"/>
              <w:right w:w="5" w:type="dxa"/>
            </w:tcMar>
            <w:vAlign w:val="bottom"/>
            <w:hideMark/>
          </w:tcPr>
          <w:p w14:paraId="4270D983" w14:textId="77777777" w:rsidR="00954279" w:rsidRDefault="00A66714">
            <w:pPr>
              <w:rPr>
                <w:color w:val="000000"/>
                <w:sz w:val="20"/>
                <w:szCs w:val="20"/>
              </w:rPr>
            </w:pPr>
            <w:r>
              <w:rPr>
                <w:b/>
                <w:bCs/>
                <w:color w:val="000000"/>
                <w:sz w:val="20"/>
                <w:szCs w:val="20"/>
              </w:rPr>
              <w:t>%</w:t>
            </w:r>
          </w:p>
        </w:tc>
        <w:tc>
          <w:tcPr>
            <w:tcW w:w="41" w:type="pct"/>
            <w:tcMar>
              <w:top w:w="5" w:type="dxa"/>
              <w:left w:w="5" w:type="dxa"/>
              <w:bottom w:w="5" w:type="dxa"/>
              <w:right w:w="5" w:type="dxa"/>
            </w:tcMar>
            <w:vAlign w:val="bottom"/>
            <w:hideMark/>
          </w:tcPr>
          <w:p w14:paraId="7E553B85"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26D961B7" w14:textId="77777777" w:rsidR="00954279" w:rsidRDefault="00A66714">
            <w:pPr>
              <w:rPr>
                <w:color w:val="000000"/>
                <w:sz w:val="20"/>
                <w:szCs w:val="20"/>
              </w:rPr>
            </w:pPr>
            <w:r>
              <w:rPr>
                <w:color w:val="000000"/>
                <w:sz w:val="20"/>
                <w:szCs w:val="20"/>
              </w:rPr>
              <w:t> </w:t>
            </w:r>
          </w:p>
        </w:tc>
        <w:tc>
          <w:tcPr>
            <w:tcW w:w="442" w:type="pct"/>
            <w:tcMar>
              <w:top w:w="5" w:type="dxa"/>
              <w:left w:w="5" w:type="dxa"/>
              <w:bottom w:w="5" w:type="dxa"/>
              <w:right w:w="5" w:type="dxa"/>
            </w:tcMar>
            <w:vAlign w:val="bottom"/>
            <w:hideMark/>
          </w:tcPr>
          <w:p w14:paraId="7C8681D1" w14:textId="77777777" w:rsidR="00954279" w:rsidRDefault="00A66714">
            <w:pPr>
              <w:jc w:val="right"/>
              <w:rPr>
                <w:color w:val="000000"/>
                <w:sz w:val="20"/>
                <w:szCs w:val="20"/>
              </w:rPr>
            </w:pPr>
            <w:r>
              <w:rPr>
                <w:color w:val="000000"/>
                <w:sz w:val="20"/>
                <w:szCs w:val="20"/>
              </w:rPr>
              <w:t>10</w:t>
            </w:r>
          </w:p>
        </w:tc>
        <w:tc>
          <w:tcPr>
            <w:tcW w:w="42" w:type="pct"/>
            <w:noWrap/>
            <w:tcMar>
              <w:top w:w="5" w:type="dxa"/>
              <w:left w:w="5" w:type="dxa"/>
              <w:bottom w:w="5" w:type="dxa"/>
              <w:right w:w="5" w:type="dxa"/>
            </w:tcMar>
            <w:vAlign w:val="bottom"/>
            <w:hideMark/>
          </w:tcPr>
          <w:p w14:paraId="4F2F350C" w14:textId="77777777" w:rsidR="00954279" w:rsidRDefault="00A66714">
            <w:pPr>
              <w:rPr>
                <w:color w:val="000000"/>
                <w:sz w:val="20"/>
                <w:szCs w:val="20"/>
              </w:rPr>
            </w:pPr>
            <w:r>
              <w:rPr>
                <w:color w:val="000000"/>
                <w:sz w:val="20"/>
                <w:szCs w:val="20"/>
              </w:rPr>
              <w:t> </w:t>
            </w:r>
          </w:p>
        </w:tc>
        <w:tc>
          <w:tcPr>
            <w:tcW w:w="42" w:type="pct"/>
            <w:tcMar>
              <w:top w:w="5" w:type="dxa"/>
              <w:left w:w="5" w:type="dxa"/>
              <w:bottom w:w="5" w:type="dxa"/>
              <w:right w:w="5" w:type="dxa"/>
            </w:tcMar>
            <w:vAlign w:val="bottom"/>
            <w:hideMark/>
          </w:tcPr>
          <w:p w14:paraId="6112EC97" w14:textId="77777777" w:rsidR="00954279" w:rsidRDefault="00A66714">
            <w:pPr>
              <w:rPr>
                <w:color w:val="000000"/>
                <w:sz w:val="20"/>
                <w:szCs w:val="20"/>
              </w:rPr>
            </w:pPr>
            <w:r>
              <w:rPr>
                <w:color w:val="000000"/>
                <w:sz w:val="20"/>
                <w:szCs w:val="20"/>
              </w:rPr>
              <w:t> </w:t>
            </w:r>
          </w:p>
        </w:tc>
        <w:tc>
          <w:tcPr>
            <w:tcW w:w="44" w:type="pct"/>
            <w:tcMar>
              <w:top w:w="5" w:type="dxa"/>
              <w:left w:w="5" w:type="dxa"/>
              <w:bottom w:w="5" w:type="dxa"/>
              <w:right w:w="5" w:type="dxa"/>
            </w:tcMar>
            <w:vAlign w:val="bottom"/>
            <w:hideMark/>
          </w:tcPr>
          <w:p w14:paraId="2E0B57E4" w14:textId="77777777" w:rsidR="00954279" w:rsidRDefault="00A66714">
            <w:pPr>
              <w:rPr>
                <w:color w:val="000000"/>
                <w:sz w:val="20"/>
                <w:szCs w:val="20"/>
              </w:rPr>
            </w:pPr>
            <w:r>
              <w:rPr>
                <w:color w:val="000000"/>
                <w:sz w:val="20"/>
                <w:szCs w:val="20"/>
              </w:rPr>
              <w:t> </w:t>
            </w:r>
          </w:p>
        </w:tc>
        <w:tc>
          <w:tcPr>
            <w:tcW w:w="439" w:type="pct"/>
            <w:tcMar>
              <w:top w:w="5" w:type="dxa"/>
              <w:left w:w="5" w:type="dxa"/>
              <w:bottom w:w="5" w:type="dxa"/>
              <w:right w:w="5" w:type="dxa"/>
            </w:tcMar>
            <w:vAlign w:val="bottom"/>
            <w:hideMark/>
          </w:tcPr>
          <w:p w14:paraId="0437830C" w14:textId="77777777" w:rsidR="00954279" w:rsidRDefault="00A66714">
            <w:pPr>
              <w:jc w:val="right"/>
              <w:rPr>
                <w:color w:val="000000"/>
                <w:sz w:val="20"/>
                <w:szCs w:val="20"/>
              </w:rPr>
            </w:pPr>
            <w:r>
              <w:rPr>
                <w:color w:val="000000"/>
                <w:sz w:val="20"/>
                <w:szCs w:val="20"/>
              </w:rPr>
              <w:t>0.7</w:t>
            </w:r>
          </w:p>
        </w:tc>
        <w:tc>
          <w:tcPr>
            <w:tcW w:w="113" w:type="pct"/>
            <w:noWrap/>
            <w:tcMar>
              <w:top w:w="5" w:type="dxa"/>
              <w:left w:w="5" w:type="dxa"/>
              <w:bottom w:w="5" w:type="dxa"/>
              <w:right w:w="5" w:type="dxa"/>
            </w:tcMar>
            <w:vAlign w:val="bottom"/>
            <w:hideMark/>
          </w:tcPr>
          <w:p w14:paraId="60AB2632" w14:textId="77777777" w:rsidR="00954279" w:rsidRDefault="00A66714">
            <w:pPr>
              <w:rPr>
                <w:color w:val="000000"/>
                <w:sz w:val="20"/>
                <w:szCs w:val="20"/>
              </w:rPr>
            </w:pPr>
            <w:r>
              <w:rPr>
                <w:color w:val="000000"/>
                <w:sz w:val="20"/>
                <w:szCs w:val="20"/>
              </w:rPr>
              <w:t>%</w:t>
            </w:r>
          </w:p>
        </w:tc>
      </w:tr>
      <w:tr w:rsidR="00954279" w14:paraId="18010F81" w14:textId="77777777" w:rsidTr="005554C6">
        <w:tc>
          <w:tcPr>
            <w:tcW w:w="0" w:type="auto"/>
            <w:tcMar>
              <w:top w:w="5" w:type="dxa"/>
              <w:left w:w="5" w:type="dxa"/>
              <w:bottom w:w="5" w:type="dxa"/>
              <w:right w:w="5" w:type="dxa"/>
            </w:tcMar>
            <w:vAlign w:val="bottom"/>
            <w:hideMark/>
          </w:tcPr>
          <w:p w14:paraId="1212447D" w14:textId="77777777" w:rsidR="00954279" w:rsidRDefault="00A66714">
            <w:pPr>
              <w:rPr>
                <w:color w:val="000000"/>
                <w:sz w:val="20"/>
                <w:szCs w:val="20"/>
              </w:rPr>
            </w:pPr>
            <w:r>
              <w:rPr>
                <w:color w:val="000000"/>
                <w:sz w:val="20"/>
                <w:szCs w:val="20"/>
              </w:rPr>
              <w:t>Amortization of intangibles</w:t>
            </w:r>
          </w:p>
        </w:tc>
        <w:tc>
          <w:tcPr>
            <w:tcW w:w="41" w:type="pct"/>
            <w:tcMar>
              <w:top w:w="5" w:type="dxa"/>
              <w:left w:w="5" w:type="dxa"/>
              <w:bottom w:w="5" w:type="dxa"/>
              <w:right w:w="5" w:type="dxa"/>
            </w:tcMar>
            <w:vAlign w:val="bottom"/>
            <w:hideMark/>
          </w:tcPr>
          <w:p w14:paraId="61DA1758"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06BE840F" w14:textId="77777777" w:rsidR="00954279" w:rsidRDefault="00A66714">
            <w:pPr>
              <w:rPr>
                <w:color w:val="000000"/>
                <w:sz w:val="20"/>
                <w:szCs w:val="20"/>
              </w:rPr>
            </w:pPr>
            <w:r>
              <w:rPr>
                <w:color w:val="000000"/>
                <w:sz w:val="20"/>
                <w:szCs w:val="20"/>
              </w:rPr>
              <w:t> </w:t>
            </w:r>
          </w:p>
        </w:tc>
        <w:tc>
          <w:tcPr>
            <w:tcW w:w="441" w:type="pct"/>
            <w:tcMar>
              <w:top w:w="5" w:type="dxa"/>
              <w:left w:w="5" w:type="dxa"/>
              <w:bottom w:w="5" w:type="dxa"/>
              <w:right w:w="5" w:type="dxa"/>
            </w:tcMar>
            <w:vAlign w:val="bottom"/>
            <w:hideMark/>
          </w:tcPr>
          <w:p w14:paraId="55DCD4F1" w14:textId="77777777" w:rsidR="00954279" w:rsidRDefault="00A66714">
            <w:pPr>
              <w:jc w:val="right"/>
              <w:rPr>
                <w:color w:val="000000"/>
                <w:sz w:val="20"/>
                <w:szCs w:val="20"/>
              </w:rPr>
            </w:pPr>
            <w:r>
              <w:rPr>
                <w:b/>
                <w:bCs/>
                <w:color w:val="000000"/>
                <w:sz w:val="20"/>
                <w:szCs w:val="20"/>
              </w:rPr>
              <w:t>12</w:t>
            </w:r>
          </w:p>
        </w:tc>
        <w:tc>
          <w:tcPr>
            <w:tcW w:w="41" w:type="pct"/>
            <w:noWrap/>
            <w:tcMar>
              <w:top w:w="5" w:type="dxa"/>
              <w:left w:w="5" w:type="dxa"/>
              <w:bottom w:w="5" w:type="dxa"/>
              <w:right w:w="5" w:type="dxa"/>
            </w:tcMar>
            <w:vAlign w:val="bottom"/>
            <w:hideMark/>
          </w:tcPr>
          <w:p w14:paraId="13E202D0" w14:textId="77777777" w:rsidR="00954279" w:rsidRDefault="00A66714">
            <w:pPr>
              <w:rPr>
                <w:color w:val="000000"/>
                <w:sz w:val="20"/>
                <w:szCs w:val="20"/>
              </w:rPr>
            </w:pPr>
            <w:r>
              <w:rPr>
                <w:color w:val="000000"/>
                <w:sz w:val="20"/>
                <w:szCs w:val="20"/>
              </w:rPr>
              <w:t> </w:t>
            </w:r>
          </w:p>
        </w:tc>
        <w:tc>
          <w:tcPr>
            <w:tcW w:w="41" w:type="pct"/>
            <w:tcMar>
              <w:top w:w="5" w:type="dxa"/>
              <w:left w:w="5" w:type="dxa"/>
              <w:bottom w:w="5" w:type="dxa"/>
              <w:right w:w="5" w:type="dxa"/>
            </w:tcMar>
            <w:vAlign w:val="bottom"/>
            <w:hideMark/>
          </w:tcPr>
          <w:p w14:paraId="60929032" w14:textId="77777777" w:rsidR="00954279" w:rsidRDefault="00A66714">
            <w:pPr>
              <w:rPr>
                <w:color w:val="000000"/>
                <w:sz w:val="20"/>
                <w:szCs w:val="20"/>
              </w:rPr>
            </w:pPr>
            <w:r>
              <w:rPr>
                <w:color w:val="000000"/>
                <w:sz w:val="20"/>
                <w:szCs w:val="20"/>
              </w:rPr>
              <w:t> </w:t>
            </w:r>
          </w:p>
        </w:tc>
        <w:tc>
          <w:tcPr>
            <w:tcW w:w="44" w:type="pct"/>
            <w:tcMar>
              <w:top w:w="5" w:type="dxa"/>
              <w:left w:w="5" w:type="dxa"/>
              <w:bottom w:w="5" w:type="dxa"/>
              <w:right w:w="5" w:type="dxa"/>
            </w:tcMar>
            <w:vAlign w:val="bottom"/>
            <w:hideMark/>
          </w:tcPr>
          <w:p w14:paraId="71B2B590" w14:textId="77777777" w:rsidR="00954279" w:rsidRDefault="00A66714">
            <w:pPr>
              <w:rPr>
                <w:color w:val="000000"/>
                <w:sz w:val="20"/>
                <w:szCs w:val="20"/>
              </w:rPr>
            </w:pPr>
            <w:r>
              <w:rPr>
                <w:color w:val="000000"/>
                <w:sz w:val="20"/>
                <w:szCs w:val="20"/>
              </w:rPr>
              <w:t> </w:t>
            </w:r>
          </w:p>
        </w:tc>
        <w:tc>
          <w:tcPr>
            <w:tcW w:w="438" w:type="pct"/>
            <w:tcMar>
              <w:top w:w="5" w:type="dxa"/>
              <w:left w:w="5" w:type="dxa"/>
              <w:bottom w:w="5" w:type="dxa"/>
              <w:right w:w="5" w:type="dxa"/>
            </w:tcMar>
            <w:vAlign w:val="bottom"/>
            <w:hideMark/>
          </w:tcPr>
          <w:p w14:paraId="6FEC48A0" w14:textId="77777777" w:rsidR="00954279" w:rsidRDefault="00A66714">
            <w:pPr>
              <w:jc w:val="right"/>
              <w:rPr>
                <w:color w:val="000000"/>
                <w:sz w:val="20"/>
                <w:szCs w:val="20"/>
              </w:rPr>
            </w:pPr>
            <w:r>
              <w:rPr>
                <w:b/>
                <w:bCs/>
                <w:color w:val="000000"/>
                <w:sz w:val="20"/>
                <w:szCs w:val="20"/>
              </w:rPr>
              <w:t>0.9</w:t>
            </w:r>
          </w:p>
        </w:tc>
        <w:tc>
          <w:tcPr>
            <w:tcW w:w="97" w:type="pct"/>
            <w:noWrap/>
            <w:tcMar>
              <w:top w:w="5" w:type="dxa"/>
              <w:left w:w="5" w:type="dxa"/>
              <w:bottom w:w="5" w:type="dxa"/>
              <w:right w:w="5" w:type="dxa"/>
            </w:tcMar>
            <w:vAlign w:val="bottom"/>
            <w:hideMark/>
          </w:tcPr>
          <w:p w14:paraId="56AB10F1" w14:textId="77777777" w:rsidR="00954279" w:rsidRDefault="00A66714">
            <w:pPr>
              <w:rPr>
                <w:color w:val="000000"/>
                <w:sz w:val="20"/>
                <w:szCs w:val="20"/>
              </w:rPr>
            </w:pPr>
            <w:r>
              <w:rPr>
                <w:b/>
                <w:bCs/>
                <w:color w:val="000000"/>
                <w:sz w:val="20"/>
                <w:szCs w:val="20"/>
              </w:rPr>
              <w:t>%</w:t>
            </w:r>
          </w:p>
        </w:tc>
        <w:tc>
          <w:tcPr>
            <w:tcW w:w="41" w:type="pct"/>
            <w:tcMar>
              <w:top w:w="5" w:type="dxa"/>
              <w:left w:w="5" w:type="dxa"/>
              <w:bottom w:w="5" w:type="dxa"/>
              <w:right w:w="5" w:type="dxa"/>
            </w:tcMar>
            <w:vAlign w:val="bottom"/>
            <w:hideMark/>
          </w:tcPr>
          <w:p w14:paraId="7BB5E043"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0B696E11" w14:textId="77777777" w:rsidR="00954279" w:rsidRDefault="00A66714">
            <w:pPr>
              <w:rPr>
                <w:color w:val="000000"/>
                <w:sz w:val="20"/>
                <w:szCs w:val="20"/>
              </w:rPr>
            </w:pPr>
            <w:r>
              <w:rPr>
                <w:color w:val="000000"/>
                <w:sz w:val="20"/>
                <w:szCs w:val="20"/>
              </w:rPr>
              <w:t> </w:t>
            </w:r>
          </w:p>
        </w:tc>
        <w:tc>
          <w:tcPr>
            <w:tcW w:w="442" w:type="pct"/>
            <w:tcMar>
              <w:top w:w="5" w:type="dxa"/>
              <w:left w:w="5" w:type="dxa"/>
              <w:bottom w:w="5" w:type="dxa"/>
              <w:right w:w="5" w:type="dxa"/>
            </w:tcMar>
            <w:vAlign w:val="bottom"/>
            <w:hideMark/>
          </w:tcPr>
          <w:p w14:paraId="66B0423D" w14:textId="77777777" w:rsidR="00954279" w:rsidRDefault="00A66714">
            <w:pPr>
              <w:jc w:val="right"/>
              <w:rPr>
                <w:color w:val="000000"/>
                <w:sz w:val="20"/>
                <w:szCs w:val="20"/>
              </w:rPr>
            </w:pPr>
            <w:r>
              <w:rPr>
                <w:color w:val="000000"/>
                <w:sz w:val="20"/>
                <w:szCs w:val="20"/>
              </w:rPr>
              <w:t>13</w:t>
            </w:r>
          </w:p>
        </w:tc>
        <w:tc>
          <w:tcPr>
            <w:tcW w:w="42" w:type="pct"/>
            <w:noWrap/>
            <w:tcMar>
              <w:top w:w="5" w:type="dxa"/>
              <w:left w:w="5" w:type="dxa"/>
              <w:bottom w:w="5" w:type="dxa"/>
              <w:right w:w="5" w:type="dxa"/>
            </w:tcMar>
            <w:vAlign w:val="bottom"/>
            <w:hideMark/>
          </w:tcPr>
          <w:p w14:paraId="12EA039E" w14:textId="77777777" w:rsidR="00954279" w:rsidRDefault="00A66714">
            <w:pPr>
              <w:rPr>
                <w:color w:val="000000"/>
                <w:sz w:val="20"/>
                <w:szCs w:val="20"/>
              </w:rPr>
            </w:pPr>
            <w:r>
              <w:rPr>
                <w:color w:val="000000"/>
                <w:sz w:val="20"/>
                <w:szCs w:val="20"/>
              </w:rPr>
              <w:t> </w:t>
            </w:r>
          </w:p>
        </w:tc>
        <w:tc>
          <w:tcPr>
            <w:tcW w:w="42" w:type="pct"/>
            <w:tcMar>
              <w:top w:w="5" w:type="dxa"/>
              <w:left w:w="5" w:type="dxa"/>
              <w:bottom w:w="5" w:type="dxa"/>
              <w:right w:w="5" w:type="dxa"/>
            </w:tcMar>
            <w:vAlign w:val="bottom"/>
            <w:hideMark/>
          </w:tcPr>
          <w:p w14:paraId="369975A1" w14:textId="77777777" w:rsidR="00954279" w:rsidRDefault="00A66714">
            <w:pPr>
              <w:rPr>
                <w:color w:val="000000"/>
                <w:sz w:val="20"/>
                <w:szCs w:val="20"/>
              </w:rPr>
            </w:pPr>
            <w:r>
              <w:rPr>
                <w:color w:val="000000"/>
                <w:sz w:val="20"/>
                <w:szCs w:val="20"/>
              </w:rPr>
              <w:t> </w:t>
            </w:r>
          </w:p>
        </w:tc>
        <w:tc>
          <w:tcPr>
            <w:tcW w:w="44" w:type="pct"/>
            <w:tcMar>
              <w:top w:w="5" w:type="dxa"/>
              <w:left w:w="5" w:type="dxa"/>
              <w:bottom w:w="5" w:type="dxa"/>
              <w:right w:w="5" w:type="dxa"/>
            </w:tcMar>
            <w:vAlign w:val="bottom"/>
            <w:hideMark/>
          </w:tcPr>
          <w:p w14:paraId="384261ED" w14:textId="77777777" w:rsidR="00954279" w:rsidRDefault="00A66714">
            <w:pPr>
              <w:rPr>
                <w:color w:val="000000"/>
                <w:sz w:val="20"/>
                <w:szCs w:val="20"/>
              </w:rPr>
            </w:pPr>
            <w:r>
              <w:rPr>
                <w:color w:val="000000"/>
                <w:sz w:val="20"/>
                <w:szCs w:val="20"/>
              </w:rPr>
              <w:t> </w:t>
            </w:r>
          </w:p>
        </w:tc>
        <w:tc>
          <w:tcPr>
            <w:tcW w:w="439" w:type="pct"/>
            <w:tcMar>
              <w:top w:w="5" w:type="dxa"/>
              <w:left w:w="5" w:type="dxa"/>
              <w:bottom w:w="5" w:type="dxa"/>
              <w:right w:w="5" w:type="dxa"/>
            </w:tcMar>
            <w:vAlign w:val="bottom"/>
            <w:hideMark/>
          </w:tcPr>
          <w:p w14:paraId="65B3A307" w14:textId="77777777" w:rsidR="00954279" w:rsidRDefault="00A66714">
            <w:pPr>
              <w:jc w:val="right"/>
              <w:rPr>
                <w:color w:val="000000"/>
                <w:sz w:val="20"/>
                <w:szCs w:val="20"/>
              </w:rPr>
            </w:pPr>
            <w:r>
              <w:rPr>
                <w:color w:val="000000"/>
                <w:sz w:val="20"/>
                <w:szCs w:val="20"/>
              </w:rPr>
              <w:t>0.9</w:t>
            </w:r>
          </w:p>
        </w:tc>
        <w:tc>
          <w:tcPr>
            <w:tcW w:w="113" w:type="pct"/>
            <w:noWrap/>
            <w:tcMar>
              <w:top w:w="5" w:type="dxa"/>
              <w:left w:w="5" w:type="dxa"/>
              <w:bottom w:w="5" w:type="dxa"/>
              <w:right w:w="5" w:type="dxa"/>
            </w:tcMar>
            <w:vAlign w:val="bottom"/>
            <w:hideMark/>
          </w:tcPr>
          <w:p w14:paraId="37822CE5" w14:textId="77777777" w:rsidR="00954279" w:rsidRDefault="00A66714">
            <w:pPr>
              <w:rPr>
                <w:color w:val="000000"/>
                <w:sz w:val="20"/>
                <w:szCs w:val="20"/>
              </w:rPr>
            </w:pPr>
            <w:r>
              <w:rPr>
                <w:color w:val="000000"/>
                <w:sz w:val="20"/>
                <w:szCs w:val="20"/>
              </w:rPr>
              <w:t>%</w:t>
            </w:r>
          </w:p>
        </w:tc>
      </w:tr>
      <w:tr w:rsidR="00954279" w14:paraId="784C38F2" w14:textId="77777777" w:rsidTr="005554C6">
        <w:tc>
          <w:tcPr>
            <w:tcW w:w="0" w:type="auto"/>
            <w:tcMar>
              <w:top w:w="5" w:type="dxa"/>
              <w:left w:w="5" w:type="dxa"/>
              <w:bottom w:w="5" w:type="dxa"/>
              <w:right w:w="5" w:type="dxa"/>
            </w:tcMar>
            <w:vAlign w:val="bottom"/>
            <w:hideMark/>
          </w:tcPr>
          <w:p w14:paraId="7BBC982F" w14:textId="77777777" w:rsidR="00954279" w:rsidRDefault="00A66714">
            <w:pPr>
              <w:rPr>
                <w:color w:val="000000"/>
                <w:sz w:val="20"/>
                <w:szCs w:val="20"/>
              </w:rPr>
            </w:pPr>
            <w:r>
              <w:rPr>
                <w:color w:val="000000"/>
                <w:sz w:val="20"/>
                <w:szCs w:val="20"/>
              </w:rPr>
              <w:t>Increase (decrease) in LIFO reserve</w:t>
            </w:r>
          </w:p>
        </w:tc>
        <w:tc>
          <w:tcPr>
            <w:tcW w:w="41" w:type="pct"/>
            <w:tcMar>
              <w:top w:w="5" w:type="dxa"/>
              <w:left w:w="5" w:type="dxa"/>
              <w:bottom w:w="5" w:type="dxa"/>
              <w:right w:w="5" w:type="dxa"/>
            </w:tcMar>
            <w:vAlign w:val="bottom"/>
            <w:hideMark/>
          </w:tcPr>
          <w:p w14:paraId="0D27387E"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34AEDF2A" w14:textId="77777777" w:rsidR="00954279" w:rsidRDefault="00A66714">
            <w:pPr>
              <w:rPr>
                <w:color w:val="000000"/>
                <w:sz w:val="20"/>
                <w:szCs w:val="20"/>
              </w:rPr>
            </w:pPr>
            <w:r>
              <w:rPr>
                <w:color w:val="000000"/>
                <w:sz w:val="20"/>
                <w:szCs w:val="20"/>
              </w:rPr>
              <w:t> </w:t>
            </w:r>
          </w:p>
        </w:tc>
        <w:tc>
          <w:tcPr>
            <w:tcW w:w="441" w:type="pct"/>
            <w:tcMar>
              <w:top w:w="5" w:type="dxa"/>
              <w:left w:w="5" w:type="dxa"/>
              <w:bottom w:w="5" w:type="dxa"/>
              <w:right w:w="5" w:type="dxa"/>
            </w:tcMar>
            <w:vAlign w:val="bottom"/>
            <w:hideMark/>
          </w:tcPr>
          <w:p w14:paraId="33B41A3C" w14:textId="77777777" w:rsidR="00954279" w:rsidRDefault="00A66714">
            <w:pPr>
              <w:jc w:val="right"/>
              <w:rPr>
                <w:color w:val="000000"/>
                <w:sz w:val="20"/>
                <w:szCs w:val="20"/>
              </w:rPr>
            </w:pPr>
            <w:r>
              <w:rPr>
                <w:b/>
                <w:bCs/>
                <w:color w:val="000000"/>
                <w:sz w:val="20"/>
                <w:szCs w:val="20"/>
              </w:rPr>
              <w:t>15</w:t>
            </w:r>
          </w:p>
        </w:tc>
        <w:tc>
          <w:tcPr>
            <w:tcW w:w="41" w:type="pct"/>
            <w:noWrap/>
            <w:tcMar>
              <w:top w:w="5" w:type="dxa"/>
              <w:left w:w="5" w:type="dxa"/>
              <w:bottom w:w="5" w:type="dxa"/>
              <w:right w:w="5" w:type="dxa"/>
            </w:tcMar>
            <w:vAlign w:val="bottom"/>
            <w:hideMark/>
          </w:tcPr>
          <w:p w14:paraId="1F5F50AE" w14:textId="77777777" w:rsidR="00954279" w:rsidRDefault="00A66714">
            <w:pPr>
              <w:rPr>
                <w:color w:val="000000"/>
                <w:sz w:val="20"/>
                <w:szCs w:val="20"/>
              </w:rPr>
            </w:pPr>
            <w:r>
              <w:rPr>
                <w:color w:val="000000"/>
                <w:sz w:val="20"/>
                <w:szCs w:val="20"/>
              </w:rPr>
              <w:t> </w:t>
            </w:r>
          </w:p>
        </w:tc>
        <w:tc>
          <w:tcPr>
            <w:tcW w:w="41" w:type="pct"/>
            <w:tcMar>
              <w:top w:w="5" w:type="dxa"/>
              <w:left w:w="5" w:type="dxa"/>
              <w:bottom w:w="5" w:type="dxa"/>
              <w:right w:w="5" w:type="dxa"/>
            </w:tcMar>
            <w:vAlign w:val="bottom"/>
            <w:hideMark/>
          </w:tcPr>
          <w:p w14:paraId="26A6F7BB" w14:textId="77777777" w:rsidR="00954279" w:rsidRDefault="00A66714">
            <w:pPr>
              <w:rPr>
                <w:color w:val="000000"/>
                <w:sz w:val="20"/>
                <w:szCs w:val="20"/>
              </w:rPr>
            </w:pPr>
            <w:r>
              <w:rPr>
                <w:color w:val="000000"/>
                <w:sz w:val="20"/>
                <w:szCs w:val="20"/>
              </w:rPr>
              <w:t> </w:t>
            </w:r>
          </w:p>
        </w:tc>
        <w:tc>
          <w:tcPr>
            <w:tcW w:w="44" w:type="pct"/>
            <w:tcMar>
              <w:top w:w="5" w:type="dxa"/>
              <w:left w:w="5" w:type="dxa"/>
              <w:bottom w:w="5" w:type="dxa"/>
              <w:right w:w="5" w:type="dxa"/>
            </w:tcMar>
            <w:vAlign w:val="bottom"/>
            <w:hideMark/>
          </w:tcPr>
          <w:p w14:paraId="6E7A9693" w14:textId="77777777" w:rsidR="00954279" w:rsidRDefault="00A66714">
            <w:pPr>
              <w:rPr>
                <w:color w:val="000000"/>
                <w:sz w:val="20"/>
                <w:szCs w:val="20"/>
              </w:rPr>
            </w:pPr>
            <w:r>
              <w:rPr>
                <w:color w:val="000000"/>
                <w:sz w:val="20"/>
                <w:szCs w:val="20"/>
              </w:rPr>
              <w:t> </w:t>
            </w:r>
          </w:p>
        </w:tc>
        <w:tc>
          <w:tcPr>
            <w:tcW w:w="438" w:type="pct"/>
            <w:tcMar>
              <w:top w:w="5" w:type="dxa"/>
              <w:left w:w="5" w:type="dxa"/>
              <w:bottom w:w="5" w:type="dxa"/>
              <w:right w:w="5" w:type="dxa"/>
            </w:tcMar>
            <w:vAlign w:val="bottom"/>
            <w:hideMark/>
          </w:tcPr>
          <w:p w14:paraId="6FEF76D7" w14:textId="77777777" w:rsidR="00954279" w:rsidRDefault="00A66714">
            <w:pPr>
              <w:jc w:val="right"/>
              <w:rPr>
                <w:color w:val="000000"/>
                <w:sz w:val="20"/>
                <w:szCs w:val="20"/>
              </w:rPr>
            </w:pPr>
            <w:r>
              <w:rPr>
                <w:b/>
                <w:bCs/>
                <w:color w:val="000000"/>
                <w:sz w:val="20"/>
                <w:szCs w:val="20"/>
              </w:rPr>
              <w:t>1.2</w:t>
            </w:r>
          </w:p>
        </w:tc>
        <w:tc>
          <w:tcPr>
            <w:tcW w:w="97" w:type="pct"/>
            <w:noWrap/>
            <w:tcMar>
              <w:top w:w="5" w:type="dxa"/>
              <w:left w:w="5" w:type="dxa"/>
              <w:bottom w:w="5" w:type="dxa"/>
              <w:right w:w="5" w:type="dxa"/>
            </w:tcMar>
            <w:vAlign w:val="bottom"/>
            <w:hideMark/>
          </w:tcPr>
          <w:p w14:paraId="50AF169B" w14:textId="77777777" w:rsidR="00954279" w:rsidRDefault="00A66714">
            <w:pPr>
              <w:rPr>
                <w:color w:val="000000"/>
                <w:sz w:val="20"/>
                <w:szCs w:val="20"/>
              </w:rPr>
            </w:pPr>
            <w:r>
              <w:rPr>
                <w:b/>
                <w:bCs/>
                <w:color w:val="000000"/>
                <w:sz w:val="20"/>
                <w:szCs w:val="20"/>
              </w:rPr>
              <w:t>%</w:t>
            </w:r>
          </w:p>
        </w:tc>
        <w:tc>
          <w:tcPr>
            <w:tcW w:w="41" w:type="pct"/>
            <w:tcMar>
              <w:top w:w="5" w:type="dxa"/>
              <w:left w:w="5" w:type="dxa"/>
              <w:bottom w:w="5" w:type="dxa"/>
              <w:right w:w="5" w:type="dxa"/>
            </w:tcMar>
            <w:vAlign w:val="bottom"/>
            <w:hideMark/>
          </w:tcPr>
          <w:p w14:paraId="680325ED"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5BD2EB55" w14:textId="77777777" w:rsidR="00954279" w:rsidRDefault="00A66714">
            <w:pPr>
              <w:rPr>
                <w:color w:val="000000"/>
                <w:sz w:val="20"/>
                <w:szCs w:val="20"/>
              </w:rPr>
            </w:pPr>
            <w:r>
              <w:rPr>
                <w:color w:val="000000"/>
                <w:sz w:val="20"/>
                <w:szCs w:val="20"/>
              </w:rPr>
              <w:t> </w:t>
            </w:r>
          </w:p>
        </w:tc>
        <w:tc>
          <w:tcPr>
            <w:tcW w:w="442" w:type="pct"/>
            <w:tcMar>
              <w:top w:w="5" w:type="dxa"/>
              <w:left w:w="5" w:type="dxa"/>
              <w:bottom w:w="5" w:type="dxa"/>
              <w:right w:w="5" w:type="dxa"/>
            </w:tcMar>
            <w:vAlign w:val="bottom"/>
            <w:hideMark/>
          </w:tcPr>
          <w:p w14:paraId="459B0DD8" w14:textId="77777777" w:rsidR="00954279" w:rsidRDefault="00A66714">
            <w:pPr>
              <w:jc w:val="right"/>
              <w:rPr>
                <w:color w:val="000000"/>
                <w:sz w:val="20"/>
                <w:szCs w:val="20"/>
              </w:rPr>
            </w:pPr>
            <w:r>
              <w:rPr>
                <w:color w:val="000000"/>
                <w:sz w:val="20"/>
                <w:szCs w:val="20"/>
              </w:rPr>
              <w:t>(9</w:t>
            </w:r>
          </w:p>
        </w:tc>
        <w:tc>
          <w:tcPr>
            <w:tcW w:w="42" w:type="pct"/>
            <w:noWrap/>
            <w:tcMar>
              <w:top w:w="5" w:type="dxa"/>
              <w:left w:w="5" w:type="dxa"/>
              <w:bottom w:w="5" w:type="dxa"/>
              <w:right w:w="5" w:type="dxa"/>
            </w:tcMar>
            <w:vAlign w:val="bottom"/>
            <w:hideMark/>
          </w:tcPr>
          <w:p w14:paraId="686EFBDF" w14:textId="77777777" w:rsidR="00954279" w:rsidRDefault="00A66714">
            <w:pPr>
              <w:rPr>
                <w:color w:val="000000"/>
                <w:sz w:val="20"/>
                <w:szCs w:val="20"/>
              </w:rPr>
            </w:pPr>
            <w:r>
              <w:rPr>
                <w:color w:val="000000"/>
                <w:sz w:val="20"/>
                <w:szCs w:val="20"/>
              </w:rPr>
              <w:t>)</w:t>
            </w:r>
          </w:p>
        </w:tc>
        <w:tc>
          <w:tcPr>
            <w:tcW w:w="42" w:type="pct"/>
            <w:tcMar>
              <w:top w:w="5" w:type="dxa"/>
              <w:left w:w="5" w:type="dxa"/>
              <w:bottom w:w="5" w:type="dxa"/>
              <w:right w:w="5" w:type="dxa"/>
            </w:tcMar>
            <w:vAlign w:val="bottom"/>
            <w:hideMark/>
          </w:tcPr>
          <w:p w14:paraId="04C18324" w14:textId="77777777" w:rsidR="00954279" w:rsidRDefault="00A66714">
            <w:pPr>
              <w:rPr>
                <w:color w:val="000000"/>
                <w:sz w:val="20"/>
                <w:szCs w:val="20"/>
              </w:rPr>
            </w:pPr>
            <w:r>
              <w:rPr>
                <w:color w:val="000000"/>
                <w:sz w:val="20"/>
                <w:szCs w:val="20"/>
              </w:rPr>
              <w:t> </w:t>
            </w:r>
          </w:p>
        </w:tc>
        <w:tc>
          <w:tcPr>
            <w:tcW w:w="44" w:type="pct"/>
            <w:tcMar>
              <w:top w:w="5" w:type="dxa"/>
              <w:left w:w="5" w:type="dxa"/>
              <w:bottom w:w="5" w:type="dxa"/>
              <w:right w:w="5" w:type="dxa"/>
            </w:tcMar>
            <w:vAlign w:val="bottom"/>
            <w:hideMark/>
          </w:tcPr>
          <w:p w14:paraId="0ED0A97D" w14:textId="77777777" w:rsidR="00954279" w:rsidRDefault="00A66714">
            <w:pPr>
              <w:rPr>
                <w:color w:val="000000"/>
                <w:sz w:val="20"/>
                <w:szCs w:val="20"/>
              </w:rPr>
            </w:pPr>
            <w:r>
              <w:rPr>
                <w:color w:val="000000"/>
                <w:sz w:val="20"/>
                <w:szCs w:val="20"/>
              </w:rPr>
              <w:t> </w:t>
            </w:r>
          </w:p>
        </w:tc>
        <w:tc>
          <w:tcPr>
            <w:tcW w:w="439" w:type="pct"/>
            <w:tcMar>
              <w:top w:w="5" w:type="dxa"/>
              <w:left w:w="5" w:type="dxa"/>
              <w:bottom w:w="5" w:type="dxa"/>
              <w:right w:w="5" w:type="dxa"/>
            </w:tcMar>
            <w:vAlign w:val="bottom"/>
            <w:hideMark/>
          </w:tcPr>
          <w:p w14:paraId="7602D6BB" w14:textId="77777777" w:rsidR="00954279" w:rsidRDefault="00A66714">
            <w:pPr>
              <w:jc w:val="right"/>
              <w:rPr>
                <w:color w:val="000000"/>
                <w:sz w:val="20"/>
                <w:szCs w:val="20"/>
              </w:rPr>
            </w:pPr>
            <w:r>
              <w:rPr>
                <w:color w:val="000000"/>
                <w:sz w:val="20"/>
                <w:szCs w:val="20"/>
              </w:rPr>
              <w:t>(0.6</w:t>
            </w:r>
          </w:p>
        </w:tc>
        <w:tc>
          <w:tcPr>
            <w:tcW w:w="113" w:type="pct"/>
            <w:noWrap/>
            <w:tcMar>
              <w:top w:w="5" w:type="dxa"/>
              <w:left w:w="5" w:type="dxa"/>
              <w:bottom w:w="5" w:type="dxa"/>
              <w:right w:w="5" w:type="dxa"/>
            </w:tcMar>
            <w:vAlign w:val="bottom"/>
            <w:hideMark/>
          </w:tcPr>
          <w:p w14:paraId="65F4B838" w14:textId="77777777" w:rsidR="00954279" w:rsidRDefault="00A66714">
            <w:pPr>
              <w:rPr>
                <w:color w:val="000000"/>
                <w:sz w:val="20"/>
                <w:szCs w:val="20"/>
              </w:rPr>
            </w:pPr>
            <w:r>
              <w:rPr>
                <w:color w:val="000000"/>
                <w:sz w:val="20"/>
                <w:szCs w:val="20"/>
              </w:rPr>
              <w:t>)%</w:t>
            </w:r>
          </w:p>
        </w:tc>
      </w:tr>
      <w:tr w:rsidR="00954279" w14:paraId="51A779D2" w14:textId="77777777" w:rsidTr="005554C6">
        <w:tc>
          <w:tcPr>
            <w:tcW w:w="0" w:type="auto"/>
            <w:tcMar>
              <w:top w:w="5" w:type="dxa"/>
              <w:left w:w="5" w:type="dxa"/>
              <w:bottom w:w="5" w:type="dxa"/>
              <w:right w:w="5" w:type="dxa"/>
            </w:tcMar>
            <w:vAlign w:val="bottom"/>
            <w:hideMark/>
          </w:tcPr>
          <w:p w14:paraId="1F319EBE" w14:textId="77777777" w:rsidR="00954279" w:rsidRDefault="00A66714">
            <w:pPr>
              <w:rPr>
                <w:color w:val="000000"/>
                <w:sz w:val="20"/>
                <w:szCs w:val="20"/>
              </w:rPr>
            </w:pPr>
            <w:r>
              <w:rPr>
                <w:color w:val="000000"/>
                <w:sz w:val="20"/>
                <w:szCs w:val="20"/>
              </w:rPr>
              <w:t>Inventory-related charges</w:t>
            </w:r>
          </w:p>
        </w:tc>
        <w:tc>
          <w:tcPr>
            <w:tcW w:w="41" w:type="pct"/>
            <w:tcMar>
              <w:top w:w="5" w:type="dxa"/>
              <w:left w:w="5" w:type="dxa"/>
              <w:bottom w:w="20" w:type="dxa"/>
              <w:right w:w="5" w:type="dxa"/>
            </w:tcMar>
            <w:vAlign w:val="bottom"/>
            <w:hideMark/>
          </w:tcPr>
          <w:p w14:paraId="4DA39831" w14:textId="77777777" w:rsidR="00954279" w:rsidRDefault="00A66714">
            <w:pPr>
              <w:rPr>
                <w:color w:val="000000"/>
                <w:sz w:val="20"/>
                <w:szCs w:val="20"/>
              </w:rPr>
            </w:pPr>
            <w:r>
              <w:rPr>
                <w:color w:val="000000"/>
                <w:sz w:val="20"/>
                <w:szCs w:val="20"/>
              </w:rPr>
              <w:t> </w:t>
            </w:r>
          </w:p>
        </w:tc>
        <w:tc>
          <w:tcPr>
            <w:tcW w:w="51" w:type="pct"/>
            <w:tcBorders>
              <w:bottom w:val="single" w:sz="6" w:space="0" w:color="000000"/>
            </w:tcBorders>
            <w:tcMar>
              <w:top w:w="5" w:type="dxa"/>
              <w:left w:w="5" w:type="dxa"/>
              <w:bottom w:w="8" w:type="dxa"/>
              <w:right w:w="5" w:type="dxa"/>
            </w:tcMar>
            <w:vAlign w:val="bottom"/>
            <w:hideMark/>
          </w:tcPr>
          <w:p w14:paraId="18128059" w14:textId="77777777" w:rsidR="00954279" w:rsidRDefault="00A66714">
            <w:pPr>
              <w:rPr>
                <w:color w:val="000000"/>
                <w:sz w:val="20"/>
                <w:szCs w:val="20"/>
              </w:rPr>
            </w:pPr>
            <w:r>
              <w:rPr>
                <w:color w:val="000000"/>
                <w:sz w:val="20"/>
                <w:szCs w:val="20"/>
              </w:rPr>
              <w:t> </w:t>
            </w:r>
          </w:p>
        </w:tc>
        <w:tc>
          <w:tcPr>
            <w:tcW w:w="441" w:type="pct"/>
            <w:tcBorders>
              <w:bottom w:val="single" w:sz="6" w:space="0" w:color="000000"/>
            </w:tcBorders>
            <w:tcMar>
              <w:top w:w="5" w:type="dxa"/>
              <w:left w:w="5" w:type="dxa"/>
              <w:bottom w:w="8" w:type="dxa"/>
              <w:right w:w="5" w:type="dxa"/>
            </w:tcMar>
            <w:vAlign w:val="bottom"/>
            <w:hideMark/>
          </w:tcPr>
          <w:p w14:paraId="18D28311" w14:textId="77777777" w:rsidR="00954279" w:rsidRDefault="00A66714">
            <w:pPr>
              <w:jc w:val="right"/>
              <w:rPr>
                <w:color w:val="000000"/>
                <w:sz w:val="20"/>
                <w:szCs w:val="20"/>
              </w:rPr>
            </w:pPr>
            <w:r>
              <w:rPr>
                <w:b/>
                <w:bCs/>
                <w:color w:val="000000"/>
                <w:sz w:val="20"/>
                <w:szCs w:val="20"/>
              </w:rPr>
              <w:t>-</w:t>
            </w:r>
          </w:p>
        </w:tc>
        <w:tc>
          <w:tcPr>
            <w:tcW w:w="41" w:type="pct"/>
            <w:noWrap/>
            <w:tcMar>
              <w:top w:w="5" w:type="dxa"/>
              <w:left w:w="5" w:type="dxa"/>
              <w:bottom w:w="20" w:type="dxa"/>
              <w:right w:w="5" w:type="dxa"/>
            </w:tcMar>
            <w:vAlign w:val="bottom"/>
            <w:hideMark/>
          </w:tcPr>
          <w:p w14:paraId="5EFAE782" w14:textId="77777777" w:rsidR="00954279" w:rsidRDefault="00A66714">
            <w:pPr>
              <w:rPr>
                <w:color w:val="000000"/>
                <w:sz w:val="20"/>
                <w:szCs w:val="20"/>
              </w:rPr>
            </w:pPr>
            <w:r>
              <w:rPr>
                <w:color w:val="000000"/>
                <w:sz w:val="20"/>
                <w:szCs w:val="20"/>
              </w:rPr>
              <w:t> </w:t>
            </w:r>
          </w:p>
        </w:tc>
        <w:tc>
          <w:tcPr>
            <w:tcW w:w="41" w:type="pct"/>
            <w:tcMar>
              <w:top w:w="5" w:type="dxa"/>
              <w:left w:w="5" w:type="dxa"/>
              <w:bottom w:w="20" w:type="dxa"/>
              <w:right w:w="5" w:type="dxa"/>
            </w:tcMar>
            <w:vAlign w:val="bottom"/>
            <w:hideMark/>
          </w:tcPr>
          <w:p w14:paraId="5A90593D" w14:textId="77777777" w:rsidR="00954279" w:rsidRDefault="00A66714">
            <w:pPr>
              <w:rPr>
                <w:color w:val="000000"/>
                <w:sz w:val="20"/>
                <w:szCs w:val="20"/>
              </w:rPr>
            </w:pPr>
            <w:r>
              <w:rPr>
                <w:color w:val="000000"/>
                <w:sz w:val="20"/>
                <w:szCs w:val="20"/>
              </w:rPr>
              <w:t> </w:t>
            </w:r>
          </w:p>
        </w:tc>
        <w:tc>
          <w:tcPr>
            <w:tcW w:w="44" w:type="pct"/>
            <w:tcBorders>
              <w:bottom w:val="single" w:sz="6" w:space="0" w:color="000000"/>
            </w:tcBorders>
            <w:tcMar>
              <w:top w:w="5" w:type="dxa"/>
              <w:left w:w="5" w:type="dxa"/>
              <w:bottom w:w="8" w:type="dxa"/>
              <w:right w:w="5" w:type="dxa"/>
            </w:tcMar>
            <w:vAlign w:val="bottom"/>
            <w:hideMark/>
          </w:tcPr>
          <w:p w14:paraId="6EBC7264" w14:textId="77777777" w:rsidR="00954279" w:rsidRDefault="00A66714">
            <w:pPr>
              <w:rPr>
                <w:color w:val="000000"/>
                <w:sz w:val="20"/>
                <w:szCs w:val="20"/>
              </w:rPr>
            </w:pPr>
            <w:r>
              <w:rPr>
                <w:color w:val="000000"/>
                <w:sz w:val="20"/>
                <w:szCs w:val="20"/>
              </w:rPr>
              <w:t> </w:t>
            </w:r>
          </w:p>
        </w:tc>
        <w:tc>
          <w:tcPr>
            <w:tcW w:w="438" w:type="pct"/>
            <w:tcBorders>
              <w:bottom w:val="single" w:sz="6" w:space="0" w:color="000000"/>
            </w:tcBorders>
            <w:tcMar>
              <w:top w:w="5" w:type="dxa"/>
              <w:left w:w="5" w:type="dxa"/>
              <w:bottom w:w="8" w:type="dxa"/>
              <w:right w:w="5" w:type="dxa"/>
            </w:tcMar>
            <w:vAlign w:val="bottom"/>
            <w:hideMark/>
          </w:tcPr>
          <w:p w14:paraId="4E7D627C" w14:textId="77777777" w:rsidR="00954279" w:rsidRDefault="00A66714">
            <w:pPr>
              <w:jc w:val="right"/>
              <w:rPr>
                <w:color w:val="000000"/>
                <w:sz w:val="20"/>
                <w:szCs w:val="20"/>
              </w:rPr>
            </w:pPr>
            <w:r>
              <w:rPr>
                <w:b/>
                <w:bCs/>
                <w:color w:val="000000"/>
                <w:sz w:val="20"/>
                <w:szCs w:val="20"/>
              </w:rPr>
              <w:t>0.0</w:t>
            </w:r>
          </w:p>
        </w:tc>
        <w:tc>
          <w:tcPr>
            <w:tcW w:w="97" w:type="pct"/>
            <w:noWrap/>
            <w:tcMar>
              <w:top w:w="5" w:type="dxa"/>
              <w:left w:w="5" w:type="dxa"/>
              <w:bottom w:w="20" w:type="dxa"/>
              <w:right w:w="5" w:type="dxa"/>
            </w:tcMar>
            <w:vAlign w:val="bottom"/>
            <w:hideMark/>
          </w:tcPr>
          <w:p w14:paraId="3B380823" w14:textId="77777777" w:rsidR="00954279" w:rsidRDefault="00A66714">
            <w:pPr>
              <w:rPr>
                <w:color w:val="000000"/>
                <w:sz w:val="20"/>
                <w:szCs w:val="20"/>
              </w:rPr>
            </w:pPr>
            <w:r>
              <w:rPr>
                <w:b/>
                <w:bCs/>
                <w:color w:val="000000"/>
                <w:sz w:val="20"/>
                <w:szCs w:val="20"/>
              </w:rPr>
              <w:t>%</w:t>
            </w:r>
          </w:p>
        </w:tc>
        <w:tc>
          <w:tcPr>
            <w:tcW w:w="41" w:type="pct"/>
            <w:tcMar>
              <w:top w:w="5" w:type="dxa"/>
              <w:left w:w="5" w:type="dxa"/>
              <w:bottom w:w="20" w:type="dxa"/>
              <w:right w:w="5" w:type="dxa"/>
            </w:tcMar>
            <w:vAlign w:val="bottom"/>
            <w:hideMark/>
          </w:tcPr>
          <w:p w14:paraId="6F9CFF6D" w14:textId="77777777" w:rsidR="00954279" w:rsidRDefault="00A66714">
            <w:pPr>
              <w:rPr>
                <w:color w:val="000000"/>
                <w:sz w:val="20"/>
                <w:szCs w:val="20"/>
              </w:rPr>
            </w:pPr>
            <w:r>
              <w:rPr>
                <w:color w:val="000000"/>
                <w:sz w:val="20"/>
                <w:szCs w:val="20"/>
              </w:rPr>
              <w:t> </w:t>
            </w:r>
          </w:p>
        </w:tc>
        <w:tc>
          <w:tcPr>
            <w:tcW w:w="51" w:type="pct"/>
            <w:tcBorders>
              <w:bottom w:val="single" w:sz="6" w:space="0" w:color="000000"/>
            </w:tcBorders>
            <w:tcMar>
              <w:top w:w="5" w:type="dxa"/>
              <w:left w:w="5" w:type="dxa"/>
              <w:bottom w:w="8" w:type="dxa"/>
              <w:right w:w="5" w:type="dxa"/>
            </w:tcMar>
            <w:vAlign w:val="bottom"/>
            <w:hideMark/>
          </w:tcPr>
          <w:p w14:paraId="74FFFB32" w14:textId="77777777" w:rsidR="00954279" w:rsidRDefault="00A66714">
            <w:pPr>
              <w:rPr>
                <w:color w:val="000000"/>
                <w:sz w:val="20"/>
                <w:szCs w:val="20"/>
              </w:rPr>
            </w:pPr>
            <w:r>
              <w:rPr>
                <w:color w:val="000000"/>
                <w:sz w:val="20"/>
                <w:szCs w:val="20"/>
              </w:rPr>
              <w:t> </w:t>
            </w:r>
          </w:p>
        </w:tc>
        <w:tc>
          <w:tcPr>
            <w:tcW w:w="442" w:type="pct"/>
            <w:tcBorders>
              <w:bottom w:val="single" w:sz="6" w:space="0" w:color="000000"/>
            </w:tcBorders>
            <w:tcMar>
              <w:top w:w="5" w:type="dxa"/>
              <w:left w:w="5" w:type="dxa"/>
              <w:bottom w:w="8" w:type="dxa"/>
              <w:right w:w="5" w:type="dxa"/>
            </w:tcMar>
            <w:vAlign w:val="bottom"/>
            <w:hideMark/>
          </w:tcPr>
          <w:p w14:paraId="1B549E15" w14:textId="77777777" w:rsidR="00954279" w:rsidRDefault="00A66714">
            <w:pPr>
              <w:jc w:val="right"/>
              <w:rPr>
                <w:color w:val="000000"/>
                <w:sz w:val="20"/>
                <w:szCs w:val="20"/>
              </w:rPr>
            </w:pPr>
            <w:r>
              <w:rPr>
                <w:color w:val="000000"/>
                <w:sz w:val="20"/>
                <w:szCs w:val="20"/>
              </w:rPr>
              <w:t>34</w:t>
            </w:r>
          </w:p>
        </w:tc>
        <w:tc>
          <w:tcPr>
            <w:tcW w:w="42" w:type="pct"/>
            <w:noWrap/>
            <w:tcMar>
              <w:top w:w="5" w:type="dxa"/>
              <w:left w:w="5" w:type="dxa"/>
              <w:bottom w:w="20" w:type="dxa"/>
              <w:right w:w="5" w:type="dxa"/>
            </w:tcMar>
            <w:vAlign w:val="bottom"/>
            <w:hideMark/>
          </w:tcPr>
          <w:p w14:paraId="18415B48" w14:textId="77777777" w:rsidR="00954279" w:rsidRDefault="00A66714">
            <w:pPr>
              <w:rPr>
                <w:color w:val="000000"/>
                <w:sz w:val="20"/>
                <w:szCs w:val="20"/>
              </w:rPr>
            </w:pPr>
            <w:r>
              <w:rPr>
                <w:color w:val="000000"/>
                <w:sz w:val="20"/>
                <w:szCs w:val="20"/>
              </w:rPr>
              <w:t> </w:t>
            </w:r>
          </w:p>
        </w:tc>
        <w:tc>
          <w:tcPr>
            <w:tcW w:w="42" w:type="pct"/>
            <w:tcMar>
              <w:top w:w="5" w:type="dxa"/>
              <w:left w:w="5" w:type="dxa"/>
              <w:bottom w:w="20" w:type="dxa"/>
              <w:right w:w="5" w:type="dxa"/>
            </w:tcMar>
            <w:vAlign w:val="bottom"/>
            <w:hideMark/>
          </w:tcPr>
          <w:p w14:paraId="1E578FDB" w14:textId="77777777" w:rsidR="00954279" w:rsidRDefault="00A66714">
            <w:pPr>
              <w:rPr>
                <w:color w:val="000000"/>
                <w:sz w:val="20"/>
                <w:szCs w:val="20"/>
              </w:rPr>
            </w:pPr>
            <w:r>
              <w:rPr>
                <w:color w:val="000000"/>
                <w:sz w:val="20"/>
                <w:szCs w:val="20"/>
              </w:rPr>
              <w:t> </w:t>
            </w:r>
          </w:p>
        </w:tc>
        <w:tc>
          <w:tcPr>
            <w:tcW w:w="44" w:type="pct"/>
            <w:tcBorders>
              <w:bottom w:val="single" w:sz="6" w:space="0" w:color="000000"/>
            </w:tcBorders>
            <w:tcMar>
              <w:top w:w="5" w:type="dxa"/>
              <w:left w:w="5" w:type="dxa"/>
              <w:bottom w:w="8" w:type="dxa"/>
              <w:right w:w="5" w:type="dxa"/>
            </w:tcMar>
            <w:vAlign w:val="bottom"/>
            <w:hideMark/>
          </w:tcPr>
          <w:p w14:paraId="20368EF7" w14:textId="77777777" w:rsidR="00954279" w:rsidRDefault="00A66714">
            <w:pPr>
              <w:rPr>
                <w:color w:val="000000"/>
                <w:sz w:val="20"/>
                <w:szCs w:val="20"/>
              </w:rPr>
            </w:pPr>
            <w:r>
              <w:rPr>
                <w:color w:val="000000"/>
                <w:sz w:val="20"/>
                <w:szCs w:val="20"/>
              </w:rPr>
              <w:t> </w:t>
            </w:r>
          </w:p>
        </w:tc>
        <w:tc>
          <w:tcPr>
            <w:tcW w:w="439" w:type="pct"/>
            <w:tcBorders>
              <w:bottom w:val="single" w:sz="6" w:space="0" w:color="000000"/>
            </w:tcBorders>
            <w:tcMar>
              <w:top w:w="5" w:type="dxa"/>
              <w:left w:w="5" w:type="dxa"/>
              <w:bottom w:w="8" w:type="dxa"/>
              <w:right w:w="5" w:type="dxa"/>
            </w:tcMar>
            <w:vAlign w:val="bottom"/>
            <w:hideMark/>
          </w:tcPr>
          <w:p w14:paraId="68175B5E" w14:textId="77777777" w:rsidR="00954279" w:rsidRDefault="00A66714">
            <w:pPr>
              <w:jc w:val="right"/>
              <w:rPr>
                <w:color w:val="000000"/>
                <w:sz w:val="20"/>
                <w:szCs w:val="20"/>
              </w:rPr>
            </w:pPr>
            <w:r>
              <w:rPr>
                <w:color w:val="000000"/>
                <w:sz w:val="20"/>
                <w:szCs w:val="20"/>
              </w:rPr>
              <w:t>2.4</w:t>
            </w:r>
          </w:p>
        </w:tc>
        <w:tc>
          <w:tcPr>
            <w:tcW w:w="113" w:type="pct"/>
            <w:noWrap/>
            <w:tcMar>
              <w:top w:w="5" w:type="dxa"/>
              <w:left w:w="5" w:type="dxa"/>
              <w:bottom w:w="20" w:type="dxa"/>
              <w:right w:w="5" w:type="dxa"/>
            </w:tcMar>
            <w:vAlign w:val="bottom"/>
            <w:hideMark/>
          </w:tcPr>
          <w:p w14:paraId="6319037B" w14:textId="77777777" w:rsidR="00954279" w:rsidRDefault="00A66714">
            <w:pPr>
              <w:rPr>
                <w:color w:val="000000"/>
                <w:sz w:val="20"/>
                <w:szCs w:val="20"/>
              </w:rPr>
            </w:pPr>
            <w:r>
              <w:rPr>
                <w:color w:val="000000"/>
                <w:sz w:val="20"/>
                <w:szCs w:val="20"/>
              </w:rPr>
              <w:t>%</w:t>
            </w:r>
          </w:p>
        </w:tc>
      </w:tr>
      <w:tr w:rsidR="00954279" w14:paraId="681CCFDF" w14:textId="77777777" w:rsidTr="005554C6">
        <w:tc>
          <w:tcPr>
            <w:tcW w:w="0" w:type="auto"/>
            <w:tcMar>
              <w:top w:w="5" w:type="dxa"/>
              <w:left w:w="5" w:type="dxa"/>
              <w:bottom w:w="5" w:type="dxa"/>
              <w:right w:w="5" w:type="dxa"/>
            </w:tcMar>
            <w:vAlign w:val="bottom"/>
            <w:hideMark/>
          </w:tcPr>
          <w:p w14:paraId="20F95BF6" w14:textId="77777777" w:rsidR="00954279" w:rsidRDefault="00A66714">
            <w:pPr>
              <w:rPr>
                <w:color w:val="000000"/>
                <w:sz w:val="20"/>
                <w:szCs w:val="20"/>
              </w:rPr>
            </w:pPr>
            <w:r>
              <w:rPr>
                <w:color w:val="000000"/>
                <w:sz w:val="20"/>
                <w:szCs w:val="20"/>
              </w:rPr>
              <w:t>Adjusted Gross Profit</w:t>
            </w:r>
          </w:p>
        </w:tc>
        <w:tc>
          <w:tcPr>
            <w:tcW w:w="41" w:type="pct"/>
            <w:tcMar>
              <w:top w:w="5" w:type="dxa"/>
              <w:left w:w="5" w:type="dxa"/>
              <w:bottom w:w="5" w:type="dxa"/>
              <w:right w:w="5" w:type="dxa"/>
            </w:tcMar>
            <w:vAlign w:val="bottom"/>
            <w:hideMark/>
          </w:tcPr>
          <w:p w14:paraId="1949AAB6" w14:textId="77777777" w:rsidR="00954279" w:rsidRDefault="00A66714">
            <w:pPr>
              <w:rPr>
                <w:color w:val="000000"/>
                <w:sz w:val="20"/>
                <w:szCs w:val="20"/>
              </w:rPr>
            </w:pPr>
            <w:r>
              <w:rPr>
                <w:color w:val="000000"/>
                <w:sz w:val="20"/>
                <w:szCs w:val="20"/>
              </w:rPr>
              <w:t> </w:t>
            </w:r>
          </w:p>
        </w:tc>
        <w:tc>
          <w:tcPr>
            <w:tcW w:w="51" w:type="pct"/>
            <w:tcBorders>
              <w:bottom w:val="double" w:sz="6" w:space="0" w:color="000000"/>
            </w:tcBorders>
            <w:tcMar>
              <w:top w:w="5" w:type="dxa"/>
              <w:left w:w="5" w:type="dxa"/>
              <w:bottom w:w="22" w:type="dxa"/>
              <w:right w:w="5" w:type="dxa"/>
            </w:tcMar>
            <w:vAlign w:val="bottom"/>
            <w:hideMark/>
          </w:tcPr>
          <w:p w14:paraId="3A26C064" w14:textId="77777777" w:rsidR="00954279" w:rsidRDefault="00A66714">
            <w:pPr>
              <w:rPr>
                <w:color w:val="000000"/>
                <w:sz w:val="20"/>
                <w:szCs w:val="20"/>
              </w:rPr>
            </w:pPr>
            <w:r>
              <w:rPr>
                <w:color w:val="000000"/>
                <w:sz w:val="20"/>
                <w:szCs w:val="20"/>
              </w:rPr>
              <w:t>$</w:t>
            </w:r>
          </w:p>
        </w:tc>
        <w:tc>
          <w:tcPr>
            <w:tcW w:w="441" w:type="pct"/>
            <w:tcBorders>
              <w:bottom w:val="double" w:sz="6" w:space="0" w:color="000000"/>
            </w:tcBorders>
            <w:tcMar>
              <w:top w:w="5" w:type="dxa"/>
              <w:left w:w="5" w:type="dxa"/>
              <w:bottom w:w="22" w:type="dxa"/>
              <w:right w:w="5" w:type="dxa"/>
            </w:tcMar>
            <w:vAlign w:val="bottom"/>
            <w:hideMark/>
          </w:tcPr>
          <w:p w14:paraId="7BAF7F9C" w14:textId="77777777" w:rsidR="00954279" w:rsidRDefault="00A66714">
            <w:pPr>
              <w:jc w:val="right"/>
              <w:rPr>
                <w:color w:val="000000"/>
                <w:sz w:val="20"/>
                <w:szCs w:val="20"/>
              </w:rPr>
            </w:pPr>
            <w:r>
              <w:rPr>
                <w:b/>
                <w:bCs/>
                <w:color w:val="000000"/>
                <w:sz w:val="20"/>
                <w:szCs w:val="20"/>
              </w:rPr>
              <w:t>252</w:t>
            </w:r>
          </w:p>
        </w:tc>
        <w:tc>
          <w:tcPr>
            <w:tcW w:w="41" w:type="pct"/>
            <w:noWrap/>
            <w:tcMar>
              <w:top w:w="5" w:type="dxa"/>
              <w:left w:w="5" w:type="dxa"/>
              <w:bottom w:w="50" w:type="dxa"/>
              <w:right w:w="5" w:type="dxa"/>
            </w:tcMar>
            <w:vAlign w:val="bottom"/>
            <w:hideMark/>
          </w:tcPr>
          <w:p w14:paraId="16BF8839" w14:textId="77777777" w:rsidR="00954279" w:rsidRDefault="00A66714">
            <w:pPr>
              <w:rPr>
                <w:color w:val="000000"/>
                <w:sz w:val="20"/>
                <w:szCs w:val="20"/>
              </w:rPr>
            </w:pPr>
            <w:r>
              <w:rPr>
                <w:color w:val="000000"/>
                <w:sz w:val="20"/>
                <w:szCs w:val="20"/>
              </w:rPr>
              <w:t> </w:t>
            </w:r>
          </w:p>
        </w:tc>
        <w:tc>
          <w:tcPr>
            <w:tcW w:w="41" w:type="pct"/>
            <w:tcMar>
              <w:top w:w="5" w:type="dxa"/>
              <w:left w:w="5" w:type="dxa"/>
              <w:bottom w:w="5" w:type="dxa"/>
              <w:right w:w="5" w:type="dxa"/>
            </w:tcMar>
            <w:vAlign w:val="bottom"/>
            <w:hideMark/>
          </w:tcPr>
          <w:p w14:paraId="4CD9B29F" w14:textId="77777777" w:rsidR="00954279" w:rsidRDefault="00A66714">
            <w:pPr>
              <w:rPr>
                <w:color w:val="000000"/>
                <w:sz w:val="20"/>
                <w:szCs w:val="20"/>
              </w:rPr>
            </w:pPr>
            <w:r>
              <w:rPr>
                <w:color w:val="000000"/>
                <w:sz w:val="20"/>
                <w:szCs w:val="20"/>
              </w:rPr>
              <w:t> </w:t>
            </w:r>
          </w:p>
        </w:tc>
        <w:tc>
          <w:tcPr>
            <w:tcW w:w="44" w:type="pct"/>
            <w:tcBorders>
              <w:bottom w:val="double" w:sz="6" w:space="0" w:color="000000"/>
            </w:tcBorders>
            <w:tcMar>
              <w:top w:w="5" w:type="dxa"/>
              <w:left w:w="5" w:type="dxa"/>
              <w:bottom w:w="22" w:type="dxa"/>
              <w:right w:w="5" w:type="dxa"/>
            </w:tcMar>
            <w:vAlign w:val="bottom"/>
            <w:hideMark/>
          </w:tcPr>
          <w:p w14:paraId="56A65547" w14:textId="77777777" w:rsidR="00954279" w:rsidRDefault="00A66714">
            <w:pPr>
              <w:rPr>
                <w:color w:val="000000"/>
                <w:sz w:val="20"/>
                <w:szCs w:val="20"/>
              </w:rPr>
            </w:pPr>
            <w:r>
              <w:rPr>
                <w:color w:val="000000"/>
                <w:sz w:val="20"/>
                <w:szCs w:val="20"/>
              </w:rPr>
              <w:t> </w:t>
            </w:r>
          </w:p>
        </w:tc>
        <w:tc>
          <w:tcPr>
            <w:tcW w:w="438" w:type="pct"/>
            <w:tcBorders>
              <w:bottom w:val="double" w:sz="6" w:space="0" w:color="000000"/>
            </w:tcBorders>
            <w:tcMar>
              <w:top w:w="5" w:type="dxa"/>
              <w:left w:w="5" w:type="dxa"/>
              <w:bottom w:w="22" w:type="dxa"/>
              <w:right w:w="5" w:type="dxa"/>
            </w:tcMar>
            <w:vAlign w:val="bottom"/>
            <w:hideMark/>
          </w:tcPr>
          <w:p w14:paraId="462264A0" w14:textId="77777777" w:rsidR="00954279" w:rsidRDefault="00A66714">
            <w:pPr>
              <w:jc w:val="right"/>
              <w:rPr>
                <w:color w:val="000000"/>
                <w:sz w:val="20"/>
                <w:szCs w:val="20"/>
              </w:rPr>
            </w:pPr>
            <w:r>
              <w:rPr>
                <w:b/>
                <w:bCs/>
                <w:color w:val="000000"/>
                <w:sz w:val="20"/>
                <w:szCs w:val="20"/>
              </w:rPr>
              <w:t>19.5</w:t>
            </w:r>
          </w:p>
        </w:tc>
        <w:tc>
          <w:tcPr>
            <w:tcW w:w="97" w:type="pct"/>
            <w:noWrap/>
            <w:tcMar>
              <w:top w:w="5" w:type="dxa"/>
              <w:left w:w="5" w:type="dxa"/>
              <w:bottom w:w="50" w:type="dxa"/>
              <w:right w:w="5" w:type="dxa"/>
            </w:tcMar>
            <w:vAlign w:val="bottom"/>
            <w:hideMark/>
          </w:tcPr>
          <w:p w14:paraId="307B342E" w14:textId="77777777" w:rsidR="00954279" w:rsidRDefault="00A66714">
            <w:pPr>
              <w:rPr>
                <w:color w:val="000000"/>
                <w:sz w:val="20"/>
                <w:szCs w:val="20"/>
              </w:rPr>
            </w:pPr>
            <w:r>
              <w:rPr>
                <w:b/>
                <w:bCs/>
                <w:color w:val="000000"/>
                <w:sz w:val="20"/>
                <w:szCs w:val="20"/>
              </w:rPr>
              <w:t>%</w:t>
            </w:r>
          </w:p>
        </w:tc>
        <w:tc>
          <w:tcPr>
            <w:tcW w:w="41" w:type="pct"/>
            <w:tcMar>
              <w:top w:w="5" w:type="dxa"/>
              <w:left w:w="5" w:type="dxa"/>
              <w:bottom w:w="5" w:type="dxa"/>
              <w:right w:w="5" w:type="dxa"/>
            </w:tcMar>
            <w:vAlign w:val="bottom"/>
            <w:hideMark/>
          </w:tcPr>
          <w:p w14:paraId="018D8B54" w14:textId="77777777" w:rsidR="00954279" w:rsidRDefault="00A66714">
            <w:pPr>
              <w:rPr>
                <w:color w:val="000000"/>
                <w:sz w:val="20"/>
                <w:szCs w:val="20"/>
              </w:rPr>
            </w:pPr>
            <w:r>
              <w:rPr>
                <w:color w:val="000000"/>
                <w:sz w:val="20"/>
                <w:szCs w:val="20"/>
              </w:rPr>
              <w:t> </w:t>
            </w:r>
          </w:p>
        </w:tc>
        <w:tc>
          <w:tcPr>
            <w:tcW w:w="51" w:type="pct"/>
            <w:tcBorders>
              <w:bottom w:val="double" w:sz="6" w:space="0" w:color="000000"/>
            </w:tcBorders>
            <w:tcMar>
              <w:top w:w="5" w:type="dxa"/>
              <w:left w:w="5" w:type="dxa"/>
              <w:bottom w:w="22" w:type="dxa"/>
              <w:right w:w="5" w:type="dxa"/>
            </w:tcMar>
            <w:vAlign w:val="bottom"/>
            <w:hideMark/>
          </w:tcPr>
          <w:p w14:paraId="2E26B4FD" w14:textId="77777777" w:rsidR="00954279" w:rsidRDefault="00A66714">
            <w:pPr>
              <w:rPr>
                <w:color w:val="000000"/>
                <w:sz w:val="20"/>
                <w:szCs w:val="20"/>
              </w:rPr>
            </w:pPr>
            <w:r>
              <w:rPr>
                <w:color w:val="000000"/>
                <w:sz w:val="20"/>
                <w:szCs w:val="20"/>
              </w:rPr>
              <w:t>$</w:t>
            </w:r>
          </w:p>
        </w:tc>
        <w:tc>
          <w:tcPr>
            <w:tcW w:w="442" w:type="pct"/>
            <w:tcBorders>
              <w:bottom w:val="double" w:sz="6" w:space="0" w:color="000000"/>
            </w:tcBorders>
            <w:tcMar>
              <w:top w:w="5" w:type="dxa"/>
              <w:left w:w="5" w:type="dxa"/>
              <w:bottom w:w="22" w:type="dxa"/>
              <w:right w:w="5" w:type="dxa"/>
            </w:tcMar>
            <w:vAlign w:val="bottom"/>
            <w:hideMark/>
          </w:tcPr>
          <w:p w14:paraId="1DFA0C7B" w14:textId="77777777" w:rsidR="00954279" w:rsidRDefault="00A66714">
            <w:pPr>
              <w:jc w:val="right"/>
              <w:rPr>
                <w:color w:val="000000"/>
                <w:sz w:val="20"/>
                <w:szCs w:val="20"/>
              </w:rPr>
            </w:pPr>
            <w:r>
              <w:rPr>
                <w:color w:val="000000"/>
                <w:sz w:val="20"/>
                <w:szCs w:val="20"/>
              </w:rPr>
              <w:t>275</w:t>
            </w:r>
          </w:p>
        </w:tc>
        <w:tc>
          <w:tcPr>
            <w:tcW w:w="42" w:type="pct"/>
            <w:noWrap/>
            <w:tcMar>
              <w:top w:w="5" w:type="dxa"/>
              <w:left w:w="5" w:type="dxa"/>
              <w:bottom w:w="50" w:type="dxa"/>
              <w:right w:w="5" w:type="dxa"/>
            </w:tcMar>
            <w:vAlign w:val="bottom"/>
            <w:hideMark/>
          </w:tcPr>
          <w:p w14:paraId="1CBD7D00" w14:textId="77777777" w:rsidR="00954279" w:rsidRDefault="00A66714">
            <w:pPr>
              <w:rPr>
                <w:color w:val="000000"/>
                <w:sz w:val="20"/>
                <w:szCs w:val="20"/>
              </w:rPr>
            </w:pPr>
            <w:r>
              <w:rPr>
                <w:color w:val="000000"/>
                <w:sz w:val="20"/>
                <w:szCs w:val="20"/>
              </w:rPr>
              <w:t> </w:t>
            </w:r>
          </w:p>
        </w:tc>
        <w:tc>
          <w:tcPr>
            <w:tcW w:w="42" w:type="pct"/>
            <w:tcMar>
              <w:top w:w="5" w:type="dxa"/>
              <w:left w:w="5" w:type="dxa"/>
              <w:bottom w:w="5" w:type="dxa"/>
              <w:right w:w="5" w:type="dxa"/>
            </w:tcMar>
            <w:vAlign w:val="bottom"/>
            <w:hideMark/>
          </w:tcPr>
          <w:p w14:paraId="2C712E93" w14:textId="77777777" w:rsidR="00954279" w:rsidRDefault="00A66714">
            <w:pPr>
              <w:rPr>
                <w:color w:val="000000"/>
                <w:sz w:val="20"/>
                <w:szCs w:val="20"/>
              </w:rPr>
            </w:pPr>
            <w:r>
              <w:rPr>
                <w:color w:val="000000"/>
                <w:sz w:val="20"/>
                <w:szCs w:val="20"/>
              </w:rPr>
              <w:t> </w:t>
            </w:r>
          </w:p>
        </w:tc>
        <w:tc>
          <w:tcPr>
            <w:tcW w:w="44" w:type="pct"/>
            <w:tcBorders>
              <w:bottom w:val="double" w:sz="6" w:space="0" w:color="000000"/>
            </w:tcBorders>
            <w:tcMar>
              <w:top w:w="5" w:type="dxa"/>
              <w:left w:w="5" w:type="dxa"/>
              <w:bottom w:w="22" w:type="dxa"/>
              <w:right w:w="5" w:type="dxa"/>
            </w:tcMar>
            <w:vAlign w:val="bottom"/>
            <w:hideMark/>
          </w:tcPr>
          <w:p w14:paraId="0D1476C3" w14:textId="77777777" w:rsidR="00954279" w:rsidRDefault="00A66714">
            <w:pPr>
              <w:rPr>
                <w:color w:val="000000"/>
                <w:sz w:val="20"/>
                <w:szCs w:val="20"/>
              </w:rPr>
            </w:pPr>
            <w:r>
              <w:rPr>
                <w:color w:val="000000"/>
                <w:sz w:val="20"/>
                <w:szCs w:val="20"/>
              </w:rPr>
              <w:t> </w:t>
            </w:r>
          </w:p>
        </w:tc>
        <w:tc>
          <w:tcPr>
            <w:tcW w:w="439" w:type="pct"/>
            <w:tcBorders>
              <w:bottom w:val="double" w:sz="6" w:space="0" w:color="000000"/>
            </w:tcBorders>
            <w:tcMar>
              <w:top w:w="5" w:type="dxa"/>
              <w:left w:w="5" w:type="dxa"/>
              <w:bottom w:w="22" w:type="dxa"/>
              <w:right w:w="5" w:type="dxa"/>
            </w:tcMar>
            <w:vAlign w:val="bottom"/>
            <w:hideMark/>
          </w:tcPr>
          <w:p w14:paraId="651CDF42" w14:textId="77777777" w:rsidR="00954279" w:rsidRDefault="00A66714">
            <w:pPr>
              <w:jc w:val="right"/>
              <w:rPr>
                <w:color w:val="000000"/>
                <w:sz w:val="20"/>
                <w:szCs w:val="20"/>
              </w:rPr>
            </w:pPr>
            <w:r>
              <w:rPr>
                <w:color w:val="000000"/>
                <w:sz w:val="20"/>
                <w:szCs w:val="20"/>
              </w:rPr>
              <w:t>19.7</w:t>
            </w:r>
          </w:p>
        </w:tc>
        <w:tc>
          <w:tcPr>
            <w:tcW w:w="113" w:type="pct"/>
            <w:noWrap/>
            <w:tcMar>
              <w:top w:w="5" w:type="dxa"/>
              <w:left w:w="5" w:type="dxa"/>
              <w:bottom w:w="50" w:type="dxa"/>
              <w:right w:w="5" w:type="dxa"/>
            </w:tcMar>
            <w:vAlign w:val="bottom"/>
            <w:hideMark/>
          </w:tcPr>
          <w:p w14:paraId="1FADC2F4" w14:textId="77777777" w:rsidR="00954279" w:rsidRDefault="00A66714">
            <w:pPr>
              <w:rPr>
                <w:color w:val="000000"/>
                <w:sz w:val="20"/>
                <w:szCs w:val="20"/>
              </w:rPr>
            </w:pPr>
            <w:r>
              <w:rPr>
                <w:color w:val="000000"/>
                <w:sz w:val="20"/>
                <w:szCs w:val="20"/>
              </w:rPr>
              <w:t>%</w:t>
            </w:r>
          </w:p>
        </w:tc>
      </w:tr>
      <w:tr w:rsidR="00954279" w14:paraId="3B547A3C" w14:textId="77777777">
        <w:tc>
          <w:tcPr>
            <w:tcW w:w="0" w:type="auto"/>
            <w:tcMar>
              <w:top w:w="5" w:type="dxa"/>
              <w:left w:w="5" w:type="dxa"/>
              <w:bottom w:w="5" w:type="dxa"/>
              <w:right w:w="5" w:type="dxa"/>
            </w:tcMar>
            <w:vAlign w:val="bottom"/>
            <w:hideMark/>
          </w:tcPr>
          <w:p w14:paraId="345F97E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254008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BA4A23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5F0F9A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8A5EF9B" w14:textId="77777777" w:rsidR="00954279" w:rsidRDefault="00A66714">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50E5DDD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D7CFE8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F3CCD44"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A9B9633" w14:textId="77777777" w:rsidR="00954279" w:rsidRDefault="00A66714">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7DDDFCF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83E72C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EC667F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C8EDACD" w14:textId="77777777" w:rsidR="00954279" w:rsidRDefault="00A66714">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4F6CB82C"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8E257B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E4ABD6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450D050" w14:textId="77777777" w:rsidR="00954279" w:rsidRDefault="00A66714">
            <w:pPr>
              <w:rPr>
                <w:color w:val="000000"/>
                <w:sz w:val="20"/>
                <w:szCs w:val="20"/>
              </w:rPr>
            </w:pPr>
            <w:r>
              <w:rPr>
                <w:i/>
                <w:iCs/>
                <w:color w:val="000000"/>
                <w:sz w:val="20"/>
                <w:szCs w:val="20"/>
              </w:rPr>
              <w:t> </w:t>
            </w:r>
          </w:p>
        </w:tc>
      </w:tr>
    </w:tbl>
    <w:p w14:paraId="27619B0A" w14:textId="02949435" w:rsidR="00954279" w:rsidRDefault="00A66714">
      <w:pPr>
        <w:ind w:left="144" w:right="144"/>
        <w:rPr>
          <w:sz w:val="20"/>
          <w:szCs w:val="20"/>
        </w:rPr>
      </w:pPr>
      <w:r>
        <w:rPr>
          <w:sz w:val="20"/>
          <w:szCs w:val="20"/>
        </w:rPr>
        <w:t>  </w:t>
      </w:r>
    </w:p>
    <w:p w14:paraId="55224AB9" w14:textId="0429DC6E" w:rsidR="00954279" w:rsidRDefault="00A66714" w:rsidP="005554C6">
      <w:pPr>
        <w:ind w:left="144" w:right="144"/>
        <w:rPr>
          <w:sz w:val="20"/>
          <w:szCs w:val="20"/>
        </w:rPr>
      </w:pPr>
      <w:r>
        <w:rPr>
          <w:b/>
          <w:bCs/>
          <w:i/>
          <w:iCs/>
          <w:sz w:val="20"/>
          <w:szCs w:val="20"/>
        </w:rPr>
        <w:t>Selling, General and Administrative (“SG&amp;A”) Expenses</w:t>
      </w:r>
      <w:r>
        <w:rPr>
          <w:i/>
          <w:iCs/>
          <w:sz w:val="20"/>
          <w:szCs w:val="20"/>
        </w:rPr>
        <w:t>.</w:t>
      </w:r>
      <w:r>
        <w:rPr>
          <w:sz w:val="20"/>
          <w:szCs w:val="20"/>
        </w:rPr>
        <w:t xml:space="preserve">  Our SG&amp;A expenses were </w:t>
      </w:r>
      <w:bookmarkStart w:id="123" w:name="led65173F20206121594585255048"/>
      <w:r>
        <w:rPr>
          <w:sz w:val="20"/>
          <w:szCs w:val="20"/>
        </w:rPr>
        <w:t>$202</w:t>
      </w:r>
      <w:bookmarkEnd w:id="123"/>
      <w:r>
        <w:rPr>
          <w:sz w:val="20"/>
          <w:szCs w:val="20"/>
        </w:rPr>
        <w:t xml:space="preserve"> million for the six months ended June 30, 2021 as compared to </w:t>
      </w:r>
      <w:bookmarkStart w:id="124" w:name="led65173F20206121594585284097"/>
      <w:r>
        <w:rPr>
          <w:sz w:val="20"/>
          <w:szCs w:val="20"/>
        </w:rPr>
        <w:t>$252</w:t>
      </w:r>
      <w:bookmarkEnd w:id="124"/>
      <w:r>
        <w:rPr>
          <w:sz w:val="20"/>
          <w:szCs w:val="20"/>
        </w:rPr>
        <w:t xml:space="preserve"> million for the six months ended June 30, 2020. The </w:t>
      </w:r>
      <w:bookmarkStart w:id="125" w:name="led65173F20206121594585316305"/>
      <w:r>
        <w:rPr>
          <w:sz w:val="20"/>
          <w:szCs w:val="20"/>
        </w:rPr>
        <w:t>$50</w:t>
      </w:r>
      <w:bookmarkEnd w:id="125"/>
      <w:r>
        <w:rPr>
          <w:sz w:val="20"/>
          <w:szCs w:val="20"/>
        </w:rPr>
        <w:t> million decrease in SG&amp;A was driven by lower employee-related costs, including incentives and benefits, resulting from the decline in business activity. SG&amp;A in the first half of 2021 included $2 million of employee separation costs. Additionally, the strengthening of foreign currencies in areas where we operate outside of the U.S. dollar unfavorably impacted SG&amp;A by $5 million. In the first half of 2020, SG&amp;A included $15 million of expenses associated with facilities closures and $7 million of severance and restructuring charges. Excluding these charges, SG&amp;A would have been $230 million.</w:t>
      </w:r>
      <w:r w:rsidR="005554C6">
        <w:rPr>
          <w:sz w:val="20"/>
          <w:szCs w:val="20"/>
        </w:rPr>
        <w:tab/>
      </w:r>
      <w:r w:rsidR="005554C6">
        <w:rPr>
          <w:sz w:val="20"/>
          <w:szCs w:val="20"/>
        </w:rPr>
        <w:tab/>
      </w:r>
      <w:r>
        <w:rPr>
          <w:sz w:val="20"/>
          <w:szCs w:val="20"/>
        </w:rPr>
        <w:t>26</w:t>
      </w:r>
    </w:p>
    <w:p w14:paraId="41E0FB8B" w14:textId="27F17800" w:rsidR="00954279" w:rsidRDefault="00A66714">
      <w:pPr>
        <w:ind w:left="144" w:right="144"/>
        <w:rPr>
          <w:sz w:val="20"/>
          <w:szCs w:val="20"/>
        </w:rPr>
      </w:pPr>
      <w:r>
        <w:rPr>
          <w:sz w:val="20"/>
          <w:szCs w:val="20"/>
        </w:rPr>
        <w:br w:type="page"/>
      </w:r>
      <w:r>
        <w:rPr>
          <w:b/>
          <w:bCs/>
          <w:i/>
          <w:iCs/>
          <w:sz w:val="20"/>
          <w:szCs w:val="20"/>
        </w:rPr>
        <w:t>Goodwill and Intangible Asset Impairment.</w:t>
      </w:r>
      <w:r>
        <w:rPr>
          <w:sz w:val="20"/>
          <w:szCs w:val="20"/>
        </w:rPr>
        <w:t> In the first half of 2020, demand for oil and natural gas declined sharply as a result of the COVID-19 pandemic. This disruption in demand and the resulting decline in the price of oil had a dramatic negative impact on our business. We experienced a significant reduction in sales beginning in April 2020, which resulted in a more pessimistic long-term outlook due to the significant reduction in the demand for oil, the implications of that demand destruction on the price of oil for an extended period of time and actions our customers have taken to curtail costs and reduce spending. As a result of these developments, we concluded that it was more likely than not the fair values of our U.S. and International reporting units were lower than their carrying values. Accordingly, we completed an interim goodwill impairment test as of April 30, 2020. This test resulted in a $217 million goodwill impairment charge comprised of $177 million in our U.S. reporting unit and $40 million in our International reporting unit.</w:t>
      </w:r>
    </w:p>
    <w:p w14:paraId="6F1ECE1F" w14:textId="77777777" w:rsidR="00954279" w:rsidRDefault="00A66714" w:rsidP="005554C6">
      <w:pPr>
        <w:spacing w:line="120" w:lineRule="auto"/>
        <w:ind w:left="144" w:right="144"/>
        <w:rPr>
          <w:sz w:val="20"/>
          <w:szCs w:val="20"/>
        </w:rPr>
      </w:pPr>
      <w:r>
        <w:rPr>
          <w:sz w:val="20"/>
          <w:szCs w:val="20"/>
        </w:rPr>
        <w:t> </w:t>
      </w:r>
    </w:p>
    <w:p w14:paraId="0BD6782C" w14:textId="77777777" w:rsidR="00954279" w:rsidRDefault="00A66714">
      <w:pPr>
        <w:ind w:left="144" w:right="144"/>
        <w:rPr>
          <w:sz w:val="20"/>
          <w:szCs w:val="20"/>
        </w:rPr>
      </w:pPr>
      <w:r>
        <w:rPr>
          <w:sz w:val="20"/>
          <w:szCs w:val="20"/>
        </w:rPr>
        <w:t>As a result of the same factors that necessitated an interim impairment test for goodwill, we completed an interim impairment test for our U.S. indefinite-lived tradename asset. This test resulted in an impairment charge of $25 million. The remaining balance of the indefinite-lived tradename was $107 million as of June 30, 2021. The U.S. tradename is our only indefinite-lived intangible asset.</w:t>
      </w:r>
    </w:p>
    <w:p w14:paraId="3DCCDBAB" w14:textId="77777777" w:rsidR="00954279" w:rsidRDefault="00A66714" w:rsidP="005554C6">
      <w:pPr>
        <w:spacing w:line="120" w:lineRule="auto"/>
        <w:ind w:left="144" w:right="144"/>
        <w:rPr>
          <w:sz w:val="20"/>
          <w:szCs w:val="20"/>
        </w:rPr>
      </w:pPr>
      <w:r>
        <w:rPr>
          <w:sz w:val="20"/>
          <w:szCs w:val="20"/>
        </w:rPr>
        <w:t> </w:t>
      </w:r>
    </w:p>
    <w:p w14:paraId="771404FC" w14:textId="77777777" w:rsidR="00954279" w:rsidRDefault="00A66714">
      <w:pPr>
        <w:ind w:left="144" w:right="144"/>
        <w:rPr>
          <w:sz w:val="20"/>
          <w:szCs w:val="20"/>
        </w:rPr>
      </w:pPr>
      <w:r>
        <w:rPr>
          <w:b/>
          <w:bCs/>
          <w:i/>
          <w:iCs/>
          <w:sz w:val="20"/>
          <w:szCs w:val="20"/>
        </w:rPr>
        <w:t>Operating Income (Loss)</w:t>
      </w:r>
      <w:r>
        <w:rPr>
          <w:i/>
          <w:iCs/>
          <w:sz w:val="20"/>
          <w:szCs w:val="20"/>
        </w:rPr>
        <w:t>. </w:t>
      </w:r>
      <w:r>
        <w:rPr>
          <w:sz w:val="20"/>
          <w:szCs w:val="20"/>
        </w:rPr>
        <w:t xml:space="preserve"> Operating income was </w:t>
      </w:r>
      <w:bookmarkStart w:id="126" w:name="led65173F20206121594585343874"/>
      <w:r>
        <w:rPr>
          <w:sz w:val="20"/>
          <w:szCs w:val="20"/>
        </w:rPr>
        <w:t>$13</w:t>
      </w:r>
      <w:bookmarkEnd w:id="126"/>
      <w:r>
        <w:rPr>
          <w:sz w:val="20"/>
          <w:szCs w:val="20"/>
        </w:rPr>
        <w:t> million for the six months ended June 30, 2021 as compared to operating loss of </w:t>
      </w:r>
      <w:bookmarkStart w:id="127" w:name="led65173F20206121594585384139"/>
      <w:r>
        <w:rPr>
          <w:sz w:val="20"/>
          <w:szCs w:val="20"/>
        </w:rPr>
        <w:t>$267</w:t>
      </w:r>
      <w:bookmarkEnd w:id="127"/>
      <w:r>
        <w:rPr>
          <w:sz w:val="20"/>
          <w:szCs w:val="20"/>
        </w:rPr>
        <w:t xml:space="preserve"> million for the six months ended June 30, 2020, an increase of </w:t>
      </w:r>
      <w:bookmarkStart w:id="128" w:name="led65173F20206121594585416779"/>
      <w:r>
        <w:rPr>
          <w:sz w:val="20"/>
          <w:szCs w:val="20"/>
        </w:rPr>
        <w:t>$280</w:t>
      </w:r>
      <w:bookmarkEnd w:id="128"/>
      <w:r>
        <w:rPr>
          <w:sz w:val="20"/>
          <w:szCs w:val="20"/>
        </w:rPr>
        <w:t> million.</w:t>
      </w:r>
    </w:p>
    <w:p w14:paraId="56103DE4" w14:textId="77777777" w:rsidR="00954279" w:rsidRDefault="00A66714" w:rsidP="005554C6">
      <w:pPr>
        <w:spacing w:line="120" w:lineRule="auto"/>
        <w:ind w:left="144" w:right="144"/>
        <w:rPr>
          <w:sz w:val="20"/>
          <w:szCs w:val="20"/>
        </w:rPr>
      </w:pPr>
      <w:r>
        <w:rPr>
          <w:sz w:val="20"/>
          <w:szCs w:val="20"/>
        </w:rPr>
        <w:t> </w:t>
      </w:r>
    </w:p>
    <w:p w14:paraId="482347E4" w14:textId="77777777" w:rsidR="00954279" w:rsidRDefault="00A66714">
      <w:pPr>
        <w:ind w:left="144" w:right="144"/>
        <w:rPr>
          <w:sz w:val="20"/>
          <w:szCs w:val="20"/>
        </w:rPr>
      </w:pPr>
      <w:r>
        <w:rPr>
          <w:i/>
          <w:iCs/>
          <w:sz w:val="20"/>
          <w:szCs w:val="20"/>
        </w:rPr>
        <w:t>U.S. Segment</w:t>
      </w:r>
      <w:r>
        <w:rPr>
          <w:sz w:val="20"/>
          <w:szCs w:val="20"/>
        </w:rPr>
        <w:t xml:space="preserve">—Operating income for our U.S. segment was </w:t>
      </w:r>
      <w:bookmarkStart w:id="129" w:name="led65173F20206121594585463445"/>
      <w:r>
        <w:rPr>
          <w:sz w:val="20"/>
          <w:szCs w:val="20"/>
        </w:rPr>
        <w:t>$6</w:t>
      </w:r>
      <w:bookmarkEnd w:id="129"/>
      <w:r>
        <w:rPr>
          <w:sz w:val="20"/>
          <w:szCs w:val="20"/>
        </w:rPr>
        <w:t> million for the six months ended June 30, 2021 compared to operating loss of </w:t>
      </w:r>
      <w:bookmarkStart w:id="130" w:name="led65173F20206121594585499293"/>
      <w:r>
        <w:rPr>
          <w:sz w:val="20"/>
          <w:szCs w:val="20"/>
        </w:rPr>
        <w:t>$208</w:t>
      </w:r>
      <w:bookmarkEnd w:id="130"/>
      <w:r>
        <w:rPr>
          <w:sz w:val="20"/>
          <w:szCs w:val="20"/>
        </w:rPr>
        <w:t> million for the six months ended June 30, 2020. The $208 million loss in the first half of 2020 was impacted by $202 million of goodwill and intangible asset impairments, $19 million of inventory-related charges, $6 million of severance costs, and $2 million of costs associated with facility closures.  Excluding these charges, operating income would have been $21 million.</w:t>
      </w:r>
    </w:p>
    <w:p w14:paraId="0C89DD88" w14:textId="77777777" w:rsidR="00954279" w:rsidRDefault="00A66714" w:rsidP="006C5497">
      <w:pPr>
        <w:spacing w:line="96" w:lineRule="auto"/>
        <w:ind w:left="144" w:right="144"/>
        <w:rPr>
          <w:sz w:val="20"/>
          <w:szCs w:val="20"/>
        </w:rPr>
      </w:pPr>
      <w:r>
        <w:rPr>
          <w:sz w:val="20"/>
          <w:szCs w:val="20"/>
        </w:rPr>
        <w:t> </w:t>
      </w:r>
    </w:p>
    <w:p w14:paraId="20046CDF" w14:textId="77777777" w:rsidR="00954279" w:rsidRDefault="00A66714">
      <w:pPr>
        <w:ind w:left="144" w:right="144"/>
        <w:rPr>
          <w:sz w:val="20"/>
          <w:szCs w:val="20"/>
        </w:rPr>
      </w:pPr>
      <w:r>
        <w:rPr>
          <w:i/>
          <w:iCs/>
          <w:sz w:val="20"/>
          <w:szCs w:val="20"/>
        </w:rPr>
        <w:t>Canada Segment</w:t>
      </w:r>
      <w:r>
        <w:rPr>
          <w:sz w:val="20"/>
          <w:szCs w:val="20"/>
        </w:rPr>
        <w:t xml:space="preserve">—Operating income for our Canada segment was </w:t>
      </w:r>
      <w:bookmarkStart w:id="131" w:name="led65173F20206121594585572775"/>
      <w:r>
        <w:rPr>
          <w:sz w:val="20"/>
          <w:szCs w:val="20"/>
        </w:rPr>
        <w:t>$0</w:t>
      </w:r>
      <w:bookmarkEnd w:id="131"/>
      <w:r>
        <w:rPr>
          <w:sz w:val="20"/>
          <w:szCs w:val="20"/>
        </w:rPr>
        <w:t> million for the </w:t>
      </w:r>
      <w:bookmarkStart w:id="132" w:name="led65141F20206121594585728714"/>
      <w:r>
        <w:rPr>
          <w:sz w:val="20"/>
          <w:szCs w:val="20"/>
        </w:rPr>
        <w:t>six months ended June 30, 2021</w:t>
      </w:r>
      <w:bookmarkEnd w:id="132"/>
      <w:r>
        <w:rPr>
          <w:sz w:val="20"/>
          <w:szCs w:val="20"/>
        </w:rPr>
        <w:t> compared to operating loss of $2 million for the six months ended June 30, 2020. The $2 million loss in the first half of 2020 included $1 million of costs associated with facility closures.</w:t>
      </w:r>
    </w:p>
    <w:p w14:paraId="64D15EE8" w14:textId="77777777" w:rsidR="00954279" w:rsidRDefault="00A66714" w:rsidP="006C5497">
      <w:pPr>
        <w:spacing w:line="96" w:lineRule="auto"/>
        <w:ind w:left="144" w:right="144"/>
        <w:rPr>
          <w:sz w:val="20"/>
          <w:szCs w:val="20"/>
        </w:rPr>
      </w:pPr>
      <w:r>
        <w:rPr>
          <w:sz w:val="20"/>
          <w:szCs w:val="20"/>
        </w:rPr>
        <w:t> </w:t>
      </w:r>
    </w:p>
    <w:p w14:paraId="4F32D773" w14:textId="2F427C1E" w:rsidR="00954279" w:rsidRDefault="00A66714">
      <w:pPr>
        <w:ind w:left="144" w:right="144"/>
        <w:rPr>
          <w:sz w:val="20"/>
          <w:szCs w:val="20"/>
        </w:rPr>
      </w:pPr>
      <w:r>
        <w:rPr>
          <w:i/>
          <w:iCs/>
          <w:sz w:val="20"/>
          <w:szCs w:val="20"/>
        </w:rPr>
        <w:t>International Segment</w:t>
      </w:r>
      <w:r>
        <w:rPr>
          <w:sz w:val="20"/>
          <w:szCs w:val="20"/>
        </w:rPr>
        <w:t xml:space="preserve">—Operating income for our International segment was </w:t>
      </w:r>
      <w:bookmarkStart w:id="133" w:name="led65173F20206121594585893662"/>
      <w:r>
        <w:rPr>
          <w:sz w:val="20"/>
          <w:szCs w:val="20"/>
        </w:rPr>
        <w:t>$7</w:t>
      </w:r>
      <w:bookmarkEnd w:id="133"/>
      <w:r>
        <w:rPr>
          <w:sz w:val="20"/>
          <w:szCs w:val="20"/>
        </w:rPr>
        <w:t> million for the six months ended</w:t>
      </w:r>
      <w:r w:rsidR="006C5497">
        <w:rPr>
          <w:sz w:val="20"/>
          <w:szCs w:val="20"/>
        </w:rPr>
        <w:t xml:space="preserve"> Ju</w:t>
      </w:r>
      <w:r>
        <w:rPr>
          <w:sz w:val="20"/>
          <w:szCs w:val="20"/>
        </w:rPr>
        <w:t>ne</w:t>
      </w:r>
      <w:r w:rsidR="006C5497">
        <w:rPr>
          <w:sz w:val="20"/>
          <w:szCs w:val="20"/>
        </w:rPr>
        <w:t> </w:t>
      </w:r>
      <w:r>
        <w:rPr>
          <w:sz w:val="20"/>
          <w:szCs w:val="20"/>
        </w:rPr>
        <w:t>30,</w:t>
      </w:r>
      <w:r w:rsidR="006C5497">
        <w:rPr>
          <w:sz w:val="20"/>
          <w:szCs w:val="20"/>
        </w:rPr>
        <w:t> </w:t>
      </w:r>
      <w:r>
        <w:rPr>
          <w:sz w:val="20"/>
          <w:szCs w:val="20"/>
        </w:rPr>
        <w:t>2021 compared to operating loss of $57 million for the six months ended June 30, 2020. The $57 million loss in the first half of 2020 included $40 million of goodwill impairment charges, $14 million of inventory-related charges, $1 million of severance and $12 million of cost associated with facility closures.  Excluding these charges, operating income would have been $10 million.</w:t>
      </w:r>
    </w:p>
    <w:p w14:paraId="6C804991" w14:textId="77777777" w:rsidR="00954279" w:rsidRDefault="00A66714" w:rsidP="005554C6">
      <w:pPr>
        <w:spacing w:line="120" w:lineRule="auto"/>
        <w:ind w:left="144" w:right="144"/>
        <w:rPr>
          <w:sz w:val="20"/>
          <w:szCs w:val="20"/>
        </w:rPr>
      </w:pPr>
      <w:r>
        <w:rPr>
          <w:sz w:val="20"/>
          <w:szCs w:val="20"/>
        </w:rPr>
        <w:t> </w:t>
      </w:r>
    </w:p>
    <w:p w14:paraId="10932402" w14:textId="77777777" w:rsidR="00954279" w:rsidRDefault="00A66714">
      <w:pPr>
        <w:ind w:left="144" w:right="144"/>
        <w:rPr>
          <w:sz w:val="20"/>
          <w:szCs w:val="20"/>
        </w:rPr>
      </w:pPr>
      <w:r>
        <w:rPr>
          <w:b/>
          <w:bCs/>
          <w:i/>
          <w:iCs/>
          <w:sz w:val="20"/>
          <w:szCs w:val="20"/>
        </w:rPr>
        <w:t>Interest Expense</w:t>
      </w:r>
      <w:r>
        <w:rPr>
          <w:i/>
          <w:iCs/>
          <w:sz w:val="20"/>
          <w:szCs w:val="20"/>
        </w:rPr>
        <w:t>. </w:t>
      </w:r>
      <w:r>
        <w:rPr>
          <w:sz w:val="20"/>
          <w:szCs w:val="20"/>
        </w:rPr>
        <w:t xml:space="preserve"> Our interest expense was </w:t>
      </w:r>
      <w:bookmarkStart w:id="134" w:name="led65173F20206121594586037049"/>
      <w:r>
        <w:rPr>
          <w:sz w:val="20"/>
          <w:szCs w:val="20"/>
        </w:rPr>
        <w:t>$12</w:t>
      </w:r>
      <w:bookmarkEnd w:id="134"/>
      <w:r>
        <w:rPr>
          <w:sz w:val="20"/>
          <w:szCs w:val="20"/>
        </w:rPr>
        <w:t xml:space="preserve"> million and </w:t>
      </w:r>
      <w:bookmarkStart w:id="135" w:name="led65173F20206121594586071385"/>
      <w:r>
        <w:rPr>
          <w:sz w:val="20"/>
          <w:szCs w:val="20"/>
        </w:rPr>
        <w:t>$15</w:t>
      </w:r>
      <w:bookmarkEnd w:id="135"/>
      <w:r>
        <w:rPr>
          <w:sz w:val="20"/>
          <w:szCs w:val="20"/>
        </w:rPr>
        <w:t> million for the six months ended June 30, 2021 and 2020, respectively. The decrease in interest expense was primarily attributable to lower average debt levels during the first six months of 2021 as compared to the first six months of 2020.</w:t>
      </w:r>
    </w:p>
    <w:p w14:paraId="77D91C97" w14:textId="77777777" w:rsidR="00954279" w:rsidRDefault="00A66714" w:rsidP="005554C6">
      <w:pPr>
        <w:spacing w:line="120" w:lineRule="auto"/>
        <w:ind w:left="144" w:right="144"/>
        <w:rPr>
          <w:sz w:val="20"/>
          <w:szCs w:val="20"/>
        </w:rPr>
      </w:pPr>
      <w:r>
        <w:rPr>
          <w:sz w:val="20"/>
          <w:szCs w:val="20"/>
        </w:rPr>
        <w:t> </w:t>
      </w:r>
    </w:p>
    <w:p w14:paraId="5F2AD214" w14:textId="77777777" w:rsidR="00954279" w:rsidRDefault="00A66714">
      <w:pPr>
        <w:ind w:left="144" w:right="144"/>
        <w:rPr>
          <w:sz w:val="20"/>
          <w:szCs w:val="20"/>
        </w:rPr>
      </w:pPr>
      <w:r>
        <w:rPr>
          <w:b/>
          <w:bCs/>
          <w:i/>
          <w:iCs/>
          <w:sz w:val="20"/>
          <w:szCs w:val="20"/>
        </w:rPr>
        <w:t>Other, net</w:t>
      </w:r>
      <w:r>
        <w:rPr>
          <w:i/>
          <w:iCs/>
          <w:sz w:val="20"/>
          <w:szCs w:val="20"/>
        </w:rPr>
        <w:t>.</w:t>
      </w:r>
      <w:r>
        <w:rPr>
          <w:sz w:val="20"/>
          <w:szCs w:val="20"/>
        </w:rPr>
        <w:t xml:space="preserve">  Our other income was </w:t>
      </w:r>
      <w:bookmarkStart w:id="136" w:name="led65173F20206121594586104785"/>
      <w:r>
        <w:rPr>
          <w:sz w:val="20"/>
          <w:szCs w:val="20"/>
        </w:rPr>
        <w:t>$1</w:t>
      </w:r>
      <w:bookmarkEnd w:id="136"/>
      <w:r>
        <w:rPr>
          <w:sz w:val="20"/>
          <w:szCs w:val="20"/>
        </w:rPr>
        <w:t> million for the six months ended June 30, 2021 compared to other expense of $2 million for the six months ended June 30, 2020.</w:t>
      </w:r>
    </w:p>
    <w:p w14:paraId="08CA219C" w14:textId="77777777" w:rsidR="00954279" w:rsidRDefault="00A66714" w:rsidP="005554C6">
      <w:pPr>
        <w:spacing w:line="120" w:lineRule="auto"/>
        <w:ind w:left="144" w:right="144"/>
        <w:rPr>
          <w:sz w:val="20"/>
          <w:szCs w:val="20"/>
        </w:rPr>
      </w:pPr>
      <w:r>
        <w:rPr>
          <w:sz w:val="20"/>
          <w:szCs w:val="20"/>
        </w:rPr>
        <w:t> </w:t>
      </w:r>
    </w:p>
    <w:p w14:paraId="4D781711" w14:textId="072AAEAB" w:rsidR="00954279" w:rsidRDefault="00A66714">
      <w:pPr>
        <w:ind w:left="144" w:right="144"/>
        <w:rPr>
          <w:sz w:val="20"/>
          <w:szCs w:val="20"/>
        </w:rPr>
      </w:pPr>
      <w:r>
        <w:rPr>
          <w:b/>
          <w:bCs/>
          <w:i/>
          <w:iCs/>
          <w:sz w:val="20"/>
          <w:szCs w:val="20"/>
        </w:rPr>
        <w:t>Income Tax Expense (Benefit)</w:t>
      </w:r>
      <w:r>
        <w:rPr>
          <w:i/>
          <w:iCs/>
          <w:sz w:val="20"/>
          <w:szCs w:val="20"/>
        </w:rPr>
        <w:t>.</w:t>
      </w:r>
      <w:r>
        <w:rPr>
          <w:sz w:val="20"/>
          <w:szCs w:val="20"/>
        </w:rPr>
        <w:t xml:space="preserve">  Our income tax expense was </w:t>
      </w:r>
      <w:bookmarkStart w:id="137" w:name="led65173F20206121594586253493"/>
      <w:r>
        <w:rPr>
          <w:sz w:val="20"/>
          <w:szCs w:val="20"/>
        </w:rPr>
        <w:t>$1</w:t>
      </w:r>
      <w:bookmarkEnd w:id="137"/>
      <w:r>
        <w:rPr>
          <w:sz w:val="20"/>
          <w:szCs w:val="20"/>
        </w:rPr>
        <w:t> million for the six months ended June 30, 2021 as compared to income tax benefit of </w:t>
      </w:r>
      <w:bookmarkStart w:id="138" w:name="led65173F20206121594586281221"/>
      <w:r>
        <w:rPr>
          <w:sz w:val="20"/>
          <w:szCs w:val="20"/>
        </w:rPr>
        <w:t>$12</w:t>
      </w:r>
      <w:bookmarkEnd w:id="138"/>
      <w:r>
        <w:rPr>
          <w:sz w:val="20"/>
          <w:szCs w:val="20"/>
        </w:rPr>
        <w:t xml:space="preserve"> million for the six months ended June 30, 2020. We typically record income tax expense for interim periods based on estimated annual effective tax rates. However, due to the uncertainty in our industry and the effects of COVID-19, the income tax expense for the six months ended June 30, 2021 was computed based on a year-to-date effective tax rate. We will return to utilizing an estimated annual effective tax rate when appropriate. Our effective tax rates were </w:t>
      </w:r>
      <w:bookmarkStart w:id="139" w:name="led65173F20206171594946742801"/>
      <w:r>
        <w:rPr>
          <w:sz w:val="20"/>
          <w:szCs w:val="20"/>
        </w:rPr>
        <w:t>50%</w:t>
      </w:r>
      <w:bookmarkEnd w:id="139"/>
      <w:r>
        <w:rPr>
          <w:sz w:val="20"/>
          <w:szCs w:val="20"/>
        </w:rPr>
        <w:t xml:space="preserve"> and </w:t>
      </w:r>
      <w:bookmarkStart w:id="140" w:name="led65173F20206171594946792785"/>
      <w:r>
        <w:rPr>
          <w:sz w:val="20"/>
          <w:szCs w:val="20"/>
        </w:rPr>
        <w:t>4%</w:t>
      </w:r>
      <w:bookmarkEnd w:id="140"/>
      <w:r>
        <w:rPr>
          <w:sz w:val="20"/>
          <w:szCs w:val="20"/>
        </w:rPr>
        <w:t> for the six</w:t>
      </w:r>
      <w:r w:rsidR="006C5497">
        <w:rPr>
          <w:sz w:val="20"/>
          <w:szCs w:val="20"/>
        </w:rPr>
        <w:t> </w:t>
      </w:r>
      <w:r>
        <w:rPr>
          <w:sz w:val="20"/>
          <w:szCs w:val="20"/>
        </w:rPr>
        <w:t>months ended June 30, 2021 and 2020</w:t>
      </w:r>
      <w:bookmarkEnd w:id="91"/>
      <w:r>
        <w:rPr>
          <w:sz w:val="20"/>
          <w:szCs w:val="20"/>
        </w:rPr>
        <w:t>, respectively. The 50% effective tax rate for the six months ended June 30, 2021 was primarily driven by the low level of pre-tax income and losses netted across all jurisdictions. Our rates generally differ from the U.S. federal statutory rate of 21% as a result of state income taxes and differing foreign income tax rates. </w:t>
      </w:r>
    </w:p>
    <w:p w14:paraId="1319C643" w14:textId="77777777" w:rsidR="00954279" w:rsidRDefault="00A66714" w:rsidP="005554C6">
      <w:pPr>
        <w:spacing w:line="120" w:lineRule="auto"/>
        <w:ind w:left="144" w:right="144"/>
        <w:rPr>
          <w:sz w:val="20"/>
          <w:szCs w:val="20"/>
        </w:rPr>
      </w:pPr>
      <w:r>
        <w:rPr>
          <w:sz w:val="20"/>
          <w:szCs w:val="20"/>
        </w:rPr>
        <w:t> </w:t>
      </w:r>
    </w:p>
    <w:p w14:paraId="5ED7BF12" w14:textId="77777777" w:rsidR="00954279" w:rsidRDefault="00A66714">
      <w:pPr>
        <w:ind w:left="144" w:right="144"/>
        <w:rPr>
          <w:sz w:val="20"/>
          <w:szCs w:val="20"/>
        </w:rPr>
      </w:pPr>
      <w:r>
        <w:rPr>
          <w:b/>
          <w:bCs/>
          <w:i/>
          <w:iCs/>
          <w:sz w:val="20"/>
          <w:szCs w:val="20"/>
        </w:rPr>
        <w:t>Net Income (Loss)</w:t>
      </w:r>
      <w:r>
        <w:rPr>
          <w:i/>
          <w:iCs/>
          <w:sz w:val="20"/>
          <w:szCs w:val="20"/>
        </w:rPr>
        <w:t>.</w:t>
      </w:r>
      <w:r>
        <w:rPr>
          <w:sz w:val="20"/>
          <w:szCs w:val="20"/>
        </w:rPr>
        <w:t>  We had net income of </w:t>
      </w:r>
      <w:bookmarkStart w:id="141" w:name="led65173F20206121594586693310"/>
      <w:r>
        <w:rPr>
          <w:sz w:val="20"/>
          <w:szCs w:val="20"/>
        </w:rPr>
        <w:t>$1</w:t>
      </w:r>
      <w:bookmarkEnd w:id="141"/>
      <w:r>
        <w:rPr>
          <w:sz w:val="20"/>
          <w:szCs w:val="20"/>
        </w:rPr>
        <w:t> million for the </w:t>
      </w:r>
      <w:bookmarkStart w:id="142" w:name="led65141F20213161618596773354"/>
      <w:r>
        <w:rPr>
          <w:sz w:val="20"/>
          <w:szCs w:val="20"/>
        </w:rPr>
        <w:t>six months ended June 30, 2021</w:t>
      </w:r>
      <w:bookmarkEnd w:id="142"/>
      <w:r>
        <w:rPr>
          <w:sz w:val="20"/>
          <w:szCs w:val="20"/>
        </w:rPr>
        <w:t xml:space="preserve"> compared to net loss of </w:t>
      </w:r>
      <w:bookmarkStart w:id="143" w:name="led65173F20206121594586734159"/>
      <w:r>
        <w:rPr>
          <w:sz w:val="20"/>
          <w:szCs w:val="20"/>
        </w:rPr>
        <w:t>$272</w:t>
      </w:r>
      <w:bookmarkEnd w:id="143"/>
      <w:r>
        <w:rPr>
          <w:sz w:val="20"/>
          <w:szCs w:val="20"/>
        </w:rPr>
        <w:t xml:space="preserve"> million for the </w:t>
      </w:r>
      <w:bookmarkStart w:id="144" w:name="led65141F20213161618596813130"/>
      <w:r>
        <w:rPr>
          <w:sz w:val="20"/>
          <w:szCs w:val="20"/>
        </w:rPr>
        <w:t>six months ended June 30, 2020</w:t>
      </w:r>
      <w:bookmarkEnd w:id="144"/>
      <w:r>
        <w:rPr>
          <w:sz w:val="20"/>
          <w:szCs w:val="20"/>
        </w:rPr>
        <w:t>.</w:t>
      </w:r>
    </w:p>
    <w:p w14:paraId="15CA015D" w14:textId="77777777" w:rsidR="00954279" w:rsidRDefault="00A66714" w:rsidP="005554C6">
      <w:pPr>
        <w:spacing w:line="120" w:lineRule="auto"/>
        <w:ind w:left="144" w:right="144"/>
        <w:rPr>
          <w:sz w:val="20"/>
          <w:szCs w:val="20"/>
        </w:rPr>
      </w:pPr>
      <w:r>
        <w:rPr>
          <w:sz w:val="20"/>
          <w:szCs w:val="20"/>
        </w:rPr>
        <w:t> </w:t>
      </w:r>
    </w:p>
    <w:p w14:paraId="01A30EE0" w14:textId="77777777" w:rsidR="00954279" w:rsidRDefault="00A66714">
      <w:pPr>
        <w:ind w:left="144" w:right="144"/>
        <w:rPr>
          <w:sz w:val="20"/>
          <w:szCs w:val="20"/>
        </w:rPr>
      </w:pPr>
      <w:r>
        <w:rPr>
          <w:b/>
          <w:bCs/>
          <w:i/>
          <w:iCs/>
          <w:sz w:val="20"/>
          <w:szCs w:val="20"/>
        </w:rPr>
        <w:t>Adjusted EBITDA</w:t>
      </w:r>
      <w:r>
        <w:rPr>
          <w:i/>
          <w:iCs/>
          <w:sz w:val="20"/>
          <w:szCs w:val="20"/>
        </w:rPr>
        <w:t>.</w:t>
      </w:r>
      <w:r>
        <w:rPr>
          <w:sz w:val="20"/>
          <w:szCs w:val="20"/>
        </w:rPr>
        <w:t xml:space="preserve">  Adjusted EBITDA, a non-GAAP financial measure, was </w:t>
      </w:r>
      <w:bookmarkStart w:id="145" w:name="led65173F20206121594586809192"/>
      <w:r>
        <w:rPr>
          <w:sz w:val="20"/>
          <w:szCs w:val="20"/>
        </w:rPr>
        <w:t>$60</w:t>
      </w:r>
      <w:bookmarkEnd w:id="145"/>
      <w:r>
        <w:rPr>
          <w:sz w:val="20"/>
          <w:szCs w:val="20"/>
        </w:rPr>
        <w:t> million (</w:t>
      </w:r>
      <w:bookmarkStart w:id="146" w:name="led65173F20206121594586948739"/>
      <w:r>
        <w:rPr>
          <w:sz w:val="20"/>
          <w:szCs w:val="20"/>
        </w:rPr>
        <w:t>4.6%</w:t>
      </w:r>
      <w:bookmarkEnd w:id="146"/>
      <w:r>
        <w:rPr>
          <w:sz w:val="20"/>
          <w:szCs w:val="20"/>
        </w:rPr>
        <w:t> of sales) for the six months ended June 30, 2021</w:t>
      </w:r>
      <w:bookmarkEnd w:id="93"/>
      <w:r>
        <w:rPr>
          <w:sz w:val="20"/>
          <w:szCs w:val="20"/>
        </w:rPr>
        <w:t xml:space="preserve"> as compared to </w:t>
      </w:r>
      <w:bookmarkStart w:id="147" w:name="led65173F20206121594586862553"/>
      <w:r>
        <w:rPr>
          <w:sz w:val="20"/>
          <w:szCs w:val="20"/>
        </w:rPr>
        <w:t>$51</w:t>
      </w:r>
      <w:bookmarkEnd w:id="147"/>
      <w:r>
        <w:rPr>
          <w:sz w:val="20"/>
          <w:szCs w:val="20"/>
        </w:rPr>
        <w:t> million (</w:t>
      </w:r>
      <w:bookmarkStart w:id="148" w:name="led65173F20206121594586911994"/>
      <w:r>
        <w:rPr>
          <w:sz w:val="20"/>
          <w:szCs w:val="20"/>
        </w:rPr>
        <w:t>3.7%</w:t>
      </w:r>
      <w:bookmarkEnd w:id="148"/>
      <w:r>
        <w:rPr>
          <w:sz w:val="20"/>
          <w:szCs w:val="20"/>
        </w:rPr>
        <w:t> of sales) for the six months ended June 30, 2020.</w:t>
      </w:r>
    </w:p>
    <w:p w14:paraId="677E62CB" w14:textId="77777777" w:rsidR="00954279" w:rsidRDefault="00A66714" w:rsidP="005554C6">
      <w:pPr>
        <w:spacing w:line="120" w:lineRule="auto"/>
        <w:ind w:left="144" w:right="144"/>
        <w:rPr>
          <w:sz w:val="20"/>
          <w:szCs w:val="20"/>
        </w:rPr>
      </w:pPr>
      <w:r>
        <w:rPr>
          <w:sz w:val="20"/>
          <w:szCs w:val="20"/>
        </w:rPr>
        <w:t> </w:t>
      </w:r>
    </w:p>
    <w:p w14:paraId="76A0E128" w14:textId="77777777" w:rsidR="00954279" w:rsidRDefault="00A66714">
      <w:pPr>
        <w:ind w:left="144" w:right="144"/>
        <w:rPr>
          <w:sz w:val="20"/>
          <w:szCs w:val="20"/>
        </w:rPr>
      </w:pPr>
      <w:r>
        <w:rPr>
          <w:sz w:val="20"/>
          <w:szCs w:val="20"/>
        </w:rPr>
        <w:t>We define Adjusted EBITDA as net income plus interest, income taxes, depreciation and amortization, amortization of intangibles and certain other expenses, including non-cash expenses such as equity-based compensation, severance and restructuring, changes in the fair value of derivative instruments, long-lived asset impairments (including goodwill and intangible assets), inventory-related charges incremental to normal operations and plus or minus the impact of our LIFO inventory costing methodology.</w:t>
      </w:r>
    </w:p>
    <w:p w14:paraId="14EAB7EA" w14:textId="77777777" w:rsidR="00954279" w:rsidRDefault="00A66714" w:rsidP="005554C6">
      <w:pPr>
        <w:spacing w:line="120" w:lineRule="auto"/>
        <w:ind w:left="144" w:right="144"/>
        <w:rPr>
          <w:sz w:val="20"/>
          <w:szCs w:val="20"/>
        </w:rPr>
      </w:pPr>
      <w:r>
        <w:rPr>
          <w:sz w:val="20"/>
          <w:szCs w:val="20"/>
        </w:rPr>
        <w:t> </w:t>
      </w:r>
    </w:p>
    <w:p w14:paraId="0B9E5391" w14:textId="77777777" w:rsidR="00954279" w:rsidRDefault="00A66714">
      <w:pPr>
        <w:ind w:left="144" w:right="144"/>
        <w:rPr>
          <w:sz w:val="20"/>
          <w:szCs w:val="20"/>
        </w:rPr>
      </w:pPr>
      <w:r>
        <w:rPr>
          <w:sz w:val="20"/>
          <w:szCs w:val="20"/>
        </w:rPr>
        <w:t>We believe Adjusted EBITDA provides investors a helpful measure for comparing our operating performance with the performance of other companies that may have different financing and capital structures or tax rates. We believe it is a useful indicator of our operating performance without regard to items, such as amortization of intangibles, which can vary substantially from company to company depending upon the nature and extent of acquisitions. Similarly, the impact of the LIFO inventory costing method can cause results to vary substantially from company to company depending upon whether they elect to utilize LIFO and depending upon which method they may elect. We use Adjusted EBITDA as a key performance indicator in managing our business. We believe that net income is the financial measure calculated and presented in accordance with U.S. generally accepted accounting principles that is most directly comparable to Adjusted EBITDA.</w:t>
      </w:r>
    </w:p>
    <w:p w14:paraId="052DCBEF" w14:textId="77777777" w:rsidR="00954279" w:rsidRDefault="00A66714">
      <w:pPr>
        <w:ind w:left="144" w:right="144"/>
        <w:jc w:val="center"/>
        <w:rPr>
          <w:sz w:val="20"/>
          <w:szCs w:val="20"/>
        </w:rPr>
      </w:pPr>
      <w:r>
        <w:rPr>
          <w:sz w:val="20"/>
          <w:szCs w:val="20"/>
        </w:rPr>
        <w:t>27</w:t>
      </w:r>
    </w:p>
    <w:p w14:paraId="42D1D5BA" w14:textId="02A1E67E" w:rsidR="00954279" w:rsidRDefault="00A66714">
      <w:pPr>
        <w:ind w:left="144" w:right="144"/>
        <w:rPr>
          <w:sz w:val="20"/>
          <w:szCs w:val="20"/>
        </w:rPr>
      </w:pPr>
      <w:r>
        <w:rPr>
          <w:sz w:val="20"/>
          <w:szCs w:val="20"/>
        </w:rPr>
        <w:br w:type="page"/>
        <w:t> The following table reconciles Adjusted EBITDA, a non-GAAP financial measure, with net income, as derived from our financial statements (in millions):</w:t>
      </w:r>
    </w:p>
    <w:tbl>
      <w:tblPr>
        <w:tblStyle w:val="finTable"/>
        <w:tblW w:w="5000" w:type="pct"/>
        <w:tblInd w:w="149" w:type="dxa"/>
        <w:tblCellMar>
          <w:left w:w="0" w:type="dxa"/>
          <w:right w:w="0" w:type="dxa"/>
        </w:tblCellMar>
        <w:tblLook w:val="05E0" w:firstRow="1" w:lastRow="1" w:firstColumn="1" w:lastColumn="1" w:noHBand="0" w:noVBand="1"/>
      </w:tblPr>
      <w:tblGrid>
        <w:gridCol w:w="7559"/>
        <w:gridCol w:w="108"/>
        <w:gridCol w:w="111"/>
        <w:gridCol w:w="1296"/>
        <w:gridCol w:w="108"/>
        <w:gridCol w:w="108"/>
        <w:gridCol w:w="110"/>
        <w:gridCol w:w="1296"/>
        <w:gridCol w:w="104"/>
      </w:tblGrid>
      <w:tr w:rsidR="00954279" w14:paraId="4C44954D" w14:textId="77777777">
        <w:tc>
          <w:tcPr>
            <w:tcW w:w="0" w:type="auto"/>
            <w:tcMar>
              <w:top w:w="5" w:type="dxa"/>
              <w:left w:w="5" w:type="dxa"/>
              <w:bottom w:w="5" w:type="dxa"/>
              <w:right w:w="5" w:type="dxa"/>
            </w:tcMar>
            <w:vAlign w:val="bottom"/>
            <w:hideMark/>
          </w:tcPr>
          <w:p w14:paraId="51EBADF8" w14:textId="54FA1D9C" w:rsidR="00954279" w:rsidRDefault="00A66714">
            <w:pPr>
              <w:rPr>
                <w:color w:val="000000"/>
                <w:sz w:val="20"/>
                <w:szCs w:val="20"/>
              </w:rPr>
            </w:pPr>
            <w:r>
              <w:rPr>
                <w:sz w:val="20"/>
                <w:szCs w:val="20"/>
              </w:rPr>
              <w:t> </w:t>
            </w:r>
            <w:r>
              <w:rPr>
                <w:color w:val="000000"/>
                <w:sz w:val="20"/>
                <w:szCs w:val="20"/>
              </w:rPr>
              <w:t> </w:t>
            </w:r>
          </w:p>
        </w:tc>
        <w:tc>
          <w:tcPr>
            <w:tcW w:w="0" w:type="auto"/>
            <w:tcMar>
              <w:top w:w="5" w:type="dxa"/>
              <w:left w:w="5" w:type="dxa"/>
              <w:bottom w:w="5" w:type="dxa"/>
              <w:right w:w="5" w:type="dxa"/>
            </w:tcMar>
            <w:vAlign w:val="bottom"/>
            <w:hideMark/>
          </w:tcPr>
          <w:p w14:paraId="597DE33A" w14:textId="77777777" w:rsidR="00954279" w:rsidRDefault="00A66714">
            <w:pPr>
              <w:rPr>
                <w:color w:val="000000"/>
                <w:sz w:val="20"/>
                <w:szCs w:val="20"/>
              </w:rPr>
            </w:pPr>
            <w:r>
              <w:rPr>
                <w:color w:val="000000"/>
                <w:sz w:val="20"/>
                <w:szCs w:val="20"/>
              </w:rPr>
              <w:t> </w:t>
            </w:r>
          </w:p>
        </w:tc>
        <w:tc>
          <w:tcPr>
            <w:tcW w:w="0" w:type="auto"/>
            <w:gridSpan w:val="6"/>
            <w:tcBorders>
              <w:bottom w:val="single" w:sz="6" w:space="0" w:color="000000"/>
            </w:tcBorders>
            <w:tcMar>
              <w:top w:w="5" w:type="dxa"/>
              <w:left w:w="5" w:type="dxa"/>
              <w:bottom w:w="8" w:type="dxa"/>
              <w:right w:w="5" w:type="dxa"/>
            </w:tcMar>
            <w:vAlign w:val="bottom"/>
            <w:hideMark/>
          </w:tcPr>
          <w:p w14:paraId="4D8303A2" w14:textId="77777777" w:rsidR="00954279" w:rsidRDefault="00A66714">
            <w:pPr>
              <w:jc w:val="center"/>
              <w:rPr>
                <w:color w:val="000000"/>
                <w:sz w:val="20"/>
                <w:szCs w:val="20"/>
              </w:rPr>
            </w:pPr>
            <w:r>
              <w:rPr>
                <w:b/>
                <w:bCs/>
                <w:color w:val="000000"/>
                <w:sz w:val="20"/>
                <w:szCs w:val="20"/>
              </w:rPr>
              <w:t>Six Months Ended</w:t>
            </w:r>
          </w:p>
        </w:tc>
        <w:tc>
          <w:tcPr>
            <w:tcW w:w="0" w:type="auto"/>
            <w:tcMar>
              <w:top w:w="5" w:type="dxa"/>
              <w:left w:w="5" w:type="dxa"/>
              <w:bottom w:w="20" w:type="dxa"/>
              <w:right w:w="5" w:type="dxa"/>
            </w:tcMar>
            <w:vAlign w:val="bottom"/>
            <w:hideMark/>
          </w:tcPr>
          <w:p w14:paraId="362F3658" w14:textId="77777777" w:rsidR="00954279" w:rsidRDefault="00A66714">
            <w:pPr>
              <w:rPr>
                <w:color w:val="000000"/>
                <w:sz w:val="20"/>
                <w:szCs w:val="20"/>
              </w:rPr>
            </w:pPr>
            <w:r>
              <w:rPr>
                <w:color w:val="000000"/>
                <w:sz w:val="20"/>
                <w:szCs w:val="20"/>
              </w:rPr>
              <w:t> </w:t>
            </w:r>
          </w:p>
        </w:tc>
      </w:tr>
      <w:tr w:rsidR="00954279" w14:paraId="49F0C35B" w14:textId="77777777">
        <w:tc>
          <w:tcPr>
            <w:tcW w:w="0" w:type="auto"/>
            <w:tcMar>
              <w:top w:w="5" w:type="dxa"/>
              <w:left w:w="5" w:type="dxa"/>
              <w:bottom w:w="5" w:type="dxa"/>
              <w:right w:w="5" w:type="dxa"/>
            </w:tcMar>
            <w:vAlign w:val="bottom"/>
            <w:hideMark/>
          </w:tcPr>
          <w:p w14:paraId="7E2081D0"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020F668"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4B99D8B6" w14:textId="77777777" w:rsidR="00954279" w:rsidRDefault="00A66714">
            <w:pPr>
              <w:jc w:val="center"/>
              <w:rPr>
                <w:color w:val="000000"/>
                <w:sz w:val="20"/>
                <w:szCs w:val="20"/>
              </w:rPr>
            </w:pPr>
            <w:r>
              <w:rPr>
                <w:b/>
                <w:bCs/>
                <w:color w:val="000000"/>
                <w:sz w:val="20"/>
                <w:szCs w:val="20"/>
              </w:rPr>
              <w:t>June 30,</w:t>
            </w:r>
          </w:p>
        </w:tc>
        <w:tc>
          <w:tcPr>
            <w:tcW w:w="0" w:type="auto"/>
            <w:tcMar>
              <w:top w:w="5" w:type="dxa"/>
              <w:left w:w="5" w:type="dxa"/>
              <w:bottom w:w="5" w:type="dxa"/>
              <w:right w:w="5" w:type="dxa"/>
            </w:tcMar>
            <w:vAlign w:val="bottom"/>
            <w:hideMark/>
          </w:tcPr>
          <w:p w14:paraId="681B8B4B"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3BB9989"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4EFDD5B7" w14:textId="77777777" w:rsidR="00954279" w:rsidRDefault="00A66714">
            <w:pPr>
              <w:jc w:val="center"/>
              <w:rPr>
                <w:color w:val="000000"/>
                <w:sz w:val="20"/>
                <w:szCs w:val="20"/>
              </w:rPr>
            </w:pPr>
            <w:r>
              <w:rPr>
                <w:b/>
                <w:bCs/>
                <w:color w:val="000000"/>
                <w:sz w:val="20"/>
                <w:szCs w:val="20"/>
              </w:rPr>
              <w:t>June 30,</w:t>
            </w:r>
          </w:p>
        </w:tc>
        <w:tc>
          <w:tcPr>
            <w:tcW w:w="0" w:type="auto"/>
            <w:tcMar>
              <w:top w:w="5" w:type="dxa"/>
              <w:left w:w="5" w:type="dxa"/>
              <w:bottom w:w="5" w:type="dxa"/>
              <w:right w:w="5" w:type="dxa"/>
            </w:tcMar>
            <w:vAlign w:val="bottom"/>
            <w:hideMark/>
          </w:tcPr>
          <w:p w14:paraId="7AFCA91D" w14:textId="77777777" w:rsidR="00954279" w:rsidRDefault="00A66714">
            <w:pPr>
              <w:rPr>
                <w:color w:val="000000"/>
                <w:sz w:val="20"/>
                <w:szCs w:val="20"/>
              </w:rPr>
            </w:pPr>
            <w:r>
              <w:rPr>
                <w:color w:val="000000"/>
                <w:sz w:val="20"/>
                <w:szCs w:val="20"/>
              </w:rPr>
              <w:t> </w:t>
            </w:r>
          </w:p>
        </w:tc>
      </w:tr>
      <w:tr w:rsidR="00954279" w14:paraId="21953CF9" w14:textId="77777777">
        <w:tc>
          <w:tcPr>
            <w:tcW w:w="0" w:type="auto"/>
            <w:tcMar>
              <w:top w:w="5" w:type="dxa"/>
              <w:left w:w="5" w:type="dxa"/>
              <w:bottom w:w="5" w:type="dxa"/>
              <w:right w:w="5" w:type="dxa"/>
            </w:tcMar>
            <w:vAlign w:val="bottom"/>
            <w:hideMark/>
          </w:tcPr>
          <w:p w14:paraId="348363C9"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F97D4D0"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ECBEB47" w14:textId="77777777" w:rsidR="00954279" w:rsidRDefault="00A66714">
            <w:pPr>
              <w:jc w:val="center"/>
              <w:rPr>
                <w:color w:val="000000"/>
                <w:sz w:val="20"/>
                <w:szCs w:val="20"/>
              </w:rPr>
            </w:pPr>
            <w:r>
              <w:rPr>
                <w:b/>
                <w:bCs/>
                <w:color w:val="000000"/>
                <w:sz w:val="20"/>
                <w:szCs w:val="20"/>
              </w:rPr>
              <w:t>2021</w:t>
            </w:r>
          </w:p>
        </w:tc>
        <w:tc>
          <w:tcPr>
            <w:tcW w:w="0" w:type="auto"/>
            <w:tcMar>
              <w:top w:w="5" w:type="dxa"/>
              <w:left w:w="5" w:type="dxa"/>
              <w:bottom w:w="20" w:type="dxa"/>
              <w:right w:w="5" w:type="dxa"/>
            </w:tcMar>
            <w:vAlign w:val="bottom"/>
            <w:hideMark/>
          </w:tcPr>
          <w:p w14:paraId="200DFA15"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33FB1B3"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D90F119" w14:textId="77777777" w:rsidR="00954279" w:rsidRDefault="00A66714">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4C7E3A73" w14:textId="77777777" w:rsidR="00954279" w:rsidRDefault="00A66714">
            <w:pPr>
              <w:rPr>
                <w:color w:val="000000"/>
                <w:sz w:val="20"/>
                <w:szCs w:val="20"/>
              </w:rPr>
            </w:pPr>
            <w:r>
              <w:rPr>
                <w:color w:val="000000"/>
                <w:sz w:val="20"/>
                <w:szCs w:val="20"/>
              </w:rPr>
              <w:t> </w:t>
            </w:r>
          </w:p>
        </w:tc>
      </w:tr>
      <w:tr w:rsidR="00954279" w14:paraId="615573B1" w14:textId="77777777" w:rsidTr="005554C6">
        <w:tc>
          <w:tcPr>
            <w:tcW w:w="3500" w:type="pct"/>
            <w:tcMar>
              <w:top w:w="5" w:type="dxa"/>
              <w:left w:w="5" w:type="dxa"/>
              <w:bottom w:w="5" w:type="dxa"/>
              <w:right w:w="5" w:type="dxa"/>
            </w:tcMar>
            <w:vAlign w:val="bottom"/>
            <w:hideMark/>
          </w:tcPr>
          <w:p w14:paraId="7550E536" w14:textId="77777777" w:rsidR="00954279" w:rsidRDefault="00A66714">
            <w:pPr>
              <w:rPr>
                <w:color w:val="000000"/>
                <w:sz w:val="20"/>
                <w:szCs w:val="20"/>
              </w:rPr>
            </w:pPr>
            <w:r>
              <w:rPr>
                <w:color w:val="000000"/>
                <w:sz w:val="20"/>
                <w:szCs w:val="20"/>
              </w:rPr>
              <w:t>Net income (loss)</w:t>
            </w:r>
          </w:p>
        </w:tc>
        <w:tc>
          <w:tcPr>
            <w:tcW w:w="50" w:type="pct"/>
            <w:tcMar>
              <w:top w:w="5" w:type="dxa"/>
              <w:left w:w="5" w:type="dxa"/>
              <w:bottom w:w="5" w:type="dxa"/>
              <w:right w:w="5" w:type="dxa"/>
            </w:tcMar>
            <w:vAlign w:val="bottom"/>
            <w:hideMark/>
          </w:tcPr>
          <w:p w14:paraId="3B7630C5"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4039BBA0" w14:textId="77777777" w:rsidR="00954279" w:rsidRDefault="00A66714">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01DFBC99" w14:textId="77777777" w:rsidR="00954279" w:rsidRDefault="00A66714">
            <w:pPr>
              <w:jc w:val="right"/>
              <w:rPr>
                <w:color w:val="000000"/>
                <w:sz w:val="20"/>
                <w:szCs w:val="20"/>
              </w:rPr>
            </w:pPr>
            <w:r>
              <w:rPr>
                <w:b/>
                <w:bCs/>
                <w:color w:val="000000"/>
                <w:sz w:val="20"/>
                <w:szCs w:val="20"/>
              </w:rPr>
              <w:t>1</w:t>
            </w:r>
          </w:p>
        </w:tc>
        <w:tc>
          <w:tcPr>
            <w:tcW w:w="50" w:type="pct"/>
            <w:noWrap/>
            <w:tcMar>
              <w:top w:w="5" w:type="dxa"/>
              <w:left w:w="5" w:type="dxa"/>
              <w:bottom w:w="5" w:type="dxa"/>
              <w:right w:w="5" w:type="dxa"/>
            </w:tcMar>
            <w:vAlign w:val="bottom"/>
            <w:hideMark/>
          </w:tcPr>
          <w:p w14:paraId="7F52FA6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D5CD31B"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5D1B7844" w14:textId="77777777" w:rsidR="00954279" w:rsidRDefault="00A66714">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01E1B128" w14:textId="77777777" w:rsidR="00954279" w:rsidRDefault="00A66714">
            <w:pPr>
              <w:jc w:val="right"/>
              <w:rPr>
                <w:color w:val="000000"/>
                <w:sz w:val="20"/>
                <w:szCs w:val="20"/>
              </w:rPr>
            </w:pPr>
            <w:r>
              <w:rPr>
                <w:color w:val="000000"/>
                <w:sz w:val="20"/>
                <w:szCs w:val="20"/>
              </w:rPr>
              <w:t>(272</w:t>
            </w:r>
          </w:p>
        </w:tc>
        <w:tc>
          <w:tcPr>
            <w:tcW w:w="50" w:type="pct"/>
            <w:noWrap/>
            <w:tcMar>
              <w:top w:w="5" w:type="dxa"/>
              <w:left w:w="5" w:type="dxa"/>
              <w:bottom w:w="5" w:type="dxa"/>
              <w:right w:w="5" w:type="dxa"/>
            </w:tcMar>
            <w:vAlign w:val="bottom"/>
            <w:hideMark/>
          </w:tcPr>
          <w:p w14:paraId="4A5606F3" w14:textId="77777777" w:rsidR="00954279" w:rsidRDefault="00A66714">
            <w:pPr>
              <w:rPr>
                <w:color w:val="000000"/>
                <w:sz w:val="20"/>
                <w:szCs w:val="20"/>
              </w:rPr>
            </w:pPr>
            <w:r>
              <w:rPr>
                <w:color w:val="000000"/>
                <w:sz w:val="20"/>
                <w:szCs w:val="20"/>
              </w:rPr>
              <w:t>)</w:t>
            </w:r>
          </w:p>
        </w:tc>
      </w:tr>
      <w:tr w:rsidR="00954279" w14:paraId="18045921" w14:textId="77777777" w:rsidTr="005554C6">
        <w:tc>
          <w:tcPr>
            <w:tcW w:w="0" w:type="auto"/>
            <w:tcMar>
              <w:top w:w="5" w:type="dxa"/>
              <w:left w:w="5" w:type="dxa"/>
              <w:bottom w:w="5" w:type="dxa"/>
              <w:right w:w="5" w:type="dxa"/>
            </w:tcMar>
            <w:vAlign w:val="bottom"/>
            <w:hideMark/>
          </w:tcPr>
          <w:p w14:paraId="26442EDC" w14:textId="77777777" w:rsidR="00954279" w:rsidRDefault="00A66714">
            <w:pPr>
              <w:rPr>
                <w:color w:val="000000"/>
                <w:sz w:val="20"/>
                <w:szCs w:val="20"/>
              </w:rPr>
            </w:pPr>
            <w:r>
              <w:rPr>
                <w:color w:val="000000"/>
                <w:sz w:val="20"/>
                <w:szCs w:val="20"/>
              </w:rPr>
              <w:t>Income tax expense (benefit)</w:t>
            </w:r>
          </w:p>
        </w:tc>
        <w:tc>
          <w:tcPr>
            <w:tcW w:w="50" w:type="pct"/>
            <w:tcMar>
              <w:top w:w="5" w:type="dxa"/>
              <w:left w:w="5" w:type="dxa"/>
              <w:bottom w:w="5" w:type="dxa"/>
              <w:right w:w="5" w:type="dxa"/>
            </w:tcMar>
            <w:vAlign w:val="bottom"/>
            <w:hideMark/>
          </w:tcPr>
          <w:p w14:paraId="20C6746E"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786D76E0"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A766431" w14:textId="77777777" w:rsidR="00954279" w:rsidRDefault="00A66714">
            <w:pPr>
              <w:jc w:val="right"/>
              <w:rPr>
                <w:color w:val="000000"/>
                <w:sz w:val="20"/>
                <w:szCs w:val="20"/>
              </w:rPr>
            </w:pPr>
            <w:r>
              <w:rPr>
                <w:b/>
                <w:bCs/>
                <w:color w:val="000000"/>
                <w:sz w:val="20"/>
                <w:szCs w:val="20"/>
              </w:rPr>
              <w:t>1</w:t>
            </w:r>
          </w:p>
        </w:tc>
        <w:tc>
          <w:tcPr>
            <w:tcW w:w="50" w:type="pct"/>
            <w:noWrap/>
            <w:tcMar>
              <w:top w:w="5" w:type="dxa"/>
              <w:left w:w="5" w:type="dxa"/>
              <w:bottom w:w="5" w:type="dxa"/>
              <w:right w:w="5" w:type="dxa"/>
            </w:tcMar>
            <w:vAlign w:val="bottom"/>
            <w:hideMark/>
          </w:tcPr>
          <w:p w14:paraId="4AEE662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6D26C91"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419BD490"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23662A5" w14:textId="77777777" w:rsidR="00954279" w:rsidRDefault="00A66714">
            <w:pPr>
              <w:jc w:val="right"/>
              <w:rPr>
                <w:color w:val="000000"/>
                <w:sz w:val="20"/>
                <w:szCs w:val="20"/>
              </w:rPr>
            </w:pPr>
            <w:r>
              <w:rPr>
                <w:color w:val="000000"/>
                <w:sz w:val="20"/>
                <w:szCs w:val="20"/>
              </w:rPr>
              <w:t>(12</w:t>
            </w:r>
          </w:p>
        </w:tc>
        <w:tc>
          <w:tcPr>
            <w:tcW w:w="50" w:type="pct"/>
            <w:noWrap/>
            <w:tcMar>
              <w:top w:w="5" w:type="dxa"/>
              <w:left w:w="5" w:type="dxa"/>
              <w:bottom w:w="5" w:type="dxa"/>
              <w:right w:w="5" w:type="dxa"/>
            </w:tcMar>
            <w:vAlign w:val="bottom"/>
            <w:hideMark/>
          </w:tcPr>
          <w:p w14:paraId="4B730E9C" w14:textId="77777777" w:rsidR="00954279" w:rsidRDefault="00A66714">
            <w:pPr>
              <w:rPr>
                <w:color w:val="000000"/>
                <w:sz w:val="20"/>
                <w:szCs w:val="20"/>
              </w:rPr>
            </w:pPr>
            <w:r>
              <w:rPr>
                <w:color w:val="000000"/>
                <w:sz w:val="20"/>
                <w:szCs w:val="20"/>
              </w:rPr>
              <w:t>)</w:t>
            </w:r>
          </w:p>
        </w:tc>
      </w:tr>
      <w:tr w:rsidR="00954279" w14:paraId="5DADA559" w14:textId="77777777" w:rsidTr="005554C6">
        <w:tc>
          <w:tcPr>
            <w:tcW w:w="0" w:type="auto"/>
            <w:tcMar>
              <w:top w:w="5" w:type="dxa"/>
              <w:left w:w="5" w:type="dxa"/>
              <w:bottom w:w="5" w:type="dxa"/>
              <w:right w:w="5" w:type="dxa"/>
            </w:tcMar>
            <w:vAlign w:val="bottom"/>
            <w:hideMark/>
          </w:tcPr>
          <w:p w14:paraId="79DC1463" w14:textId="77777777" w:rsidR="00954279" w:rsidRDefault="00A66714">
            <w:pPr>
              <w:rPr>
                <w:color w:val="000000"/>
                <w:sz w:val="20"/>
                <w:szCs w:val="20"/>
              </w:rPr>
            </w:pPr>
            <w:r>
              <w:rPr>
                <w:color w:val="000000"/>
                <w:sz w:val="20"/>
                <w:szCs w:val="20"/>
              </w:rPr>
              <w:t>Interest expense</w:t>
            </w:r>
          </w:p>
        </w:tc>
        <w:tc>
          <w:tcPr>
            <w:tcW w:w="50" w:type="pct"/>
            <w:tcMar>
              <w:top w:w="5" w:type="dxa"/>
              <w:left w:w="5" w:type="dxa"/>
              <w:bottom w:w="5" w:type="dxa"/>
              <w:right w:w="5" w:type="dxa"/>
            </w:tcMar>
            <w:vAlign w:val="bottom"/>
            <w:hideMark/>
          </w:tcPr>
          <w:p w14:paraId="0B070C29"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286A2D7B"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C5F7E16" w14:textId="77777777" w:rsidR="00954279" w:rsidRDefault="00A66714">
            <w:pPr>
              <w:jc w:val="right"/>
              <w:rPr>
                <w:color w:val="000000"/>
                <w:sz w:val="20"/>
                <w:szCs w:val="20"/>
              </w:rPr>
            </w:pPr>
            <w:r>
              <w:rPr>
                <w:b/>
                <w:bCs/>
                <w:color w:val="000000"/>
                <w:sz w:val="20"/>
                <w:szCs w:val="20"/>
              </w:rPr>
              <w:t>12</w:t>
            </w:r>
          </w:p>
        </w:tc>
        <w:tc>
          <w:tcPr>
            <w:tcW w:w="50" w:type="pct"/>
            <w:noWrap/>
            <w:tcMar>
              <w:top w:w="5" w:type="dxa"/>
              <w:left w:w="5" w:type="dxa"/>
              <w:bottom w:w="5" w:type="dxa"/>
              <w:right w:w="5" w:type="dxa"/>
            </w:tcMar>
            <w:vAlign w:val="bottom"/>
            <w:hideMark/>
          </w:tcPr>
          <w:p w14:paraId="4674C086"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80AA6CE"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1BADE350"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8F6298F" w14:textId="77777777" w:rsidR="00954279" w:rsidRDefault="00A66714">
            <w:pPr>
              <w:jc w:val="right"/>
              <w:rPr>
                <w:color w:val="000000"/>
                <w:sz w:val="20"/>
                <w:szCs w:val="20"/>
              </w:rPr>
            </w:pPr>
            <w:r>
              <w:rPr>
                <w:color w:val="000000"/>
                <w:sz w:val="20"/>
                <w:szCs w:val="20"/>
              </w:rPr>
              <w:t>15</w:t>
            </w:r>
          </w:p>
        </w:tc>
        <w:tc>
          <w:tcPr>
            <w:tcW w:w="50" w:type="pct"/>
            <w:noWrap/>
            <w:tcMar>
              <w:top w:w="5" w:type="dxa"/>
              <w:left w:w="5" w:type="dxa"/>
              <w:bottom w:w="5" w:type="dxa"/>
              <w:right w:w="5" w:type="dxa"/>
            </w:tcMar>
            <w:vAlign w:val="bottom"/>
            <w:hideMark/>
          </w:tcPr>
          <w:p w14:paraId="16A54751" w14:textId="77777777" w:rsidR="00954279" w:rsidRDefault="00A66714">
            <w:pPr>
              <w:rPr>
                <w:color w:val="000000"/>
                <w:sz w:val="20"/>
                <w:szCs w:val="20"/>
              </w:rPr>
            </w:pPr>
            <w:r>
              <w:rPr>
                <w:color w:val="000000"/>
                <w:sz w:val="20"/>
                <w:szCs w:val="20"/>
              </w:rPr>
              <w:t> </w:t>
            </w:r>
          </w:p>
        </w:tc>
      </w:tr>
      <w:tr w:rsidR="00954279" w14:paraId="5F86E4F6" w14:textId="77777777" w:rsidTr="005554C6">
        <w:tc>
          <w:tcPr>
            <w:tcW w:w="0" w:type="auto"/>
            <w:tcMar>
              <w:top w:w="5" w:type="dxa"/>
              <w:left w:w="5" w:type="dxa"/>
              <w:bottom w:w="5" w:type="dxa"/>
              <w:right w:w="5" w:type="dxa"/>
            </w:tcMar>
            <w:vAlign w:val="bottom"/>
            <w:hideMark/>
          </w:tcPr>
          <w:p w14:paraId="69AD26A3" w14:textId="77777777" w:rsidR="00954279" w:rsidRDefault="00A66714">
            <w:pPr>
              <w:rPr>
                <w:color w:val="000000"/>
                <w:sz w:val="20"/>
                <w:szCs w:val="20"/>
              </w:rPr>
            </w:pPr>
            <w:r>
              <w:rPr>
                <w:color w:val="000000"/>
                <w:sz w:val="20"/>
                <w:szCs w:val="20"/>
              </w:rPr>
              <w:t>Depreciation and amortization</w:t>
            </w:r>
          </w:p>
        </w:tc>
        <w:tc>
          <w:tcPr>
            <w:tcW w:w="50" w:type="pct"/>
            <w:tcMar>
              <w:top w:w="5" w:type="dxa"/>
              <w:left w:w="5" w:type="dxa"/>
              <w:bottom w:w="5" w:type="dxa"/>
              <w:right w:w="5" w:type="dxa"/>
            </w:tcMar>
            <w:vAlign w:val="bottom"/>
            <w:hideMark/>
          </w:tcPr>
          <w:p w14:paraId="32B03D37"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2E294671"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0802044" w14:textId="77777777" w:rsidR="00954279" w:rsidRDefault="00A66714">
            <w:pPr>
              <w:jc w:val="right"/>
              <w:rPr>
                <w:color w:val="000000"/>
                <w:sz w:val="20"/>
                <w:szCs w:val="20"/>
              </w:rPr>
            </w:pPr>
            <w:r>
              <w:rPr>
                <w:b/>
                <w:bCs/>
                <w:color w:val="000000"/>
                <w:sz w:val="20"/>
                <w:szCs w:val="20"/>
              </w:rPr>
              <w:t>10</w:t>
            </w:r>
          </w:p>
        </w:tc>
        <w:tc>
          <w:tcPr>
            <w:tcW w:w="50" w:type="pct"/>
            <w:noWrap/>
            <w:tcMar>
              <w:top w:w="5" w:type="dxa"/>
              <w:left w:w="5" w:type="dxa"/>
              <w:bottom w:w="5" w:type="dxa"/>
              <w:right w:w="5" w:type="dxa"/>
            </w:tcMar>
            <w:vAlign w:val="bottom"/>
            <w:hideMark/>
          </w:tcPr>
          <w:p w14:paraId="4E62818E"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4110EE9"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0D75DC49"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D90959D" w14:textId="77777777" w:rsidR="00954279" w:rsidRDefault="00A66714">
            <w:pPr>
              <w:jc w:val="right"/>
              <w:rPr>
                <w:color w:val="000000"/>
                <w:sz w:val="20"/>
                <w:szCs w:val="20"/>
              </w:rPr>
            </w:pPr>
            <w:r>
              <w:rPr>
                <w:color w:val="000000"/>
                <w:sz w:val="20"/>
                <w:szCs w:val="20"/>
              </w:rPr>
              <w:t>10</w:t>
            </w:r>
          </w:p>
        </w:tc>
        <w:tc>
          <w:tcPr>
            <w:tcW w:w="50" w:type="pct"/>
            <w:noWrap/>
            <w:tcMar>
              <w:top w:w="5" w:type="dxa"/>
              <w:left w:w="5" w:type="dxa"/>
              <w:bottom w:w="5" w:type="dxa"/>
              <w:right w:w="5" w:type="dxa"/>
            </w:tcMar>
            <w:vAlign w:val="bottom"/>
            <w:hideMark/>
          </w:tcPr>
          <w:p w14:paraId="2EC8919C" w14:textId="77777777" w:rsidR="00954279" w:rsidRDefault="00A66714">
            <w:pPr>
              <w:rPr>
                <w:color w:val="000000"/>
                <w:sz w:val="20"/>
                <w:szCs w:val="20"/>
              </w:rPr>
            </w:pPr>
            <w:r>
              <w:rPr>
                <w:color w:val="000000"/>
                <w:sz w:val="20"/>
                <w:szCs w:val="20"/>
              </w:rPr>
              <w:t> </w:t>
            </w:r>
          </w:p>
        </w:tc>
      </w:tr>
      <w:tr w:rsidR="00954279" w14:paraId="5B3C9A4A" w14:textId="77777777" w:rsidTr="005554C6">
        <w:tc>
          <w:tcPr>
            <w:tcW w:w="0" w:type="auto"/>
            <w:tcMar>
              <w:top w:w="5" w:type="dxa"/>
              <w:left w:w="5" w:type="dxa"/>
              <w:bottom w:w="5" w:type="dxa"/>
              <w:right w:w="5" w:type="dxa"/>
            </w:tcMar>
            <w:vAlign w:val="bottom"/>
            <w:hideMark/>
          </w:tcPr>
          <w:p w14:paraId="550AA2A8" w14:textId="77777777" w:rsidR="00954279" w:rsidRDefault="00A66714">
            <w:pPr>
              <w:rPr>
                <w:color w:val="000000"/>
                <w:sz w:val="20"/>
                <w:szCs w:val="20"/>
              </w:rPr>
            </w:pPr>
            <w:r>
              <w:rPr>
                <w:color w:val="000000"/>
                <w:sz w:val="20"/>
                <w:szCs w:val="20"/>
              </w:rPr>
              <w:t>Amortization of intangibles</w:t>
            </w:r>
          </w:p>
        </w:tc>
        <w:tc>
          <w:tcPr>
            <w:tcW w:w="50" w:type="pct"/>
            <w:tcMar>
              <w:top w:w="5" w:type="dxa"/>
              <w:left w:w="5" w:type="dxa"/>
              <w:bottom w:w="5" w:type="dxa"/>
              <w:right w:w="5" w:type="dxa"/>
            </w:tcMar>
            <w:vAlign w:val="bottom"/>
            <w:hideMark/>
          </w:tcPr>
          <w:p w14:paraId="140EF973"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1D847244"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D206B19" w14:textId="77777777" w:rsidR="00954279" w:rsidRDefault="00A66714">
            <w:pPr>
              <w:jc w:val="right"/>
              <w:rPr>
                <w:color w:val="000000"/>
                <w:sz w:val="20"/>
                <w:szCs w:val="20"/>
              </w:rPr>
            </w:pPr>
            <w:r>
              <w:rPr>
                <w:b/>
                <w:bCs/>
                <w:color w:val="000000"/>
                <w:sz w:val="20"/>
                <w:szCs w:val="20"/>
              </w:rPr>
              <w:t>12</w:t>
            </w:r>
          </w:p>
        </w:tc>
        <w:tc>
          <w:tcPr>
            <w:tcW w:w="50" w:type="pct"/>
            <w:noWrap/>
            <w:tcMar>
              <w:top w:w="5" w:type="dxa"/>
              <w:left w:w="5" w:type="dxa"/>
              <w:bottom w:w="5" w:type="dxa"/>
              <w:right w:w="5" w:type="dxa"/>
            </w:tcMar>
            <w:vAlign w:val="bottom"/>
            <w:hideMark/>
          </w:tcPr>
          <w:p w14:paraId="5FB99A76"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E678EC9"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15DDA0C5"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26D60D5" w14:textId="77777777" w:rsidR="00954279" w:rsidRDefault="00A66714">
            <w:pPr>
              <w:jc w:val="right"/>
              <w:rPr>
                <w:color w:val="000000"/>
                <w:sz w:val="20"/>
                <w:szCs w:val="20"/>
              </w:rPr>
            </w:pPr>
            <w:r>
              <w:rPr>
                <w:color w:val="000000"/>
                <w:sz w:val="20"/>
                <w:szCs w:val="20"/>
              </w:rPr>
              <w:t>13</w:t>
            </w:r>
          </w:p>
        </w:tc>
        <w:tc>
          <w:tcPr>
            <w:tcW w:w="50" w:type="pct"/>
            <w:noWrap/>
            <w:tcMar>
              <w:top w:w="5" w:type="dxa"/>
              <w:left w:w="5" w:type="dxa"/>
              <w:bottom w:w="5" w:type="dxa"/>
              <w:right w:w="5" w:type="dxa"/>
            </w:tcMar>
            <w:vAlign w:val="bottom"/>
            <w:hideMark/>
          </w:tcPr>
          <w:p w14:paraId="6928BF37" w14:textId="77777777" w:rsidR="00954279" w:rsidRDefault="00A66714">
            <w:pPr>
              <w:rPr>
                <w:color w:val="000000"/>
                <w:sz w:val="20"/>
                <w:szCs w:val="20"/>
              </w:rPr>
            </w:pPr>
            <w:r>
              <w:rPr>
                <w:color w:val="000000"/>
                <w:sz w:val="20"/>
                <w:szCs w:val="20"/>
              </w:rPr>
              <w:t> </w:t>
            </w:r>
          </w:p>
        </w:tc>
      </w:tr>
      <w:tr w:rsidR="00954279" w14:paraId="0BF507B4" w14:textId="77777777" w:rsidTr="005554C6">
        <w:tc>
          <w:tcPr>
            <w:tcW w:w="0" w:type="auto"/>
            <w:tcMar>
              <w:top w:w="5" w:type="dxa"/>
              <w:left w:w="5" w:type="dxa"/>
              <w:bottom w:w="5" w:type="dxa"/>
              <w:right w:w="5" w:type="dxa"/>
            </w:tcMar>
            <w:vAlign w:val="bottom"/>
            <w:hideMark/>
          </w:tcPr>
          <w:p w14:paraId="3EF7E5A5" w14:textId="77777777" w:rsidR="00954279" w:rsidRDefault="00A66714">
            <w:pPr>
              <w:rPr>
                <w:color w:val="000000"/>
                <w:sz w:val="20"/>
                <w:szCs w:val="20"/>
              </w:rPr>
            </w:pPr>
            <w:r>
              <w:rPr>
                <w:color w:val="000000"/>
                <w:sz w:val="20"/>
                <w:szCs w:val="20"/>
              </w:rPr>
              <w:t>Goodwill and intangible asset impairment</w:t>
            </w:r>
          </w:p>
        </w:tc>
        <w:tc>
          <w:tcPr>
            <w:tcW w:w="50" w:type="pct"/>
            <w:tcMar>
              <w:top w:w="5" w:type="dxa"/>
              <w:left w:w="5" w:type="dxa"/>
              <w:bottom w:w="5" w:type="dxa"/>
              <w:right w:w="5" w:type="dxa"/>
            </w:tcMar>
            <w:vAlign w:val="bottom"/>
            <w:hideMark/>
          </w:tcPr>
          <w:p w14:paraId="4731BFD6"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5A9946DD"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540691F" w14:textId="77777777" w:rsidR="00954279" w:rsidRDefault="00A66714">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530DA61F"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DAAE7A0"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3084C256"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0203594" w14:textId="77777777" w:rsidR="00954279" w:rsidRDefault="00A66714">
            <w:pPr>
              <w:jc w:val="right"/>
              <w:rPr>
                <w:color w:val="000000"/>
                <w:sz w:val="20"/>
                <w:szCs w:val="20"/>
              </w:rPr>
            </w:pPr>
            <w:r>
              <w:rPr>
                <w:color w:val="000000"/>
                <w:sz w:val="20"/>
                <w:szCs w:val="20"/>
              </w:rPr>
              <w:t>242</w:t>
            </w:r>
          </w:p>
        </w:tc>
        <w:tc>
          <w:tcPr>
            <w:tcW w:w="50" w:type="pct"/>
            <w:noWrap/>
            <w:tcMar>
              <w:top w:w="5" w:type="dxa"/>
              <w:left w:w="5" w:type="dxa"/>
              <w:bottom w:w="5" w:type="dxa"/>
              <w:right w:w="5" w:type="dxa"/>
            </w:tcMar>
            <w:vAlign w:val="bottom"/>
            <w:hideMark/>
          </w:tcPr>
          <w:p w14:paraId="1EB474E4" w14:textId="77777777" w:rsidR="00954279" w:rsidRDefault="00A66714">
            <w:pPr>
              <w:rPr>
                <w:color w:val="000000"/>
                <w:sz w:val="20"/>
                <w:szCs w:val="20"/>
              </w:rPr>
            </w:pPr>
            <w:r>
              <w:rPr>
                <w:color w:val="000000"/>
                <w:sz w:val="20"/>
                <w:szCs w:val="20"/>
              </w:rPr>
              <w:t> </w:t>
            </w:r>
          </w:p>
        </w:tc>
      </w:tr>
      <w:tr w:rsidR="00954279" w14:paraId="4478922D" w14:textId="77777777" w:rsidTr="005554C6">
        <w:tc>
          <w:tcPr>
            <w:tcW w:w="0" w:type="auto"/>
            <w:tcMar>
              <w:top w:w="5" w:type="dxa"/>
              <w:left w:w="5" w:type="dxa"/>
              <w:bottom w:w="5" w:type="dxa"/>
              <w:right w:w="5" w:type="dxa"/>
            </w:tcMar>
            <w:vAlign w:val="bottom"/>
            <w:hideMark/>
          </w:tcPr>
          <w:p w14:paraId="523532B2" w14:textId="77777777" w:rsidR="00954279" w:rsidRDefault="00A66714">
            <w:pPr>
              <w:rPr>
                <w:color w:val="000000"/>
                <w:sz w:val="20"/>
                <w:szCs w:val="20"/>
              </w:rPr>
            </w:pPr>
            <w:r>
              <w:rPr>
                <w:color w:val="000000"/>
                <w:sz w:val="20"/>
                <w:szCs w:val="20"/>
              </w:rPr>
              <w:t>Inventory-related charges</w:t>
            </w:r>
          </w:p>
        </w:tc>
        <w:tc>
          <w:tcPr>
            <w:tcW w:w="50" w:type="pct"/>
            <w:tcMar>
              <w:top w:w="5" w:type="dxa"/>
              <w:left w:w="5" w:type="dxa"/>
              <w:bottom w:w="5" w:type="dxa"/>
              <w:right w:w="5" w:type="dxa"/>
            </w:tcMar>
            <w:vAlign w:val="bottom"/>
            <w:hideMark/>
          </w:tcPr>
          <w:p w14:paraId="5DE6BA3E"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7783C5B8"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54524F3" w14:textId="77777777" w:rsidR="00954279" w:rsidRDefault="00A66714">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18A7308F"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0FE8CDA"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206E7C29"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99DF920" w14:textId="77777777" w:rsidR="00954279" w:rsidRDefault="00A66714">
            <w:pPr>
              <w:jc w:val="right"/>
              <w:rPr>
                <w:color w:val="000000"/>
                <w:sz w:val="20"/>
                <w:szCs w:val="20"/>
              </w:rPr>
            </w:pPr>
            <w:r>
              <w:rPr>
                <w:color w:val="000000"/>
                <w:sz w:val="20"/>
                <w:szCs w:val="20"/>
              </w:rPr>
              <w:t>34</w:t>
            </w:r>
          </w:p>
        </w:tc>
        <w:tc>
          <w:tcPr>
            <w:tcW w:w="50" w:type="pct"/>
            <w:noWrap/>
            <w:tcMar>
              <w:top w:w="5" w:type="dxa"/>
              <w:left w:w="5" w:type="dxa"/>
              <w:bottom w:w="5" w:type="dxa"/>
              <w:right w:w="5" w:type="dxa"/>
            </w:tcMar>
            <w:vAlign w:val="bottom"/>
            <w:hideMark/>
          </w:tcPr>
          <w:p w14:paraId="4C6B1E5C" w14:textId="77777777" w:rsidR="00954279" w:rsidRDefault="00A66714">
            <w:pPr>
              <w:rPr>
                <w:color w:val="000000"/>
                <w:sz w:val="20"/>
                <w:szCs w:val="20"/>
              </w:rPr>
            </w:pPr>
            <w:r>
              <w:rPr>
                <w:color w:val="000000"/>
                <w:sz w:val="20"/>
                <w:szCs w:val="20"/>
              </w:rPr>
              <w:t> </w:t>
            </w:r>
          </w:p>
        </w:tc>
      </w:tr>
      <w:tr w:rsidR="00954279" w14:paraId="7A0A4FC9" w14:textId="77777777" w:rsidTr="005554C6">
        <w:tc>
          <w:tcPr>
            <w:tcW w:w="0" w:type="auto"/>
            <w:tcMar>
              <w:top w:w="5" w:type="dxa"/>
              <w:left w:w="5" w:type="dxa"/>
              <w:bottom w:w="5" w:type="dxa"/>
              <w:right w:w="5" w:type="dxa"/>
            </w:tcMar>
            <w:vAlign w:val="bottom"/>
            <w:hideMark/>
          </w:tcPr>
          <w:p w14:paraId="608CB19F" w14:textId="77777777" w:rsidR="00954279" w:rsidRDefault="00A66714">
            <w:pPr>
              <w:rPr>
                <w:color w:val="000000"/>
                <w:sz w:val="20"/>
                <w:szCs w:val="20"/>
              </w:rPr>
            </w:pPr>
            <w:r>
              <w:rPr>
                <w:color w:val="000000"/>
                <w:sz w:val="20"/>
                <w:szCs w:val="20"/>
              </w:rPr>
              <w:t>Facility closures</w:t>
            </w:r>
          </w:p>
        </w:tc>
        <w:tc>
          <w:tcPr>
            <w:tcW w:w="50" w:type="pct"/>
            <w:tcMar>
              <w:top w:w="5" w:type="dxa"/>
              <w:left w:w="5" w:type="dxa"/>
              <w:bottom w:w="5" w:type="dxa"/>
              <w:right w:w="5" w:type="dxa"/>
            </w:tcMar>
            <w:vAlign w:val="bottom"/>
            <w:hideMark/>
          </w:tcPr>
          <w:p w14:paraId="10870279"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26768A0A"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C9A704F" w14:textId="77777777" w:rsidR="00954279" w:rsidRDefault="00A66714">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3BD355E6"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593322B"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6AF87EC0"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A237180" w14:textId="77777777" w:rsidR="00954279" w:rsidRDefault="00A66714">
            <w:pPr>
              <w:jc w:val="right"/>
              <w:rPr>
                <w:color w:val="000000"/>
                <w:sz w:val="20"/>
                <w:szCs w:val="20"/>
              </w:rPr>
            </w:pPr>
            <w:r>
              <w:rPr>
                <w:color w:val="000000"/>
                <w:sz w:val="20"/>
                <w:szCs w:val="20"/>
              </w:rPr>
              <w:t>18</w:t>
            </w:r>
          </w:p>
        </w:tc>
        <w:tc>
          <w:tcPr>
            <w:tcW w:w="50" w:type="pct"/>
            <w:noWrap/>
            <w:tcMar>
              <w:top w:w="5" w:type="dxa"/>
              <w:left w:w="5" w:type="dxa"/>
              <w:bottom w:w="5" w:type="dxa"/>
              <w:right w:w="5" w:type="dxa"/>
            </w:tcMar>
            <w:vAlign w:val="bottom"/>
            <w:hideMark/>
          </w:tcPr>
          <w:p w14:paraId="1CC62F1E" w14:textId="77777777" w:rsidR="00954279" w:rsidRDefault="00A66714">
            <w:pPr>
              <w:rPr>
                <w:color w:val="000000"/>
                <w:sz w:val="20"/>
                <w:szCs w:val="20"/>
              </w:rPr>
            </w:pPr>
            <w:r>
              <w:rPr>
                <w:color w:val="000000"/>
                <w:sz w:val="20"/>
                <w:szCs w:val="20"/>
              </w:rPr>
              <w:t> </w:t>
            </w:r>
          </w:p>
        </w:tc>
      </w:tr>
      <w:tr w:rsidR="00954279" w14:paraId="2801C5CA" w14:textId="77777777" w:rsidTr="005554C6">
        <w:tc>
          <w:tcPr>
            <w:tcW w:w="0" w:type="auto"/>
            <w:tcMar>
              <w:top w:w="5" w:type="dxa"/>
              <w:left w:w="5" w:type="dxa"/>
              <w:bottom w:w="5" w:type="dxa"/>
              <w:right w:w="5" w:type="dxa"/>
            </w:tcMar>
            <w:vAlign w:val="bottom"/>
            <w:hideMark/>
          </w:tcPr>
          <w:p w14:paraId="78A3D391" w14:textId="77777777" w:rsidR="00954279" w:rsidRDefault="00A66714">
            <w:pPr>
              <w:rPr>
                <w:color w:val="000000"/>
                <w:sz w:val="20"/>
                <w:szCs w:val="20"/>
              </w:rPr>
            </w:pPr>
            <w:r>
              <w:rPr>
                <w:color w:val="000000"/>
                <w:sz w:val="20"/>
                <w:szCs w:val="20"/>
              </w:rPr>
              <w:t>Severance and restructuring</w:t>
            </w:r>
          </w:p>
        </w:tc>
        <w:tc>
          <w:tcPr>
            <w:tcW w:w="50" w:type="pct"/>
            <w:tcMar>
              <w:top w:w="5" w:type="dxa"/>
              <w:left w:w="5" w:type="dxa"/>
              <w:bottom w:w="5" w:type="dxa"/>
              <w:right w:w="5" w:type="dxa"/>
            </w:tcMar>
            <w:vAlign w:val="bottom"/>
            <w:hideMark/>
          </w:tcPr>
          <w:p w14:paraId="3FF86420"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3726029B"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83ECC20" w14:textId="77777777" w:rsidR="00954279" w:rsidRDefault="00A66714">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2C29BCF8"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8434BA9"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28BA7CDF"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5552EC3" w14:textId="77777777" w:rsidR="00954279" w:rsidRDefault="00A66714">
            <w:pPr>
              <w:jc w:val="right"/>
              <w:rPr>
                <w:color w:val="000000"/>
                <w:sz w:val="20"/>
                <w:szCs w:val="20"/>
              </w:rPr>
            </w:pPr>
            <w:r>
              <w:rPr>
                <w:color w:val="000000"/>
                <w:sz w:val="20"/>
                <w:szCs w:val="20"/>
              </w:rPr>
              <w:t>7</w:t>
            </w:r>
          </w:p>
        </w:tc>
        <w:tc>
          <w:tcPr>
            <w:tcW w:w="50" w:type="pct"/>
            <w:noWrap/>
            <w:tcMar>
              <w:top w:w="5" w:type="dxa"/>
              <w:left w:w="5" w:type="dxa"/>
              <w:bottom w:w="5" w:type="dxa"/>
              <w:right w:w="5" w:type="dxa"/>
            </w:tcMar>
            <w:vAlign w:val="bottom"/>
            <w:hideMark/>
          </w:tcPr>
          <w:p w14:paraId="7FEFA7B5" w14:textId="77777777" w:rsidR="00954279" w:rsidRDefault="00A66714">
            <w:pPr>
              <w:rPr>
                <w:color w:val="000000"/>
                <w:sz w:val="20"/>
                <w:szCs w:val="20"/>
              </w:rPr>
            </w:pPr>
            <w:r>
              <w:rPr>
                <w:color w:val="000000"/>
                <w:sz w:val="20"/>
                <w:szCs w:val="20"/>
              </w:rPr>
              <w:t> </w:t>
            </w:r>
          </w:p>
        </w:tc>
      </w:tr>
      <w:tr w:rsidR="00954279" w14:paraId="545EB3DA" w14:textId="77777777" w:rsidTr="005554C6">
        <w:tc>
          <w:tcPr>
            <w:tcW w:w="3500" w:type="pct"/>
            <w:tcMar>
              <w:top w:w="5" w:type="dxa"/>
              <w:left w:w="5" w:type="dxa"/>
              <w:bottom w:w="5" w:type="dxa"/>
              <w:right w:w="5" w:type="dxa"/>
            </w:tcMar>
            <w:vAlign w:val="bottom"/>
            <w:hideMark/>
          </w:tcPr>
          <w:p w14:paraId="670D93BF" w14:textId="77777777" w:rsidR="00954279" w:rsidRDefault="00A66714">
            <w:pPr>
              <w:rPr>
                <w:color w:val="000000"/>
                <w:sz w:val="20"/>
                <w:szCs w:val="20"/>
              </w:rPr>
            </w:pPr>
            <w:r>
              <w:rPr>
                <w:color w:val="000000"/>
                <w:sz w:val="20"/>
                <w:szCs w:val="20"/>
              </w:rPr>
              <w:t>Employee separation</w:t>
            </w:r>
          </w:p>
        </w:tc>
        <w:tc>
          <w:tcPr>
            <w:tcW w:w="50" w:type="pct"/>
            <w:tcMar>
              <w:top w:w="5" w:type="dxa"/>
              <w:left w:w="5" w:type="dxa"/>
              <w:bottom w:w="5" w:type="dxa"/>
              <w:right w:w="5" w:type="dxa"/>
            </w:tcMar>
            <w:vAlign w:val="bottom"/>
            <w:hideMark/>
          </w:tcPr>
          <w:p w14:paraId="0EE9FD87"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41AFD02D"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0D227AA" w14:textId="77777777" w:rsidR="00954279" w:rsidRDefault="00A66714">
            <w:pPr>
              <w:jc w:val="right"/>
              <w:rPr>
                <w:color w:val="000000"/>
                <w:sz w:val="20"/>
                <w:szCs w:val="20"/>
              </w:rPr>
            </w:pPr>
            <w:r>
              <w:rPr>
                <w:b/>
                <w:bCs/>
                <w:color w:val="000000"/>
                <w:sz w:val="20"/>
                <w:szCs w:val="20"/>
              </w:rPr>
              <w:t>1</w:t>
            </w:r>
          </w:p>
        </w:tc>
        <w:tc>
          <w:tcPr>
            <w:tcW w:w="50" w:type="pct"/>
            <w:noWrap/>
            <w:tcMar>
              <w:top w:w="5" w:type="dxa"/>
              <w:left w:w="5" w:type="dxa"/>
              <w:bottom w:w="5" w:type="dxa"/>
              <w:right w:w="5" w:type="dxa"/>
            </w:tcMar>
            <w:vAlign w:val="bottom"/>
            <w:hideMark/>
          </w:tcPr>
          <w:p w14:paraId="69486C03"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A64A554"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2227531F"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9AC8A4D" w14:textId="77777777" w:rsidR="00954279" w:rsidRDefault="00A66714">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4B429519" w14:textId="77777777" w:rsidR="00954279" w:rsidRDefault="00A66714">
            <w:pPr>
              <w:rPr>
                <w:color w:val="000000"/>
                <w:sz w:val="20"/>
                <w:szCs w:val="20"/>
              </w:rPr>
            </w:pPr>
            <w:r>
              <w:rPr>
                <w:color w:val="000000"/>
                <w:sz w:val="20"/>
                <w:szCs w:val="20"/>
              </w:rPr>
              <w:t> </w:t>
            </w:r>
          </w:p>
        </w:tc>
      </w:tr>
      <w:tr w:rsidR="00954279" w14:paraId="113A7792" w14:textId="77777777" w:rsidTr="005554C6">
        <w:tc>
          <w:tcPr>
            <w:tcW w:w="0" w:type="auto"/>
            <w:tcMar>
              <w:top w:w="5" w:type="dxa"/>
              <w:left w:w="5" w:type="dxa"/>
              <w:bottom w:w="5" w:type="dxa"/>
              <w:right w:w="5" w:type="dxa"/>
            </w:tcMar>
            <w:vAlign w:val="bottom"/>
            <w:hideMark/>
          </w:tcPr>
          <w:p w14:paraId="50268EE2" w14:textId="77777777" w:rsidR="00954279" w:rsidRDefault="00A66714">
            <w:pPr>
              <w:rPr>
                <w:color w:val="000000"/>
                <w:sz w:val="20"/>
                <w:szCs w:val="20"/>
              </w:rPr>
            </w:pPr>
            <w:r>
              <w:rPr>
                <w:color w:val="000000"/>
                <w:sz w:val="20"/>
                <w:szCs w:val="20"/>
              </w:rPr>
              <w:t>Increase (decrease) in LIFO reserve</w:t>
            </w:r>
          </w:p>
        </w:tc>
        <w:tc>
          <w:tcPr>
            <w:tcW w:w="50" w:type="pct"/>
            <w:tcMar>
              <w:top w:w="5" w:type="dxa"/>
              <w:left w:w="5" w:type="dxa"/>
              <w:bottom w:w="5" w:type="dxa"/>
              <w:right w:w="5" w:type="dxa"/>
            </w:tcMar>
            <w:vAlign w:val="bottom"/>
            <w:hideMark/>
          </w:tcPr>
          <w:p w14:paraId="72444206"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3FA5DCC9"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913E78E" w14:textId="77777777" w:rsidR="00954279" w:rsidRDefault="00A66714">
            <w:pPr>
              <w:jc w:val="right"/>
              <w:rPr>
                <w:color w:val="000000"/>
                <w:sz w:val="20"/>
                <w:szCs w:val="20"/>
              </w:rPr>
            </w:pPr>
            <w:r>
              <w:rPr>
                <w:b/>
                <w:bCs/>
                <w:color w:val="000000"/>
                <w:sz w:val="20"/>
                <w:szCs w:val="20"/>
              </w:rPr>
              <w:t>15</w:t>
            </w:r>
          </w:p>
        </w:tc>
        <w:tc>
          <w:tcPr>
            <w:tcW w:w="50" w:type="pct"/>
            <w:noWrap/>
            <w:tcMar>
              <w:top w:w="5" w:type="dxa"/>
              <w:left w:w="5" w:type="dxa"/>
              <w:bottom w:w="5" w:type="dxa"/>
              <w:right w:w="5" w:type="dxa"/>
            </w:tcMar>
            <w:vAlign w:val="bottom"/>
            <w:hideMark/>
          </w:tcPr>
          <w:p w14:paraId="6BA718F0"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4748DAD"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066BDB46"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2C7D375" w14:textId="77777777" w:rsidR="00954279" w:rsidRDefault="00A66714">
            <w:pPr>
              <w:jc w:val="right"/>
              <w:rPr>
                <w:color w:val="000000"/>
                <w:sz w:val="20"/>
                <w:szCs w:val="20"/>
              </w:rPr>
            </w:pPr>
            <w:r>
              <w:rPr>
                <w:color w:val="000000"/>
                <w:sz w:val="20"/>
                <w:szCs w:val="20"/>
              </w:rPr>
              <w:t>(9</w:t>
            </w:r>
          </w:p>
        </w:tc>
        <w:tc>
          <w:tcPr>
            <w:tcW w:w="50" w:type="pct"/>
            <w:noWrap/>
            <w:tcMar>
              <w:top w:w="5" w:type="dxa"/>
              <w:left w:w="5" w:type="dxa"/>
              <w:bottom w:w="5" w:type="dxa"/>
              <w:right w:w="5" w:type="dxa"/>
            </w:tcMar>
            <w:vAlign w:val="bottom"/>
            <w:hideMark/>
          </w:tcPr>
          <w:p w14:paraId="77083732" w14:textId="77777777" w:rsidR="00954279" w:rsidRDefault="00A66714">
            <w:pPr>
              <w:rPr>
                <w:color w:val="000000"/>
                <w:sz w:val="20"/>
                <w:szCs w:val="20"/>
              </w:rPr>
            </w:pPr>
            <w:r>
              <w:rPr>
                <w:color w:val="000000"/>
                <w:sz w:val="20"/>
                <w:szCs w:val="20"/>
              </w:rPr>
              <w:t>)</w:t>
            </w:r>
          </w:p>
        </w:tc>
      </w:tr>
      <w:tr w:rsidR="00954279" w14:paraId="27AEC0B9" w14:textId="77777777" w:rsidTr="005554C6">
        <w:tc>
          <w:tcPr>
            <w:tcW w:w="0" w:type="auto"/>
            <w:tcMar>
              <w:top w:w="5" w:type="dxa"/>
              <w:left w:w="5" w:type="dxa"/>
              <w:bottom w:w="5" w:type="dxa"/>
              <w:right w:w="5" w:type="dxa"/>
            </w:tcMar>
            <w:vAlign w:val="bottom"/>
            <w:hideMark/>
          </w:tcPr>
          <w:p w14:paraId="0B09E001" w14:textId="77777777" w:rsidR="00954279" w:rsidRDefault="00A66714">
            <w:pPr>
              <w:rPr>
                <w:color w:val="000000"/>
                <w:sz w:val="20"/>
                <w:szCs w:val="20"/>
              </w:rPr>
            </w:pPr>
            <w:r>
              <w:rPr>
                <w:color w:val="000000"/>
                <w:sz w:val="20"/>
                <w:szCs w:val="20"/>
              </w:rPr>
              <w:t>Equity-based compensation expense</w:t>
            </w:r>
          </w:p>
        </w:tc>
        <w:tc>
          <w:tcPr>
            <w:tcW w:w="50" w:type="pct"/>
            <w:tcMar>
              <w:top w:w="5" w:type="dxa"/>
              <w:left w:w="5" w:type="dxa"/>
              <w:bottom w:w="5" w:type="dxa"/>
              <w:right w:w="5" w:type="dxa"/>
            </w:tcMar>
            <w:vAlign w:val="bottom"/>
            <w:hideMark/>
          </w:tcPr>
          <w:p w14:paraId="14E3302D"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6ABBEF75"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6DE55C9" w14:textId="77777777" w:rsidR="00954279" w:rsidRDefault="00A66714">
            <w:pPr>
              <w:jc w:val="right"/>
              <w:rPr>
                <w:color w:val="000000"/>
                <w:sz w:val="20"/>
                <w:szCs w:val="20"/>
              </w:rPr>
            </w:pPr>
            <w:r>
              <w:rPr>
                <w:b/>
                <w:bCs/>
                <w:color w:val="000000"/>
                <w:sz w:val="20"/>
                <w:szCs w:val="20"/>
              </w:rPr>
              <w:t>7</w:t>
            </w:r>
          </w:p>
        </w:tc>
        <w:tc>
          <w:tcPr>
            <w:tcW w:w="50" w:type="pct"/>
            <w:noWrap/>
            <w:tcMar>
              <w:top w:w="5" w:type="dxa"/>
              <w:left w:w="5" w:type="dxa"/>
              <w:bottom w:w="5" w:type="dxa"/>
              <w:right w:w="5" w:type="dxa"/>
            </w:tcMar>
            <w:vAlign w:val="bottom"/>
            <w:hideMark/>
          </w:tcPr>
          <w:p w14:paraId="5A8DEAA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16F81A1"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7DCCAE1D"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0408A51" w14:textId="77777777" w:rsidR="00954279" w:rsidRDefault="00A66714">
            <w:pPr>
              <w:jc w:val="right"/>
              <w:rPr>
                <w:color w:val="000000"/>
                <w:sz w:val="20"/>
                <w:szCs w:val="20"/>
              </w:rPr>
            </w:pPr>
            <w:r>
              <w:rPr>
                <w:color w:val="000000"/>
                <w:sz w:val="20"/>
                <w:szCs w:val="20"/>
              </w:rPr>
              <w:t>5</w:t>
            </w:r>
          </w:p>
        </w:tc>
        <w:tc>
          <w:tcPr>
            <w:tcW w:w="50" w:type="pct"/>
            <w:noWrap/>
            <w:tcMar>
              <w:top w:w="5" w:type="dxa"/>
              <w:left w:w="5" w:type="dxa"/>
              <w:bottom w:w="5" w:type="dxa"/>
              <w:right w:w="5" w:type="dxa"/>
            </w:tcMar>
            <w:vAlign w:val="bottom"/>
            <w:hideMark/>
          </w:tcPr>
          <w:p w14:paraId="370721F7" w14:textId="77777777" w:rsidR="00954279" w:rsidRDefault="00A66714">
            <w:pPr>
              <w:rPr>
                <w:color w:val="000000"/>
                <w:sz w:val="20"/>
                <w:szCs w:val="20"/>
              </w:rPr>
            </w:pPr>
            <w:r>
              <w:rPr>
                <w:color w:val="000000"/>
                <w:sz w:val="20"/>
                <w:szCs w:val="20"/>
              </w:rPr>
              <w:t> </w:t>
            </w:r>
          </w:p>
        </w:tc>
      </w:tr>
      <w:tr w:rsidR="00954279" w14:paraId="6D509399" w14:textId="77777777" w:rsidTr="005554C6">
        <w:tc>
          <w:tcPr>
            <w:tcW w:w="0" w:type="auto"/>
            <w:tcMar>
              <w:top w:w="5" w:type="dxa"/>
              <w:left w:w="5" w:type="dxa"/>
              <w:bottom w:w="5" w:type="dxa"/>
              <w:right w:w="5" w:type="dxa"/>
            </w:tcMar>
            <w:vAlign w:val="bottom"/>
            <w:hideMark/>
          </w:tcPr>
          <w:p w14:paraId="76243153" w14:textId="77777777" w:rsidR="00954279" w:rsidRDefault="00A66714">
            <w:pPr>
              <w:rPr>
                <w:color w:val="000000"/>
                <w:sz w:val="20"/>
                <w:szCs w:val="20"/>
              </w:rPr>
            </w:pPr>
            <w:r>
              <w:rPr>
                <w:color w:val="000000"/>
                <w:sz w:val="20"/>
                <w:szCs w:val="20"/>
              </w:rPr>
              <w:t>Gain on early extinguishment of debt</w:t>
            </w:r>
          </w:p>
        </w:tc>
        <w:tc>
          <w:tcPr>
            <w:tcW w:w="50" w:type="pct"/>
            <w:tcMar>
              <w:top w:w="5" w:type="dxa"/>
              <w:left w:w="5" w:type="dxa"/>
              <w:bottom w:w="5" w:type="dxa"/>
              <w:right w:w="5" w:type="dxa"/>
            </w:tcMar>
            <w:vAlign w:val="bottom"/>
            <w:hideMark/>
          </w:tcPr>
          <w:p w14:paraId="65853F3A"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43D77A7F"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C833F97" w14:textId="77777777" w:rsidR="00954279" w:rsidRDefault="00A66714">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122B5B73"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4600B38" w14:textId="77777777" w:rsidR="00954279" w:rsidRDefault="00A66714">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139B1EEA"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0FDB9FE" w14:textId="77777777" w:rsidR="00954279" w:rsidRDefault="00A66714">
            <w:pPr>
              <w:jc w:val="right"/>
              <w:rPr>
                <w:color w:val="000000"/>
                <w:sz w:val="20"/>
                <w:szCs w:val="20"/>
              </w:rPr>
            </w:pPr>
            <w:r>
              <w:rPr>
                <w:color w:val="000000"/>
                <w:sz w:val="20"/>
                <w:szCs w:val="20"/>
              </w:rPr>
              <w:t>(1</w:t>
            </w:r>
          </w:p>
        </w:tc>
        <w:tc>
          <w:tcPr>
            <w:tcW w:w="50" w:type="pct"/>
            <w:noWrap/>
            <w:tcMar>
              <w:top w:w="5" w:type="dxa"/>
              <w:left w:w="5" w:type="dxa"/>
              <w:bottom w:w="5" w:type="dxa"/>
              <w:right w:w="5" w:type="dxa"/>
            </w:tcMar>
            <w:vAlign w:val="bottom"/>
            <w:hideMark/>
          </w:tcPr>
          <w:p w14:paraId="60D52DF2" w14:textId="77777777" w:rsidR="00954279" w:rsidRDefault="00A66714">
            <w:pPr>
              <w:rPr>
                <w:color w:val="000000"/>
                <w:sz w:val="20"/>
                <w:szCs w:val="20"/>
              </w:rPr>
            </w:pPr>
            <w:r>
              <w:rPr>
                <w:color w:val="000000"/>
                <w:sz w:val="20"/>
                <w:szCs w:val="20"/>
              </w:rPr>
              <w:t>)</w:t>
            </w:r>
          </w:p>
        </w:tc>
      </w:tr>
      <w:tr w:rsidR="00954279" w14:paraId="198AF429" w14:textId="77777777" w:rsidTr="005554C6">
        <w:tc>
          <w:tcPr>
            <w:tcW w:w="0" w:type="auto"/>
            <w:tcMar>
              <w:top w:w="5" w:type="dxa"/>
              <w:left w:w="5" w:type="dxa"/>
              <w:bottom w:w="5" w:type="dxa"/>
              <w:right w:w="5" w:type="dxa"/>
            </w:tcMar>
            <w:vAlign w:val="bottom"/>
            <w:hideMark/>
          </w:tcPr>
          <w:p w14:paraId="473B49FF" w14:textId="77777777" w:rsidR="00954279" w:rsidRDefault="00A66714">
            <w:pPr>
              <w:rPr>
                <w:color w:val="000000"/>
                <w:sz w:val="20"/>
                <w:szCs w:val="20"/>
              </w:rPr>
            </w:pPr>
            <w:r>
              <w:rPr>
                <w:color w:val="000000"/>
                <w:sz w:val="20"/>
                <w:szCs w:val="20"/>
              </w:rPr>
              <w:t>Foreign currency losses</w:t>
            </w:r>
          </w:p>
        </w:tc>
        <w:tc>
          <w:tcPr>
            <w:tcW w:w="50" w:type="pct"/>
            <w:tcMar>
              <w:top w:w="5" w:type="dxa"/>
              <w:left w:w="5" w:type="dxa"/>
              <w:bottom w:w="5" w:type="dxa"/>
              <w:right w:w="5" w:type="dxa"/>
            </w:tcMar>
            <w:vAlign w:val="bottom"/>
            <w:hideMark/>
          </w:tcPr>
          <w:p w14:paraId="48928764" w14:textId="77777777" w:rsidR="00954279" w:rsidRDefault="00A66714">
            <w:pPr>
              <w:rPr>
                <w:color w:val="000000"/>
                <w:sz w:val="20"/>
                <w:szCs w:val="20"/>
              </w:rPr>
            </w:pPr>
            <w:r>
              <w:rPr>
                <w:color w:val="000000"/>
                <w:sz w:val="20"/>
                <w:szCs w:val="20"/>
              </w:rPr>
              <w:t> </w:t>
            </w:r>
          </w:p>
        </w:tc>
        <w:tc>
          <w:tcPr>
            <w:tcW w:w="51" w:type="pct"/>
            <w:tcBorders>
              <w:bottom w:val="single" w:sz="6" w:space="0" w:color="000000"/>
            </w:tcBorders>
            <w:tcMar>
              <w:top w:w="5" w:type="dxa"/>
              <w:left w:w="5" w:type="dxa"/>
              <w:bottom w:w="8" w:type="dxa"/>
              <w:right w:w="5" w:type="dxa"/>
            </w:tcMar>
            <w:vAlign w:val="bottom"/>
            <w:hideMark/>
          </w:tcPr>
          <w:p w14:paraId="3860D34E" w14:textId="77777777" w:rsidR="00954279" w:rsidRDefault="00A66714">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75973837" w14:textId="77777777" w:rsidR="00954279" w:rsidRDefault="00A66714">
            <w:pPr>
              <w:jc w:val="right"/>
              <w:rPr>
                <w:color w:val="000000"/>
                <w:sz w:val="20"/>
                <w:szCs w:val="20"/>
              </w:rPr>
            </w:pPr>
            <w:r>
              <w:rPr>
                <w:b/>
                <w:bCs/>
                <w:color w:val="000000"/>
                <w:sz w:val="20"/>
                <w:szCs w:val="20"/>
              </w:rPr>
              <w:t>1</w:t>
            </w:r>
          </w:p>
        </w:tc>
        <w:tc>
          <w:tcPr>
            <w:tcW w:w="50" w:type="pct"/>
            <w:noWrap/>
            <w:tcMar>
              <w:top w:w="5" w:type="dxa"/>
              <w:left w:w="5" w:type="dxa"/>
              <w:bottom w:w="20" w:type="dxa"/>
              <w:right w:w="5" w:type="dxa"/>
            </w:tcMar>
            <w:vAlign w:val="bottom"/>
            <w:hideMark/>
          </w:tcPr>
          <w:p w14:paraId="455490D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84643ED" w14:textId="77777777" w:rsidR="00954279" w:rsidRDefault="00A66714">
            <w:pPr>
              <w:rPr>
                <w:color w:val="000000"/>
                <w:sz w:val="20"/>
                <w:szCs w:val="20"/>
              </w:rPr>
            </w:pPr>
            <w:r>
              <w:rPr>
                <w:color w:val="000000"/>
                <w:sz w:val="20"/>
                <w:szCs w:val="20"/>
              </w:rPr>
              <w:t> </w:t>
            </w:r>
          </w:p>
        </w:tc>
        <w:tc>
          <w:tcPr>
            <w:tcW w:w="51" w:type="pct"/>
            <w:tcBorders>
              <w:bottom w:val="single" w:sz="6" w:space="0" w:color="000000"/>
            </w:tcBorders>
            <w:tcMar>
              <w:top w:w="5" w:type="dxa"/>
              <w:left w:w="5" w:type="dxa"/>
              <w:bottom w:w="8" w:type="dxa"/>
              <w:right w:w="5" w:type="dxa"/>
            </w:tcMar>
            <w:vAlign w:val="bottom"/>
            <w:hideMark/>
          </w:tcPr>
          <w:p w14:paraId="1AA8CC8B" w14:textId="77777777" w:rsidR="00954279" w:rsidRDefault="00A66714">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8BBA41F" w14:textId="77777777" w:rsidR="00954279" w:rsidRDefault="00A66714">
            <w:pPr>
              <w:jc w:val="right"/>
              <w:rPr>
                <w:color w:val="000000"/>
                <w:sz w:val="20"/>
                <w:szCs w:val="20"/>
              </w:rPr>
            </w:pPr>
            <w:r>
              <w:rPr>
                <w:color w:val="000000"/>
                <w:sz w:val="20"/>
                <w:szCs w:val="20"/>
              </w:rPr>
              <w:t>1</w:t>
            </w:r>
          </w:p>
        </w:tc>
        <w:tc>
          <w:tcPr>
            <w:tcW w:w="50" w:type="pct"/>
            <w:noWrap/>
            <w:tcMar>
              <w:top w:w="5" w:type="dxa"/>
              <w:left w:w="5" w:type="dxa"/>
              <w:bottom w:w="20" w:type="dxa"/>
              <w:right w:w="5" w:type="dxa"/>
            </w:tcMar>
            <w:vAlign w:val="bottom"/>
            <w:hideMark/>
          </w:tcPr>
          <w:p w14:paraId="319418DF" w14:textId="77777777" w:rsidR="00954279" w:rsidRDefault="00A66714">
            <w:pPr>
              <w:rPr>
                <w:color w:val="000000"/>
                <w:sz w:val="20"/>
                <w:szCs w:val="20"/>
              </w:rPr>
            </w:pPr>
            <w:r>
              <w:rPr>
                <w:color w:val="000000"/>
                <w:sz w:val="20"/>
                <w:szCs w:val="20"/>
              </w:rPr>
              <w:t> </w:t>
            </w:r>
          </w:p>
        </w:tc>
      </w:tr>
      <w:tr w:rsidR="00954279" w14:paraId="078A19F1" w14:textId="77777777" w:rsidTr="005554C6">
        <w:tc>
          <w:tcPr>
            <w:tcW w:w="0" w:type="auto"/>
            <w:tcMar>
              <w:top w:w="5" w:type="dxa"/>
              <w:left w:w="5" w:type="dxa"/>
              <w:bottom w:w="5" w:type="dxa"/>
              <w:right w:w="5" w:type="dxa"/>
            </w:tcMar>
            <w:vAlign w:val="bottom"/>
            <w:hideMark/>
          </w:tcPr>
          <w:p w14:paraId="02C597DF" w14:textId="77777777" w:rsidR="00954279" w:rsidRDefault="00A66714">
            <w:pPr>
              <w:rPr>
                <w:color w:val="000000"/>
                <w:sz w:val="20"/>
                <w:szCs w:val="20"/>
              </w:rPr>
            </w:pPr>
            <w:r>
              <w:rPr>
                <w:color w:val="000000"/>
                <w:sz w:val="20"/>
                <w:szCs w:val="20"/>
              </w:rPr>
              <w:t>Adjusted EBITDA</w:t>
            </w:r>
          </w:p>
        </w:tc>
        <w:tc>
          <w:tcPr>
            <w:tcW w:w="50" w:type="pct"/>
            <w:tcMar>
              <w:top w:w="5" w:type="dxa"/>
              <w:left w:w="5" w:type="dxa"/>
              <w:bottom w:w="5" w:type="dxa"/>
              <w:right w:w="5" w:type="dxa"/>
            </w:tcMar>
            <w:vAlign w:val="bottom"/>
            <w:hideMark/>
          </w:tcPr>
          <w:p w14:paraId="71600AB8" w14:textId="77777777" w:rsidR="00954279" w:rsidRDefault="00A66714">
            <w:pPr>
              <w:rPr>
                <w:color w:val="000000"/>
                <w:sz w:val="20"/>
                <w:szCs w:val="20"/>
              </w:rPr>
            </w:pPr>
            <w:r>
              <w:rPr>
                <w:color w:val="000000"/>
                <w:sz w:val="20"/>
                <w:szCs w:val="20"/>
              </w:rPr>
              <w:t> </w:t>
            </w:r>
          </w:p>
        </w:tc>
        <w:tc>
          <w:tcPr>
            <w:tcW w:w="51" w:type="pct"/>
            <w:tcBorders>
              <w:bottom w:val="double" w:sz="6" w:space="0" w:color="000000"/>
            </w:tcBorders>
            <w:tcMar>
              <w:top w:w="5" w:type="dxa"/>
              <w:left w:w="5" w:type="dxa"/>
              <w:bottom w:w="22" w:type="dxa"/>
              <w:right w:w="5" w:type="dxa"/>
            </w:tcMar>
            <w:vAlign w:val="bottom"/>
            <w:hideMark/>
          </w:tcPr>
          <w:p w14:paraId="0C882458" w14:textId="77777777" w:rsidR="00954279" w:rsidRDefault="00A66714">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5DE6F2F3" w14:textId="77777777" w:rsidR="00954279" w:rsidRDefault="00A66714">
            <w:pPr>
              <w:jc w:val="right"/>
              <w:rPr>
                <w:color w:val="000000"/>
                <w:sz w:val="20"/>
                <w:szCs w:val="20"/>
              </w:rPr>
            </w:pPr>
            <w:r>
              <w:rPr>
                <w:b/>
                <w:bCs/>
                <w:color w:val="000000"/>
                <w:sz w:val="20"/>
                <w:szCs w:val="20"/>
              </w:rPr>
              <w:t>60</w:t>
            </w:r>
          </w:p>
        </w:tc>
        <w:tc>
          <w:tcPr>
            <w:tcW w:w="50" w:type="pct"/>
            <w:noWrap/>
            <w:tcMar>
              <w:top w:w="5" w:type="dxa"/>
              <w:left w:w="5" w:type="dxa"/>
              <w:bottom w:w="50" w:type="dxa"/>
              <w:right w:w="5" w:type="dxa"/>
            </w:tcMar>
            <w:vAlign w:val="bottom"/>
            <w:hideMark/>
          </w:tcPr>
          <w:p w14:paraId="000329DA"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4692DF2" w14:textId="77777777" w:rsidR="00954279" w:rsidRDefault="00A66714">
            <w:pPr>
              <w:rPr>
                <w:color w:val="000000"/>
                <w:sz w:val="20"/>
                <w:szCs w:val="20"/>
              </w:rPr>
            </w:pPr>
            <w:r>
              <w:rPr>
                <w:color w:val="000000"/>
                <w:sz w:val="20"/>
                <w:szCs w:val="20"/>
              </w:rPr>
              <w:t> </w:t>
            </w:r>
          </w:p>
        </w:tc>
        <w:tc>
          <w:tcPr>
            <w:tcW w:w="51" w:type="pct"/>
            <w:tcBorders>
              <w:bottom w:val="double" w:sz="6" w:space="0" w:color="000000"/>
            </w:tcBorders>
            <w:tcMar>
              <w:top w:w="5" w:type="dxa"/>
              <w:left w:w="5" w:type="dxa"/>
              <w:bottom w:w="22" w:type="dxa"/>
              <w:right w:w="5" w:type="dxa"/>
            </w:tcMar>
            <w:vAlign w:val="bottom"/>
            <w:hideMark/>
          </w:tcPr>
          <w:p w14:paraId="221454AA" w14:textId="77777777" w:rsidR="00954279" w:rsidRDefault="00A66714">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0100C475" w14:textId="77777777" w:rsidR="00954279" w:rsidRDefault="00A66714">
            <w:pPr>
              <w:jc w:val="right"/>
              <w:rPr>
                <w:color w:val="000000"/>
                <w:sz w:val="20"/>
                <w:szCs w:val="20"/>
              </w:rPr>
            </w:pPr>
            <w:r>
              <w:rPr>
                <w:color w:val="000000"/>
                <w:sz w:val="20"/>
                <w:szCs w:val="20"/>
              </w:rPr>
              <w:t>51</w:t>
            </w:r>
          </w:p>
        </w:tc>
        <w:tc>
          <w:tcPr>
            <w:tcW w:w="50" w:type="pct"/>
            <w:noWrap/>
            <w:tcMar>
              <w:top w:w="5" w:type="dxa"/>
              <w:left w:w="5" w:type="dxa"/>
              <w:bottom w:w="50" w:type="dxa"/>
              <w:right w:w="5" w:type="dxa"/>
            </w:tcMar>
            <w:vAlign w:val="bottom"/>
            <w:hideMark/>
          </w:tcPr>
          <w:p w14:paraId="157D6B4D" w14:textId="77777777" w:rsidR="00954279" w:rsidRDefault="00A66714">
            <w:pPr>
              <w:rPr>
                <w:color w:val="000000"/>
                <w:sz w:val="20"/>
                <w:szCs w:val="20"/>
              </w:rPr>
            </w:pPr>
            <w:r>
              <w:rPr>
                <w:color w:val="000000"/>
                <w:sz w:val="20"/>
                <w:szCs w:val="20"/>
              </w:rPr>
              <w:t> </w:t>
            </w:r>
          </w:p>
        </w:tc>
      </w:tr>
    </w:tbl>
    <w:p w14:paraId="299EA146" w14:textId="4EE30E46" w:rsidR="00954279" w:rsidRDefault="00A66714">
      <w:pPr>
        <w:ind w:left="144" w:right="144"/>
        <w:rPr>
          <w:sz w:val="20"/>
          <w:szCs w:val="20"/>
        </w:rPr>
      </w:pPr>
      <w:r>
        <w:rPr>
          <w:sz w:val="20"/>
          <w:szCs w:val="20"/>
        </w:rPr>
        <w:t> </w:t>
      </w:r>
      <w:r>
        <w:rPr>
          <w:b/>
          <w:bCs/>
          <w:sz w:val="20"/>
          <w:szCs w:val="20"/>
        </w:rPr>
        <w:t xml:space="preserve">Liquidity and Capital Resources </w:t>
      </w:r>
    </w:p>
    <w:p w14:paraId="4E56213E" w14:textId="6B2D9612" w:rsidR="00954279" w:rsidRDefault="00A66714">
      <w:pPr>
        <w:ind w:left="144" w:right="144"/>
        <w:rPr>
          <w:sz w:val="20"/>
          <w:szCs w:val="20"/>
        </w:rPr>
      </w:pPr>
      <w:r>
        <w:rPr>
          <w:sz w:val="20"/>
          <w:szCs w:val="20"/>
        </w:rPr>
        <w:t> Our primary credit facilities consist of a Term Loan maturing in September 2024 with an original principal amount of $400 million and an $800 million Global ABL Facility. As of June 30, 2021, the outstanding balance on our Term Loan, net of original issue discount and issuance costs, was $297 million. On an annual basis, we are required to repay an amount equal to 50% of excess cash flow, as defined in the Term Loan agreement, reducing to 25% if the Company’s senior secured leverage ratio is no more than 2.75 to 1.00. No payment of excess cash flow is required if the Company’s senior secured leverage ratio is less than or equal to 2.50 to 1.00. Under the terms of the Term Loan, the amount of cash used in the determination of the senior secured leverage ratio is limited to $75 million. Under this provision of the Term Loan, in April 2021 we made a payment of $86 million as a result of excess cash flow generation in 2020. We do not expect to make a similar payment for 2021 in 2022.</w:t>
      </w:r>
    </w:p>
    <w:p w14:paraId="59463870" w14:textId="77777777" w:rsidR="00954279" w:rsidRDefault="00A66714" w:rsidP="005554C6">
      <w:pPr>
        <w:spacing w:line="120" w:lineRule="auto"/>
        <w:ind w:left="144" w:right="144"/>
        <w:rPr>
          <w:sz w:val="20"/>
          <w:szCs w:val="20"/>
        </w:rPr>
      </w:pPr>
      <w:r>
        <w:rPr>
          <w:sz w:val="20"/>
          <w:szCs w:val="20"/>
        </w:rPr>
        <w:t> </w:t>
      </w:r>
    </w:p>
    <w:p w14:paraId="75F0169F" w14:textId="77777777" w:rsidR="00954279" w:rsidRDefault="00A66714">
      <w:pPr>
        <w:ind w:left="144" w:right="144"/>
        <w:rPr>
          <w:sz w:val="20"/>
          <w:szCs w:val="20"/>
        </w:rPr>
      </w:pPr>
      <w:r>
        <w:rPr>
          <w:sz w:val="20"/>
          <w:szCs w:val="20"/>
        </w:rPr>
        <w:t>The Global ABL Facility matures in September 2022 and provides $675 million in revolver commitments in the United States, $65 million in Canada, $18 million in Norway, $15 million in Australia, $13 million in the Netherlands, $7 million in the United Kingdom and $7 million in Belgium. The Global ABL Facility contains an accordion feature that allows us to increase the principal amount of the facility by up to $200 million, subject to securing additional lender commitments. Availability is dependent on a borrowing base comprised of a percentage of eligible accounts receivable and inventory which is subject to redetermination from time to time. As of June 30, 2021, we had no borrowings outstanding and $444 million of Excess Availability, as defined under our Global ABL Facility.</w:t>
      </w:r>
    </w:p>
    <w:p w14:paraId="16A0CE38" w14:textId="77777777" w:rsidR="00954279" w:rsidRDefault="00A66714" w:rsidP="005554C6">
      <w:pPr>
        <w:spacing w:line="120" w:lineRule="auto"/>
        <w:ind w:left="144" w:right="144"/>
        <w:rPr>
          <w:sz w:val="20"/>
          <w:szCs w:val="20"/>
        </w:rPr>
      </w:pPr>
      <w:r>
        <w:rPr>
          <w:sz w:val="20"/>
          <w:szCs w:val="20"/>
        </w:rPr>
        <w:t> </w:t>
      </w:r>
    </w:p>
    <w:p w14:paraId="321408F2" w14:textId="77777777" w:rsidR="00954279" w:rsidRDefault="00A66714">
      <w:pPr>
        <w:ind w:left="144" w:right="144"/>
        <w:rPr>
          <w:sz w:val="20"/>
          <w:szCs w:val="20"/>
        </w:rPr>
      </w:pPr>
      <w:r>
        <w:rPr>
          <w:sz w:val="20"/>
          <w:szCs w:val="20"/>
        </w:rPr>
        <w:t>Our primary sources of liquidity consist of cash generated from our operating activities, existing cash balances and borrowings under our Global ABL Facility. Our ability to generate sufficient cash flows from our operating activities will continue to be primarily dependent on our sales of products and services to our customers at margins sufficient to cover our fixed and variable expenses. At June 30, 2021, our total liquidity, consisting of cash on hand and amounts available under our Global ABL Facility, was $507 million. As of June 30, 2021 and December 31, 2020, we had cash of $63 million and $119 million, respectively, a significant portion of which was maintained in the accounts of our various foreign subsidiaries and, if transferred among countries or repatriated to the U.S., may be subject to additional tax liabilities, which would be recognized in our financial statements in the period during which the transfer decision was made.</w:t>
      </w:r>
    </w:p>
    <w:p w14:paraId="45A7F425" w14:textId="77777777" w:rsidR="00954279" w:rsidRDefault="00A66714" w:rsidP="005554C6">
      <w:pPr>
        <w:spacing w:line="120" w:lineRule="auto"/>
        <w:ind w:left="144" w:right="144"/>
        <w:rPr>
          <w:sz w:val="20"/>
          <w:szCs w:val="20"/>
        </w:rPr>
      </w:pPr>
      <w:r>
        <w:rPr>
          <w:sz w:val="20"/>
          <w:szCs w:val="20"/>
        </w:rPr>
        <w:t> </w:t>
      </w:r>
    </w:p>
    <w:p w14:paraId="574E0D2D" w14:textId="77777777" w:rsidR="00954279" w:rsidRDefault="00A66714">
      <w:pPr>
        <w:ind w:left="144" w:right="144"/>
        <w:rPr>
          <w:sz w:val="20"/>
          <w:szCs w:val="20"/>
        </w:rPr>
      </w:pPr>
      <w:r>
        <w:rPr>
          <w:sz w:val="20"/>
          <w:szCs w:val="20"/>
        </w:rPr>
        <w:t>Our credit ratings are below “investment grade” and, as such, could impact both our ability to raise new funds as well as the interest rates on our future borrowings. In the first quarter of 2021, Moody's Investor Services changed our ratings outlook from negative to stable and, in the second quarter of 2021, Standard &amp; Poor's Global Ratings revised the Company's outlook to stable. Our existing obligations restrict our ability to incur additional debt. We were in compliance with the covenants contained in our various credit facilities as of and during the six months ended June 30, 2021 and, based on our current forecasts, we expect to remain in compliance. Our credit facilities contain provisions that address the potential need to transition away from LIBOR if LIBOR is discontinued or replaced.</w:t>
      </w:r>
    </w:p>
    <w:p w14:paraId="685C5A1A" w14:textId="77777777" w:rsidR="00954279" w:rsidRDefault="00A66714" w:rsidP="005554C6">
      <w:pPr>
        <w:spacing w:line="120" w:lineRule="auto"/>
        <w:ind w:left="144" w:right="144"/>
        <w:rPr>
          <w:sz w:val="20"/>
          <w:szCs w:val="20"/>
        </w:rPr>
      </w:pPr>
      <w:r>
        <w:rPr>
          <w:sz w:val="20"/>
          <w:szCs w:val="20"/>
        </w:rPr>
        <w:t> </w:t>
      </w:r>
    </w:p>
    <w:p w14:paraId="327199AB" w14:textId="7F347B0E" w:rsidR="00954279" w:rsidRDefault="00A66714" w:rsidP="005554C6">
      <w:pPr>
        <w:ind w:left="144" w:right="144"/>
        <w:rPr>
          <w:sz w:val="20"/>
          <w:szCs w:val="20"/>
        </w:rPr>
      </w:pPr>
      <w:r>
        <w:rPr>
          <w:sz w:val="20"/>
          <w:szCs w:val="20"/>
        </w:rPr>
        <w:t>We believe our sources of liquidity will be sufficient to satisfy the anticipated cash requirements associated with our existing operations for the foreseeable future. However, our future cash requirements could be higher than we currently expect as a result of various factors. Additionally, our ability to generate sufficient cash from our operating activities depends on our future performance, which is subject to general economic, political, financial, competitive and other factors beyond our control. We may, from time to time, seek to raise additional debt or equity financing or re-price or refinance existing debt in the public or private markets, based on market conditions. Any such capital markets activities would be subject to market conditions, reaching final agreement with lenders or investors, and other factors, and there can be no assurance that we would successfully consummate any such transactions. </w:t>
      </w:r>
    </w:p>
    <w:p w14:paraId="4B2103CC" w14:textId="77777777" w:rsidR="00954279" w:rsidRDefault="00A66714">
      <w:pPr>
        <w:ind w:left="144" w:right="144"/>
        <w:jc w:val="center"/>
        <w:rPr>
          <w:sz w:val="20"/>
          <w:szCs w:val="20"/>
        </w:rPr>
      </w:pPr>
      <w:r>
        <w:rPr>
          <w:sz w:val="20"/>
          <w:szCs w:val="20"/>
        </w:rPr>
        <w:t>28</w:t>
      </w:r>
    </w:p>
    <w:p w14:paraId="4C9B784F" w14:textId="77777777" w:rsidR="00954279" w:rsidRDefault="00A66714">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03634851" w14:textId="77777777" w:rsidR="00954279" w:rsidRDefault="00A66714">
      <w:pPr>
        <w:ind w:left="144" w:right="144"/>
        <w:rPr>
          <w:sz w:val="20"/>
          <w:szCs w:val="20"/>
        </w:rPr>
      </w:pPr>
      <w:r>
        <w:rPr>
          <w:sz w:val="20"/>
          <w:szCs w:val="20"/>
        </w:rPr>
        <w:t> </w:t>
      </w:r>
    </w:p>
    <w:p w14:paraId="12DA0832" w14:textId="77777777" w:rsidR="00954279" w:rsidRDefault="00A66714">
      <w:pPr>
        <w:ind w:left="144" w:right="144"/>
        <w:rPr>
          <w:sz w:val="20"/>
          <w:szCs w:val="20"/>
        </w:rPr>
      </w:pPr>
      <w:r>
        <w:rPr>
          <w:b/>
          <w:bCs/>
          <w:i/>
          <w:iCs/>
          <w:sz w:val="20"/>
          <w:szCs w:val="20"/>
        </w:rPr>
        <w:t xml:space="preserve">Cash Flows </w:t>
      </w:r>
    </w:p>
    <w:p w14:paraId="5179258D" w14:textId="77777777" w:rsidR="00954279" w:rsidRDefault="00A66714">
      <w:pPr>
        <w:ind w:left="144" w:right="144"/>
        <w:rPr>
          <w:sz w:val="20"/>
          <w:szCs w:val="20"/>
        </w:rPr>
      </w:pPr>
      <w:r>
        <w:rPr>
          <w:sz w:val="20"/>
          <w:szCs w:val="20"/>
        </w:rPr>
        <w:t> </w:t>
      </w:r>
    </w:p>
    <w:p w14:paraId="2FA285B0" w14:textId="77777777" w:rsidR="00954279" w:rsidRDefault="00A66714">
      <w:pPr>
        <w:ind w:left="144" w:right="144"/>
        <w:rPr>
          <w:sz w:val="20"/>
          <w:szCs w:val="20"/>
        </w:rPr>
      </w:pPr>
      <w:r>
        <w:rPr>
          <w:sz w:val="20"/>
          <w:szCs w:val="20"/>
        </w:rPr>
        <w:t>The following table sets forth our cash flows for the periods indicated below (in millions):</w:t>
      </w:r>
    </w:p>
    <w:p w14:paraId="08EF8742" w14:textId="77777777" w:rsidR="00954279" w:rsidRDefault="00A66714">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7559"/>
        <w:gridCol w:w="107"/>
        <w:gridCol w:w="110"/>
        <w:gridCol w:w="1295"/>
        <w:gridCol w:w="107"/>
        <w:gridCol w:w="107"/>
        <w:gridCol w:w="111"/>
        <w:gridCol w:w="1296"/>
        <w:gridCol w:w="108"/>
      </w:tblGrid>
      <w:tr w:rsidR="00954279" w14:paraId="1C854AA3" w14:textId="77777777">
        <w:tc>
          <w:tcPr>
            <w:tcW w:w="0" w:type="auto"/>
            <w:tcMar>
              <w:top w:w="5" w:type="dxa"/>
              <w:left w:w="5" w:type="dxa"/>
              <w:bottom w:w="5" w:type="dxa"/>
              <w:right w:w="5" w:type="dxa"/>
            </w:tcMar>
            <w:vAlign w:val="bottom"/>
            <w:hideMark/>
          </w:tcPr>
          <w:p w14:paraId="6824AC0A"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1E8FD42" w14:textId="77777777" w:rsidR="00954279" w:rsidRDefault="00A66714">
            <w:pPr>
              <w:rPr>
                <w:color w:val="000000"/>
                <w:sz w:val="20"/>
                <w:szCs w:val="20"/>
              </w:rPr>
            </w:pPr>
            <w:r>
              <w:rPr>
                <w:color w:val="000000"/>
                <w:sz w:val="20"/>
                <w:szCs w:val="20"/>
              </w:rPr>
              <w:t> </w:t>
            </w:r>
          </w:p>
        </w:tc>
        <w:tc>
          <w:tcPr>
            <w:tcW w:w="0" w:type="auto"/>
            <w:gridSpan w:val="6"/>
            <w:tcBorders>
              <w:bottom w:val="single" w:sz="6" w:space="0" w:color="000000"/>
            </w:tcBorders>
            <w:tcMar>
              <w:top w:w="5" w:type="dxa"/>
              <w:left w:w="5" w:type="dxa"/>
              <w:bottom w:w="8" w:type="dxa"/>
              <w:right w:w="5" w:type="dxa"/>
            </w:tcMar>
            <w:vAlign w:val="bottom"/>
            <w:hideMark/>
          </w:tcPr>
          <w:p w14:paraId="4248AFF5" w14:textId="77777777" w:rsidR="00954279" w:rsidRDefault="00A66714">
            <w:pPr>
              <w:jc w:val="center"/>
              <w:rPr>
                <w:color w:val="000000"/>
                <w:sz w:val="20"/>
                <w:szCs w:val="20"/>
              </w:rPr>
            </w:pPr>
            <w:r>
              <w:rPr>
                <w:b/>
                <w:bCs/>
                <w:color w:val="000000"/>
                <w:sz w:val="20"/>
                <w:szCs w:val="20"/>
              </w:rPr>
              <w:t>Six Months Ended</w:t>
            </w:r>
          </w:p>
        </w:tc>
        <w:tc>
          <w:tcPr>
            <w:tcW w:w="0" w:type="auto"/>
            <w:tcMar>
              <w:top w:w="5" w:type="dxa"/>
              <w:left w:w="5" w:type="dxa"/>
              <w:bottom w:w="20" w:type="dxa"/>
              <w:right w:w="5" w:type="dxa"/>
            </w:tcMar>
            <w:vAlign w:val="bottom"/>
            <w:hideMark/>
          </w:tcPr>
          <w:p w14:paraId="799321D1" w14:textId="77777777" w:rsidR="00954279" w:rsidRDefault="00A66714">
            <w:pPr>
              <w:rPr>
                <w:color w:val="000000"/>
                <w:sz w:val="20"/>
                <w:szCs w:val="20"/>
              </w:rPr>
            </w:pPr>
            <w:r>
              <w:rPr>
                <w:color w:val="000000"/>
                <w:sz w:val="20"/>
                <w:szCs w:val="20"/>
              </w:rPr>
              <w:t> </w:t>
            </w:r>
          </w:p>
        </w:tc>
      </w:tr>
      <w:tr w:rsidR="00954279" w14:paraId="795558CD" w14:textId="77777777">
        <w:tc>
          <w:tcPr>
            <w:tcW w:w="0" w:type="auto"/>
            <w:tcMar>
              <w:top w:w="5" w:type="dxa"/>
              <w:left w:w="5" w:type="dxa"/>
              <w:bottom w:w="5" w:type="dxa"/>
              <w:right w:w="5" w:type="dxa"/>
            </w:tcMar>
            <w:vAlign w:val="bottom"/>
            <w:hideMark/>
          </w:tcPr>
          <w:p w14:paraId="408CFE7F"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C0C1936"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77302CF7" w14:textId="77777777" w:rsidR="00954279" w:rsidRDefault="00A66714">
            <w:pPr>
              <w:jc w:val="center"/>
              <w:rPr>
                <w:color w:val="000000"/>
                <w:sz w:val="20"/>
                <w:szCs w:val="20"/>
              </w:rPr>
            </w:pPr>
            <w:r>
              <w:rPr>
                <w:b/>
                <w:bCs/>
                <w:color w:val="000000"/>
                <w:sz w:val="20"/>
                <w:szCs w:val="20"/>
              </w:rPr>
              <w:t>June 30,</w:t>
            </w:r>
          </w:p>
        </w:tc>
        <w:tc>
          <w:tcPr>
            <w:tcW w:w="0" w:type="auto"/>
            <w:tcMar>
              <w:top w:w="5" w:type="dxa"/>
              <w:left w:w="5" w:type="dxa"/>
              <w:bottom w:w="5" w:type="dxa"/>
              <w:right w:w="5" w:type="dxa"/>
            </w:tcMar>
            <w:vAlign w:val="bottom"/>
            <w:hideMark/>
          </w:tcPr>
          <w:p w14:paraId="0E3A05C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2FC7B7B" w14:textId="77777777" w:rsidR="00954279" w:rsidRDefault="00A66714">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0B1A15DF" w14:textId="77777777" w:rsidR="00954279" w:rsidRDefault="00A66714">
            <w:pPr>
              <w:jc w:val="center"/>
              <w:rPr>
                <w:color w:val="000000"/>
                <w:sz w:val="20"/>
                <w:szCs w:val="20"/>
              </w:rPr>
            </w:pPr>
            <w:r>
              <w:rPr>
                <w:b/>
                <w:bCs/>
                <w:color w:val="000000"/>
                <w:sz w:val="20"/>
                <w:szCs w:val="20"/>
              </w:rPr>
              <w:t>June 30,</w:t>
            </w:r>
          </w:p>
        </w:tc>
        <w:tc>
          <w:tcPr>
            <w:tcW w:w="0" w:type="auto"/>
            <w:tcMar>
              <w:top w:w="5" w:type="dxa"/>
              <w:left w:w="5" w:type="dxa"/>
              <w:bottom w:w="5" w:type="dxa"/>
              <w:right w:w="5" w:type="dxa"/>
            </w:tcMar>
            <w:vAlign w:val="bottom"/>
            <w:hideMark/>
          </w:tcPr>
          <w:p w14:paraId="02C5CCFB" w14:textId="77777777" w:rsidR="00954279" w:rsidRDefault="00A66714">
            <w:pPr>
              <w:rPr>
                <w:color w:val="000000"/>
                <w:sz w:val="20"/>
                <w:szCs w:val="20"/>
              </w:rPr>
            </w:pPr>
            <w:r>
              <w:rPr>
                <w:color w:val="000000"/>
                <w:sz w:val="20"/>
                <w:szCs w:val="20"/>
              </w:rPr>
              <w:t> </w:t>
            </w:r>
          </w:p>
        </w:tc>
      </w:tr>
      <w:tr w:rsidR="00954279" w14:paraId="6FEC41B3" w14:textId="77777777">
        <w:tc>
          <w:tcPr>
            <w:tcW w:w="0" w:type="auto"/>
            <w:tcMar>
              <w:top w:w="5" w:type="dxa"/>
              <w:left w:w="5" w:type="dxa"/>
              <w:bottom w:w="5" w:type="dxa"/>
              <w:right w:w="5" w:type="dxa"/>
            </w:tcMar>
            <w:vAlign w:val="bottom"/>
            <w:hideMark/>
          </w:tcPr>
          <w:p w14:paraId="5A3CA35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3531C8A"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67AD578" w14:textId="77777777" w:rsidR="00954279" w:rsidRDefault="00A66714">
            <w:pPr>
              <w:jc w:val="center"/>
              <w:rPr>
                <w:color w:val="000000"/>
                <w:sz w:val="20"/>
                <w:szCs w:val="20"/>
              </w:rPr>
            </w:pPr>
            <w:r>
              <w:rPr>
                <w:b/>
                <w:bCs/>
                <w:color w:val="000000"/>
                <w:sz w:val="20"/>
                <w:szCs w:val="20"/>
              </w:rPr>
              <w:t>2021</w:t>
            </w:r>
          </w:p>
        </w:tc>
        <w:tc>
          <w:tcPr>
            <w:tcW w:w="0" w:type="auto"/>
            <w:tcMar>
              <w:top w:w="5" w:type="dxa"/>
              <w:left w:w="5" w:type="dxa"/>
              <w:bottom w:w="20" w:type="dxa"/>
              <w:right w:w="5" w:type="dxa"/>
            </w:tcMar>
            <w:vAlign w:val="bottom"/>
            <w:hideMark/>
          </w:tcPr>
          <w:p w14:paraId="315C0F52"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3C49581" w14:textId="77777777" w:rsidR="00954279" w:rsidRDefault="00A66714">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17A8521A" w14:textId="77777777" w:rsidR="00954279" w:rsidRDefault="00A66714">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2F6279ED" w14:textId="77777777" w:rsidR="00954279" w:rsidRDefault="00A66714">
            <w:pPr>
              <w:rPr>
                <w:color w:val="000000"/>
                <w:sz w:val="20"/>
                <w:szCs w:val="20"/>
              </w:rPr>
            </w:pPr>
            <w:r>
              <w:rPr>
                <w:color w:val="000000"/>
                <w:sz w:val="20"/>
                <w:szCs w:val="20"/>
              </w:rPr>
              <w:t> </w:t>
            </w:r>
          </w:p>
        </w:tc>
      </w:tr>
      <w:tr w:rsidR="00954279" w14:paraId="2DAC07BC" w14:textId="77777777">
        <w:tc>
          <w:tcPr>
            <w:tcW w:w="3500" w:type="pct"/>
            <w:tcMar>
              <w:top w:w="5" w:type="dxa"/>
              <w:left w:w="5" w:type="dxa"/>
              <w:bottom w:w="5" w:type="dxa"/>
              <w:right w:w="5" w:type="dxa"/>
            </w:tcMar>
            <w:vAlign w:val="bottom"/>
            <w:hideMark/>
          </w:tcPr>
          <w:p w14:paraId="55A1709A" w14:textId="77777777" w:rsidR="00954279" w:rsidRDefault="00A66714">
            <w:pPr>
              <w:rPr>
                <w:color w:val="000000"/>
                <w:sz w:val="20"/>
                <w:szCs w:val="20"/>
              </w:rPr>
            </w:pPr>
            <w:r>
              <w:rPr>
                <w:color w:val="000000"/>
                <w:sz w:val="20"/>
                <w:szCs w:val="20"/>
              </w:rPr>
              <w:t>Net cash provided by (used in) :</w:t>
            </w:r>
          </w:p>
        </w:tc>
        <w:tc>
          <w:tcPr>
            <w:tcW w:w="0" w:type="auto"/>
            <w:tcMar>
              <w:top w:w="5" w:type="dxa"/>
              <w:left w:w="5" w:type="dxa"/>
              <w:bottom w:w="5" w:type="dxa"/>
              <w:right w:w="5" w:type="dxa"/>
            </w:tcMar>
            <w:vAlign w:val="bottom"/>
            <w:hideMark/>
          </w:tcPr>
          <w:p w14:paraId="2D69B87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BD64BA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72115C3"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B4CE0B6"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F557E28"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DD5AEC7"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99EF7DD" w14:textId="77777777" w:rsidR="00954279" w:rsidRDefault="00A66714">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2979E99" w14:textId="77777777" w:rsidR="00954279" w:rsidRDefault="00A66714">
            <w:pPr>
              <w:rPr>
                <w:color w:val="000000"/>
                <w:sz w:val="20"/>
                <w:szCs w:val="20"/>
              </w:rPr>
            </w:pPr>
            <w:r>
              <w:rPr>
                <w:color w:val="000000"/>
                <w:sz w:val="20"/>
                <w:szCs w:val="20"/>
              </w:rPr>
              <w:t> </w:t>
            </w:r>
          </w:p>
        </w:tc>
      </w:tr>
      <w:tr w:rsidR="00954279" w14:paraId="2D9B8E1F" w14:textId="77777777">
        <w:tc>
          <w:tcPr>
            <w:tcW w:w="0" w:type="auto"/>
            <w:tcMar>
              <w:top w:w="5" w:type="dxa"/>
              <w:left w:w="5" w:type="dxa"/>
              <w:bottom w:w="5" w:type="dxa"/>
              <w:right w:w="5" w:type="dxa"/>
            </w:tcMar>
            <w:vAlign w:val="bottom"/>
            <w:hideMark/>
          </w:tcPr>
          <w:p w14:paraId="3BB17AF5" w14:textId="77777777" w:rsidR="00954279" w:rsidRDefault="00A66714">
            <w:pPr>
              <w:ind w:left="180"/>
              <w:rPr>
                <w:color w:val="000000"/>
                <w:sz w:val="20"/>
                <w:szCs w:val="20"/>
              </w:rPr>
            </w:pPr>
            <w:r>
              <w:rPr>
                <w:color w:val="000000"/>
                <w:sz w:val="20"/>
                <w:szCs w:val="20"/>
              </w:rPr>
              <w:t>Operating activities</w:t>
            </w:r>
          </w:p>
        </w:tc>
        <w:tc>
          <w:tcPr>
            <w:tcW w:w="50" w:type="pct"/>
            <w:tcMar>
              <w:top w:w="5" w:type="dxa"/>
              <w:left w:w="5" w:type="dxa"/>
              <w:bottom w:w="5" w:type="dxa"/>
              <w:right w:w="5" w:type="dxa"/>
            </w:tcMar>
            <w:vAlign w:val="bottom"/>
            <w:hideMark/>
          </w:tcPr>
          <w:p w14:paraId="22C6E3A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318E8B8" w14:textId="77777777" w:rsidR="00954279" w:rsidRDefault="00A66714">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2DA4AD44" w14:textId="77777777" w:rsidR="00954279" w:rsidRDefault="00A66714">
            <w:pPr>
              <w:jc w:val="right"/>
              <w:rPr>
                <w:color w:val="000000"/>
                <w:sz w:val="20"/>
                <w:szCs w:val="20"/>
              </w:rPr>
            </w:pPr>
            <w:r>
              <w:rPr>
                <w:b/>
                <w:bCs/>
                <w:color w:val="000000"/>
                <w:sz w:val="20"/>
                <w:szCs w:val="20"/>
              </w:rPr>
              <w:t>47</w:t>
            </w:r>
          </w:p>
        </w:tc>
        <w:tc>
          <w:tcPr>
            <w:tcW w:w="50" w:type="pct"/>
            <w:noWrap/>
            <w:tcMar>
              <w:top w:w="5" w:type="dxa"/>
              <w:left w:w="5" w:type="dxa"/>
              <w:bottom w:w="5" w:type="dxa"/>
              <w:right w:w="5" w:type="dxa"/>
            </w:tcMar>
            <w:vAlign w:val="bottom"/>
            <w:hideMark/>
          </w:tcPr>
          <w:p w14:paraId="2197DC0D"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9E1AA19"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14776F2" w14:textId="77777777" w:rsidR="00954279" w:rsidRDefault="00A66714">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6DAAF109" w14:textId="77777777" w:rsidR="00954279" w:rsidRDefault="00A66714">
            <w:pPr>
              <w:jc w:val="right"/>
              <w:rPr>
                <w:color w:val="000000"/>
                <w:sz w:val="20"/>
                <w:szCs w:val="20"/>
              </w:rPr>
            </w:pPr>
            <w:r>
              <w:rPr>
                <w:color w:val="000000"/>
                <w:sz w:val="20"/>
                <w:szCs w:val="20"/>
              </w:rPr>
              <w:t>84</w:t>
            </w:r>
          </w:p>
        </w:tc>
        <w:tc>
          <w:tcPr>
            <w:tcW w:w="50" w:type="pct"/>
            <w:noWrap/>
            <w:tcMar>
              <w:top w:w="5" w:type="dxa"/>
              <w:left w:w="5" w:type="dxa"/>
              <w:bottom w:w="5" w:type="dxa"/>
              <w:right w:w="5" w:type="dxa"/>
            </w:tcMar>
            <w:vAlign w:val="bottom"/>
            <w:hideMark/>
          </w:tcPr>
          <w:p w14:paraId="51EDDF47" w14:textId="77777777" w:rsidR="00954279" w:rsidRDefault="00A66714">
            <w:pPr>
              <w:rPr>
                <w:color w:val="000000"/>
                <w:sz w:val="20"/>
                <w:szCs w:val="20"/>
              </w:rPr>
            </w:pPr>
            <w:r>
              <w:rPr>
                <w:color w:val="000000"/>
                <w:sz w:val="20"/>
                <w:szCs w:val="20"/>
              </w:rPr>
              <w:t> </w:t>
            </w:r>
          </w:p>
        </w:tc>
      </w:tr>
      <w:tr w:rsidR="00954279" w14:paraId="6ACF6863" w14:textId="77777777">
        <w:tc>
          <w:tcPr>
            <w:tcW w:w="0" w:type="auto"/>
            <w:tcMar>
              <w:top w:w="5" w:type="dxa"/>
              <w:left w:w="5" w:type="dxa"/>
              <w:bottom w:w="5" w:type="dxa"/>
              <w:right w:w="5" w:type="dxa"/>
            </w:tcMar>
            <w:vAlign w:val="bottom"/>
            <w:hideMark/>
          </w:tcPr>
          <w:p w14:paraId="43A8013F" w14:textId="77777777" w:rsidR="00954279" w:rsidRDefault="00A66714">
            <w:pPr>
              <w:ind w:left="180"/>
              <w:rPr>
                <w:color w:val="000000"/>
                <w:sz w:val="20"/>
                <w:szCs w:val="20"/>
              </w:rPr>
            </w:pPr>
            <w:r>
              <w:rPr>
                <w:color w:val="000000"/>
                <w:sz w:val="20"/>
                <w:szCs w:val="20"/>
              </w:rPr>
              <w:t>Investing activities</w:t>
            </w:r>
          </w:p>
        </w:tc>
        <w:tc>
          <w:tcPr>
            <w:tcW w:w="50" w:type="pct"/>
            <w:tcMar>
              <w:top w:w="5" w:type="dxa"/>
              <w:left w:w="5" w:type="dxa"/>
              <w:bottom w:w="5" w:type="dxa"/>
              <w:right w:w="5" w:type="dxa"/>
            </w:tcMar>
            <w:vAlign w:val="bottom"/>
            <w:hideMark/>
          </w:tcPr>
          <w:p w14:paraId="1F449A64"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5E3B344"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B60EF60" w14:textId="77777777" w:rsidR="00954279" w:rsidRDefault="00A66714">
            <w:pPr>
              <w:jc w:val="right"/>
              <w:rPr>
                <w:color w:val="000000"/>
                <w:sz w:val="20"/>
                <w:szCs w:val="20"/>
              </w:rPr>
            </w:pPr>
            <w:r>
              <w:rPr>
                <w:b/>
                <w:bCs/>
                <w:color w:val="000000"/>
                <w:sz w:val="20"/>
                <w:szCs w:val="20"/>
              </w:rPr>
              <w:t>(2</w:t>
            </w:r>
          </w:p>
        </w:tc>
        <w:tc>
          <w:tcPr>
            <w:tcW w:w="50" w:type="pct"/>
            <w:noWrap/>
            <w:tcMar>
              <w:top w:w="5" w:type="dxa"/>
              <w:left w:w="5" w:type="dxa"/>
              <w:bottom w:w="5" w:type="dxa"/>
              <w:right w:w="5" w:type="dxa"/>
            </w:tcMar>
            <w:vAlign w:val="bottom"/>
            <w:hideMark/>
          </w:tcPr>
          <w:p w14:paraId="40CC0E24" w14:textId="77777777" w:rsidR="00954279" w:rsidRDefault="00A66714">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6F4753DE"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E694EDB" w14:textId="77777777" w:rsidR="00954279" w:rsidRDefault="00A66714">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902EDEB" w14:textId="77777777" w:rsidR="00954279" w:rsidRDefault="00A66714">
            <w:pPr>
              <w:jc w:val="right"/>
              <w:rPr>
                <w:color w:val="000000"/>
                <w:sz w:val="20"/>
                <w:szCs w:val="20"/>
              </w:rPr>
            </w:pPr>
            <w:r>
              <w:rPr>
                <w:color w:val="000000"/>
                <w:sz w:val="20"/>
                <w:szCs w:val="20"/>
              </w:rPr>
              <w:t>(5</w:t>
            </w:r>
          </w:p>
        </w:tc>
        <w:tc>
          <w:tcPr>
            <w:tcW w:w="50" w:type="pct"/>
            <w:noWrap/>
            <w:tcMar>
              <w:top w:w="5" w:type="dxa"/>
              <w:left w:w="5" w:type="dxa"/>
              <w:bottom w:w="5" w:type="dxa"/>
              <w:right w:w="5" w:type="dxa"/>
            </w:tcMar>
            <w:vAlign w:val="bottom"/>
            <w:hideMark/>
          </w:tcPr>
          <w:p w14:paraId="106E195B" w14:textId="77777777" w:rsidR="00954279" w:rsidRDefault="00A66714">
            <w:pPr>
              <w:rPr>
                <w:color w:val="000000"/>
                <w:sz w:val="20"/>
                <w:szCs w:val="20"/>
              </w:rPr>
            </w:pPr>
            <w:r>
              <w:rPr>
                <w:color w:val="000000"/>
                <w:sz w:val="20"/>
                <w:szCs w:val="20"/>
              </w:rPr>
              <w:t>)</w:t>
            </w:r>
          </w:p>
        </w:tc>
      </w:tr>
      <w:tr w:rsidR="00954279" w14:paraId="1F646371" w14:textId="77777777">
        <w:tc>
          <w:tcPr>
            <w:tcW w:w="0" w:type="auto"/>
            <w:tcMar>
              <w:top w:w="5" w:type="dxa"/>
              <w:left w:w="5" w:type="dxa"/>
              <w:bottom w:w="5" w:type="dxa"/>
              <w:right w:w="5" w:type="dxa"/>
            </w:tcMar>
            <w:vAlign w:val="bottom"/>
            <w:hideMark/>
          </w:tcPr>
          <w:p w14:paraId="31E47DE0" w14:textId="77777777" w:rsidR="00954279" w:rsidRDefault="00A66714">
            <w:pPr>
              <w:ind w:left="180"/>
              <w:rPr>
                <w:color w:val="000000"/>
                <w:sz w:val="20"/>
                <w:szCs w:val="20"/>
              </w:rPr>
            </w:pPr>
            <w:r>
              <w:rPr>
                <w:color w:val="000000"/>
                <w:sz w:val="20"/>
                <w:szCs w:val="20"/>
              </w:rPr>
              <w:t>Financing activities</w:t>
            </w:r>
          </w:p>
        </w:tc>
        <w:tc>
          <w:tcPr>
            <w:tcW w:w="50" w:type="pct"/>
            <w:tcMar>
              <w:top w:w="5" w:type="dxa"/>
              <w:left w:w="5" w:type="dxa"/>
              <w:bottom w:w="20" w:type="dxa"/>
              <w:right w:w="5" w:type="dxa"/>
            </w:tcMar>
            <w:vAlign w:val="bottom"/>
            <w:hideMark/>
          </w:tcPr>
          <w:p w14:paraId="25BDC109"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BA334C2" w14:textId="77777777" w:rsidR="00954279" w:rsidRDefault="00A66714">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F2BE30C" w14:textId="77777777" w:rsidR="00954279" w:rsidRDefault="00A66714">
            <w:pPr>
              <w:jc w:val="right"/>
              <w:rPr>
                <w:color w:val="000000"/>
                <w:sz w:val="20"/>
                <w:szCs w:val="20"/>
              </w:rPr>
            </w:pPr>
            <w:r>
              <w:rPr>
                <w:b/>
                <w:bCs/>
                <w:color w:val="000000"/>
                <w:sz w:val="20"/>
                <w:szCs w:val="20"/>
              </w:rPr>
              <w:t>(101</w:t>
            </w:r>
          </w:p>
        </w:tc>
        <w:tc>
          <w:tcPr>
            <w:tcW w:w="50" w:type="pct"/>
            <w:noWrap/>
            <w:tcMar>
              <w:top w:w="5" w:type="dxa"/>
              <w:left w:w="5" w:type="dxa"/>
              <w:bottom w:w="20" w:type="dxa"/>
              <w:right w:w="5" w:type="dxa"/>
            </w:tcMar>
            <w:vAlign w:val="bottom"/>
            <w:hideMark/>
          </w:tcPr>
          <w:p w14:paraId="11B224D8" w14:textId="77777777" w:rsidR="00954279" w:rsidRDefault="00A66714">
            <w:pPr>
              <w:rPr>
                <w:color w:val="000000"/>
                <w:sz w:val="20"/>
                <w:szCs w:val="20"/>
              </w:rPr>
            </w:pPr>
            <w:r>
              <w:rPr>
                <w:b/>
                <w:bCs/>
                <w:color w:val="000000"/>
                <w:sz w:val="20"/>
                <w:szCs w:val="20"/>
              </w:rPr>
              <w:t>)</w:t>
            </w:r>
          </w:p>
        </w:tc>
        <w:tc>
          <w:tcPr>
            <w:tcW w:w="50" w:type="pct"/>
            <w:tcMar>
              <w:top w:w="5" w:type="dxa"/>
              <w:left w:w="5" w:type="dxa"/>
              <w:bottom w:w="20" w:type="dxa"/>
              <w:right w:w="5" w:type="dxa"/>
            </w:tcMar>
            <w:vAlign w:val="bottom"/>
            <w:hideMark/>
          </w:tcPr>
          <w:p w14:paraId="7A3C3201" w14:textId="77777777" w:rsidR="00954279" w:rsidRDefault="00A66714">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25751C3" w14:textId="77777777" w:rsidR="00954279" w:rsidRDefault="00A66714">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1AE89A5B" w14:textId="77777777" w:rsidR="00954279" w:rsidRDefault="00A66714">
            <w:pPr>
              <w:jc w:val="right"/>
              <w:rPr>
                <w:color w:val="000000"/>
                <w:sz w:val="20"/>
                <w:szCs w:val="20"/>
              </w:rPr>
            </w:pPr>
            <w:r>
              <w:rPr>
                <w:color w:val="000000"/>
                <w:sz w:val="20"/>
                <w:szCs w:val="20"/>
              </w:rPr>
              <w:t>(90</w:t>
            </w:r>
          </w:p>
        </w:tc>
        <w:tc>
          <w:tcPr>
            <w:tcW w:w="50" w:type="pct"/>
            <w:noWrap/>
            <w:tcMar>
              <w:top w:w="5" w:type="dxa"/>
              <w:left w:w="5" w:type="dxa"/>
              <w:bottom w:w="20" w:type="dxa"/>
              <w:right w:w="5" w:type="dxa"/>
            </w:tcMar>
            <w:vAlign w:val="bottom"/>
            <w:hideMark/>
          </w:tcPr>
          <w:p w14:paraId="687659EA" w14:textId="77777777" w:rsidR="00954279" w:rsidRDefault="00A66714">
            <w:pPr>
              <w:rPr>
                <w:color w:val="000000"/>
                <w:sz w:val="20"/>
                <w:szCs w:val="20"/>
              </w:rPr>
            </w:pPr>
            <w:r>
              <w:rPr>
                <w:color w:val="000000"/>
                <w:sz w:val="20"/>
                <w:szCs w:val="20"/>
              </w:rPr>
              <w:t>)</w:t>
            </w:r>
          </w:p>
        </w:tc>
      </w:tr>
      <w:tr w:rsidR="00954279" w14:paraId="248F5C10" w14:textId="77777777">
        <w:tc>
          <w:tcPr>
            <w:tcW w:w="0" w:type="auto"/>
            <w:tcMar>
              <w:top w:w="5" w:type="dxa"/>
              <w:left w:w="5" w:type="dxa"/>
              <w:bottom w:w="5" w:type="dxa"/>
              <w:right w:w="5" w:type="dxa"/>
            </w:tcMar>
            <w:vAlign w:val="bottom"/>
            <w:hideMark/>
          </w:tcPr>
          <w:p w14:paraId="69479C12" w14:textId="77777777" w:rsidR="00954279" w:rsidRDefault="00A66714">
            <w:pPr>
              <w:rPr>
                <w:color w:val="000000"/>
                <w:sz w:val="20"/>
                <w:szCs w:val="20"/>
              </w:rPr>
            </w:pPr>
            <w:r>
              <w:rPr>
                <w:color w:val="000000"/>
                <w:sz w:val="20"/>
                <w:szCs w:val="20"/>
              </w:rPr>
              <w:t>Net decrease in cash and cash equivalents</w:t>
            </w:r>
          </w:p>
        </w:tc>
        <w:tc>
          <w:tcPr>
            <w:tcW w:w="50" w:type="pct"/>
            <w:tcMar>
              <w:top w:w="5" w:type="dxa"/>
              <w:left w:w="5" w:type="dxa"/>
              <w:bottom w:w="5" w:type="dxa"/>
              <w:right w:w="5" w:type="dxa"/>
            </w:tcMar>
            <w:vAlign w:val="bottom"/>
            <w:hideMark/>
          </w:tcPr>
          <w:p w14:paraId="7B3B5D50"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F77D327" w14:textId="77777777" w:rsidR="00954279" w:rsidRDefault="00A66714">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22EC5A35" w14:textId="77777777" w:rsidR="00954279" w:rsidRDefault="00A66714">
            <w:pPr>
              <w:jc w:val="right"/>
              <w:rPr>
                <w:color w:val="000000"/>
                <w:sz w:val="20"/>
                <w:szCs w:val="20"/>
              </w:rPr>
            </w:pPr>
            <w:r>
              <w:rPr>
                <w:b/>
                <w:bCs/>
                <w:color w:val="000000"/>
                <w:sz w:val="20"/>
                <w:szCs w:val="20"/>
              </w:rPr>
              <w:t>(56</w:t>
            </w:r>
          </w:p>
        </w:tc>
        <w:tc>
          <w:tcPr>
            <w:tcW w:w="50" w:type="pct"/>
            <w:noWrap/>
            <w:tcMar>
              <w:top w:w="5" w:type="dxa"/>
              <w:left w:w="5" w:type="dxa"/>
              <w:bottom w:w="50" w:type="dxa"/>
              <w:right w:w="5" w:type="dxa"/>
            </w:tcMar>
            <w:vAlign w:val="bottom"/>
            <w:hideMark/>
          </w:tcPr>
          <w:p w14:paraId="604D7154" w14:textId="77777777" w:rsidR="00954279" w:rsidRDefault="00A66714">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160187B3" w14:textId="77777777" w:rsidR="00954279" w:rsidRDefault="00A66714">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3BF8BE2" w14:textId="77777777" w:rsidR="00954279" w:rsidRDefault="00A66714">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76663D3B" w14:textId="77777777" w:rsidR="00954279" w:rsidRDefault="00A66714">
            <w:pPr>
              <w:jc w:val="right"/>
              <w:rPr>
                <w:color w:val="000000"/>
                <w:sz w:val="20"/>
                <w:szCs w:val="20"/>
              </w:rPr>
            </w:pPr>
            <w:r>
              <w:rPr>
                <w:color w:val="000000"/>
                <w:sz w:val="20"/>
                <w:szCs w:val="20"/>
              </w:rPr>
              <w:t>(11</w:t>
            </w:r>
          </w:p>
        </w:tc>
        <w:tc>
          <w:tcPr>
            <w:tcW w:w="50" w:type="pct"/>
            <w:noWrap/>
            <w:tcMar>
              <w:top w:w="5" w:type="dxa"/>
              <w:left w:w="5" w:type="dxa"/>
              <w:bottom w:w="50" w:type="dxa"/>
              <w:right w:w="5" w:type="dxa"/>
            </w:tcMar>
            <w:vAlign w:val="bottom"/>
            <w:hideMark/>
          </w:tcPr>
          <w:p w14:paraId="4B48025C" w14:textId="77777777" w:rsidR="00954279" w:rsidRDefault="00A66714">
            <w:pPr>
              <w:rPr>
                <w:color w:val="000000"/>
                <w:sz w:val="20"/>
                <w:szCs w:val="20"/>
              </w:rPr>
            </w:pPr>
            <w:r>
              <w:rPr>
                <w:color w:val="000000"/>
                <w:sz w:val="20"/>
                <w:szCs w:val="20"/>
              </w:rPr>
              <w:t>)</w:t>
            </w:r>
          </w:p>
        </w:tc>
      </w:tr>
    </w:tbl>
    <w:p w14:paraId="2ACBA715" w14:textId="77777777" w:rsidR="00954279" w:rsidRDefault="00A66714">
      <w:pPr>
        <w:ind w:left="144" w:right="144"/>
        <w:rPr>
          <w:sz w:val="20"/>
          <w:szCs w:val="20"/>
        </w:rPr>
      </w:pPr>
      <w:r>
        <w:rPr>
          <w:sz w:val="20"/>
          <w:szCs w:val="20"/>
        </w:rPr>
        <w:t> </w:t>
      </w:r>
    </w:p>
    <w:p w14:paraId="61D59F3A" w14:textId="77777777" w:rsidR="00954279" w:rsidRDefault="00A66714">
      <w:pPr>
        <w:ind w:left="144" w:right="144"/>
        <w:rPr>
          <w:sz w:val="20"/>
          <w:szCs w:val="20"/>
        </w:rPr>
      </w:pPr>
      <w:r>
        <w:rPr>
          <w:b/>
          <w:bCs/>
          <w:i/>
          <w:iCs/>
          <w:sz w:val="20"/>
          <w:szCs w:val="20"/>
        </w:rPr>
        <w:t xml:space="preserve">Operating Activities </w:t>
      </w:r>
    </w:p>
    <w:p w14:paraId="5B4A62AA" w14:textId="77777777" w:rsidR="00954279" w:rsidRDefault="00A66714">
      <w:pPr>
        <w:ind w:left="144" w:right="144"/>
        <w:rPr>
          <w:sz w:val="20"/>
          <w:szCs w:val="20"/>
        </w:rPr>
      </w:pPr>
      <w:r>
        <w:rPr>
          <w:sz w:val="20"/>
          <w:szCs w:val="20"/>
        </w:rPr>
        <w:t> </w:t>
      </w:r>
    </w:p>
    <w:p w14:paraId="4FB7F17E" w14:textId="3BD486EE" w:rsidR="00954279" w:rsidRDefault="00A66714">
      <w:pPr>
        <w:ind w:left="144" w:right="144"/>
        <w:rPr>
          <w:sz w:val="20"/>
          <w:szCs w:val="20"/>
        </w:rPr>
      </w:pPr>
      <w:r>
        <w:rPr>
          <w:sz w:val="20"/>
          <w:szCs w:val="20"/>
        </w:rPr>
        <w:t xml:space="preserve">Net cash provided by operating activities was </w:t>
      </w:r>
      <w:bookmarkStart w:id="149" w:name="led65149F20206121594587173448"/>
      <w:r>
        <w:rPr>
          <w:sz w:val="20"/>
          <w:szCs w:val="20"/>
        </w:rPr>
        <w:t>$47</w:t>
      </w:r>
      <w:bookmarkEnd w:id="149"/>
      <w:r>
        <w:rPr>
          <w:sz w:val="20"/>
          <w:szCs w:val="20"/>
        </w:rPr>
        <w:t xml:space="preserve"> million during the </w:t>
      </w:r>
      <w:bookmarkStart w:id="150" w:name="led65141F20205261593196131835"/>
      <w:r>
        <w:rPr>
          <w:sz w:val="20"/>
          <w:szCs w:val="20"/>
        </w:rPr>
        <w:t xml:space="preserve">six months ended June 30, 2021 compared to </w:t>
      </w:r>
      <w:bookmarkStart w:id="151" w:name="led65149F20206121594587204944"/>
      <w:r>
        <w:rPr>
          <w:sz w:val="20"/>
          <w:szCs w:val="20"/>
        </w:rPr>
        <w:t>$84</w:t>
      </w:r>
      <w:bookmarkEnd w:id="151"/>
      <w:r>
        <w:rPr>
          <w:sz w:val="20"/>
          <w:szCs w:val="20"/>
        </w:rPr>
        <w:t> million during the six months ended June 30, 2020</w:t>
      </w:r>
      <w:bookmarkEnd w:id="95"/>
      <w:r>
        <w:rPr>
          <w:sz w:val="20"/>
          <w:szCs w:val="20"/>
        </w:rPr>
        <w:t>. In addition, a reduction in working capital used cash of $1 million in the first six</w:t>
      </w:r>
      <w:r w:rsidR="006C5497">
        <w:rPr>
          <w:sz w:val="20"/>
          <w:szCs w:val="20"/>
        </w:rPr>
        <w:t> </w:t>
      </w:r>
      <w:r>
        <w:rPr>
          <w:sz w:val="20"/>
          <w:szCs w:val="20"/>
        </w:rPr>
        <w:t>months of 2021 compared to providing $48 million in the first six months of 2020. Accounts receivable used $62 million of cash in the first six months of 2021 compared to providing $69 million in the first six months of 2020. In addition, inventory provided $8 million of cash in the first six months of 2021 as compared to providing $41 million in the same period of 2020</w:t>
      </w:r>
      <w:bookmarkEnd w:id="22"/>
      <w:r>
        <w:rPr>
          <w:sz w:val="20"/>
          <w:szCs w:val="20"/>
        </w:rPr>
        <w:t>.  An increase in accounts payable provided $86 million in the first six months of 2021 as compared to $51 million cash utilized in the first six</w:t>
      </w:r>
      <w:r w:rsidR="006C5497">
        <w:rPr>
          <w:sz w:val="20"/>
          <w:szCs w:val="20"/>
        </w:rPr>
        <w:t> </w:t>
      </w:r>
      <w:r>
        <w:rPr>
          <w:sz w:val="20"/>
          <w:szCs w:val="20"/>
        </w:rPr>
        <w:t>months of 2020.</w:t>
      </w:r>
    </w:p>
    <w:p w14:paraId="5EB85187" w14:textId="77777777" w:rsidR="00954279" w:rsidRDefault="00A66714">
      <w:pPr>
        <w:ind w:left="144" w:right="144"/>
        <w:rPr>
          <w:sz w:val="20"/>
          <w:szCs w:val="20"/>
        </w:rPr>
      </w:pPr>
      <w:r>
        <w:rPr>
          <w:sz w:val="20"/>
          <w:szCs w:val="20"/>
        </w:rPr>
        <w:t> </w:t>
      </w:r>
    </w:p>
    <w:p w14:paraId="601C9151" w14:textId="77777777" w:rsidR="00954279" w:rsidRDefault="00A66714">
      <w:pPr>
        <w:ind w:left="144" w:right="144"/>
        <w:rPr>
          <w:sz w:val="20"/>
          <w:szCs w:val="20"/>
        </w:rPr>
      </w:pPr>
      <w:r>
        <w:rPr>
          <w:b/>
          <w:bCs/>
          <w:i/>
          <w:iCs/>
          <w:sz w:val="20"/>
          <w:szCs w:val="20"/>
        </w:rPr>
        <w:t xml:space="preserve">Investing Activities </w:t>
      </w:r>
    </w:p>
    <w:p w14:paraId="42FFB222" w14:textId="77777777" w:rsidR="00954279" w:rsidRDefault="00A66714">
      <w:pPr>
        <w:ind w:left="144" w:right="144"/>
        <w:rPr>
          <w:sz w:val="20"/>
          <w:szCs w:val="20"/>
        </w:rPr>
      </w:pPr>
      <w:r>
        <w:rPr>
          <w:sz w:val="20"/>
          <w:szCs w:val="20"/>
        </w:rPr>
        <w:t> </w:t>
      </w:r>
    </w:p>
    <w:p w14:paraId="666196CB" w14:textId="0AD37D5F" w:rsidR="00954279" w:rsidRDefault="00A66714">
      <w:pPr>
        <w:ind w:left="144" w:right="144"/>
        <w:rPr>
          <w:sz w:val="20"/>
          <w:szCs w:val="20"/>
        </w:rPr>
      </w:pPr>
      <w:r>
        <w:rPr>
          <w:sz w:val="20"/>
          <w:szCs w:val="20"/>
        </w:rPr>
        <w:t xml:space="preserve">Net cash used in investing activities was primarily comprised of capital expenditures totaling $4 million and $5 million for the </w:t>
      </w:r>
      <w:bookmarkStart w:id="152" w:name="led65141F20205261593196173093"/>
      <w:r>
        <w:rPr>
          <w:sz w:val="20"/>
          <w:szCs w:val="20"/>
        </w:rPr>
        <w:t>six</w:t>
      </w:r>
      <w:r w:rsidR="006C5497">
        <w:rPr>
          <w:sz w:val="20"/>
          <w:szCs w:val="20"/>
        </w:rPr>
        <w:t> </w:t>
      </w:r>
      <w:r>
        <w:rPr>
          <w:sz w:val="20"/>
          <w:szCs w:val="20"/>
        </w:rPr>
        <w:t>months ended June 30, 2021 and 2020</w:t>
      </w:r>
      <w:bookmarkEnd w:id="152"/>
      <w:r>
        <w:rPr>
          <w:sz w:val="20"/>
          <w:szCs w:val="20"/>
        </w:rPr>
        <w:t>, respectively.</w:t>
      </w:r>
    </w:p>
    <w:p w14:paraId="48E2DEC9" w14:textId="77777777" w:rsidR="00954279" w:rsidRDefault="00A66714">
      <w:pPr>
        <w:ind w:left="144" w:right="144"/>
        <w:rPr>
          <w:sz w:val="20"/>
          <w:szCs w:val="20"/>
        </w:rPr>
      </w:pPr>
      <w:r>
        <w:rPr>
          <w:sz w:val="20"/>
          <w:szCs w:val="20"/>
        </w:rPr>
        <w:t> </w:t>
      </w:r>
    </w:p>
    <w:p w14:paraId="42899438" w14:textId="77777777" w:rsidR="00954279" w:rsidRDefault="00A66714">
      <w:pPr>
        <w:ind w:left="144" w:right="144"/>
        <w:rPr>
          <w:sz w:val="20"/>
          <w:szCs w:val="20"/>
        </w:rPr>
      </w:pPr>
      <w:r>
        <w:rPr>
          <w:b/>
          <w:bCs/>
          <w:i/>
          <w:iCs/>
          <w:sz w:val="20"/>
          <w:szCs w:val="20"/>
        </w:rPr>
        <w:t xml:space="preserve">Financing Activities </w:t>
      </w:r>
    </w:p>
    <w:p w14:paraId="330801F6" w14:textId="77777777" w:rsidR="00954279" w:rsidRDefault="00A66714">
      <w:pPr>
        <w:ind w:left="144" w:right="144"/>
        <w:rPr>
          <w:sz w:val="20"/>
          <w:szCs w:val="20"/>
        </w:rPr>
      </w:pPr>
      <w:r>
        <w:rPr>
          <w:sz w:val="20"/>
          <w:szCs w:val="20"/>
        </w:rPr>
        <w:t> </w:t>
      </w:r>
    </w:p>
    <w:p w14:paraId="553FF722" w14:textId="5A726C14" w:rsidR="00954279" w:rsidRDefault="00A66714">
      <w:pPr>
        <w:ind w:left="144" w:right="144"/>
        <w:rPr>
          <w:sz w:val="20"/>
          <w:szCs w:val="20"/>
        </w:rPr>
      </w:pPr>
      <w:r>
        <w:rPr>
          <w:sz w:val="20"/>
          <w:szCs w:val="20"/>
        </w:rPr>
        <w:t xml:space="preserve">Net cash used in financing activities was </w:t>
      </w:r>
      <w:bookmarkStart w:id="153" w:name="led65149F20206121594587323250"/>
      <w:r>
        <w:rPr>
          <w:sz w:val="20"/>
          <w:szCs w:val="20"/>
        </w:rPr>
        <w:t>$101</w:t>
      </w:r>
      <w:bookmarkEnd w:id="153"/>
      <w:r>
        <w:rPr>
          <w:sz w:val="20"/>
          <w:szCs w:val="20"/>
        </w:rPr>
        <w:t> million for the six months ended June 30, 2021</w:t>
      </w:r>
      <w:bookmarkEnd w:id="150"/>
      <w:r>
        <w:rPr>
          <w:sz w:val="20"/>
          <w:szCs w:val="20"/>
        </w:rPr>
        <w:t xml:space="preserve"> compared to </w:t>
      </w:r>
      <w:bookmarkStart w:id="154" w:name="led65149F20206121594587344195"/>
      <w:r>
        <w:rPr>
          <w:sz w:val="20"/>
          <w:szCs w:val="20"/>
        </w:rPr>
        <w:t>$90</w:t>
      </w:r>
      <w:bookmarkEnd w:id="154"/>
      <w:r>
        <w:rPr>
          <w:sz w:val="20"/>
          <w:szCs w:val="20"/>
        </w:rPr>
        <w:t> million for the six</w:t>
      </w:r>
      <w:r w:rsidR="006C5497">
        <w:rPr>
          <w:sz w:val="20"/>
          <w:szCs w:val="20"/>
        </w:rPr>
        <w:t> </w:t>
      </w:r>
      <w:r>
        <w:rPr>
          <w:sz w:val="20"/>
          <w:szCs w:val="20"/>
        </w:rPr>
        <w:t>months ended June 30, 2020. In the first six</w:t>
      </w:r>
      <w:bookmarkEnd w:id="21"/>
      <w:r>
        <w:rPr>
          <w:sz w:val="20"/>
          <w:szCs w:val="20"/>
        </w:rPr>
        <w:t xml:space="preserve"> months of 2021, we made a payment of $86 million on our Term Loan as a result of excess cash flow generation in 2020. In the first six months of 2020, we made net payments under our Global ABL Facility of $71 million. We used $12 million to pay dividends on preferred stock for the six months ended June 30, 2021 and 2020. In addition, we repurchased and retired $3 million of our outstanding term loan in March 2020. </w:t>
      </w:r>
    </w:p>
    <w:p w14:paraId="11F8B91B" w14:textId="77777777" w:rsidR="00954279" w:rsidRDefault="00A66714">
      <w:pPr>
        <w:ind w:left="144" w:right="144"/>
        <w:rPr>
          <w:sz w:val="20"/>
          <w:szCs w:val="20"/>
        </w:rPr>
      </w:pPr>
      <w:r>
        <w:rPr>
          <w:sz w:val="20"/>
          <w:szCs w:val="20"/>
        </w:rPr>
        <w:t> </w:t>
      </w:r>
    </w:p>
    <w:p w14:paraId="0DE20DEA" w14:textId="77777777" w:rsidR="00954279" w:rsidRDefault="00A66714">
      <w:pPr>
        <w:ind w:left="144" w:right="144"/>
        <w:rPr>
          <w:sz w:val="20"/>
          <w:szCs w:val="20"/>
        </w:rPr>
      </w:pPr>
      <w:r>
        <w:rPr>
          <w:b/>
          <w:bCs/>
          <w:i/>
          <w:iCs/>
          <w:sz w:val="20"/>
          <w:szCs w:val="20"/>
        </w:rPr>
        <w:t>Critical Accounting Policies</w:t>
      </w:r>
    </w:p>
    <w:p w14:paraId="343C79F7" w14:textId="77777777" w:rsidR="00954279" w:rsidRDefault="00A66714">
      <w:pPr>
        <w:ind w:left="144" w:right="144"/>
        <w:rPr>
          <w:sz w:val="20"/>
          <w:szCs w:val="20"/>
        </w:rPr>
      </w:pPr>
      <w:r>
        <w:rPr>
          <w:sz w:val="20"/>
          <w:szCs w:val="20"/>
        </w:rPr>
        <w:t> </w:t>
      </w:r>
    </w:p>
    <w:p w14:paraId="0F1FB5CD" w14:textId="77777777" w:rsidR="00954279" w:rsidRDefault="00A66714">
      <w:pPr>
        <w:ind w:left="144" w:right="144"/>
        <w:rPr>
          <w:sz w:val="20"/>
          <w:szCs w:val="20"/>
        </w:rPr>
      </w:pPr>
      <w:r>
        <w:rPr>
          <w:sz w:val="20"/>
          <w:szCs w:val="20"/>
        </w:rPr>
        <w:t>The preparation of financial statements, in conformity with accounting principles generally accepted in the United States of America, requires management to make judgments, estimates and assumptions that affect the reported amounts of assets, liabilities, revenue and expense in the financial statements. Management bases its estimates on historical experience and other assumptions, which it believes are reasonable. If actual amounts are ultimately different from these estimates, the revisions are included in our results of operations for the period in which the actual amounts become known.</w:t>
      </w:r>
    </w:p>
    <w:p w14:paraId="4E8E2E5F" w14:textId="77777777" w:rsidR="00954279" w:rsidRDefault="00A66714">
      <w:pPr>
        <w:ind w:left="144" w:right="144"/>
        <w:rPr>
          <w:sz w:val="20"/>
          <w:szCs w:val="20"/>
        </w:rPr>
      </w:pPr>
      <w:r>
        <w:rPr>
          <w:sz w:val="20"/>
          <w:szCs w:val="20"/>
        </w:rPr>
        <w:t> </w:t>
      </w:r>
    </w:p>
    <w:p w14:paraId="3F95D57E" w14:textId="77777777" w:rsidR="00954279" w:rsidRDefault="00A66714">
      <w:pPr>
        <w:ind w:left="144" w:right="144"/>
        <w:rPr>
          <w:sz w:val="20"/>
          <w:szCs w:val="20"/>
        </w:rPr>
      </w:pPr>
      <w:r>
        <w:rPr>
          <w:sz w:val="20"/>
          <w:szCs w:val="20"/>
        </w:rPr>
        <w:t>Accounting policies are considered critical when they require management to make assumptions about matters that are highly uncertain at the time the estimates are made and when there are different estimates that management reasonably could have made, which would have a material impact on the presentation of our financial condition, changes in our financial condition or results of operations. For a description of our critical accounting policies, see “Item 7: Management’s Discussion and Analysis of Financial Condition and Results of Operations” in our Annual Report on Form 10-K for the fiscal year ended December 31, 2020. </w:t>
      </w:r>
    </w:p>
    <w:p w14:paraId="722C1A96" w14:textId="77777777" w:rsidR="00954279" w:rsidRDefault="00A66714">
      <w:pPr>
        <w:ind w:left="144" w:right="144"/>
        <w:rPr>
          <w:sz w:val="20"/>
          <w:szCs w:val="20"/>
        </w:rPr>
      </w:pPr>
      <w:r>
        <w:rPr>
          <w:sz w:val="20"/>
          <w:szCs w:val="20"/>
        </w:rPr>
        <w:t> </w:t>
      </w:r>
    </w:p>
    <w:p w14:paraId="2104E833" w14:textId="77777777" w:rsidR="00954279" w:rsidRDefault="00A66714">
      <w:pPr>
        <w:ind w:left="144" w:right="144"/>
        <w:rPr>
          <w:sz w:val="20"/>
          <w:szCs w:val="20"/>
        </w:rPr>
      </w:pPr>
      <w:bookmarkStart w:id="155" w:name="Item3_QQ"/>
      <w:bookmarkEnd w:id="155"/>
      <w:r>
        <w:rPr>
          <w:b/>
          <w:bCs/>
          <w:sz w:val="20"/>
          <w:szCs w:val="20"/>
        </w:rPr>
        <w:t>ITEM 3. QUANTITATIVE AND QUALITATIVE DISCLOSURES ABOUT MARKET RISK</w:t>
      </w:r>
    </w:p>
    <w:p w14:paraId="544CC22B" w14:textId="77777777" w:rsidR="00954279" w:rsidRDefault="00A66714">
      <w:pPr>
        <w:ind w:left="144" w:right="144"/>
        <w:rPr>
          <w:sz w:val="20"/>
          <w:szCs w:val="20"/>
        </w:rPr>
      </w:pPr>
      <w:r>
        <w:rPr>
          <w:sz w:val="20"/>
          <w:szCs w:val="20"/>
        </w:rPr>
        <w:t> </w:t>
      </w:r>
    </w:p>
    <w:p w14:paraId="1FC1DD11" w14:textId="77777777" w:rsidR="00954279" w:rsidRDefault="00A66714">
      <w:pPr>
        <w:ind w:left="144" w:right="144"/>
        <w:rPr>
          <w:sz w:val="20"/>
          <w:szCs w:val="20"/>
        </w:rPr>
      </w:pPr>
      <w:r>
        <w:rPr>
          <w:sz w:val="20"/>
          <w:szCs w:val="20"/>
        </w:rPr>
        <w:t>We are primarily exposed to the market risk associated with unfavorable movements in interest rates, foreign currencies and steel price volatility. There have been no material changes to our market risk policies or our market risk sensitive instruments and positions as described in our Annual Report on Form 10-K for the fiscal year ended December 31, 2020.</w:t>
      </w:r>
    </w:p>
    <w:p w14:paraId="6B4A88CD" w14:textId="77777777" w:rsidR="00954279" w:rsidRDefault="00A66714">
      <w:pPr>
        <w:ind w:left="144" w:right="144"/>
        <w:jc w:val="center"/>
        <w:rPr>
          <w:sz w:val="20"/>
          <w:szCs w:val="20"/>
        </w:rPr>
      </w:pPr>
      <w:r>
        <w:rPr>
          <w:sz w:val="20"/>
          <w:szCs w:val="20"/>
        </w:rPr>
        <w:t> </w:t>
      </w:r>
    </w:p>
    <w:p w14:paraId="256F0015" w14:textId="77777777" w:rsidR="00954279" w:rsidRDefault="00A66714">
      <w:pPr>
        <w:ind w:left="144" w:right="144"/>
        <w:jc w:val="center"/>
        <w:rPr>
          <w:sz w:val="20"/>
          <w:szCs w:val="20"/>
        </w:rPr>
      </w:pPr>
      <w:r>
        <w:rPr>
          <w:sz w:val="20"/>
          <w:szCs w:val="20"/>
        </w:rPr>
        <w:t>29</w:t>
      </w:r>
    </w:p>
    <w:p w14:paraId="2E62F6C7" w14:textId="77777777" w:rsidR="00954279" w:rsidRDefault="00A66714">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25A1FF45" w14:textId="77777777" w:rsidR="00954279" w:rsidRDefault="00A66714">
      <w:pPr>
        <w:ind w:left="144" w:right="144"/>
        <w:rPr>
          <w:sz w:val="20"/>
          <w:szCs w:val="20"/>
        </w:rPr>
      </w:pPr>
      <w:r>
        <w:rPr>
          <w:sz w:val="20"/>
          <w:szCs w:val="20"/>
        </w:rPr>
        <w:t> </w:t>
      </w:r>
    </w:p>
    <w:p w14:paraId="52CABEC6" w14:textId="77777777" w:rsidR="00954279" w:rsidRDefault="00A66714">
      <w:pPr>
        <w:ind w:left="144" w:right="144"/>
        <w:rPr>
          <w:sz w:val="20"/>
          <w:szCs w:val="20"/>
        </w:rPr>
      </w:pPr>
      <w:bookmarkStart w:id="156" w:name="Item4_Controls"/>
      <w:bookmarkEnd w:id="156"/>
      <w:r>
        <w:rPr>
          <w:b/>
          <w:bCs/>
          <w:sz w:val="20"/>
          <w:szCs w:val="20"/>
        </w:rPr>
        <w:t xml:space="preserve">ITEM 4. CONTROLS AND PROCEDURES </w:t>
      </w:r>
    </w:p>
    <w:p w14:paraId="4705A16C" w14:textId="77777777" w:rsidR="00954279" w:rsidRDefault="00A66714">
      <w:pPr>
        <w:ind w:left="144" w:right="144"/>
        <w:rPr>
          <w:sz w:val="20"/>
          <w:szCs w:val="20"/>
        </w:rPr>
      </w:pPr>
      <w:r>
        <w:rPr>
          <w:sz w:val="20"/>
          <w:szCs w:val="20"/>
        </w:rPr>
        <w:t> </w:t>
      </w:r>
    </w:p>
    <w:p w14:paraId="3E0E90DD" w14:textId="77777777" w:rsidR="00954279" w:rsidRDefault="00A66714">
      <w:pPr>
        <w:ind w:left="144" w:right="144"/>
        <w:rPr>
          <w:sz w:val="20"/>
          <w:szCs w:val="20"/>
        </w:rPr>
      </w:pPr>
      <w:r>
        <w:rPr>
          <w:b/>
          <w:bCs/>
          <w:i/>
          <w:iCs/>
          <w:sz w:val="20"/>
          <w:szCs w:val="20"/>
        </w:rPr>
        <w:t>Evaluation of disclosure controls and procedures</w:t>
      </w:r>
      <w:r>
        <w:rPr>
          <w:i/>
          <w:iCs/>
          <w:sz w:val="20"/>
          <w:szCs w:val="20"/>
        </w:rPr>
        <w:t xml:space="preserve">. </w:t>
      </w:r>
    </w:p>
    <w:p w14:paraId="4FD845F3" w14:textId="77777777" w:rsidR="00954279" w:rsidRDefault="00A66714">
      <w:pPr>
        <w:ind w:left="144" w:right="144"/>
        <w:rPr>
          <w:sz w:val="20"/>
          <w:szCs w:val="20"/>
        </w:rPr>
      </w:pPr>
      <w:r>
        <w:rPr>
          <w:sz w:val="20"/>
          <w:szCs w:val="20"/>
        </w:rPr>
        <w:t> </w:t>
      </w:r>
    </w:p>
    <w:p w14:paraId="3700690C" w14:textId="77777777" w:rsidR="00954279" w:rsidRDefault="00A66714">
      <w:pPr>
        <w:ind w:left="144" w:right="144"/>
        <w:rPr>
          <w:sz w:val="20"/>
          <w:szCs w:val="20"/>
        </w:rPr>
      </w:pPr>
      <w:r>
        <w:rPr>
          <w:sz w:val="20"/>
          <w:szCs w:val="20"/>
        </w:rPr>
        <w:t>As of June 30, 2021, we have reviewed, under the direction of our Chief Executive Officer and Chief Financial Officer, the Company’s disclosure controls and procedures, as defined in Exchange Act Rule 13a-15(e). Based upon and as of the date of that review, the Company’s Chief Executive Officer and Chief Financial Officer concluded that the Company’s disclosure controls and procedures were effective to ensure that information required to be disclosed in the reports that the Company files or submits under the Exchange Act is recorded, processed, summarized and reported within the time periods specified in the SEC’s rules and forms, and that such information is accumulated and communicated to the Company’s management, including the Chief Executive Officer and Chief Financial Officer, as appropriate, to allow timely decisions regarding required disclosures.</w:t>
      </w:r>
    </w:p>
    <w:p w14:paraId="25CACF2C" w14:textId="77777777" w:rsidR="00954279" w:rsidRDefault="00A66714">
      <w:pPr>
        <w:ind w:left="144" w:right="144"/>
        <w:rPr>
          <w:sz w:val="20"/>
          <w:szCs w:val="20"/>
        </w:rPr>
      </w:pPr>
      <w:r>
        <w:rPr>
          <w:sz w:val="20"/>
          <w:szCs w:val="20"/>
        </w:rPr>
        <w:t> </w:t>
      </w:r>
    </w:p>
    <w:p w14:paraId="707A8E58" w14:textId="77777777" w:rsidR="00954279" w:rsidRDefault="00A66714">
      <w:pPr>
        <w:ind w:left="144" w:right="144"/>
        <w:rPr>
          <w:sz w:val="20"/>
          <w:szCs w:val="20"/>
        </w:rPr>
      </w:pPr>
      <w:r>
        <w:rPr>
          <w:b/>
          <w:bCs/>
          <w:i/>
          <w:iCs/>
          <w:sz w:val="20"/>
          <w:szCs w:val="20"/>
        </w:rPr>
        <w:t>Changes in internal control over financial reporting</w:t>
      </w:r>
      <w:r>
        <w:rPr>
          <w:i/>
          <w:iCs/>
          <w:sz w:val="20"/>
          <w:szCs w:val="20"/>
        </w:rPr>
        <w:t>.</w:t>
      </w:r>
    </w:p>
    <w:p w14:paraId="28B3AB20" w14:textId="77777777" w:rsidR="00954279" w:rsidRDefault="00A66714">
      <w:pPr>
        <w:ind w:left="144" w:right="144"/>
        <w:rPr>
          <w:sz w:val="20"/>
          <w:szCs w:val="20"/>
        </w:rPr>
      </w:pPr>
      <w:r>
        <w:rPr>
          <w:sz w:val="20"/>
          <w:szCs w:val="20"/>
        </w:rPr>
        <w:t> </w:t>
      </w:r>
    </w:p>
    <w:p w14:paraId="0FB8A67F" w14:textId="77777777" w:rsidR="00954279" w:rsidRDefault="00A66714">
      <w:pPr>
        <w:ind w:left="144" w:right="144"/>
        <w:rPr>
          <w:sz w:val="20"/>
          <w:szCs w:val="20"/>
        </w:rPr>
      </w:pPr>
      <w:r>
        <w:rPr>
          <w:sz w:val="20"/>
          <w:szCs w:val="20"/>
        </w:rPr>
        <w:t xml:space="preserve">There were no changes in our internal control over financial reporting that occurred during the </w:t>
      </w:r>
      <w:bookmarkStart w:id="157" w:name="led65141F20208111599842608897"/>
      <w:r>
        <w:rPr>
          <w:sz w:val="20"/>
          <w:szCs w:val="20"/>
        </w:rPr>
        <w:t>second</w:t>
      </w:r>
      <w:bookmarkEnd w:id="157"/>
      <w:r>
        <w:rPr>
          <w:sz w:val="20"/>
          <w:szCs w:val="20"/>
        </w:rPr>
        <w:t> quarter of 2021</w:t>
      </w:r>
      <w:bookmarkEnd w:id="16"/>
      <w:r>
        <w:rPr>
          <w:sz w:val="20"/>
          <w:szCs w:val="20"/>
        </w:rPr>
        <w:t xml:space="preserve"> that have materially affected, or are reasonably likely to materially affect, our internal control over financial reporting.</w:t>
      </w:r>
    </w:p>
    <w:p w14:paraId="39D80EA2" w14:textId="77777777" w:rsidR="00954279" w:rsidRDefault="00A66714">
      <w:pPr>
        <w:ind w:left="144" w:right="144"/>
        <w:rPr>
          <w:caps/>
          <w:sz w:val="20"/>
          <w:szCs w:val="20"/>
        </w:rPr>
      </w:pPr>
      <w:r>
        <w:rPr>
          <w:caps/>
          <w:sz w:val="20"/>
          <w:szCs w:val="20"/>
        </w:rPr>
        <w:t> </w:t>
      </w:r>
    </w:p>
    <w:p w14:paraId="30B6350B" w14:textId="77777777" w:rsidR="00954279" w:rsidRDefault="00A66714">
      <w:pPr>
        <w:ind w:left="144" w:right="144"/>
        <w:jc w:val="center"/>
        <w:rPr>
          <w:sz w:val="20"/>
          <w:szCs w:val="20"/>
        </w:rPr>
      </w:pPr>
      <w:r>
        <w:rPr>
          <w:sz w:val="20"/>
          <w:szCs w:val="20"/>
        </w:rPr>
        <w:t>30</w:t>
      </w:r>
    </w:p>
    <w:p w14:paraId="591DB8D1" w14:textId="77777777" w:rsidR="00954279" w:rsidRDefault="00A66714">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64481140" w14:textId="77777777" w:rsidR="00954279" w:rsidRDefault="00A66714">
      <w:pPr>
        <w:ind w:left="144" w:right="144"/>
        <w:rPr>
          <w:sz w:val="20"/>
          <w:szCs w:val="20"/>
        </w:rPr>
      </w:pPr>
      <w:r>
        <w:rPr>
          <w:sz w:val="20"/>
          <w:szCs w:val="20"/>
        </w:rPr>
        <w:t> </w:t>
      </w:r>
    </w:p>
    <w:p w14:paraId="3BCAB099" w14:textId="77777777" w:rsidR="00954279" w:rsidRDefault="00A66714">
      <w:pPr>
        <w:ind w:left="144" w:right="144"/>
        <w:rPr>
          <w:sz w:val="20"/>
          <w:szCs w:val="20"/>
        </w:rPr>
      </w:pPr>
      <w:r>
        <w:rPr>
          <w:sz w:val="20"/>
          <w:szCs w:val="20"/>
        </w:rPr>
        <w:t> </w:t>
      </w:r>
    </w:p>
    <w:p w14:paraId="69E5AA15" w14:textId="77777777" w:rsidR="00954279" w:rsidRDefault="00A66714">
      <w:pPr>
        <w:ind w:left="144" w:right="144"/>
        <w:jc w:val="center"/>
        <w:rPr>
          <w:caps/>
          <w:sz w:val="20"/>
          <w:szCs w:val="20"/>
        </w:rPr>
      </w:pPr>
      <w:r>
        <w:rPr>
          <w:b/>
          <w:bCs/>
          <w:caps/>
          <w:sz w:val="20"/>
          <w:szCs w:val="20"/>
        </w:rPr>
        <w:t>Part II</w:t>
      </w:r>
      <w:r>
        <w:rPr>
          <w:caps/>
          <w:sz w:val="20"/>
          <w:szCs w:val="20"/>
        </w:rPr>
        <w:t>—</w:t>
      </w:r>
      <w:r>
        <w:rPr>
          <w:b/>
          <w:bCs/>
          <w:caps/>
          <w:sz w:val="20"/>
          <w:szCs w:val="20"/>
        </w:rPr>
        <w:t>other information</w:t>
      </w:r>
    </w:p>
    <w:p w14:paraId="2ABAD2EE" w14:textId="77777777" w:rsidR="00954279" w:rsidRDefault="00A66714">
      <w:pPr>
        <w:ind w:left="144" w:right="144"/>
        <w:jc w:val="center"/>
        <w:rPr>
          <w:caps/>
          <w:sz w:val="20"/>
          <w:szCs w:val="20"/>
        </w:rPr>
      </w:pPr>
      <w:r>
        <w:rPr>
          <w:caps/>
          <w:sz w:val="20"/>
          <w:szCs w:val="20"/>
        </w:rPr>
        <w:t> </w:t>
      </w:r>
    </w:p>
    <w:p w14:paraId="5C3AAC22" w14:textId="77777777" w:rsidR="00954279" w:rsidRDefault="00A66714">
      <w:pPr>
        <w:ind w:left="1584" w:right="144" w:hanging="1440"/>
        <w:rPr>
          <w:caps/>
          <w:sz w:val="20"/>
          <w:szCs w:val="20"/>
        </w:rPr>
      </w:pPr>
      <w:bookmarkStart w:id="158" w:name="Item1_Legal"/>
      <w:bookmarkEnd w:id="158"/>
      <w:r>
        <w:rPr>
          <w:b/>
          <w:bCs/>
          <w:caps/>
          <w:sz w:val="20"/>
          <w:szCs w:val="20"/>
        </w:rPr>
        <w:t>ITEM 1. LEGAL PROCEEDINGS</w:t>
      </w:r>
    </w:p>
    <w:p w14:paraId="51EA6C9E" w14:textId="77777777" w:rsidR="00954279" w:rsidRDefault="00A66714">
      <w:pPr>
        <w:ind w:left="1584" w:right="144" w:hanging="1440"/>
        <w:rPr>
          <w:caps/>
          <w:sz w:val="20"/>
          <w:szCs w:val="20"/>
        </w:rPr>
      </w:pPr>
      <w:r>
        <w:rPr>
          <w:caps/>
          <w:sz w:val="20"/>
          <w:szCs w:val="20"/>
        </w:rPr>
        <w:t> </w:t>
      </w:r>
    </w:p>
    <w:p w14:paraId="2955C231" w14:textId="77777777" w:rsidR="00954279" w:rsidRDefault="00A66714">
      <w:pPr>
        <w:ind w:left="144" w:right="144"/>
        <w:rPr>
          <w:sz w:val="20"/>
          <w:szCs w:val="20"/>
        </w:rPr>
      </w:pPr>
      <w:r>
        <w:rPr>
          <w:sz w:val="20"/>
          <w:szCs w:val="20"/>
        </w:rPr>
        <w:t>From time to time, we have been subject to various claims and involved in legal proceedings incidental to the nature of our businesses. We maintain insurance coverage to reduce financial risk associated with certain of these claims and proceedings. It is not possible to predict the outcome of these claims and proceedings. However, in our opinion, there are no pending legal proceedings that are likely to have a material effect on our business, financial condition, results of operations or cash flows, although it is possible that the resolution of certain actual, threatened or anticipated claims or proceedings could have a material adverse effect on our results of operations in the period of resolution.</w:t>
      </w:r>
    </w:p>
    <w:p w14:paraId="5A078EA4" w14:textId="77777777" w:rsidR="00954279" w:rsidRDefault="00A66714">
      <w:pPr>
        <w:ind w:left="144" w:right="144"/>
        <w:rPr>
          <w:sz w:val="20"/>
          <w:szCs w:val="20"/>
        </w:rPr>
      </w:pPr>
      <w:r>
        <w:rPr>
          <w:sz w:val="20"/>
          <w:szCs w:val="20"/>
        </w:rPr>
        <w:t> </w:t>
      </w:r>
    </w:p>
    <w:p w14:paraId="6EF8164C" w14:textId="77777777" w:rsidR="00954279" w:rsidRDefault="00A66714">
      <w:pPr>
        <w:ind w:left="144" w:right="144"/>
        <w:rPr>
          <w:sz w:val="20"/>
          <w:szCs w:val="20"/>
        </w:rPr>
      </w:pPr>
      <w:r>
        <w:rPr>
          <w:sz w:val="20"/>
          <w:szCs w:val="20"/>
        </w:rPr>
        <w:t>Also, from time to time, in the ordinary course of our business, our customers may claim that the products that we distribute are either defective or require repair or replacement under warranties that either we or the manufacturer may provide to the customer. These proceedings are, in the opinion of management, ordinary and routine matters incidental to our normal business. Our purchase orders with our suppliers generally require the manufacturer to indemnify us against any product liability claims, leaving the manufacturer ultimately responsible for these claims. In many cases, state, provincial or foreign law provides protection to distributors for these sorts of claims, shifting the responsibility to the manufacturer. In some cases, we could be required to repair or replace the products for the benefit of our customer and seek recovery from the manufacturer for our expense. In the opinion of management, the ultimate disposition of these claims and proceedings is not expected to have a material adverse effect on our financial condition, results of operations or cash flows.</w:t>
      </w:r>
    </w:p>
    <w:p w14:paraId="3E7C50F4" w14:textId="77777777" w:rsidR="00954279" w:rsidRDefault="00A66714">
      <w:pPr>
        <w:ind w:left="144" w:right="144"/>
        <w:rPr>
          <w:sz w:val="20"/>
          <w:szCs w:val="20"/>
        </w:rPr>
      </w:pPr>
      <w:r>
        <w:rPr>
          <w:sz w:val="20"/>
          <w:szCs w:val="20"/>
        </w:rPr>
        <w:t> </w:t>
      </w:r>
    </w:p>
    <w:p w14:paraId="423A777C" w14:textId="77777777" w:rsidR="00954279" w:rsidRDefault="00A66714">
      <w:pPr>
        <w:ind w:left="144" w:right="144"/>
        <w:rPr>
          <w:sz w:val="20"/>
          <w:szCs w:val="20"/>
        </w:rPr>
      </w:pPr>
      <w:r>
        <w:rPr>
          <w:sz w:val="20"/>
          <w:szCs w:val="20"/>
        </w:rPr>
        <w:t>For information regarding asbestos cases in which we are a defendant and other claims and proceedings, see “Note 11-Commitments and Contingencies” to our unaudited condensed consolidated financial statements.</w:t>
      </w:r>
    </w:p>
    <w:p w14:paraId="58069787" w14:textId="77777777" w:rsidR="00954279" w:rsidRDefault="00A66714">
      <w:pPr>
        <w:ind w:left="144" w:right="144"/>
        <w:rPr>
          <w:caps/>
          <w:sz w:val="20"/>
          <w:szCs w:val="20"/>
        </w:rPr>
      </w:pPr>
      <w:r>
        <w:rPr>
          <w:caps/>
          <w:sz w:val="20"/>
          <w:szCs w:val="20"/>
        </w:rPr>
        <w:t> </w:t>
      </w:r>
    </w:p>
    <w:p w14:paraId="0FEFFAD3" w14:textId="77777777" w:rsidR="00954279" w:rsidRDefault="00A66714">
      <w:pPr>
        <w:ind w:left="144" w:right="144"/>
        <w:rPr>
          <w:caps/>
          <w:sz w:val="20"/>
          <w:szCs w:val="20"/>
        </w:rPr>
      </w:pPr>
      <w:bookmarkStart w:id="159" w:name="Item1A_Risk"/>
      <w:bookmarkEnd w:id="159"/>
      <w:r>
        <w:rPr>
          <w:b/>
          <w:bCs/>
          <w:caps/>
          <w:sz w:val="20"/>
          <w:szCs w:val="20"/>
        </w:rPr>
        <w:t>Item 1A.  Risk Factors</w:t>
      </w:r>
    </w:p>
    <w:p w14:paraId="04762FE5" w14:textId="77777777" w:rsidR="00954279" w:rsidRDefault="00A66714">
      <w:pPr>
        <w:ind w:left="144" w:right="144"/>
        <w:rPr>
          <w:sz w:val="20"/>
          <w:szCs w:val="20"/>
        </w:rPr>
      </w:pPr>
      <w:r>
        <w:rPr>
          <w:sz w:val="20"/>
          <w:szCs w:val="20"/>
        </w:rPr>
        <w:t> </w:t>
      </w:r>
    </w:p>
    <w:p w14:paraId="4518235B" w14:textId="77777777" w:rsidR="00954279" w:rsidRDefault="00A66714">
      <w:pPr>
        <w:ind w:left="144" w:right="144"/>
        <w:rPr>
          <w:sz w:val="20"/>
          <w:szCs w:val="20"/>
        </w:rPr>
      </w:pPr>
      <w:r>
        <w:rPr>
          <w:sz w:val="20"/>
          <w:szCs w:val="20"/>
        </w:rPr>
        <w:t>We are affected by risks specific to us as well as factors that affect all businesses operating in a global market. The significant factors known to us that could materially adversely affect our business, financial condition or operating results are described in Part I, Item 2 of this Quarterly Report on Form 10-Q and in Part I, Item 1A of our Annual Report on Form 10-K for the year ended December 31, 2020 under “Risk Factors”.</w:t>
      </w:r>
    </w:p>
    <w:p w14:paraId="4A11389E" w14:textId="77777777" w:rsidR="00954279" w:rsidRDefault="00A66714">
      <w:pPr>
        <w:ind w:left="144" w:right="144"/>
        <w:rPr>
          <w:caps/>
          <w:sz w:val="20"/>
          <w:szCs w:val="20"/>
        </w:rPr>
      </w:pPr>
      <w:r>
        <w:rPr>
          <w:caps/>
          <w:sz w:val="20"/>
          <w:szCs w:val="20"/>
        </w:rPr>
        <w:t> </w:t>
      </w:r>
    </w:p>
    <w:p w14:paraId="11B5E815" w14:textId="77777777" w:rsidR="00954279" w:rsidRDefault="00A66714">
      <w:pPr>
        <w:ind w:left="144" w:right="144"/>
        <w:rPr>
          <w:caps/>
          <w:sz w:val="20"/>
          <w:szCs w:val="20"/>
        </w:rPr>
      </w:pPr>
      <w:bookmarkStart w:id="160" w:name="Item2_Unreg"/>
      <w:bookmarkEnd w:id="160"/>
      <w:r>
        <w:rPr>
          <w:b/>
          <w:bCs/>
          <w:caps/>
          <w:sz w:val="20"/>
          <w:szCs w:val="20"/>
        </w:rPr>
        <w:t>Item 2.  Unregistered Sales of Equity Securities and Use of Proceeds</w:t>
      </w:r>
    </w:p>
    <w:p w14:paraId="0A952993" w14:textId="77777777" w:rsidR="00954279" w:rsidRDefault="00A66714">
      <w:pPr>
        <w:ind w:left="144" w:right="144"/>
        <w:rPr>
          <w:sz w:val="20"/>
          <w:szCs w:val="20"/>
        </w:rPr>
      </w:pPr>
      <w:r>
        <w:rPr>
          <w:sz w:val="20"/>
          <w:szCs w:val="20"/>
        </w:rPr>
        <w:t> </w:t>
      </w:r>
    </w:p>
    <w:p w14:paraId="1768ABDF" w14:textId="77777777" w:rsidR="00954279" w:rsidRDefault="00A66714">
      <w:pPr>
        <w:ind w:left="144" w:right="144"/>
        <w:rPr>
          <w:sz w:val="20"/>
          <w:szCs w:val="20"/>
        </w:rPr>
      </w:pPr>
      <w:r>
        <w:rPr>
          <w:sz w:val="20"/>
          <w:szCs w:val="20"/>
        </w:rPr>
        <w:t>None.</w:t>
      </w:r>
    </w:p>
    <w:p w14:paraId="259637B8" w14:textId="77777777" w:rsidR="00954279" w:rsidRDefault="00A66714">
      <w:pPr>
        <w:ind w:left="144" w:right="144"/>
        <w:rPr>
          <w:caps/>
          <w:sz w:val="20"/>
          <w:szCs w:val="20"/>
        </w:rPr>
      </w:pPr>
      <w:r>
        <w:rPr>
          <w:caps/>
          <w:sz w:val="20"/>
          <w:szCs w:val="20"/>
        </w:rPr>
        <w:t> </w:t>
      </w:r>
    </w:p>
    <w:p w14:paraId="0EE4600B" w14:textId="77777777" w:rsidR="00954279" w:rsidRDefault="00A66714">
      <w:pPr>
        <w:ind w:left="144" w:right="144"/>
        <w:rPr>
          <w:caps/>
          <w:sz w:val="20"/>
          <w:szCs w:val="20"/>
        </w:rPr>
      </w:pPr>
      <w:bookmarkStart w:id="161" w:name="ITem3_Defaults"/>
      <w:bookmarkEnd w:id="161"/>
      <w:r>
        <w:rPr>
          <w:b/>
          <w:bCs/>
          <w:caps/>
          <w:sz w:val="20"/>
          <w:szCs w:val="20"/>
        </w:rPr>
        <w:t>Item 3.  Defaults Upon Senior Securities</w:t>
      </w:r>
    </w:p>
    <w:p w14:paraId="6A45436F" w14:textId="77777777" w:rsidR="00954279" w:rsidRDefault="00A66714">
      <w:pPr>
        <w:ind w:left="144" w:right="144"/>
        <w:rPr>
          <w:sz w:val="20"/>
          <w:szCs w:val="20"/>
        </w:rPr>
      </w:pPr>
      <w:r>
        <w:rPr>
          <w:sz w:val="20"/>
          <w:szCs w:val="20"/>
        </w:rPr>
        <w:t> </w:t>
      </w:r>
    </w:p>
    <w:p w14:paraId="7E38F76D" w14:textId="77777777" w:rsidR="00954279" w:rsidRDefault="00A66714">
      <w:pPr>
        <w:ind w:left="144" w:right="144"/>
        <w:rPr>
          <w:sz w:val="20"/>
          <w:szCs w:val="20"/>
        </w:rPr>
      </w:pPr>
      <w:r>
        <w:rPr>
          <w:sz w:val="20"/>
          <w:szCs w:val="20"/>
        </w:rPr>
        <w:t>None.</w:t>
      </w:r>
    </w:p>
    <w:p w14:paraId="6A790555" w14:textId="77777777" w:rsidR="00954279" w:rsidRDefault="00A66714">
      <w:pPr>
        <w:ind w:left="144" w:right="144"/>
        <w:rPr>
          <w:caps/>
          <w:sz w:val="20"/>
          <w:szCs w:val="20"/>
        </w:rPr>
      </w:pPr>
      <w:r>
        <w:rPr>
          <w:caps/>
          <w:sz w:val="20"/>
          <w:szCs w:val="20"/>
        </w:rPr>
        <w:t> </w:t>
      </w:r>
    </w:p>
    <w:p w14:paraId="3FCE8E15" w14:textId="77777777" w:rsidR="00954279" w:rsidRDefault="00A66714">
      <w:pPr>
        <w:ind w:left="144" w:right="144"/>
        <w:jc w:val="center"/>
        <w:rPr>
          <w:sz w:val="20"/>
          <w:szCs w:val="20"/>
        </w:rPr>
      </w:pPr>
      <w:r>
        <w:rPr>
          <w:sz w:val="20"/>
          <w:szCs w:val="20"/>
        </w:rPr>
        <w:t>31</w:t>
      </w:r>
    </w:p>
    <w:p w14:paraId="722D8D4C" w14:textId="77777777" w:rsidR="00954279" w:rsidRDefault="00A66714">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58929C5C" w14:textId="77777777" w:rsidR="00954279" w:rsidRDefault="00A66714">
      <w:pPr>
        <w:ind w:left="144" w:right="144"/>
        <w:rPr>
          <w:sz w:val="20"/>
          <w:szCs w:val="20"/>
        </w:rPr>
      </w:pPr>
      <w:r>
        <w:rPr>
          <w:sz w:val="20"/>
          <w:szCs w:val="20"/>
        </w:rPr>
        <w:t> </w:t>
      </w:r>
    </w:p>
    <w:p w14:paraId="0B856A17" w14:textId="77777777" w:rsidR="00954279" w:rsidRDefault="00A66714">
      <w:pPr>
        <w:ind w:left="144" w:right="144"/>
        <w:rPr>
          <w:caps/>
          <w:sz w:val="20"/>
          <w:szCs w:val="20"/>
        </w:rPr>
      </w:pPr>
      <w:bookmarkStart w:id="162" w:name="Item4_Mine"/>
      <w:bookmarkEnd w:id="162"/>
      <w:r>
        <w:rPr>
          <w:b/>
          <w:bCs/>
          <w:caps/>
          <w:sz w:val="20"/>
          <w:szCs w:val="20"/>
        </w:rPr>
        <w:t>Item 4.  MINING SAFETY DISCLOSURES</w:t>
      </w:r>
    </w:p>
    <w:p w14:paraId="1843A0B7" w14:textId="77777777" w:rsidR="00954279" w:rsidRDefault="00A66714">
      <w:pPr>
        <w:ind w:left="144" w:right="144"/>
        <w:rPr>
          <w:caps/>
          <w:sz w:val="20"/>
          <w:szCs w:val="20"/>
        </w:rPr>
      </w:pPr>
      <w:r>
        <w:rPr>
          <w:caps/>
          <w:sz w:val="20"/>
          <w:szCs w:val="20"/>
        </w:rPr>
        <w:t> </w:t>
      </w:r>
    </w:p>
    <w:p w14:paraId="75795455" w14:textId="77777777" w:rsidR="00954279" w:rsidRDefault="00A66714">
      <w:pPr>
        <w:ind w:left="144" w:right="144"/>
        <w:rPr>
          <w:sz w:val="20"/>
          <w:szCs w:val="20"/>
        </w:rPr>
      </w:pPr>
      <w:r>
        <w:rPr>
          <w:sz w:val="20"/>
          <w:szCs w:val="20"/>
        </w:rPr>
        <w:t>None.</w:t>
      </w:r>
    </w:p>
    <w:p w14:paraId="4AA54880" w14:textId="77777777" w:rsidR="00954279" w:rsidRDefault="00A66714">
      <w:pPr>
        <w:ind w:left="144" w:right="144"/>
        <w:rPr>
          <w:sz w:val="20"/>
          <w:szCs w:val="20"/>
        </w:rPr>
      </w:pPr>
      <w:r>
        <w:rPr>
          <w:sz w:val="20"/>
          <w:szCs w:val="20"/>
        </w:rPr>
        <w:t> </w:t>
      </w:r>
    </w:p>
    <w:p w14:paraId="41DB27A6" w14:textId="77777777" w:rsidR="00954279" w:rsidRDefault="00A66714">
      <w:pPr>
        <w:ind w:left="144" w:right="144"/>
        <w:rPr>
          <w:caps/>
          <w:sz w:val="20"/>
          <w:szCs w:val="20"/>
        </w:rPr>
      </w:pPr>
      <w:bookmarkStart w:id="163" w:name="Item5_Other"/>
      <w:bookmarkEnd w:id="163"/>
      <w:r>
        <w:rPr>
          <w:b/>
          <w:bCs/>
          <w:caps/>
          <w:sz w:val="20"/>
          <w:szCs w:val="20"/>
        </w:rPr>
        <w:t>Item 5.  Other Information</w:t>
      </w:r>
    </w:p>
    <w:p w14:paraId="0F8CDA48" w14:textId="77777777" w:rsidR="00954279" w:rsidRDefault="00A66714">
      <w:pPr>
        <w:ind w:left="144" w:right="144"/>
        <w:rPr>
          <w:caps/>
          <w:sz w:val="20"/>
          <w:szCs w:val="20"/>
        </w:rPr>
      </w:pPr>
      <w:r>
        <w:rPr>
          <w:caps/>
          <w:sz w:val="20"/>
          <w:szCs w:val="20"/>
        </w:rPr>
        <w:t> </w:t>
      </w:r>
    </w:p>
    <w:p w14:paraId="299EC0DE" w14:textId="77777777" w:rsidR="00954279" w:rsidRDefault="00A66714">
      <w:pPr>
        <w:ind w:left="144" w:right="144"/>
        <w:rPr>
          <w:sz w:val="20"/>
          <w:szCs w:val="20"/>
        </w:rPr>
      </w:pPr>
      <w:r>
        <w:rPr>
          <w:sz w:val="20"/>
          <w:szCs w:val="20"/>
        </w:rPr>
        <w:t>None.</w:t>
      </w:r>
    </w:p>
    <w:p w14:paraId="4A59CDC7" w14:textId="77777777" w:rsidR="00954279" w:rsidRDefault="00A66714">
      <w:pPr>
        <w:ind w:left="144" w:right="144"/>
        <w:rPr>
          <w:caps/>
          <w:sz w:val="20"/>
          <w:szCs w:val="20"/>
        </w:rPr>
      </w:pPr>
      <w:r>
        <w:rPr>
          <w:caps/>
          <w:sz w:val="20"/>
          <w:szCs w:val="20"/>
        </w:rPr>
        <w:t> </w:t>
      </w:r>
    </w:p>
    <w:p w14:paraId="72382FEB" w14:textId="77777777" w:rsidR="00954279" w:rsidRDefault="00A66714">
      <w:pPr>
        <w:ind w:left="144" w:right="144"/>
        <w:jc w:val="center"/>
        <w:rPr>
          <w:sz w:val="20"/>
          <w:szCs w:val="20"/>
        </w:rPr>
      </w:pPr>
      <w:r>
        <w:rPr>
          <w:sz w:val="20"/>
          <w:szCs w:val="20"/>
        </w:rPr>
        <w:t>32</w:t>
      </w:r>
    </w:p>
    <w:p w14:paraId="70934866" w14:textId="77777777" w:rsidR="00954279" w:rsidRDefault="00A66714">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5D4D5EF9" w14:textId="77777777" w:rsidR="00954279" w:rsidRDefault="00A66714">
      <w:pPr>
        <w:ind w:left="144" w:right="144"/>
        <w:rPr>
          <w:sz w:val="20"/>
          <w:szCs w:val="20"/>
        </w:rPr>
      </w:pPr>
      <w:r>
        <w:rPr>
          <w:sz w:val="20"/>
          <w:szCs w:val="20"/>
        </w:rPr>
        <w:t> </w:t>
      </w:r>
    </w:p>
    <w:p w14:paraId="7C416247" w14:textId="77777777" w:rsidR="00954279" w:rsidRDefault="00A66714">
      <w:pPr>
        <w:ind w:left="144" w:right="144"/>
        <w:rPr>
          <w:caps/>
          <w:sz w:val="20"/>
          <w:szCs w:val="20"/>
        </w:rPr>
      </w:pPr>
      <w:bookmarkStart w:id="164" w:name="Item6_exhibits"/>
      <w:bookmarkEnd w:id="164"/>
      <w:r>
        <w:rPr>
          <w:b/>
          <w:bCs/>
          <w:caps/>
          <w:sz w:val="20"/>
          <w:szCs w:val="20"/>
        </w:rPr>
        <w:t>Item 6.  Exhibits</w:t>
      </w:r>
    </w:p>
    <w:p w14:paraId="7364263D" w14:textId="77777777" w:rsidR="00954279" w:rsidRDefault="00A66714">
      <w:pPr>
        <w:ind w:left="144" w:right="144"/>
        <w:rPr>
          <w:caps/>
          <w:sz w:val="20"/>
          <w:szCs w:val="20"/>
        </w:rPr>
      </w:pPr>
      <w:r>
        <w:rPr>
          <w:caps/>
          <w:sz w:val="20"/>
          <w:szCs w:val="20"/>
        </w:rPr>
        <w:t> </w:t>
      </w:r>
    </w:p>
    <w:tbl>
      <w:tblPr>
        <w:tblW w:w="5000" w:type="pct"/>
        <w:tblInd w:w="149" w:type="dxa"/>
        <w:tblCellMar>
          <w:left w:w="0" w:type="dxa"/>
          <w:right w:w="0" w:type="dxa"/>
        </w:tblCellMar>
        <w:tblLook w:val="04A0" w:firstRow="1" w:lastRow="0" w:firstColumn="1" w:lastColumn="0" w:noHBand="0" w:noVBand="1"/>
      </w:tblPr>
      <w:tblGrid>
        <w:gridCol w:w="972"/>
        <w:gridCol w:w="108"/>
        <w:gridCol w:w="9720"/>
      </w:tblGrid>
      <w:tr w:rsidR="00954279" w14:paraId="1130DF36" w14:textId="77777777">
        <w:tc>
          <w:tcPr>
            <w:tcW w:w="450" w:type="pct"/>
            <w:tcBorders>
              <w:bottom w:val="single" w:sz="6" w:space="0" w:color="000000"/>
            </w:tcBorders>
            <w:tcMar>
              <w:top w:w="5" w:type="dxa"/>
              <w:left w:w="5" w:type="dxa"/>
              <w:bottom w:w="8" w:type="dxa"/>
              <w:right w:w="5" w:type="dxa"/>
            </w:tcMar>
            <w:vAlign w:val="bottom"/>
            <w:hideMark/>
          </w:tcPr>
          <w:p w14:paraId="641BFA74" w14:textId="77777777" w:rsidR="00954279" w:rsidRDefault="00A66714">
            <w:pPr>
              <w:jc w:val="center"/>
              <w:rPr>
                <w:color w:val="000000"/>
                <w:sz w:val="20"/>
                <w:szCs w:val="20"/>
              </w:rPr>
            </w:pPr>
            <w:r>
              <w:rPr>
                <w:b/>
                <w:bCs/>
                <w:color w:val="000000"/>
                <w:sz w:val="20"/>
                <w:szCs w:val="20"/>
              </w:rPr>
              <w:t>Number</w:t>
            </w:r>
          </w:p>
        </w:tc>
        <w:tc>
          <w:tcPr>
            <w:tcW w:w="50" w:type="pct"/>
            <w:tcMar>
              <w:top w:w="5" w:type="dxa"/>
              <w:left w:w="5" w:type="dxa"/>
              <w:bottom w:w="5" w:type="dxa"/>
              <w:right w:w="5" w:type="dxa"/>
            </w:tcMar>
            <w:vAlign w:val="bottom"/>
            <w:hideMark/>
          </w:tcPr>
          <w:p w14:paraId="20641D91" w14:textId="77777777" w:rsidR="00954279" w:rsidRDefault="00A66714">
            <w:pPr>
              <w:rPr>
                <w:color w:val="000000"/>
                <w:sz w:val="20"/>
                <w:szCs w:val="20"/>
              </w:rPr>
            </w:pPr>
            <w:r>
              <w:rPr>
                <w:color w:val="000000"/>
                <w:sz w:val="20"/>
                <w:szCs w:val="20"/>
              </w:rPr>
              <w:t> </w:t>
            </w:r>
          </w:p>
        </w:tc>
        <w:tc>
          <w:tcPr>
            <w:tcW w:w="4500" w:type="pct"/>
            <w:tcBorders>
              <w:bottom w:val="single" w:sz="6" w:space="0" w:color="000000"/>
            </w:tcBorders>
            <w:tcMar>
              <w:top w:w="5" w:type="dxa"/>
              <w:left w:w="5" w:type="dxa"/>
              <w:bottom w:w="8" w:type="dxa"/>
              <w:right w:w="5" w:type="dxa"/>
            </w:tcMar>
            <w:vAlign w:val="bottom"/>
            <w:hideMark/>
          </w:tcPr>
          <w:p w14:paraId="3BCF0CF5" w14:textId="77777777" w:rsidR="00954279" w:rsidRDefault="00A66714">
            <w:pPr>
              <w:jc w:val="center"/>
              <w:rPr>
                <w:color w:val="000000"/>
                <w:sz w:val="20"/>
                <w:szCs w:val="20"/>
              </w:rPr>
            </w:pPr>
            <w:r>
              <w:rPr>
                <w:b/>
                <w:bCs/>
                <w:color w:val="000000"/>
                <w:sz w:val="20"/>
                <w:szCs w:val="20"/>
              </w:rPr>
              <w:t>Description</w:t>
            </w:r>
          </w:p>
        </w:tc>
      </w:tr>
      <w:tr w:rsidR="00954279" w14:paraId="69377608" w14:textId="77777777">
        <w:tc>
          <w:tcPr>
            <w:tcW w:w="450" w:type="pct"/>
            <w:tcMar>
              <w:top w:w="5" w:type="dxa"/>
              <w:left w:w="5" w:type="dxa"/>
              <w:bottom w:w="5" w:type="dxa"/>
              <w:right w:w="5" w:type="dxa"/>
            </w:tcMar>
            <w:vAlign w:val="center"/>
            <w:hideMark/>
          </w:tcPr>
          <w:p w14:paraId="1AEFC3AE"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center"/>
            <w:hideMark/>
          </w:tcPr>
          <w:p w14:paraId="7B32B25D" w14:textId="77777777" w:rsidR="00954279" w:rsidRDefault="00A66714">
            <w:pPr>
              <w:rPr>
                <w:color w:val="000000"/>
                <w:sz w:val="20"/>
                <w:szCs w:val="20"/>
              </w:rPr>
            </w:pPr>
            <w:r>
              <w:rPr>
                <w:color w:val="000000"/>
                <w:sz w:val="20"/>
                <w:szCs w:val="20"/>
              </w:rPr>
              <w:t> </w:t>
            </w:r>
          </w:p>
        </w:tc>
        <w:tc>
          <w:tcPr>
            <w:tcW w:w="4500" w:type="pct"/>
            <w:tcMar>
              <w:top w:w="5" w:type="dxa"/>
              <w:left w:w="5" w:type="dxa"/>
              <w:bottom w:w="5" w:type="dxa"/>
              <w:right w:w="5" w:type="dxa"/>
            </w:tcMar>
            <w:vAlign w:val="center"/>
            <w:hideMark/>
          </w:tcPr>
          <w:p w14:paraId="62F196EA" w14:textId="77777777" w:rsidR="00954279" w:rsidRDefault="00A66714">
            <w:pPr>
              <w:rPr>
                <w:color w:val="000000"/>
                <w:sz w:val="20"/>
                <w:szCs w:val="20"/>
              </w:rPr>
            </w:pPr>
            <w:r>
              <w:rPr>
                <w:color w:val="000000"/>
                <w:sz w:val="20"/>
                <w:szCs w:val="20"/>
              </w:rPr>
              <w:t> </w:t>
            </w:r>
          </w:p>
        </w:tc>
      </w:tr>
      <w:tr w:rsidR="00954279" w14:paraId="3FF447CD" w14:textId="77777777">
        <w:tc>
          <w:tcPr>
            <w:tcW w:w="450" w:type="pct"/>
            <w:tcMar>
              <w:top w:w="5" w:type="dxa"/>
              <w:left w:w="5" w:type="dxa"/>
              <w:bottom w:w="5" w:type="dxa"/>
              <w:right w:w="5" w:type="dxa"/>
            </w:tcMar>
            <w:hideMark/>
          </w:tcPr>
          <w:p w14:paraId="0FB807BF" w14:textId="77777777" w:rsidR="00954279" w:rsidRDefault="00A66714">
            <w:pPr>
              <w:ind w:left="245" w:hanging="245"/>
              <w:rPr>
                <w:color w:val="000000"/>
                <w:sz w:val="20"/>
                <w:szCs w:val="20"/>
              </w:rPr>
            </w:pPr>
            <w:r>
              <w:rPr>
                <w:color w:val="000000"/>
                <w:sz w:val="20"/>
                <w:szCs w:val="20"/>
              </w:rPr>
              <w:t>3.1</w:t>
            </w:r>
          </w:p>
        </w:tc>
        <w:tc>
          <w:tcPr>
            <w:tcW w:w="50" w:type="pct"/>
            <w:tcMar>
              <w:top w:w="5" w:type="dxa"/>
              <w:left w:w="5" w:type="dxa"/>
              <w:bottom w:w="5" w:type="dxa"/>
              <w:right w:w="5" w:type="dxa"/>
            </w:tcMar>
            <w:hideMark/>
          </w:tcPr>
          <w:p w14:paraId="220DE103" w14:textId="77777777" w:rsidR="00954279" w:rsidRDefault="00A66714">
            <w:pPr>
              <w:rPr>
                <w:color w:val="000000"/>
                <w:sz w:val="20"/>
                <w:szCs w:val="20"/>
              </w:rPr>
            </w:pPr>
            <w:r>
              <w:rPr>
                <w:color w:val="000000"/>
                <w:sz w:val="20"/>
                <w:szCs w:val="20"/>
              </w:rPr>
              <w:t> </w:t>
            </w:r>
          </w:p>
        </w:tc>
        <w:tc>
          <w:tcPr>
            <w:tcW w:w="4500" w:type="pct"/>
            <w:tcMar>
              <w:top w:w="5" w:type="dxa"/>
              <w:left w:w="5" w:type="dxa"/>
              <w:bottom w:w="5" w:type="dxa"/>
              <w:right w:w="5" w:type="dxa"/>
            </w:tcMar>
            <w:hideMark/>
          </w:tcPr>
          <w:p w14:paraId="097DF387" w14:textId="77777777" w:rsidR="00954279" w:rsidRDefault="00691A5E">
            <w:pPr>
              <w:rPr>
                <w:color w:val="000000"/>
                <w:sz w:val="20"/>
                <w:szCs w:val="20"/>
              </w:rPr>
            </w:pPr>
            <w:hyperlink r:id="rId4" w:history="1">
              <w:r w:rsidR="00A66714">
                <w:rPr>
                  <w:color w:val="0000EE"/>
                  <w:sz w:val="20"/>
                  <w:szCs w:val="20"/>
                  <w:u w:val="single" w:color="0000EE"/>
                </w:rPr>
                <w:t>Amended and Restated Certificate of Incorporation of MRC Global Inc. dated April 11, 2012. (Incorporated by reference to Exhibit 3.1 to the Current Report on Form 8-K of MRC Global Inc. filed with the SEC on April 17, 2012, File No. 001-35479).</w:t>
              </w:r>
            </w:hyperlink>
          </w:p>
        </w:tc>
      </w:tr>
      <w:tr w:rsidR="00954279" w14:paraId="54A9C950" w14:textId="77777777">
        <w:tc>
          <w:tcPr>
            <w:tcW w:w="450" w:type="pct"/>
            <w:tcMar>
              <w:top w:w="5" w:type="dxa"/>
              <w:left w:w="5" w:type="dxa"/>
              <w:bottom w:w="5" w:type="dxa"/>
              <w:right w:w="5" w:type="dxa"/>
            </w:tcMar>
            <w:hideMark/>
          </w:tcPr>
          <w:p w14:paraId="1973616F"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hideMark/>
          </w:tcPr>
          <w:p w14:paraId="7A6DB09E" w14:textId="77777777" w:rsidR="00954279" w:rsidRDefault="00A66714">
            <w:pPr>
              <w:rPr>
                <w:color w:val="000000"/>
                <w:sz w:val="20"/>
                <w:szCs w:val="20"/>
              </w:rPr>
            </w:pPr>
            <w:r>
              <w:rPr>
                <w:color w:val="000000"/>
                <w:sz w:val="20"/>
                <w:szCs w:val="20"/>
              </w:rPr>
              <w:t> </w:t>
            </w:r>
          </w:p>
        </w:tc>
        <w:tc>
          <w:tcPr>
            <w:tcW w:w="4500" w:type="pct"/>
            <w:tcMar>
              <w:top w:w="5" w:type="dxa"/>
              <w:left w:w="5" w:type="dxa"/>
              <w:bottom w:w="5" w:type="dxa"/>
              <w:right w:w="5" w:type="dxa"/>
            </w:tcMar>
            <w:hideMark/>
          </w:tcPr>
          <w:p w14:paraId="5D1DA0AC" w14:textId="77777777" w:rsidR="00954279" w:rsidRDefault="00A66714">
            <w:pPr>
              <w:rPr>
                <w:color w:val="000000"/>
                <w:sz w:val="20"/>
                <w:szCs w:val="20"/>
              </w:rPr>
            </w:pPr>
            <w:r>
              <w:rPr>
                <w:color w:val="000000"/>
                <w:sz w:val="20"/>
                <w:szCs w:val="20"/>
              </w:rPr>
              <w:t> </w:t>
            </w:r>
          </w:p>
        </w:tc>
      </w:tr>
      <w:tr w:rsidR="00954279" w14:paraId="2290ABBE" w14:textId="77777777">
        <w:tc>
          <w:tcPr>
            <w:tcW w:w="450" w:type="pct"/>
            <w:tcMar>
              <w:top w:w="5" w:type="dxa"/>
              <w:left w:w="5" w:type="dxa"/>
              <w:bottom w:w="5" w:type="dxa"/>
              <w:right w:w="5" w:type="dxa"/>
            </w:tcMar>
            <w:hideMark/>
          </w:tcPr>
          <w:p w14:paraId="109CF24F" w14:textId="77777777" w:rsidR="00954279" w:rsidRDefault="00A66714">
            <w:pPr>
              <w:ind w:left="245" w:hanging="245"/>
              <w:rPr>
                <w:color w:val="000000"/>
                <w:sz w:val="20"/>
                <w:szCs w:val="20"/>
              </w:rPr>
            </w:pPr>
            <w:r>
              <w:rPr>
                <w:color w:val="000000"/>
                <w:sz w:val="20"/>
                <w:szCs w:val="20"/>
              </w:rPr>
              <w:t>3.2</w:t>
            </w:r>
          </w:p>
        </w:tc>
        <w:tc>
          <w:tcPr>
            <w:tcW w:w="50" w:type="pct"/>
            <w:tcMar>
              <w:top w:w="5" w:type="dxa"/>
              <w:left w:w="5" w:type="dxa"/>
              <w:bottom w:w="5" w:type="dxa"/>
              <w:right w:w="5" w:type="dxa"/>
            </w:tcMar>
            <w:hideMark/>
          </w:tcPr>
          <w:p w14:paraId="700877EB" w14:textId="77777777" w:rsidR="00954279" w:rsidRDefault="00A66714">
            <w:pPr>
              <w:rPr>
                <w:color w:val="000000"/>
                <w:sz w:val="20"/>
                <w:szCs w:val="20"/>
              </w:rPr>
            </w:pPr>
            <w:r>
              <w:rPr>
                <w:color w:val="000000"/>
                <w:sz w:val="20"/>
                <w:szCs w:val="20"/>
              </w:rPr>
              <w:t> </w:t>
            </w:r>
          </w:p>
        </w:tc>
        <w:tc>
          <w:tcPr>
            <w:tcW w:w="4500" w:type="pct"/>
            <w:tcMar>
              <w:top w:w="5" w:type="dxa"/>
              <w:left w:w="5" w:type="dxa"/>
              <w:bottom w:w="5" w:type="dxa"/>
              <w:right w:w="5" w:type="dxa"/>
            </w:tcMar>
            <w:hideMark/>
          </w:tcPr>
          <w:p w14:paraId="0FED6D8E" w14:textId="77777777" w:rsidR="00954279" w:rsidRDefault="00691A5E">
            <w:pPr>
              <w:rPr>
                <w:color w:val="000000"/>
                <w:sz w:val="20"/>
                <w:szCs w:val="20"/>
              </w:rPr>
            </w:pPr>
            <w:hyperlink r:id="rId5" w:history="1">
              <w:r w:rsidR="00A66714">
                <w:rPr>
                  <w:color w:val="0000EE"/>
                  <w:sz w:val="20"/>
                  <w:szCs w:val="20"/>
                  <w:u w:val="single" w:color="0000EE"/>
                </w:rPr>
                <w:t>Amended and Restated Bylaws of MRC Global Inc. dated November 7, 2013. (Incorporated by reference to Exhibit 3.1 to the Current Report on Form 8-K of MRC Global Inc. filed with the SEC on November 13, 2013, File No. 001-35479).</w:t>
              </w:r>
            </w:hyperlink>
          </w:p>
        </w:tc>
      </w:tr>
      <w:tr w:rsidR="00954279" w14:paraId="3C79785D" w14:textId="77777777">
        <w:tc>
          <w:tcPr>
            <w:tcW w:w="450" w:type="pct"/>
            <w:tcMar>
              <w:top w:w="5" w:type="dxa"/>
              <w:left w:w="5" w:type="dxa"/>
              <w:bottom w:w="5" w:type="dxa"/>
              <w:right w:w="5" w:type="dxa"/>
            </w:tcMar>
            <w:hideMark/>
          </w:tcPr>
          <w:p w14:paraId="2319529F"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hideMark/>
          </w:tcPr>
          <w:p w14:paraId="1D8352E3" w14:textId="77777777" w:rsidR="00954279" w:rsidRDefault="00A66714">
            <w:pPr>
              <w:rPr>
                <w:color w:val="000000"/>
                <w:sz w:val="20"/>
                <w:szCs w:val="20"/>
              </w:rPr>
            </w:pPr>
            <w:r>
              <w:rPr>
                <w:color w:val="000000"/>
                <w:sz w:val="20"/>
                <w:szCs w:val="20"/>
              </w:rPr>
              <w:t> </w:t>
            </w:r>
          </w:p>
        </w:tc>
        <w:tc>
          <w:tcPr>
            <w:tcW w:w="4500" w:type="pct"/>
            <w:tcMar>
              <w:top w:w="5" w:type="dxa"/>
              <w:left w:w="5" w:type="dxa"/>
              <w:bottom w:w="5" w:type="dxa"/>
              <w:right w:w="5" w:type="dxa"/>
            </w:tcMar>
            <w:hideMark/>
          </w:tcPr>
          <w:p w14:paraId="520F9FFC" w14:textId="77777777" w:rsidR="00954279" w:rsidRDefault="00A66714">
            <w:pPr>
              <w:rPr>
                <w:color w:val="000000"/>
                <w:sz w:val="20"/>
                <w:szCs w:val="20"/>
              </w:rPr>
            </w:pPr>
            <w:r>
              <w:rPr>
                <w:color w:val="000000"/>
                <w:sz w:val="20"/>
                <w:szCs w:val="20"/>
              </w:rPr>
              <w:t> </w:t>
            </w:r>
          </w:p>
        </w:tc>
      </w:tr>
      <w:tr w:rsidR="00954279" w14:paraId="24210A9A" w14:textId="77777777">
        <w:tc>
          <w:tcPr>
            <w:tcW w:w="450" w:type="pct"/>
            <w:tcMar>
              <w:top w:w="5" w:type="dxa"/>
              <w:left w:w="5" w:type="dxa"/>
              <w:bottom w:w="5" w:type="dxa"/>
              <w:right w:w="5" w:type="dxa"/>
            </w:tcMar>
            <w:hideMark/>
          </w:tcPr>
          <w:p w14:paraId="1B0B5E41" w14:textId="77777777" w:rsidR="00954279" w:rsidRDefault="00A66714">
            <w:pPr>
              <w:ind w:left="245" w:hanging="245"/>
              <w:rPr>
                <w:color w:val="000000"/>
                <w:sz w:val="20"/>
                <w:szCs w:val="20"/>
              </w:rPr>
            </w:pPr>
            <w:r>
              <w:rPr>
                <w:color w:val="000000"/>
                <w:sz w:val="20"/>
                <w:szCs w:val="20"/>
              </w:rPr>
              <w:t>3.3</w:t>
            </w:r>
          </w:p>
        </w:tc>
        <w:tc>
          <w:tcPr>
            <w:tcW w:w="50" w:type="pct"/>
            <w:tcMar>
              <w:top w:w="5" w:type="dxa"/>
              <w:left w:w="5" w:type="dxa"/>
              <w:bottom w:w="5" w:type="dxa"/>
              <w:right w:w="5" w:type="dxa"/>
            </w:tcMar>
            <w:hideMark/>
          </w:tcPr>
          <w:p w14:paraId="1E2BAE9E" w14:textId="77777777" w:rsidR="00954279" w:rsidRDefault="00A66714">
            <w:pPr>
              <w:rPr>
                <w:color w:val="000000"/>
                <w:sz w:val="20"/>
                <w:szCs w:val="20"/>
              </w:rPr>
            </w:pPr>
            <w:r>
              <w:rPr>
                <w:color w:val="000000"/>
                <w:sz w:val="20"/>
                <w:szCs w:val="20"/>
              </w:rPr>
              <w:t> </w:t>
            </w:r>
          </w:p>
        </w:tc>
        <w:tc>
          <w:tcPr>
            <w:tcW w:w="4500" w:type="pct"/>
            <w:tcMar>
              <w:top w:w="5" w:type="dxa"/>
              <w:left w:w="5" w:type="dxa"/>
              <w:bottom w:w="5" w:type="dxa"/>
              <w:right w:w="5" w:type="dxa"/>
            </w:tcMar>
            <w:hideMark/>
          </w:tcPr>
          <w:p w14:paraId="0CD6B66C" w14:textId="77777777" w:rsidR="00954279" w:rsidRDefault="00691A5E">
            <w:pPr>
              <w:rPr>
                <w:color w:val="000000"/>
                <w:sz w:val="20"/>
                <w:szCs w:val="20"/>
              </w:rPr>
            </w:pPr>
            <w:hyperlink r:id="rId6" w:history="1">
              <w:r w:rsidR="00A66714">
                <w:rPr>
                  <w:color w:val="0000EE"/>
                  <w:sz w:val="20"/>
                  <w:szCs w:val="20"/>
                  <w:u w:val="single" w:color="0000EE"/>
                </w:rPr>
                <w:t>Certificate of Designations, Preferences, Rights and Limitations of Series A Convertible Perpetual Preferred Stock of MRC Global Inc. (Incorporated by reference to Exhibit 3.1 to the Current Report on Form 8-K of MRC Global Inc. filed with the SEC on June 11, 2015, File No. 001-35479).</w:t>
              </w:r>
            </w:hyperlink>
          </w:p>
        </w:tc>
      </w:tr>
      <w:tr w:rsidR="00954279" w14:paraId="533E29FE" w14:textId="77777777">
        <w:tc>
          <w:tcPr>
            <w:tcW w:w="450" w:type="pct"/>
            <w:tcMar>
              <w:top w:w="5" w:type="dxa"/>
              <w:left w:w="5" w:type="dxa"/>
              <w:bottom w:w="5" w:type="dxa"/>
              <w:right w:w="5" w:type="dxa"/>
            </w:tcMar>
            <w:hideMark/>
          </w:tcPr>
          <w:p w14:paraId="22A086B8"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hideMark/>
          </w:tcPr>
          <w:p w14:paraId="035D1358" w14:textId="77777777" w:rsidR="00954279" w:rsidRDefault="00A66714">
            <w:pPr>
              <w:rPr>
                <w:color w:val="000000"/>
                <w:sz w:val="20"/>
                <w:szCs w:val="20"/>
              </w:rPr>
            </w:pPr>
            <w:r>
              <w:rPr>
                <w:color w:val="000000"/>
                <w:sz w:val="20"/>
                <w:szCs w:val="20"/>
              </w:rPr>
              <w:t> </w:t>
            </w:r>
          </w:p>
        </w:tc>
        <w:tc>
          <w:tcPr>
            <w:tcW w:w="4500" w:type="pct"/>
            <w:tcMar>
              <w:top w:w="5" w:type="dxa"/>
              <w:left w:w="5" w:type="dxa"/>
              <w:bottom w:w="5" w:type="dxa"/>
              <w:right w:w="5" w:type="dxa"/>
            </w:tcMar>
            <w:hideMark/>
          </w:tcPr>
          <w:p w14:paraId="24BBC9EC" w14:textId="77777777" w:rsidR="00954279" w:rsidRDefault="00A66714">
            <w:pPr>
              <w:rPr>
                <w:color w:val="000000"/>
                <w:sz w:val="20"/>
                <w:szCs w:val="20"/>
              </w:rPr>
            </w:pPr>
            <w:r>
              <w:rPr>
                <w:color w:val="000000"/>
                <w:sz w:val="20"/>
                <w:szCs w:val="20"/>
              </w:rPr>
              <w:t> </w:t>
            </w:r>
          </w:p>
        </w:tc>
      </w:tr>
      <w:tr w:rsidR="00954279" w14:paraId="58924433" w14:textId="77777777">
        <w:tc>
          <w:tcPr>
            <w:tcW w:w="450" w:type="pct"/>
            <w:tcMar>
              <w:top w:w="5" w:type="dxa"/>
              <w:left w:w="5" w:type="dxa"/>
              <w:bottom w:w="5" w:type="dxa"/>
              <w:right w:w="5" w:type="dxa"/>
            </w:tcMar>
            <w:hideMark/>
          </w:tcPr>
          <w:p w14:paraId="12DDC526" w14:textId="77777777" w:rsidR="00954279" w:rsidRDefault="00A66714">
            <w:pPr>
              <w:ind w:left="245" w:hanging="245"/>
              <w:rPr>
                <w:color w:val="000000"/>
                <w:sz w:val="20"/>
                <w:szCs w:val="20"/>
              </w:rPr>
            </w:pPr>
            <w:r>
              <w:rPr>
                <w:color w:val="000000"/>
                <w:sz w:val="20"/>
                <w:szCs w:val="20"/>
              </w:rPr>
              <w:t>31.1*</w:t>
            </w:r>
          </w:p>
        </w:tc>
        <w:tc>
          <w:tcPr>
            <w:tcW w:w="50" w:type="pct"/>
            <w:tcMar>
              <w:top w:w="5" w:type="dxa"/>
              <w:left w:w="5" w:type="dxa"/>
              <w:bottom w:w="5" w:type="dxa"/>
              <w:right w:w="5" w:type="dxa"/>
            </w:tcMar>
            <w:hideMark/>
          </w:tcPr>
          <w:p w14:paraId="60E10E68" w14:textId="77777777" w:rsidR="00954279" w:rsidRDefault="00A66714">
            <w:pPr>
              <w:rPr>
                <w:color w:val="000000"/>
                <w:sz w:val="20"/>
                <w:szCs w:val="20"/>
              </w:rPr>
            </w:pPr>
            <w:r>
              <w:rPr>
                <w:color w:val="000000"/>
                <w:sz w:val="20"/>
                <w:szCs w:val="20"/>
              </w:rPr>
              <w:t> </w:t>
            </w:r>
          </w:p>
        </w:tc>
        <w:tc>
          <w:tcPr>
            <w:tcW w:w="4500" w:type="pct"/>
            <w:tcMar>
              <w:top w:w="5" w:type="dxa"/>
              <w:left w:w="5" w:type="dxa"/>
              <w:bottom w:w="5" w:type="dxa"/>
              <w:right w:w="5" w:type="dxa"/>
            </w:tcMar>
            <w:hideMark/>
          </w:tcPr>
          <w:p w14:paraId="34F29030" w14:textId="77777777" w:rsidR="00954279" w:rsidRDefault="00691A5E">
            <w:pPr>
              <w:rPr>
                <w:color w:val="000000"/>
                <w:sz w:val="20"/>
                <w:szCs w:val="20"/>
              </w:rPr>
            </w:pPr>
            <w:hyperlink r:id="rId7" w:history="1">
              <w:r w:rsidR="00A66714">
                <w:rPr>
                  <w:color w:val="0000EE"/>
                  <w:sz w:val="20"/>
                  <w:szCs w:val="20"/>
                  <w:u w:val="single" w:color="0000EE"/>
                </w:rPr>
                <w:t>Certification of the Chief Executive Officer pursuant to Rules 13a-14(a) and 15d-14(a) promulgated under the Securities Exchange Act of 1934, as amended, and Item 601(b)(31) of Regulation S-K, as adopted pursuant to Section 302 of the Sarbanes-Oxley Act of 2002.</w:t>
              </w:r>
            </w:hyperlink>
          </w:p>
        </w:tc>
      </w:tr>
      <w:tr w:rsidR="00954279" w14:paraId="0D6A26E3" w14:textId="77777777">
        <w:tc>
          <w:tcPr>
            <w:tcW w:w="450" w:type="pct"/>
            <w:tcMar>
              <w:top w:w="5" w:type="dxa"/>
              <w:left w:w="5" w:type="dxa"/>
              <w:bottom w:w="5" w:type="dxa"/>
              <w:right w:w="5" w:type="dxa"/>
            </w:tcMar>
            <w:vAlign w:val="center"/>
            <w:hideMark/>
          </w:tcPr>
          <w:p w14:paraId="7E4F2C4B"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center"/>
            <w:hideMark/>
          </w:tcPr>
          <w:p w14:paraId="3E633C4C" w14:textId="77777777" w:rsidR="00954279" w:rsidRDefault="00A66714">
            <w:pPr>
              <w:rPr>
                <w:color w:val="000000"/>
                <w:sz w:val="20"/>
                <w:szCs w:val="20"/>
              </w:rPr>
            </w:pPr>
            <w:r>
              <w:rPr>
                <w:color w:val="000000"/>
                <w:sz w:val="20"/>
                <w:szCs w:val="20"/>
              </w:rPr>
              <w:t> </w:t>
            </w:r>
          </w:p>
        </w:tc>
        <w:tc>
          <w:tcPr>
            <w:tcW w:w="4500" w:type="pct"/>
            <w:tcMar>
              <w:top w:w="5" w:type="dxa"/>
              <w:left w:w="5" w:type="dxa"/>
              <w:bottom w:w="5" w:type="dxa"/>
              <w:right w:w="5" w:type="dxa"/>
            </w:tcMar>
            <w:vAlign w:val="center"/>
            <w:hideMark/>
          </w:tcPr>
          <w:p w14:paraId="000CFD9D" w14:textId="77777777" w:rsidR="00954279" w:rsidRDefault="00A66714">
            <w:pPr>
              <w:rPr>
                <w:color w:val="000000"/>
                <w:sz w:val="20"/>
                <w:szCs w:val="20"/>
              </w:rPr>
            </w:pPr>
            <w:r>
              <w:rPr>
                <w:color w:val="000000"/>
                <w:sz w:val="20"/>
                <w:szCs w:val="20"/>
              </w:rPr>
              <w:t> </w:t>
            </w:r>
          </w:p>
        </w:tc>
      </w:tr>
      <w:tr w:rsidR="00954279" w14:paraId="6E0B07DB" w14:textId="77777777">
        <w:tc>
          <w:tcPr>
            <w:tcW w:w="450" w:type="pct"/>
            <w:tcMar>
              <w:top w:w="5" w:type="dxa"/>
              <w:left w:w="5" w:type="dxa"/>
              <w:bottom w:w="5" w:type="dxa"/>
              <w:right w:w="5" w:type="dxa"/>
            </w:tcMar>
            <w:hideMark/>
          </w:tcPr>
          <w:p w14:paraId="3C628472" w14:textId="77777777" w:rsidR="00954279" w:rsidRDefault="00A66714">
            <w:pPr>
              <w:ind w:left="245" w:hanging="245"/>
              <w:rPr>
                <w:color w:val="000000"/>
                <w:sz w:val="20"/>
                <w:szCs w:val="20"/>
              </w:rPr>
            </w:pPr>
            <w:r>
              <w:rPr>
                <w:color w:val="000000"/>
                <w:sz w:val="20"/>
                <w:szCs w:val="20"/>
              </w:rPr>
              <w:t>31.2*</w:t>
            </w:r>
          </w:p>
        </w:tc>
        <w:tc>
          <w:tcPr>
            <w:tcW w:w="50" w:type="pct"/>
            <w:tcMar>
              <w:top w:w="5" w:type="dxa"/>
              <w:left w:w="5" w:type="dxa"/>
              <w:bottom w:w="5" w:type="dxa"/>
              <w:right w:w="5" w:type="dxa"/>
            </w:tcMar>
            <w:hideMark/>
          </w:tcPr>
          <w:p w14:paraId="2A7FD077" w14:textId="77777777" w:rsidR="00954279" w:rsidRDefault="00A66714">
            <w:pPr>
              <w:rPr>
                <w:color w:val="000000"/>
                <w:sz w:val="20"/>
                <w:szCs w:val="20"/>
              </w:rPr>
            </w:pPr>
            <w:r>
              <w:rPr>
                <w:color w:val="000000"/>
                <w:sz w:val="20"/>
                <w:szCs w:val="20"/>
              </w:rPr>
              <w:t> </w:t>
            </w:r>
          </w:p>
        </w:tc>
        <w:tc>
          <w:tcPr>
            <w:tcW w:w="4500" w:type="pct"/>
            <w:tcMar>
              <w:top w:w="5" w:type="dxa"/>
              <w:left w:w="5" w:type="dxa"/>
              <w:bottom w:w="5" w:type="dxa"/>
              <w:right w:w="5" w:type="dxa"/>
            </w:tcMar>
            <w:hideMark/>
          </w:tcPr>
          <w:p w14:paraId="046D3EB3" w14:textId="77777777" w:rsidR="00954279" w:rsidRDefault="00691A5E">
            <w:pPr>
              <w:rPr>
                <w:color w:val="000000"/>
                <w:sz w:val="20"/>
                <w:szCs w:val="20"/>
              </w:rPr>
            </w:pPr>
            <w:hyperlink r:id="rId8" w:history="1">
              <w:r w:rsidR="00A66714">
                <w:rPr>
                  <w:color w:val="0000EE"/>
                  <w:sz w:val="20"/>
                  <w:szCs w:val="20"/>
                  <w:u w:val="single" w:color="0000EE"/>
                </w:rPr>
                <w:t>Certification of the Chief Financial Officer pursuant to Rules 13a-14(a) and 15d-14(a) promulgated under the Securities Exchange Act of 1934, as amended, and Item 601(b)(31) of Regulation S-K, as adopted pursuant to Section 302 of the Sarbanes-Oxley Act of 2002.</w:t>
              </w:r>
            </w:hyperlink>
          </w:p>
        </w:tc>
      </w:tr>
      <w:tr w:rsidR="00954279" w14:paraId="370D4223" w14:textId="77777777">
        <w:tc>
          <w:tcPr>
            <w:tcW w:w="450" w:type="pct"/>
            <w:tcMar>
              <w:top w:w="5" w:type="dxa"/>
              <w:left w:w="5" w:type="dxa"/>
              <w:bottom w:w="5" w:type="dxa"/>
              <w:right w:w="5" w:type="dxa"/>
            </w:tcMar>
            <w:vAlign w:val="center"/>
            <w:hideMark/>
          </w:tcPr>
          <w:p w14:paraId="38394A8E"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center"/>
            <w:hideMark/>
          </w:tcPr>
          <w:p w14:paraId="08EDF5F1" w14:textId="77777777" w:rsidR="00954279" w:rsidRDefault="00A66714">
            <w:pPr>
              <w:rPr>
                <w:color w:val="000000"/>
                <w:sz w:val="20"/>
                <w:szCs w:val="20"/>
              </w:rPr>
            </w:pPr>
            <w:r>
              <w:rPr>
                <w:color w:val="000000"/>
                <w:sz w:val="20"/>
                <w:szCs w:val="20"/>
              </w:rPr>
              <w:t> </w:t>
            </w:r>
          </w:p>
        </w:tc>
        <w:tc>
          <w:tcPr>
            <w:tcW w:w="4500" w:type="pct"/>
            <w:tcMar>
              <w:top w:w="5" w:type="dxa"/>
              <w:left w:w="5" w:type="dxa"/>
              <w:bottom w:w="5" w:type="dxa"/>
              <w:right w:w="5" w:type="dxa"/>
            </w:tcMar>
            <w:vAlign w:val="center"/>
            <w:hideMark/>
          </w:tcPr>
          <w:p w14:paraId="2C00D58D" w14:textId="77777777" w:rsidR="00954279" w:rsidRDefault="00A66714">
            <w:pPr>
              <w:rPr>
                <w:color w:val="000000"/>
                <w:sz w:val="20"/>
                <w:szCs w:val="20"/>
              </w:rPr>
            </w:pPr>
            <w:r>
              <w:rPr>
                <w:color w:val="000000"/>
                <w:sz w:val="20"/>
                <w:szCs w:val="20"/>
              </w:rPr>
              <w:t> </w:t>
            </w:r>
          </w:p>
        </w:tc>
      </w:tr>
      <w:tr w:rsidR="00954279" w14:paraId="06E3D217" w14:textId="77777777">
        <w:tc>
          <w:tcPr>
            <w:tcW w:w="450" w:type="pct"/>
            <w:tcMar>
              <w:top w:w="5" w:type="dxa"/>
              <w:left w:w="5" w:type="dxa"/>
              <w:bottom w:w="5" w:type="dxa"/>
              <w:right w:w="5" w:type="dxa"/>
            </w:tcMar>
            <w:hideMark/>
          </w:tcPr>
          <w:p w14:paraId="12AF103C" w14:textId="77777777" w:rsidR="00954279" w:rsidRDefault="00A66714">
            <w:pPr>
              <w:ind w:left="245" w:hanging="245"/>
              <w:rPr>
                <w:color w:val="000000"/>
                <w:sz w:val="20"/>
                <w:szCs w:val="20"/>
              </w:rPr>
            </w:pPr>
            <w:r>
              <w:rPr>
                <w:color w:val="000000"/>
                <w:sz w:val="20"/>
                <w:szCs w:val="20"/>
              </w:rPr>
              <w:t>32**</w:t>
            </w:r>
          </w:p>
        </w:tc>
        <w:tc>
          <w:tcPr>
            <w:tcW w:w="50" w:type="pct"/>
            <w:tcMar>
              <w:top w:w="5" w:type="dxa"/>
              <w:left w:w="5" w:type="dxa"/>
              <w:bottom w:w="5" w:type="dxa"/>
              <w:right w:w="5" w:type="dxa"/>
            </w:tcMar>
            <w:hideMark/>
          </w:tcPr>
          <w:p w14:paraId="610E8744" w14:textId="77777777" w:rsidR="00954279" w:rsidRDefault="00A66714">
            <w:pPr>
              <w:rPr>
                <w:color w:val="000000"/>
                <w:sz w:val="20"/>
                <w:szCs w:val="20"/>
              </w:rPr>
            </w:pPr>
            <w:r>
              <w:rPr>
                <w:color w:val="000000"/>
                <w:sz w:val="20"/>
                <w:szCs w:val="20"/>
              </w:rPr>
              <w:t> </w:t>
            </w:r>
          </w:p>
        </w:tc>
        <w:tc>
          <w:tcPr>
            <w:tcW w:w="4500" w:type="pct"/>
            <w:tcMar>
              <w:top w:w="5" w:type="dxa"/>
              <w:left w:w="5" w:type="dxa"/>
              <w:bottom w:w="5" w:type="dxa"/>
              <w:right w:w="5" w:type="dxa"/>
            </w:tcMar>
            <w:hideMark/>
          </w:tcPr>
          <w:p w14:paraId="056821C2" w14:textId="77777777" w:rsidR="00954279" w:rsidRDefault="00691A5E">
            <w:pPr>
              <w:rPr>
                <w:color w:val="000000"/>
                <w:sz w:val="20"/>
                <w:szCs w:val="20"/>
              </w:rPr>
            </w:pPr>
            <w:hyperlink r:id="rId9" w:history="1">
              <w:r w:rsidR="00A66714">
                <w:rPr>
                  <w:color w:val="0000EE"/>
                  <w:sz w:val="20"/>
                  <w:szCs w:val="20"/>
                  <w:u w:val="single" w:color="0000EE"/>
                </w:rPr>
                <w:t>Certification of the Chief Executive Officer and the Chief Financial Officer pursuant to 18 U.S.C. Section 1350, as adopted pursuant to Section 906 of the Sarbanes-Oxley Act of 2002.</w:t>
              </w:r>
            </w:hyperlink>
          </w:p>
        </w:tc>
      </w:tr>
      <w:tr w:rsidR="00954279" w14:paraId="5723744F" w14:textId="77777777">
        <w:tc>
          <w:tcPr>
            <w:tcW w:w="450" w:type="pct"/>
            <w:tcMar>
              <w:top w:w="5" w:type="dxa"/>
              <w:left w:w="5" w:type="dxa"/>
              <w:bottom w:w="5" w:type="dxa"/>
              <w:right w:w="5" w:type="dxa"/>
            </w:tcMar>
            <w:vAlign w:val="center"/>
            <w:hideMark/>
          </w:tcPr>
          <w:p w14:paraId="6CFF8230"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center"/>
            <w:hideMark/>
          </w:tcPr>
          <w:p w14:paraId="2132505E" w14:textId="77777777" w:rsidR="00954279" w:rsidRDefault="00A66714">
            <w:pPr>
              <w:rPr>
                <w:color w:val="000000"/>
                <w:sz w:val="20"/>
                <w:szCs w:val="20"/>
              </w:rPr>
            </w:pPr>
            <w:r>
              <w:rPr>
                <w:color w:val="000000"/>
                <w:sz w:val="20"/>
                <w:szCs w:val="20"/>
              </w:rPr>
              <w:t> </w:t>
            </w:r>
          </w:p>
        </w:tc>
        <w:tc>
          <w:tcPr>
            <w:tcW w:w="4500" w:type="pct"/>
            <w:tcMar>
              <w:top w:w="5" w:type="dxa"/>
              <w:left w:w="5" w:type="dxa"/>
              <w:bottom w:w="5" w:type="dxa"/>
              <w:right w:w="5" w:type="dxa"/>
            </w:tcMar>
            <w:vAlign w:val="center"/>
            <w:hideMark/>
          </w:tcPr>
          <w:p w14:paraId="2241F367" w14:textId="77777777" w:rsidR="00954279" w:rsidRDefault="00A66714">
            <w:pPr>
              <w:rPr>
                <w:color w:val="000000"/>
                <w:sz w:val="20"/>
                <w:szCs w:val="20"/>
              </w:rPr>
            </w:pPr>
            <w:r>
              <w:rPr>
                <w:color w:val="000000"/>
                <w:sz w:val="20"/>
                <w:szCs w:val="20"/>
              </w:rPr>
              <w:t> </w:t>
            </w:r>
          </w:p>
        </w:tc>
      </w:tr>
      <w:tr w:rsidR="00954279" w14:paraId="444DD5F2" w14:textId="77777777">
        <w:tc>
          <w:tcPr>
            <w:tcW w:w="450" w:type="pct"/>
            <w:tcMar>
              <w:top w:w="5" w:type="dxa"/>
              <w:left w:w="5" w:type="dxa"/>
              <w:bottom w:w="5" w:type="dxa"/>
              <w:right w:w="5" w:type="dxa"/>
            </w:tcMar>
            <w:hideMark/>
          </w:tcPr>
          <w:p w14:paraId="0631D5E4" w14:textId="77777777" w:rsidR="00954279" w:rsidRDefault="00A66714">
            <w:pPr>
              <w:ind w:left="245" w:hanging="245"/>
              <w:rPr>
                <w:color w:val="000000"/>
                <w:sz w:val="20"/>
                <w:szCs w:val="20"/>
              </w:rPr>
            </w:pPr>
            <w:r>
              <w:rPr>
                <w:color w:val="000000"/>
                <w:sz w:val="20"/>
                <w:szCs w:val="20"/>
              </w:rPr>
              <w:t>101*</w:t>
            </w:r>
          </w:p>
        </w:tc>
        <w:tc>
          <w:tcPr>
            <w:tcW w:w="50" w:type="pct"/>
            <w:tcMar>
              <w:top w:w="5" w:type="dxa"/>
              <w:left w:w="5" w:type="dxa"/>
              <w:bottom w:w="5" w:type="dxa"/>
              <w:right w:w="5" w:type="dxa"/>
            </w:tcMar>
            <w:hideMark/>
          </w:tcPr>
          <w:p w14:paraId="40E7417A" w14:textId="77777777" w:rsidR="00954279" w:rsidRDefault="00A66714">
            <w:pPr>
              <w:rPr>
                <w:color w:val="000000"/>
                <w:sz w:val="20"/>
                <w:szCs w:val="20"/>
              </w:rPr>
            </w:pPr>
            <w:r>
              <w:rPr>
                <w:color w:val="000000"/>
                <w:sz w:val="20"/>
                <w:szCs w:val="20"/>
              </w:rPr>
              <w:t> </w:t>
            </w:r>
          </w:p>
        </w:tc>
        <w:tc>
          <w:tcPr>
            <w:tcW w:w="4500" w:type="pct"/>
            <w:tcMar>
              <w:top w:w="5" w:type="dxa"/>
              <w:left w:w="5" w:type="dxa"/>
              <w:bottom w:w="5" w:type="dxa"/>
              <w:right w:w="5" w:type="dxa"/>
            </w:tcMar>
            <w:hideMark/>
          </w:tcPr>
          <w:p w14:paraId="02C7C143" w14:textId="77777777" w:rsidR="00954279" w:rsidRDefault="00A66714">
            <w:pPr>
              <w:rPr>
                <w:color w:val="000000"/>
                <w:sz w:val="20"/>
                <w:szCs w:val="20"/>
              </w:rPr>
            </w:pPr>
            <w:r>
              <w:rPr>
                <w:color w:val="000000"/>
                <w:sz w:val="20"/>
                <w:szCs w:val="20"/>
              </w:rPr>
              <w:t>The following financial information from MRC Global Inc.’s Quarterly Report on Form 10-Q for the period ended June 30, 2021, formatted in Inline Extensible Business Reporting Language (</w:t>
            </w:r>
            <w:proofErr w:type="spellStart"/>
            <w:r>
              <w:rPr>
                <w:color w:val="000000"/>
                <w:sz w:val="20"/>
                <w:szCs w:val="20"/>
              </w:rPr>
              <w:t>iXBRL</w:t>
            </w:r>
            <w:proofErr w:type="spellEnd"/>
            <w:r>
              <w:rPr>
                <w:color w:val="000000"/>
                <w:sz w:val="20"/>
                <w:szCs w:val="20"/>
              </w:rPr>
              <w:t>): (</w:t>
            </w:r>
            <w:proofErr w:type="spellStart"/>
            <w:r>
              <w:rPr>
                <w:color w:val="000000"/>
                <w:sz w:val="20"/>
                <w:szCs w:val="20"/>
              </w:rPr>
              <w:t>i</w:t>
            </w:r>
            <w:proofErr w:type="spellEnd"/>
            <w:r>
              <w:rPr>
                <w:color w:val="000000"/>
                <w:sz w:val="20"/>
                <w:szCs w:val="20"/>
              </w:rPr>
              <w:t>) the Condensed Consolidated Balance Sheets at June 30, 2021 and December 31, 2020</w:t>
            </w:r>
            <w:bookmarkEnd w:id="9"/>
            <w:r>
              <w:rPr>
                <w:color w:val="000000"/>
                <w:sz w:val="20"/>
                <w:szCs w:val="20"/>
              </w:rPr>
              <w:t xml:space="preserve">, (ii) the Condensed Consolidated Statements of Operations for the </w:t>
            </w:r>
            <w:bookmarkStart w:id="165" w:name="led65141F20205261593196314379"/>
            <w:r>
              <w:rPr>
                <w:color w:val="000000"/>
                <w:sz w:val="20"/>
                <w:szCs w:val="20"/>
              </w:rPr>
              <w:t>three and six months ended June 30, 2021 and 2020, (iii) the Condensed Consolidated Statements of Comprehensive Income for the three and six months ended June 30, 2021 and 2020</w:t>
            </w:r>
            <w:bookmarkEnd w:id="165"/>
            <w:r>
              <w:rPr>
                <w:color w:val="000000"/>
                <w:sz w:val="20"/>
                <w:szCs w:val="20"/>
              </w:rPr>
              <w:t xml:space="preserve">, (iv) the Condensed Statements of Stockholders’ Equity for the </w:t>
            </w:r>
            <w:bookmarkStart w:id="166" w:name="led65141F20205261593196635192"/>
            <w:r>
              <w:rPr>
                <w:color w:val="000000"/>
                <w:sz w:val="20"/>
                <w:szCs w:val="20"/>
              </w:rPr>
              <w:t>six months ended June 30, 2021 and 2020, (v) the Condensed Consolidated Statements of Cash Flows for the six months ended June 30, 2021 and 2020</w:t>
            </w:r>
            <w:bookmarkEnd w:id="166"/>
            <w:r>
              <w:rPr>
                <w:color w:val="000000"/>
                <w:sz w:val="20"/>
                <w:szCs w:val="20"/>
              </w:rPr>
              <w:t xml:space="preserve"> and (vi) Notes to Condensed Consolidated Financial Statements.</w:t>
            </w:r>
          </w:p>
        </w:tc>
      </w:tr>
      <w:tr w:rsidR="00954279" w14:paraId="212B37A6" w14:textId="77777777">
        <w:tc>
          <w:tcPr>
            <w:tcW w:w="450" w:type="pct"/>
            <w:tcMar>
              <w:top w:w="5" w:type="dxa"/>
              <w:left w:w="5" w:type="dxa"/>
              <w:bottom w:w="5" w:type="dxa"/>
              <w:right w:w="5" w:type="dxa"/>
            </w:tcMar>
            <w:vAlign w:val="center"/>
            <w:hideMark/>
          </w:tcPr>
          <w:p w14:paraId="79157E01" w14:textId="77777777" w:rsidR="00954279" w:rsidRDefault="00A66714">
            <w:pPr>
              <w:rPr>
                <w:color w:val="000000"/>
                <w:sz w:val="20"/>
                <w:szCs w:val="20"/>
              </w:rPr>
            </w:pPr>
            <w:r>
              <w:rPr>
                <w:color w:val="000000"/>
                <w:sz w:val="20"/>
                <w:szCs w:val="20"/>
              </w:rPr>
              <w:t> </w:t>
            </w:r>
          </w:p>
        </w:tc>
        <w:tc>
          <w:tcPr>
            <w:tcW w:w="50" w:type="pct"/>
            <w:tcMar>
              <w:top w:w="5" w:type="dxa"/>
              <w:left w:w="5" w:type="dxa"/>
              <w:bottom w:w="5" w:type="dxa"/>
              <w:right w:w="5" w:type="dxa"/>
            </w:tcMar>
            <w:vAlign w:val="center"/>
            <w:hideMark/>
          </w:tcPr>
          <w:p w14:paraId="488FDC15" w14:textId="77777777" w:rsidR="00954279" w:rsidRDefault="00A66714">
            <w:pPr>
              <w:rPr>
                <w:color w:val="000000"/>
                <w:sz w:val="20"/>
                <w:szCs w:val="20"/>
              </w:rPr>
            </w:pPr>
            <w:r>
              <w:rPr>
                <w:color w:val="000000"/>
                <w:sz w:val="20"/>
                <w:szCs w:val="20"/>
              </w:rPr>
              <w:t> </w:t>
            </w:r>
          </w:p>
        </w:tc>
        <w:tc>
          <w:tcPr>
            <w:tcW w:w="4500" w:type="pct"/>
            <w:tcMar>
              <w:top w:w="5" w:type="dxa"/>
              <w:left w:w="5" w:type="dxa"/>
              <w:bottom w:w="5" w:type="dxa"/>
              <w:right w:w="5" w:type="dxa"/>
            </w:tcMar>
            <w:vAlign w:val="center"/>
            <w:hideMark/>
          </w:tcPr>
          <w:p w14:paraId="51FAE4E0" w14:textId="77777777" w:rsidR="00954279" w:rsidRDefault="00A66714">
            <w:pPr>
              <w:rPr>
                <w:color w:val="000000"/>
                <w:sz w:val="20"/>
                <w:szCs w:val="20"/>
              </w:rPr>
            </w:pPr>
            <w:r>
              <w:rPr>
                <w:color w:val="000000"/>
                <w:sz w:val="20"/>
                <w:szCs w:val="20"/>
              </w:rPr>
              <w:t> </w:t>
            </w:r>
          </w:p>
        </w:tc>
      </w:tr>
      <w:tr w:rsidR="00954279" w14:paraId="27FD1355" w14:textId="77777777">
        <w:tc>
          <w:tcPr>
            <w:tcW w:w="450" w:type="pct"/>
            <w:tcMar>
              <w:top w:w="5" w:type="dxa"/>
              <w:left w:w="5" w:type="dxa"/>
              <w:bottom w:w="5" w:type="dxa"/>
              <w:right w:w="5" w:type="dxa"/>
            </w:tcMar>
            <w:hideMark/>
          </w:tcPr>
          <w:p w14:paraId="12029FB8" w14:textId="77777777" w:rsidR="00954279" w:rsidRDefault="00A66714">
            <w:pPr>
              <w:ind w:left="245" w:hanging="245"/>
              <w:rPr>
                <w:color w:val="000000"/>
                <w:sz w:val="20"/>
                <w:szCs w:val="20"/>
              </w:rPr>
            </w:pPr>
            <w:r>
              <w:rPr>
                <w:color w:val="000000"/>
                <w:sz w:val="20"/>
                <w:szCs w:val="20"/>
              </w:rPr>
              <w:t>104*</w:t>
            </w:r>
          </w:p>
        </w:tc>
        <w:tc>
          <w:tcPr>
            <w:tcW w:w="50" w:type="pct"/>
            <w:tcMar>
              <w:top w:w="5" w:type="dxa"/>
              <w:left w:w="5" w:type="dxa"/>
              <w:bottom w:w="5" w:type="dxa"/>
              <w:right w:w="5" w:type="dxa"/>
            </w:tcMar>
            <w:hideMark/>
          </w:tcPr>
          <w:p w14:paraId="09B6031B" w14:textId="77777777" w:rsidR="00954279" w:rsidRDefault="00A66714">
            <w:pPr>
              <w:rPr>
                <w:color w:val="000000"/>
                <w:sz w:val="20"/>
                <w:szCs w:val="20"/>
              </w:rPr>
            </w:pPr>
            <w:r>
              <w:rPr>
                <w:color w:val="000000"/>
                <w:sz w:val="20"/>
                <w:szCs w:val="20"/>
              </w:rPr>
              <w:t> </w:t>
            </w:r>
          </w:p>
        </w:tc>
        <w:tc>
          <w:tcPr>
            <w:tcW w:w="4500" w:type="pct"/>
            <w:tcMar>
              <w:top w:w="5" w:type="dxa"/>
              <w:left w:w="5" w:type="dxa"/>
              <w:bottom w:w="5" w:type="dxa"/>
              <w:right w:w="5" w:type="dxa"/>
            </w:tcMar>
            <w:hideMark/>
          </w:tcPr>
          <w:p w14:paraId="26A1CB32" w14:textId="77777777" w:rsidR="00954279" w:rsidRDefault="00A66714">
            <w:pPr>
              <w:rPr>
                <w:color w:val="000000"/>
                <w:sz w:val="20"/>
                <w:szCs w:val="20"/>
              </w:rPr>
            </w:pPr>
            <w:r>
              <w:rPr>
                <w:color w:val="000000"/>
                <w:sz w:val="20"/>
                <w:szCs w:val="20"/>
              </w:rPr>
              <w:t>The cover page from the Company’s Quarterly Report on Form 10-Q for the quarter ended June 30, 2021</w:t>
            </w:r>
            <w:bookmarkEnd w:id="0"/>
            <w:r>
              <w:rPr>
                <w:color w:val="000000"/>
                <w:sz w:val="20"/>
                <w:szCs w:val="20"/>
              </w:rPr>
              <w:t xml:space="preserve"> formatted in Inline XBRL.</w:t>
            </w:r>
          </w:p>
        </w:tc>
      </w:tr>
    </w:tbl>
    <w:p w14:paraId="32DB7960" w14:textId="77777777" w:rsidR="00954279" w:rsidRDefault="00A66714">
      <w:pPr>
        <w:ind w:left="144" w:right="144"/>
        <w:rPr>
          <w:sz w:val="20"/>
          <w:szCs w:val="20"/>
        </w:rPr>
      </w:pPr>
      <w:r>
        <w:rPr>
          <w:sz w:val="20"/>
          <w:szCs w:val="20"/>
        </w:rPr>
        <w:t> </w:t>
      </w:r>
    </w:p>
    <w:p w14:paraId="28CC1505" w14:textId="77777777" w:rsidR="00954279" w:rsidRDefault="00A66714">
      <w:pPr>
        <w:ind w:left="144" w:right="144"/>
        <w:rPr>
          <w:sz w:val="20"/>
          <w:szCs w:val="20"/>
        </w:rPr>
      </w:pPr>
      <w:r>
        <w:rPr>
          <w:sz w:val="20"/>
          <w:szCs w:val="20"/>
        </w:rPr>
        <w:t>* Filed herewith.</w:t>
      </w:r>
    </w:p>
    <w:p w14:paraId="384F1CAF" w14:textId="77777777" w:rsidR="00954279" w:rsidRDefault="00A66714">
      <w:pPr>
        <w:ind w:left="144" w:right="144"/>
        <w:rPr>
          <w:sz w:val="20"/>
          <w:szCs w:val="20"/>
        </w:rPr>
      </w:pPr>
      <w:r>
        <w:rPr>
          <w:sz w:val="20"/>
          <w:szCs w:val="20"/>
        </w:rPr>
        <w:t>** Furnished herewith.</w:t>
      </w:r>
    </w:p>
    <w:p w14:paraId="4E0C446F" w14:textId="77777777" w:rsidR="00954279" w:rsidRDefault="00A66714">
      <w:pPr>
        <w:ind w:left="144" w:right="144"/>
        <w:jc w:val="center"/>
        <w:rPr>
          <w:sz w:val="20"/>
          <w:szCs w:val="20"/>
        </w:rPr>
      </w:pPr>
      <w:r>
        <w:rPr>
          <w:sz w:val="20"/>
          <w:szCs w:val="20"/>
        </w:rPr>
        <w:t> </w:t>
      </w:r>
    </w:p>
    <w:p w14:paraId="47AA2E84" w14:textId="77777777" w:rsidR="00954279" w:rsidRDefault="00A66714">
      <w:pPr>
        <w:ind w:left="144" w:right="144"/>
        <w:jc w:val="center"/>
        <w:rPr>
          <w:sz w:val="20"/>
          <w:szCs w:val="20"/>
        </w:rPr>
      </w:pPr>
      <w:r>
        <w:rPr>
          <w:sz w:val="20"/>
          <w:szCs w:val="20"/>
        </w:rPr>
        <w:t>33</w:t>
      </w:r>
    </w:p>
    <w:p w14:paraId="66C74FC6" w14:textId="77777777" w:rsidR="00954279" w:rsidRDefault="00A66714">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074C4642" w14:textId="77777777" w:rsidR="00954279" w:rsidRDefault="00A66714">
      <w:pPr>
        <w:ind w:left="144" w:right="144"/>
        <w:rPr>
          <w:sz w:val="20"/>
          <w:szCs w:val="20"/>
        </w:rPr>
      </w:pPr>
      <w:r>
        <w:rPr>
          <w:sz w:val="20"/>
          <w:szCs w:val="20"/>
        </w:rPr>
        <w:t> </w:t>
      </w:r>
    </w:p>
    <w:p w14:paraId="143017F6" w14:textId="77777777" w:rsidR="00954279" w:rsidRDefault="00A66714">
      <w:pPr>
        <w:ind w:left="144" w:right="144"/>
        <w:jc w:val="center"/>
        <w:rPr>
          <w:sz w:val="20"/>
          <w:szCs w:val="20"/>
        </w:rPr>
      </w:pPr>
      <w:r>
        <w:rPr>
          <w:b/>
          <w:bCs/>
          <w:sz w:val="20"/>
          <w:szCs w:val="20"/>
          <w:u w:val="single"/>
        </w:rPr>
        <w:t>SIGNATURES</w:t>
      </w:r>
    </w:p>
    <w:p w14:paraId="141404DF" w14:textId="77777777" w:rsidR="00954279" w:rsidRDefault="00A66714">
      <w:pPr>
        <w:ind w:left="144" w:right="144"/>
        <w:jc w:val="center"/>
        <w:rPr>
          <w:sz w:val="20"/>
          <w:szCs w:val="20"/>
        </w:rPr>
      </w:pPr>
      <w:r>
        <w:rPr>
          <w:sz w:val="20"/>
          <w:szCs w:val="20"/>
        </w:rPr>
        <w:t> </w:t>
      </w:r>
    </w:p>
    <w:p w14:paraId="5F0BA3F2" w14:textId="77777777" w:rsidR="00954279" w:rsidRDefault="00A66714">
      <w:pPr>
        <w:ind w:left="144" w:right="144"/>
        <w:rPr>
          <w:sz w:val="20"/>
          <w:szCs w:val="20"/>
        </w:rPr>
      </w:pPr>
      <w:r>
        <w:rPr>
          <w:sz w:val="20"/>
          <w:szCs w:val="20"/>
        </w:rPr>
        <w:t>Pursuant to the requirements of the Securities Exchange Act of 1934, the registrant has duly caused this report to be signed on its behalf by the undersigned, thereunto duly authorized.</w:t>
      </w:r>
    </w:p>
    <w:p w14:paraId="5C9D58F3" w14:textId="77777777" w:rsidR="00954279" w:rsidRDefault="00A66714">
      <w:pPr>
        <w:ind w:left="144" w:right="144"/>
        <w:rPr>
          <w:sz w:val="20"/>
          <w:szCs w:val="20"/>
        </w:rPr>
      </w:pPr>
      <w:r>
        <w:rPr>
          <w:sz w:val="20"/>
          <w:szCs w:val="20"/>
        </w:rPr>
        <w:t> </w:t>
      </w:r>
    </w:p>
    <w:p w14:paraId="1B6A3A8C" w14:textId="77777777" w:rsidR="00954279" w:rsidRDefault="00A66714">
      <w:pPr>
        <w:ind w:left="144" w:right="144"/>
        <w:rPr>
          <w:sz w:val="20"/>
          <w:szCs w:val="20"/>
        </w:rPr>
      </w:pPr>
      <w:r>
        <w:rPr>
          <w:sz w:val="20"/>
          <w:szCs w:val="20"/>
        </w:rPr>
        <w:t>Date: July 30, 2021</w:t>
      </w:r>
    </w:p>
    <w:p w14:paraId="5554BF49" w14:textId="77777777" w:rsidR="00954279" w:rsidRDefault="00A66714">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586"/>
        <w:gridCol w:w="3214"/>
      </w:tblGrid>
      <w:tr w:rsidR="00954279" w14:paraId="17CDCA72" w14:textId="77777777">
        <w:tc>
          <w:tcPr>
            <w:tcW w:w="18465" w:type="dxa"/>
            <w:tcMar>
              <w:top w:w="5" w:type="dxa"/>
              <w:left w:w="5" w:type="dxa"/>
              <w:bottom w:w="5" w:type="dxa"/>
              <w:right w:w="5" w:type="dxa"/>
            </w:tcMar>
            <w:vAlign w:val="bottom"/>
            <w:hideMark/>
          </w:tcPr>
          <w:p w14:paraId="2F3B36BA" w14:textId="77777777" w:rsidR="00954279" w:rsidRDefault="00A66714">
            <w:pPr>
              <w:rPr>
                <w:color w:val="000000"/>
                <w:sz w:val="20"/>
                <w:szCs w:val="20"/>
              </w:rPr>
            </w:pPr>
            <w:r>
              <w:rPr>
                <w:color w:val="000000"/>
                <w:sz w:val="20"/>
                <w:szCs w:val="20"/>
              </w:rPr>
              <w:t> </w:t>
            </w:r>
          </w:p>
        </w:tc>
        <w:tc>
          <w:tcPr>
            <w:tcW w:w="5880" w:type="dxa"/>
            <w:tcMar>
              <w:top w:w="5" w:type="dxa"/>
              <w:left w:w="5" w:type="dxa"/>
              <w:bottom w:w="5" w:type="dxa"/>
              <w:right w:w="5" w:type="dxa"/>
            </w:tcMar>
            <w:vAlign w:val="bottom"/>
            <w:hideMark/>
          </w:tcPr>
          <w:p w14:paraId="0DAF43EE" w14:textId="77777777" w:rsidR="00954279" w:rsidRDefault="00A66714">
            <w:pPr>
              <w:rPr>
                <w:color w:val="000000"/>
                <w:sz w:val="20"/>
                <w:szCs w:val="20"/>
              </w:rPr>
            </w:pPr>
            <w:r>
              <w:rPr>
                <w:color w:val="000000"/>
                <w:sz w:val="20"/>
                <w:szCs w:val="20"/>
              </w:rPr>
              <w:t>MRC GLOBAL INC.</w:t>
            </w:r>
          </w:p>
        </w:tc>
      </w:tr>
      <w:tr w:rsidR="00954279" w14:paraId="16EB2E7C" w14:textId="77777777">
        <w:tc>
          <w:tcPr>
            <w:tcW w:w="18465" w:type="dxa"/>
            <w:tcMar>
              <w:top w:w="5" w:type="dxa"/>
              <w:left w:w="5" w:type="dxa"/>
              <w:bottom w:w="5" w:type="dxa"/>
              <w:right w:w="5" w:type="dxa"/>
            </w:tcMar>
            <w:vAlign w:val="bottom"/>
            <w:hideMark/>
          </w:tcPr>
          <w:p w14:paraId="4CDC27BE" w14:textId="77777777" w:rsidR="00954279" w:rsidRDefault="00A66714">
            <w:pPr>
              <w:rPr>
                <w:color w:val="000000"/>
                <w:sz w:val="20"/>
                <w:szCs w:val="20"/>
              </w:rPr>
            </w:pPr>
            <w:r>
              <w:rPr>
                <w:color w:val="000000"/>
                <w:sz w:val="20"/>
                <w:szCs w:val="20"/>
              </w:rPr>
              <w:t> </w:t>
            </w:r>
          </w:p>
        </w:tc>
        <w:tc>
          <w:tcPr>
            <w:tcW w:w="5880" w:type="dxa"/>
            <w:tcMar>
              <w:top w:w="5" w:type="dxa"/>
              <w:left w:w="5" w:type="dxa"/>
              <w:bottom w:w="5" w:type="dxa"/>
              <w:right w:w="5" w:type="dxa"/>
            </w:tcMar>
            <w:vAlign w:val="bottom"/>
            <w:hideMark/>
          </w:tcPr>
          <w:p w14:paraId="34ED83EF" w14:textId="77777777" w:rsidR="00954279" w:rsidRDefault="00A66714">
            <w:pPr>
              <w:rPr>
                <w:color w:val="000000"/>
                <w:sz w:val="20"/>
                <w:szCs w:val="20"/>
              </w:rPr>
            </w:pPr>
            <w:r>
              <w:rPr>
                <w:color w:val="000000"/>
                <w:sz w:val="20"/>
                <w:szCs w:val="20"/>
              </w:rPr>
              <w:t> </w:t>
            </w:r>
          </w:p>
        </w:tc>
      </w:tr>
      <w:tr w:rsidR="00954279" w14:paraId="5EE02003" w14:textId="77777777">
        <w:tc>
          <w:tcPr>
            <w:tcW w:w="18465" w:type="dxa"/>
            <w:tcMar>
              <w:top w:w="5" w:type="dxa"/>
              <w:left w:w="5" w:type="dxa"/>
              <w:bottom w:w="5" w:type="dxa"/>
              <w:right w:w="5" w:type="dxa"/>
            </w:tcMar>
            <w:vAlign w:val="bottom"/>
            <w:hideMark/>
          </w:tcPr>
          <w:p w14:paraId="57630989" w14:textId="77777777" w:rsidR="00954279" w:rsidRDefault="00A66714">
            <w:pPr>
              <w:rPr>
                <w:color w:val="000000"/>
                <w:sz w:val="20"/>
                <w:szCs w:val="20"/>
              </w:rPr>
            </w:pPr>
            <w:r>
              <w:rPr>
                <w:color w:val="000000"/>
                <w:sz w:val="20"/>
                <w:szCs w:val="20"/>
              </w:rPr>
              <w:t> </w:t>
            </w:r>
          </w:p>
        </w:tc>
        <w:tc>
          <w:tcPr>
            <w:tcW w:w="5880" w:type="dxa"/>
            <w:tcMar>
              <w:top w:w="5" w:type="dxa"/>
              <w:left w:w="5" w:type="dxa"/>
              <w:bottom w:w="5" w:type="dxa"/>
              <w:right w:w="5" w:type="dxa"/>
            </w:tcMar>
            <w:vAlign w:val="bottom"/>
            <w:hideMark/>
          </w:tcPr>
          <w:p w14:paraId="0D71B958" w14:textId="77777777" w:rsidR="00954279" w:rsidRDefault="00A66714">
            <w:pPr>
              <w:ind w:left="259" w:hanging="259"/>
              <w:rPr>
                <w:color w:val="000000"/>
                <w:sz w:val="20"/>
                <w:szCs w:val="20"/>
              </w:rPr>
            </w:pPr>
            <w:r>
              <w:rPr>
                <w:color w:val="000000"/>
                <w:sz w:val="20"/>
                <w:szCs w:val="20"/>
              </w:rPr>
              <w:t xml:space="preserve">By: </w:t>
            </w:r>
            <w:r>
              <w:rPr>
                <w:color w:val="000000"/>
                <w:sz w:val="20"/>
                <w:szCs w:val="20"/>
                <w:u w:val="single" w:color="000000"/>
              </w:rPr>
              <w:t>/s/ Kelly Youngblood  </w:t>
            </w:r>
          </w:p>
        </w:tc>
      </w:tr>
      <w:tr w:rsidR="00954279" w14:paraId="0EB86A4F" w14:textId="77777777">
        <w:tc>
          <w:tcPr>
            <w:tcW w:w="18465" w:type="dxa"/>
            <w:tcMar>
              <w:top w:w="5" w:type="dxa"/>
              <w:left w:w="5" w:type="dxa"/>
              <w:bottom w:w="5" w:type="dxa"/>
              <w:right w:w="5" w:type="dxa"/>
            </w:tcMar>
            <w:vAlign w:val="bottom"/>
            <w:hideMark/>
          </w:tcPr>
          <w:p w14:paraId="5738F206" w14:textId="77777777" w:rsidR="00954279" w:rsidRDefault="00A66714">
            <w:pPr>
              <w:rPr>
                <w:color w:val="000000"/>
                <w:sz w:val="20"/>
                <w:szCs w:val="20"/>
              </w:rPr>
            </w:pPr>
            <w:r>
              <w:rPr>
                <w:color w:val="000000"/>
                <w:sz w:val="20"/>
                <w:szCs w:val="20"/>
              </w:rPr>
              <w:t> </w:t>
            </w:r>
          </w:p>
        </w:tc>
        <w:tc>
          <w:tcPr>
            <w:tcW w:w="5880" w:type="dxa"/>
            <w:tcMar>
              <w:top w:w="5" w:type="dxa"/>
              <w:left w:w="5" w:type="dxa"/>
              <w:bottom w:w="5" w:type="dxa"/>
              <w:right w:w="5" w:type="dxa"/>
            </w:tcMar>
            <w:vAlign w:val="bottom"/>
            <w:hideMark/>
          </w:tcPr>
          <w:p w14:paraId="3EA9AF57" w14:textId="77777777" w:rsidR="00954279" w:rsidRDefault="00A66714">
            <w:pPr>
              <w:ind w:left="331"/>
              <w:rPr>
                <w:color w:val="000000"/>
                <w:sz w:val="20"/>
                <w:szCs w:val="20"/>
              </w:rPr>
            </w:pPr>
            <w:r>
              <w:rPr>
                <w:color w:val="000000"/>
                <w:sz w:val="20"/>
                <w:szCs w:val="20"/>
              </w:rPr>
              <w:t>Kelly Youngblood</w:t>
            </w:r>
            <w:r>
              <w:rPr>
                <w:color w:val="000000"/>
                <w:sz w:val="20"/>
                <w:szCs w:val="20"/>
              </w:rPr>
              <w:br/>
              <w:t>Executive Vice President and Chief Financial Officer</w:t>
            </w:r>
          </w:p>
        </w:tc>
      </w:tr>
    </w:tbl>
    <w:p w14:paraId="53D31A09" w14:textId="77777777" w:rsidR="00954279" w:rsidRDefault="00A66714">
      <w:pPr>
        <w:ind w:left="144" w:right="144"/>
        <w:rPr>
          <w:sz w:val="20"/>
          <w:szCs w:val="20"/>
        </w:rPr>
      </w:pPr>
      <w:r>
        <w:rPr>
          <w:sz w:val="20"/>
          <w:szCs w:val="20"/>
        </w:rPr>
        <w:t> </w:t>
      </w:r>
    </w:p>
    <w:p w14:paraId="649AB418" w14:textId="77777777" w:rsidR="00954279" w:rsidRDefault="00A66714">
      <w:pPr>
        <w:ind w:left="144" w:right="144"/>
        <w:jc w:val="center"/>
        <w:rPr>
          <w:sz w:val="20"/>
          <w:szCs w:val="20"/>
        </w:rPr>
        <w:sectPr w:rsidR="00954279">
          <w:pgSz w:w="12240" w:h="15840"/>
          <w:pgMar w:top="576" w:right="720" w:bottom="576" w:left="720" w:header="144" w:footer="432" w:gutter="0"/>
          <w:cols w:space="720"/>
        </w:sectPr>
      </w:pPr>
      <w:r>
        <w:rPr>
          <w:sz w:val="20"/>
          <w:szCs w:val="20"/>
        </w:rPr>
        <w:t>34</w:t>
      </w:r>
    </w:p>
    <w:p w14:paraId="1DFBDAFB" w14:textId="77777777" w:rsidR="00954279" w:rsidRDefault="00A66714">
      <w:pPr>
        <w:ind w:left="144" w:right="144"/>
        <w:rPr>
          <w:rFonts w:ascii="Calibri" w:eastAsia="Calibri" w:hAnsi="Calibri" w:cs="Calibri"/>
          <w:sz w:val="2"/>
          <w:szCs w:val="2"/>
        </w:rPr>
      </w:pPr>
      <w:r>
        <w:rPr>
          <w:rFonts w:ascii="Calibri" w:eastAsia="Calibri" w:hAnsi="Calibri" w:cs="Calibri"/>
          <w:sz w:val="2"/>
          <w:szCs w:val="2"/>
        </w:rPr>
        <w:t>  </w:t>
      </w:r>
    </w:p>
    <w:p w14:paraId="620C95FD" w14:textId="77777777" w:rsidR="00954279" w:rsidRDefault="00A66714">
      <w:pPr>
        <w:ind w:left="144" w:right="144"/>
        <w:rPr>
          <w:sz w:val="20"/>
          <w:szCs w:val="20"/>
        </w:rPr>
      </w:pPr>
      <w:r>
        <w:rPr>
          <w:sz w:val="20"/>
          <w:szCs w:val="20"/>
        </w:rPr>
        <w:t> </w:t>
      </w:r>
    </w:p>
    <w:p w14:paraId="17E2FDB4" w14:textId="77777777" w:rsidR="00954279" w:rsidRDefault="00A66714">
      <w:pPr>
        <w:ind w:left="144" w:right="144"/>
        <w:jc w:val="right"/>
        <w:rPr>
          <w:sz w:val="20"/>
          <w:szCs w:val="20"/>
        </w:rPr>
      </w:pPr>
      <w:r>
        <w:rPr>
          <w:b/>
          <w:bCs/>
          <w:sz w:val="20"/>
          <w:szCs w:val="20"/>
        </w:rPr>
        <w:t xml:space="preserve">Exhibit 31.1 </w:t>
      </w:r>
    </w:p>
    <w:p w14:paraId="7A2BA05A" w14:textId="77777777" w:rsidR="00954279" w:rsidRDefault="00A66714">
      <w:pPr>
        <w:ind w:left="144" w:right="144"/>
        <w:rPr>
          <w:sz w:val="20"/>
          <w:szCs w:val="20"/>
        </w:rPr>
      </w:pPr>
      <w:r>
        <w:rPr>
          <w:sz w:val="20"/>
          <w:szCs w:val="20"/>
        </w:rPr>
        <w:t> </w:t>
      </w:r>
    </w:p>
    <w:p w14:paraId="76B3A536" w14:textId="77777777" w:rsidR="00954279" w:rsidRDefault="00A66714">
      <w:pPr>
        <w:ind w:left="144" w:right="144"/>
        <w:jc w:val="center"/>
        <w:rPr>
          <w:sz w:val="20"/>
          <w:szCs w:val="20"/>
        </w:rPr>
      </w:pPr>
      <w:r>
        <w:rPr>
          <w:b/>
          <w:bCs/>
          <w:sz w:val="20"/>
          <w:szCs w:val="20"/>
        </w:rPr>
        <w:t xml:space="preserve">CERTIFICATION </w:t>
      </w:r>
    </w:p>
    <w:p w14:paraId="64D60705" w14:textId="77777777" w:rsidR="00954279" w:rsidRDefault="00A66714">
      <w:pPr>
        <w:ind w:left="144" w:right="144"/>
        <w:rPr>
          <w:sz w:val="20"/>
          <w:szCs w:val="20"/>
        </w:rPr>
      </w:pPr>
      <w:r>
        <w:rPr>
          <w:sz w:val="20"/>
          <w:szCs w:val="20"/>
        </w:rPr>
        <w:t> </w:t>
      </w:r>
    </w:p>
    <w:p w14:paraId="01D83525" w14:textId="77777777" w:rsidR="00954279" w:rsidRDefault="00A66714">
      <w:pPr>
        <w:ind w:left="144" w:right="144"/>
        <w:rPr>
          <w:sz w:val="20"/>
          <w:szCs w:val="20"/>
        </w:rPr>
      </w:pPr>
      <w:r>
        <w:rPr>
          <w:sz w:val="20"/>
          <w:szCs w:val="20"/>
        </w:rPr>
        <w:t>I, Robert J. Saltiel, Jr., certify that:</w:t>
      </w:r>
    </w:p>
    <w:p w14:paraId="5E7B7640" w14:textId="77777777" w:rsidR="00954279" w:rsidRDefault="00A66714">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20"/>
        <w:gridCol w:w="10080"/>
      </w:tblGrid>
      <w:tr w:rsidR="00954279" w14:paraId="77356154" w14:textId="77777777">
        <w:tc>
          <w:tcPr>
            <w:tcW w:w="720" w:type="dxa"/>
            <w:tcMar>
              <w:top w:w="5" w:type="dxa"/>
              <w:left w:w="5" w:type="dxa"/>
              <w:bottom w:w="5" w:type="dxa"/>
              <w:right w:w="5" w:type="dxa"/>
            </w:tcMar>
            <w:hideMark/>
          </w:tcPr>
          <w:p w14:paraId="41745CBB" w14:textId="77777777" w:rsidR="00954279" w:rsidRDefault="00A66714">
            <w:pPr>
              <w:rPr>
                <w:color w:val="000000"/>
                <w:sz w:val="20"/>
                <w:szCs w:val="20"/>
              </w:rPr>
            </w:pPr>
            <w:r>
              <w:rPr>
                <w:color w:val="000000"/>
                <w:sz w:val="20"/>
                <w:szCs w:val="20"/>
              </w:rPr>
              <w:t>1.</w:t>
            </w:r>
          </w:p>
        </w:tc>
        <w:tc>
          <w:tcPr>
            <w:tcW w:w="0" w:type="auto"/>
            <w:tcMar>
              <w:top w:w="5" w:type="dxa"/>
              <w:left w:w="5" w:type="dxa"/>
              <w:bottom w:w="5" w:type="dxa"/>
              <w:right w:w="5" w:type="dxa"/>
            </w:tcMar>
            <w:hideMark/>
          </w:tcPr>
          <w:p w14:paraId="2816367F" w14:textId="77777777" w:rsidR="00954279" w:rsidRDefault="00A66714">
            <w:pPr>
              <w:rPr>
                <w:color w:val="000000"/>
                <w:sz w:val="20"/>
                <w:szCs w:val="20"/>
              </w:rPr>
            </w:pPr>
            <w:r>
              <w:rPr>
                <w:color w:val="000000"/>
                <w:sz w:val="20"/>
                <w:szCs w:val="20"/>
              </w:rPr>
              <w:t xml:space="preserve">I have reviewed this Quarterly Report on Form 10-Q for the period ended </w:t>
            </w:r>
            <w:bookmarkStart w:id="167" w:name="led65141F20208111599842440824"/>
            <w:r>
              <w:rPr>
                <w:color w:val="000000"/>
                <w:sz w:val="20"/>
                <w:szCs w:val="20"/>
              </w:rPr>
              <w:t>June 30, 2021</w:t>
            </w:r>
            <w:bookmarkEnd w:id="167"/>
            <w:r>
              <w:rPr>
                <w:color w:val="000000"/>
                <w:sz w:val="20"/>
                <w:szCs w:val="20"/>
              </w:rPr>
              <w:t> of MRC Global Inc.;</w:t>
            </w:r>
          </w:p>
        </w:tc>
      </w:tr>
    </w:tbl>
    <w:p w14:paraId="55E3C063" w14:textId="77777777" w:rsidR="00954279" w:rsidRDefault="00A66714">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20"/>
        <w:gridCol w:w="10080"/>
      </w:tblGrid>
      <w:tr w:rsidR="00954279" w14:paraId="3D0DB3C5" w14:textId="77777777">
        <w:tc>
          <w:tcPr>
            <w:tcW w:w="720" w:type="dxa"/>
            <w:tcMar>
              <w:top w:w="5" w:type="dxa"/>
              <w:left w:w="5" w:type="dxa"/>
              <w:bottom w:w="5" w:type="dxa"/>
              <w:right w:w="5" w:type="dxa"/>
            </w:tcMar>
            <w:hideMark/>
          </w:tcPr>
          <w:p w14:paraId="1D586CF6" w14:textId="77777777" w:rsidR="00954279" w:rsidRDefault="00A66714">
            <w:pPr>
              <w:rPr>
                <w:color w:val="000000"/>
                <w:sz w:val="20"/>
                <w:szCs w:val="20"/>
              </w:rPr>
            </w:pPr>
            <w:r>
              <w:rPr>
                <w:color w:val="000000"/>
                <w:sz w:val="20"/>
                <w:szCs w:val="20"/>
              </w:rPr>
              <w:t>2.</w:t>
            </w:r>
          </w:p>
        </w:tc>
        <w:tc>
          <w:tcPr>
            <w:tcW w:w="0" w:type="auto"/>
            <w:tcMar>
              <w:top w:w="5" w:type="dxa"/>
              <w:left w:w="5" w:type="dxa"/>
              <w:bottom w:w="5" w:type="dxa"/>
              <w:right w:w="5" w:type="dxa"/>
            </w:tcMar>
            <w:hideMark/>
          </w:tcPr>
          <w:p w14:paraId="6458C86C" w14:textId="77777777" w:rsidR="00954279" w:rsidRDefault="00A66714">
            <w:pPr>
              <w:rPr>
                <w:color w:val="000000"/>
                <w:sz w:val="20"/>
                <w:szCs w:val="20"/>
              </w:rPr>
            </w:pPr>
            <w:r>
              <w:rPr>
                <w:color w:val="000000"/>
                <w:sz w:val="20"/>
                <w:szCs w:val="20"/>
              </w:rPr>
              <w:t>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p>
        </w:tc>
      </w:tr>
    </w:tbl>
    <w:p w14:paraId="51B672EB" w14:textId="77777777" w:rsidR="00954279" w:rsidRDefault="00A66714">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20"/>
        <w:gridCol w:w="10080"/>
      </w:tblGrid>
      <w:tr w:rsidR="00954279" w14:paraId="5D3ECD7E" w14:textId="77777777">
        <w:tc>
          <w:tcPr>
            <w:tcW w:w="720" w:type="dxa"/>
            <w:tcMar>
              <w:top w:w="5" w:type="dxa"/>
              <w:left w:w="5" w:type="dxa"/>
              <w:bottom w:w="5" w:type="dxa"/>
              <w:right w:w="5" w:type="dxa"/>
            </w:tcMar>
            <w:hideMark/>
          </w:tcPr>
          <w:p w14:paraId="5F637FDB" w14:textId="77777777" w:rsidR="00954279" w:rsidRDefault="00A66714">
            <w:pPr>
              <w:rPr>
                <w:color w:val="000000"/>
                <w:sz w:val="20"/>
                <w:szCs w:val="20"/>
              </w:rPr>
            </w:pPr>
            <w:r>
              <w:rPr>
                <w:color w:val="000000"/>
                <w:sz w:val="20"/>
                <w:szCs w:val="20"/>
              </w:rPr>
              <w:t>3.</w:t>
            </w:r>
          </w:p>
        </w:tc>
        <w:tc>
          <w:tcPr>
            <w:tcW w:w="0" w:type="auto"/>
            <w:tcMar>
              <w:top w:w="5" w:type="dxa"/>
              <w:left w:w="5" w:type="dxa"/>
              <w:bottom w:w="5" w:type="dxa"/>
              <w:right w:w="5" w:type="dxa"/>
            </w:tcMar>
            <w:hideMark/>
          </w:tcPr>
          <w:p w14:paraId="072CD046" w14:textId="77777777" w:rsidR="00954279" w:rsidRDefault="00A66714">
            <w:pPr>
              <w:rPr>
                <w:color w:val="000000"/>
                <w:sz w:val="20"/>
                <w:szCs w:val="20"/>
              </w:rPr>
            </w:pPr>
            <w:r>
              <w:rPr>
                <w:color w:val="000000"/>
                <w:sz w:val="20"/>
                <w:szCs w:val="20"/>
              </w:rPr>
              <w:t>Based on my knowledge, the financial statements, and other financial information included in this report, fairly present in all material respects the financial condition, results of operations and cash flows of the registrant as of, and for, the periods presented in this report;</w:t>
            </w:r>
          </w:p>
        </w:tc>
      </w:tr>
    </w:tbl>
    <w:p w14:paraId="4D5E403A" w14:textId="77777777" w:rsidR="00954279" w:rsidRDefault="00A66714">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20"/>
        <w:gridCol w:w="10080"/>
      </w:tblGrid>
      <w:tr w:rsidR="00954279" w14:paraId="2ABA7A19" w14:textId="77777777">
        <w:tc>
          <w:tcPr>
            <w:tcW w:w="720" w:type="dxa"/>
            <w:tcMar>
              <w:top w:w="5" w:type="dxa"/>
              <w:left w:w="5" w:type="dxa"/>
              <w:bottom w:w="5" w:type="dxa"/>
              <w:right w:w="5" w:type="dxa"/>
            </w:tcMar>
            <w:hideMark/>
          </w:tcPr>
          <w:p w14:paraId="33D2C8AA" w14:textId="77777777" w:rsidR="00954279" w:rsidRDefault="00A66714">
            <w:pPr>
              <w:rPr>
                <w:color w:val="000000"/>
                <w:sz w:val="20"/>
                <w:szCs w:val="20"/>
              </w:rPr>
            </w:pPr>
            <w:r>
              <w:rPr>
                <w:color w:val="000000"/>
                <w:sz w:val="20"/>
                <w:szCs w:val="20"/>
              </w:rPr>
              <w:t>4.</w:t>
            </w:r>
          </w:p>
        </w:tc>
        <w:tc>
          <w:tcPr>
            <w:tcW w:w="0" w:type="auto"/>
            <w:tcMar>
              <w:top w:w="5" w:type="dxa"/>
              <w:left w:w="5" w:type="dxa"/>
              <w:bottom w:w="5" w:type="dxa"/>
              <w:right w:w="5" w:type="dxa"/>
            </w:tcMar>
            <w:hideMark/>
          </w:tcPr>
          <w:p w14:paraId="3868E232" w14:textId="77777777" w:rsidR="00954279" w:rsidRDefault="00A66714">
            <w:pPr>
              <w:rPr>
                <w:color w:val="000000"/>
                <w:sz w:val="20"/>
                <w:szCs w:val="20"/>
              </w:rPr>
            </w:pPr>
            <w:r>
              <w:rPr>
                <w:color w:val="000000"/>
                <w:sz w:val="20"/>
                <w:szCs w:val="20"/>
              </w:rPr>
              <w:t>The registrant’s other certifying officer and I are responsible for establishing and maintaining disclosure controls and procedures (as defined in Exchange Act Rules 13a-15(e) and 15d-15(e)) and internal control over financial reporting (as defined in the Exchange Act Rules 13a-15(f) and 15d-15(f)) for the registrant and have:</w:t>
            </w:r>
          </w:p>
        </w:tc>
      </w:tr>
    </w:tbl>
    <w:p w14:paraId="4EEAD411" w14:textId="77777777" w:rsidR="00954279" w:rsidRDefault="00A66714">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20"/>
        <w:gridCol w:w="720"/>
        <w:gridCol w:w="9360"/>
      </w:tblGrid>
      <w:tr w:rsidR="00954279" w14:paraId="208275D4" w14:textId="77777777">
        <w:tc>
          <w:tcPr>
            <w:tcW w:w="720" w:type="dxa"/>
            <w:tcMar>
              <w:top w:w="5" w:type="dxa"/>
              <w:left w:w="5" w:type="dxa"/>
              <w:bottom w:w="5" w:type="dxa"/>
              <w:right w:w="5" w:type="dxa"/>
            </w:tcMar>
            <w:hideMark/>
          </w:tcPr>
          <w:p w14:paraId="21D678DA" w14:textId="77777777" w:rsidR="00954279" w:rsidRDefault="00A66714">
            <w:pPr>
              <w:rPr>
                <w:color w:val="000000"/>
              </w:rPr>
            </w:pPr>
            <w:r>
              <w:rPr>
                <w:color w:val="000000"/>
              </w:rPr>
              <w:t> </w:t>
            </w:r>
          </w:p>
        </w:tc>
        <w:tc>
          <w:tcPr>
            <w:tcW w:w="720" w:type="dxa"/>
            <w:tcMar>
              <w:top w:w="5" w:type="dxa"/>
              <w:left w:w="5" w:type="dxa"/>
              <w:bottom w:w="5" w:type="dxa"/>
              <w:right w:w="5" w:type="dxa"/>
            </w:tcMar>
            <w:hideMark/>
          </w:tcPr>
          <w:p w14:paraId="3BE71385" w14:textId="77777777" w:rsidR="00954279" w:rsidRDefault="00A66714">
            <w:pPr>
              <w:rPr>
                <w:color w:val="000000"/>
                <w:sz w:val="20"/>
                <w:szCs w:val="20"/>
              </w:rPr>
            </w:pPr>
            <w:r>
              <w:rPr>
                <w:color w:val="000000"/>
                <w:sz w:val="20"/>
                <w:szCs w:val="20"/>
              </w:rPr>
              <w:t>a.</w:t>
            </w:r>
          </w:p>
        </w:tc>
        <w:tc>
          <w:tcPr>
            <w:tcW w:w="0" w:type="auto"/>
            <w:tcMar>
              <w:top w:w="5" w:type="dxa"/>
              <w:left w:w="5" w:type="dxa"/>
              <w:bottom w:w="5" w:type="dxa"/>
              <w:right w:w="5" w:type="dxa"/>
            </w:tcMar>
            <w:hideMark/>
          </w:tcPr>
          <w:p w14:paraId="2AE4A45E" w14:textId="77777777" w:rsidR="00954279" w:rsidRDefault="00A66714">
            <w:pPr>
              <w:rPr>
                <w:color w:val="000000"/>
                <w:sz w:val="20"/>
                <w:szCs w:val="20"/>
              </w:rPr>
            </w:pPr>
            <w:r>
              <w:rPr>
                <w:color w:val="000000"/>
                <w:sz w:val="20"/>
                <w:szCs w:val="20"/>
              </w:rPr>
              <w:t>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p>
        </w:tc>
      </w:tr>
    </w:tbl>
    <w:p w14:paraId="47EF0B06" w14:textId="77777777" w:rsidR="00954279" w:rsidRDefault="00A66714">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20"/>
        <w:gridCol w:w="720"/>
        <w:gridCol w:w="9360"/>
      </w:tblGrid>
      <w:tr w:rsidR="00954279" w14:paraId="4E948CE9" w14:textId="77777777">
        <w:tc>
          <w:tcPr>
            <w:tcW w:w="720" w:type="dxa"/>
            <w:tcMar>
              <w:top w:w="5" w:type="dxa"/>
              <w:left w:w="5" w:type="dxa"/>
              <w:bottom w:w="5" w:type="dxa"/>
              <w:right w:w="5" w:type="dxa"/>
            </w:tcMar>
            <w:hideMark/>
          </w:tcPr>
          <w:p w14:paraId="3886CA2F" w14:textId="77777777" w:rsidR="00954279" w:rsidRDefault="00A66714">
            <w:pPr>
              <w:rPr>
                <w:color w:val="000000"/>
              </w:rPr>
            </w:pPr>
            <w:r>
              <w:rPr>
                <w:color w:val="000000"/>
              </w:rPr>
              <w:t> </w:t>
            </w:r>
          </w:p>
        </w:tc>
        <w:tc>
          <w:tcPr>
            <w:tcW w:w="720" w:type="dxa"/>
            <w:tcMar>
              <w:top w:w="5" w:type="dxa"/>
              <w:left w:w="5" w:type="dxa"/>
              <w:bottom w:w="5" w:type="dxa"/>
              <w:right w:w="5" w:type="dxa"/>
            </w:tcMar>
            <w:hideMark/>
          </w:tcPr>
          <w:p w14:paraId="26074138" w14:textId="77777777" w:rsidR="00954279" w:rsidRDefault="00A66714">
            <w:pPr>
              <w:rPr>
                <w:color w:val="000000"/>
                <w:sz w:val="20"/>
                <w:szCs w:val="20"/>
              </w:rPr>
            </w:pPr>
            <w:r>
              <w:rPr>
                <w:color w:val="000000"/>
                <w:sz w:val="20"/>
                <w:szCs w:val="20"/>
              </w:rPr>
              <w:t>b.</w:t>
            </w:r>
          </w:p>
        </w:tc>
        <w:tc>
          <w:tcPr>
            <w:tcW w:w="0" w:type="auto"/>
            <w:tcMar>
              <w:top w:w="5" w:type="dxa"/>
              <w:left w:w="5" w:type="dxa"/>
              <w:bottom w:w="5" w:type="dxa"/>
              <w:right w:w="5" w:type="dxa"/>
            </w:tcMar>
            <w:hideMark/>
          </w:tcPr>
          <w:p w14:paraId="7F5DDA81" w14:textId="77777777" w:rsidR="00954279" w:rsidRDefault="00A66714">
            <w:pPr>
              <w:rPr>
                <w:color w:val="000000"/>
                <w:sz w:val="20"/>
                <w:szCs w:val="20"/>
              </w:rPr>
            </w:pPr>
            <w:r>
              <w:rPr>
                <w:color w:val="000000"/>
                <w:sz w:val="20"/>
                <w:szCs w:val="20"/>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tc>
      </w:tr>
    </w:tbl>
    <w:p w14:paraId="33EE9ED6" w14:textId="77777777" w:rsidR="00954279" w:rsidRDefault="00A66714">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20"/>
        <w:gridCol w:w="720"/>
        <w:gridCol w:w="9360"/>
      </w:tblGrid>
      <w:tr w:rsidR="00954279" w14:paraId="6464B5F6" w14:textId="77777777">
        <w:tc>
          <w:tcPr>
            <w:tcW w:w="720" w:type="dxa"/>
            <w:tcMar>
              <w:top w:w="5" w:type="dxa"/>
              <w:left w:w="5" w:type="dxa"/>
              <w:bottom w:w="5" w:type="dxa"/>
              <w:right w:w="5" w:type="dxa"/>
            </w:tcMar>
            <w:hideMark/>
          </w:tcPr>
          <w:p w14:paraId="64504990" w14:textId="77777777" w:rsidR="00954279" w:rsidRDefault="00A66714">
            <w:pPr>
              <w:rPr>
                <w:color w:val="000000"/>
              </w:rPr>
            </w:pPr>
            <w:r>
              <w:rPr>
                <w:color w:val="000000"/>
              </w:rPr>
              <w:t> </w:t>
            </w:r>
          </w:p>
        </w:tc>
        <w:tc>
          <w:tcPr>
            <w:tcW w:w="720" w:type="dxa"/>
            <w:tcMar>
              <w:top w:w="5" w:type="dxa"/>
              <w:left w:w="5" w:type="dxa"/>
              <w:bottom w:w="5" w:type="dxa"/>
              <w:right w:w="5" w:type="dxa"/>
            </w:tcMar>
            <w:hideMark/>
          </w:tcPr>
          <w:p w14:paraId="772300A3" w14:textId="77777777" w:rsidR="00954279" w:rsidRDefault="00A66714">
            <w:pPr>
              <w:rPr>
                <w:color w:val="000000"/>
                <w:sz w:val="20"/>
                <w:szCs w:val="20"/>
              </w:rPr>
            </w:pPr>
            <w:r>
              <w:rPr>
                <w:color w:val="000000"/>
                <w:sz w:val="20"/>
                <w:szCs w:val="20"/>
              </w:rPr>
              <w:t>c.</w:t>
            </w:r>
          </w:p>
        </w:tc>
        <w:tc>
          <w:tcPr>
            <w:tcW w:w="0" w:type="auto"/>
            <w:tcMar>
              <w:top w:w="5" w:type="dxa"/>
              <w:left w:w="5" w:type="dxa"/>
              <w:bottom w:w="5" w:type="dxa"/>
              <w:right w:w="5" w:type="dxa"/>
            </w:tcMar>
            <w:hideMark/>
          </w:tcPr>
          <w:p w14:paraId="14DC5990" w14:textId="77777777" w:rsidR="00954279" w:rsidRDefault="00A66714">
            <w:pPr>
              <w:rPr>
                <w:color w:val="000000"/>
                <w:sz w:val="20"/>
                <w:szCs w:val="20"/>
              </w:rPr>
            </w:pPr>
            <w:r>
              <w:rPr>
                <w:color w:val="000000"/>
                <w:sz w:val="20"/>
                <w:szCs w:val="20"/>
              </w:rPr>
              <w:t>Evaluated the effectiveness of the registrant’s disclosure controls and procedures and presented in this report our conclusions about the effectiveness of the disclosure controls and procedures, as of the end of the period covered by this report based on such evaluation; and</w:t>
            </w:r>
          </w:p>
        </w:tc>
      </w:tr>
    </w:tbl>
    <w:p w14:paraId="06A5979B" w14:textId="77777777" w:rsidR="00954279" w:rsidRDefault="00A66714">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20"/>
        <w:gridCol w:w="720"/>
        <w:gridCol w:w="9360"/>
      </w:tblGrid>
      <w:tr w:rsidR="00954279" w14:paraId="132944A8" w14:textId="77777777">
        <w:tc>
          <w:tcPr>
            <w:tcW w:w="720" w:type="dxa"/>
            <w:tcMar>
              <w:top w:w="5" w:type="dxa"/>
              <w:left w:w="5" w:type="dxa"/>
              <w:bottom w:w="5" w:type="dxa"/>
              <w:right w:w="5" w:type="dxa"/>
            </w:tcMar>
            <w:hideMark/>
          </w:tcPr>
          <w:p w14:paraId="19B5C4BE" w14:textId="77777777" w:rsidR="00954279" w:rsidRDefault="00A66714">
            <w:pPr>
              <w:rPr>
                <w:color w:val="000000"/>
              </w:rPr>
            </w:pPr>
            <w:r>
              <w:rPr>
                <w:color w:val="000000"/>
              </w:rPr>
              <w:t> </w:t>
            </w:r>
          </w:p>
        </w:tc>
        <w:tc>
          <w:tcPr>
            <w:tcW w:w="720" w:type="dxa"/>
            <w:tcMar>
              <w:top w:w="5" w:type="dxa"/>
              <w:left w:w="5" w:type="dxa"/>
              <w:bottom w:w="5" w:type="dxa"/>
              <w:right w:w="5" w:type="dxa"/>
            </w:tcMar>
            <w:hideMark/>
          </w:tcPr>
          <w:p w14:paraId="6D495FAC" w14:textId="77777777" w:rsidR="00954279" w:rsidRDefault="00A66714">
            <w:pPr>
              <w:rPr>
                <w:color w:val="000000"/>
                <w:sz w:val="20"/>
                <w:szCs w:val="20"/>
              </w:rPr>
            </w:pPr>
            <w:r>
              <w:rPr>
                <w:color w:val="000000"/>
                <w:sz w:val="20"/>
                <w:szCs w:val="20"/>
              </w:rPr>
              <w:t>d.</w:t>
            </w:r>
          </w:p>
        </w:tc>
        <w:tc>
          <w:tcPr>
            <w:tcW w:w="0" w:type="auto"/>
            <w:tcMar>
              <w:top w:w="5" w:type="dxa"/>
              <w:left w:w="5" w:type="dxa"/>
              <w:bottom w:w="5" w:type="dxa"/>
              <w:right w:w="5" w:type="dxa"/>
            </w:tcMar>
            <w:hideMark/>
          </w:tcPr>
          <w:p w14:paraId="32E84198" w14:textId="77777777" w:rsidR="00954279" w:rsidRDefault="00A66714">
            <w:pPr>
              <w:rPr>
                <w:color w:val="000000"/>
                <w:sz w:val="20"/>
                <w:szCs w:val="20"/>
              </w:rPr>
            </w:pPr>
            <w:r>
              <w:rPr>
                <w:color w:val="000000"/>
                <w:sz w:val="20"/>
                <w:szCs w:val="20"/>
              </w:rPr>
              <w:t>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w:t>
            </w:r>
          </w:p>
        </w:tc>
      </w:tr>
    </w:tbl>
    <w:p w14:paraId="313B8BBE" w14:textId="77777777" w:rsidR="00954279" w:rsidRDefault="00A66714">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20"/>
        <w:gridCol w:w="10080"/>
      </w:tblGrid>
      <w:tr w:rsidR="00954279" w14:paraId="55A20A6A" w14:textId="77777777">
        <w:tc>
          <w:tcPr>
            <w:tcW w:w="720" w:type="dxa"/>
            <w:tcMar>
              <w:top w:w="5" w:type="dxa"/>
              <w:left w:w="5" w:type="dxa"/>
              <w:bottom w:w="5" w:type="dxa"/>
              <w:right w:w="5" w:type="dxa"/>
            </w:tcMar>
            <w:hideMark/>
          </w:tcPr>
          <w:p w14:paraId="546CC007" w14:textId="77777777" w:rsidR="00954279" w:rsidRDefault="00A66714">
            <w:pPr>
              <w:rPr>
                <w:color w:val="000000"/>
                <w:sz w:val="20"/>
                <w:szCs w:val="20"/>
              </w:rPr>
            </w:pPr>
            <w:r>
              <w:rPr>
                <w:color w:val="000000"/>
                <w:sz w:val="20"/>
                <w:szCs w:val="20"/>
              </w:rPr>
              <w:t>5.</w:t>
            </w:r>
          </w:p>
        </w:tc>
        <w:tc>
          <w:tcPr>
            <w:tcW w:w="0" w:type="auto"/>
            <w:tcMar>
              <w:top w:w="5" w:type="dxa"/>
              <w:left w:w="5" w:type="dxa"/>
              <w:bottom w:w="5" w:type="dxa"/>
              <w:right w:w="5" w:type="dxa"/>
            </w:tcMar>
            <w:hideMark/>
          </w:tcPr>
          <w:p w14:paraId="6B0FBBBC" w14:textId="77777777" w:rsidR="00954279" w:rsidRDefault="00A66714">
            <w:pPr>
              <w:rPr>
                <w:color w:val="000000"/>
                <w:sz w:val="20"/>
                <w:szCs w:val="20"/>
              </w:rPr>
            </w:pPr>
            <w:r>
              <w:rPr>
                <w:color w:val="000000"/>
                <w:sz w:val="20"/>
                <w:szCs w:val="20"/>
              </w:rPr>
              <w:t>The registrant’s other certifying officer and I have disclosed, based on our most recent evaluation of internal control over financial reporting, to the registrant’s auditors and the audit committee of the registrant’s board of directors (or persons performing the equivalent functions):</w:t>
            </w:r>
          </w:p>
        </w:tc>
      </w:tr>
    </w:tbl>
    <w:p w14:paraId="44766CBC" w14:textId="77777777" w:rsidR="00954279" w:rsidRDefault="00A66714">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20"/>
        <w:gridCol w:w="720"/>
        <w:gridCol w:w="9360"/>
      </w:tblGrid>
      <w:tr w:rsidR="00954279" w14:paraId="6D2EAB34" w14:textId="77777777">
        <w:tc>
          <w:tcPr>
            <w:tcW w:w="720" w:type="dxa"/>
            <w:tcMar>
              <w:top w:w="5" w:type="dxa"/>
              <w:left w:w="5" w:type="dxa"/>
              <w:bottom w:w="5" w:type="dxa"/>
              <w:right w:w="5" w:type="dxa"/>
            </w:tcMar>
            <w:hideMark/>
          </w:tcPr>
          <w:p w14:paraId="0E36352D" w14:textId="77777777" w:rsidR="00954279" w:rsidRDefault="00A66714">
            <w:pPr>
              <w:rPr>
                <w:color w:val="000000"/>
              </w:rPr>
            </w:pPr>
            <w:r>
              <w:rPr>
                <w:color w:val="000000"/>
              </w:rPr>
              <w:t> </w:t>
            </w:r>
          </w:p>
        </w:tc>
        <w:tc>
          <w:tcPr>
            <w:tcW w:w="720" w:type="dxa"/>
            <w:tcMar>
              <w:top w:w="5" w:type="dxa"/>
              <w:left w:w="5" w:type="dxa"/>
              <w:bottom w:w="5" w:type="dxa"/>
              <w:right w:w="5" w:type="dxa"/>
            </w:tcMar>
            <w:hideMark/>
          </w:tcPr>
          <w:p w14:paraId="50A2C0C2" w14:textId="77777777" w:rsidR="00954279" w:rsidRDefault="00A66714">
            <w:pPr>
              <w:rPr>
                <w:color w:val="000000"/>
                <w:sz w:val="20"/>
                <w:szCs w:val="20"/>
              </w:rPr>
            </w:pPr>
            <w:r>
              <w:rPr>
                <w:color w:val="000000"/>
                <w:sz w:val="20"/>
                <w:szCs w:val="20"/>
              </w:rPr>
              <w:t>a.</w:t>
            </w:r>
          </w:p>
        </w:tc>
        <w:tc>
          <w:tcPr>
            <w:tcW w:w="0" w:type="auto"/>
            <w:tcMar>
              <w:top w:w="5" w:type="dxa"/>
              <w:left w:w="5" w:type="dxa"/>
              <w:bottom w:w="5" w:type="dxa"/>
              <w:right w:w="5" w:type="dxa"/>
            </w:tcMar>
            <w:hideMark/>
          </w:tcPr>
          <w:p w14:paraId="0EC9C246" w14:textId="77777777" w:rsidR="00954279" w:rsidRDefault="00A66714">
            <w:pPr>
              <w:rPr>
                <w:color w:val="000000"/>
                <w:sz w:val="20"/>
                <w:szCs w:val="20"/>
              </w:rPr>
            </w:pPr>
            <w:r>
              <w:rPr>
                <w:color w:val="000000"/>
                <w:sz w:val="20"/>
                <w:szCs w:val="20"/>
              </w:rPr>
              <w:t>All significant deficiencies and material weaknesses in the design or operation of internal control over financial reporting which are reasonably likely to adversely affect the registrant’s ability to record, process, summarize and report financial information; and</w:t>
            </w:r>
          </w:p>
        </w:tc>
      </w:tr>
    </w:tbl>
    <w:p w14:paraId="326AD770" w14:textId="77777777" w:rsidR="00954279" w:rsidRDefault="00A66714">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20"/>
        <w:gridCol w:w="720"/>
        <w:gridCol w:w="9360"/>
      </w:tblGrid>
      <w:tr w:rsidR="00954279" w14:paraId="70F439D1" w14:textId="77777777">
        <w:tc>
          <w:tcPr>
            <w:tcW w:w="720" w:type="dxa"/>
            <w:tcMar>
              <w:top w:w="5" w:type="dxa"/>
              <w:left w:w="5" w:type="dxa"/>
              <w:bottom w:w="5" w:type="dxa"/>
              <w:right w:w="5" w:type="dxa"/>
            </w:tcMar>
            <w:hideMark/>
          </w:tcPr>
          <w:p w14:paraId="47D7ACBE" w14:textId="77777777" w:rsidR="00954279" w:rsidRDefault="00A66714">
            <w:pPr>
              <w:rPr>
                <w:color w:val="000000"/>
              </w:rPr>
            </w:pPr>
            <w:r>
              <w:rPr>
                <w:color w:val="000000"/>
              </w:rPr>
              <w:t> </w:t>
            </w:r>
          </w:p>
        </w:tc>
        <w:tc>
          <w:tcPr>
            <w:tcW w:w="720" w:type="dxa"/>
            <w:tcMar>
              <w:top w:w="5" w:type="dxa"/>
              <w:left w:w="5" w:type="dxa"/>
              <w:bottom w:w="5" w:type="dxa"/>
              <w:right w:w="5" w:type="dxa"/>
            </w:tcMar>
            <w:hideMark/>
          </w:tcPr>
          <w:p w14:paraId="380AD2AF" w14:textId="77777777" w:rsidR="00954279" w:rsidRDefault="00A66714">
            <w:pPr>
              <w:rPr>
                <w:color w:val="000000"/>
                <w:sz w:val="20"/>
                <w:szCs w:val="20"/>
              </w:rPr>
            </w:pPr>
            <w:r>
              <w:rPr>
                <w:color w:val="000000"/>
                <w:sz w:val="20"/>
                <w:szCs w:val="20"/>
              </w:rPr>
              <w:t>b.</w:t>
            </w:r>
          </w:p>
        </w:tc>
        <w:tc>
          <w:tcPr>
            <w:tcW w:w="0" w:type="auto"/>
            <w:tcMar>
              <w:top w:w="5" w:type="dxa"/>
              <w:left w:w="5" w:type="dxa"/>
              <w:bottom w:w="5" w:type="dxa"/>
              <w:right w:w="5" w:type="dxa"/>
            </w:tcMar>
            <w:hideMark/>
          </w:tcPr>
          <w:p w14:paraId="12415F5D" w14:textId="77777777" w:rsidR="00954279" w:rsidRDefault="00A66714">
            <w:pPr>
              <w:rPr>
                <w:color w:val="000000"/>
                <w:sz w:val="20"/>
                <w:szCs w:val="20"/>
              </w:rPr>
            </w:pPr>
            <w:r>
              <w:rPr>
                <w:color w:val="000000"/>
                <w:sz w:val="20"/>
                <w:szCs w:val="20"/>
              </w:rPr>
              <w:t>Any fraud, whether or not material, that involves management or other employees who have a significant role in the registrant’s internal control over financial reporting.</w:t>
            </w:r>
          </w:p>
        </w:tc>
      </w:tr>
    </w:tbl>
    <w:p w14:paraId="645AE841" w14:textId="77777777" w:rsidR="00954279" w:rsidRDefault="00A66714">
      <w:pPr>
        <w:ind w:left="144" w:right="144"/>
        <w:rPr>
          <w:sz w:val="20"/>
          <w:szCs w:val="20"/>
        </w:rPr>
      </w:pPr>
      <w:r>
        <w:rPr>
          <w:sz w:val="20"/>
          <w:szCs w:val="20"/>
        </w:rPr>
        <w:t>  </w:t>
      </w:r>
    </w:p>
    <w:p w14:paraId="0E8D0405" w14:textId="77777777" w:rsidR="00954279" w:rsidRDefault="00A66714">
      <w:pPr>
        <w:ind w:left="144" w:right="144"/>
        <w:rPr>
          <w:sz w:val="20"/>
          <w:szCs w:val="20"/>
        </w:rPr>
      </w:pPr>
      <w:r>
        <w:rPr>
          <w:sz w:val="20"/>
          <w:szCs w:val="20"/>
        </w:rPr>
        <w:t>Date: July 30, 2021 </w:t>
      </w:r>
    </w:p>
    <w:p w14:paraId="52DFF7B3" w14:textId="77777777" w:rsidR="00954279" w:rsidRDefault="00A66714">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940"/>
        <w:gridCol w:w="1080"/>
        <w:gridCol w:w="3780"/>
      </w:tblGrid>
      <w:tr w:rsidR="00954279" w14:paraId="5A58F478" w14:textId="77777777">
        <w:tc>
          <w:tcPr>
            <w:tcW w:w="2750" w:type="pct"/>
            <w:tcMar>
              <w:top w:w="5" w:type="dxa"/>
              <w:left w:w="5" w:type="dxa"/>
              <w:bottom w:w="5" w:type="dxa"/>
              <w:right w:w="5" w:type="dxa"/>
            </w:tcMar>
            <w:hideMark/>
          </w:tcPr>
          <w:p w14:paraId="752E7D98" w14:textId="77777777" w:rsidR="00954279" w:rsidRDefault="00A66714">
            <w:pPr>
              <w:rPr>
                <w:color w:val="000000"/>
                <w:sz w:val="20"/>
                <w:szCs w:val="20"/>
              </w:rPr>
            </w:pPr>
            <w:r>
              <w:rPr>
                <w:color w:val="000000"/>
                <w:sz w:val="20"/>
                <w:szCs w:val="20"/>
              </w:rPr>
              <w:t> </w:t>
            </w:r>
          </w:p>
        </w:tc>
        <w:tc>
          <w:tcPr>
            <w:tcW w:w="500" w:type="pct"/>
            <w:gridSpan w:val="2"/>
            <w:tcBorders>
              <w:bottom w:val="single" w:sz="12" w:space="0" w:color="000000"/>
            </w:tcBorders>
            <w:tcMar>
              <w:top w:w="5" w:type="dxa"/>
              <w:left w:w="5" w:type="dxa"/>
              <w:bottom w:w="15" w:type="dxa"/>
              <w:right w:w="5" w:type="dxa"/>
            </w:tcMar>
            <w:hideMark/>
          </w:tcPr>
          <w:p w14:paraId="13951BD2" w14:textId="77777777" w:rsidR="00954279" w:rsidRDefault="00A66714">
            <w:pPr>
              <w:rPr>
                <w:color w:val="000000"/>
                <w:sz w:val="20"/>
                <w:szCs w:val="20"/>
              </w:rPr>
            </w:pPr>
            <w:r>
              <w:rPr>
                <w:color w:val="000000"/>
                <w:sz w:val="20"/>
                <w:szCs w:val="20"/>
              </w:rPr>
              <w:t>/s/ Robert J. Saltiel, Jr.</w:t>
            </w:r>
          </w:p>
        </w:tc>
      </w:tr>
      <w:tr w:rsidR="00954279" w14:paraId="1D9739B8" w14:textId="77777777">
        <w:tc>
          <w:tcPr>
            <w:tcW w:w="2750" w:type="pct"/>
            <w:tcMar>
              <w:top w:w="5" w:type="dxa"/>
              <w:left w:w="5" w:type="dxa"/>
              <w:bottom w:w="5" w:type="dxa"/>
              <w:right w:w="5" w:type="dxa"/>
            </w:tcMar>
            <w:hideMark/>
          </w:tcPr>
          <w:p w14:paraId="21A78DBE" w14:textId="77777777" w:rsidR="00954279" w:rsidRDefault="00A66714">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33F565F3" w14:textId="77777777" w:rsidR="00954279" w:rsidRDefault="00A66714">
            <w:pPr>
              <w:rPr>
                <w:color w:val="000000"/>
                <w:sz w:val="20"/>
                <w:szCs w:val="20"/>
              </w:rPr>
            </w:pPr>
            <w:r>
              <w:rPr>
                <w:color w:val="000000"/>
                <w:sz w:val="20"/>
                <w:szCs w:val="20"/>
              </w:rPr>
              <w:t>Name: </w:t>
            </w:r>
          </w:p>
        </w:tc>
        <w:tc>
          <w:tcPr>
            <w:tcW w:w="1750" w:type="pct"/>
            <w:tcMar>
              <w:top w:w="5" w:type="dxa"/>
              <w:left w:w="5" w:type="dxa"/>
              <w:bottom w:w="5" w:type="dxa"/>
              <w:right w:w="5" w:type="dxa"/>
            </w:tcMar>
            <w:vAlign w:val="bottom"/>
            <w:hideMark/>
          </w:tcPr>
          <w:p w14:paraId="6854F065" w14:textId="77777777" w:rsidR="00954279" w:rsidRDefault="00A66714">
            <w:pPr>
              <w:rPr>
                <w:color w:val="000000"/>
                <w:sz w:val="20"/>
                <w:szCs w:val="20"/>
              </w:rPr>
            </w:pPr>
            <w:r>
              <w:rPr>
                <w:color w:val="000000"/>
                <w:sz w:val="20"/>
                <w:szCs w:val="20"/>
              </w:rPr>
              <w:t>Robert J. Saltiel, Jr.</w:t>
            </w:r>
          </w:p>
        </w:tc>
      </w:tr>
      <w:tr w:rsidR="00954279" w14:paraId="3F3E72AC" w14:textId="77777777">
        <w:tc>
          <w:tcPr>
            <w:tcW w:w="2750" w:type="pct"/>
            <w:tcMar>
              <w:top w:w="5" w:type="dxa"/>
              <w:left w:w="5" w:type="dxa"/>
              <w:bottom w:w="5" w:type="dxa"/>
              <w:right w:w="5" w:type="dxa"/>
            </w:tcMar>
            <w:hideMark/>
          </w:tcPr>
          <w:p w14:paraId="4D8E1851" w14:textId="77777777" w:rsidR="00954279" w:rsidRDefault="00A66714">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5F47B869" w14:textId="77777777" w:rsidR="00954279" w:rsidRDefault="00A66714">
            <w:pPr>
              <w:rPr>
                <w:color w:val="000000"/>
                <w:sz w:val="20"/>
                <w:szCs w:val="20"/>
              </w:rPr>
            </w:pPr>
            <w:r>
              <w:rPr>
                <w:color w:val="000000"/>
                <w:sz w:val="20"/>
                <w:szCs w:val="20"/>
              </w:rPr>
              <w:t>Title:</w:t>
            </w:r>
          </w:p>
        </w:tc>
        <w:tc>
          <w:tcPr>
            <w:tcW w:w="1750" w:type="pct"/>
            <w:tcMar>
              <w:top w:w="5" w:type="dxa"/>
              <w:left w:w="5" w:type="dxa"/>
              <w:bottom w:w="5" w:type="dxa"/>
              <w:right w:w="5" w:type="dxa"/>
            </w:tcMar>
            <w:vAlign w:val="bottom"/>
            <w:hideMark/>
          </w:tcPr>
          <w:p w14:paraId="5D7A7DF1" w14:textId="77777777" w:rsidR="00954279" w:rsidRDefault="00A66714">
            <w:pPr>
              <w:rPr>
                <w:color w:val="000000"/>
                <w:sz w:val="20"/>
                <w:szCs w:val="20"/>
              </w:rPr>
            </w:pPr>
            <w:r>
              <w:rPr>
                <w:color w:val="000000"/>
                <w:sz w:val="20"/>
                <w:szCs w:val="20"/>
              </w:rPr>
              <w:t>President and Chief Executive Officer</w:t>
            </w:r>
          </w:p>
        </w:tc>
      </w:tr>
    </w:tbl>
    <w:p w14:paraId="59C20E71" w14:textId="77777777" w:rsidR="00954279" w:rsidRDefault="00A66714">
      <w:pPr>
        <w:ind w:left="144" w:right="144"/>
        <w:rPr>
          <w:sz w:val="20"/>
          <w:szCs w:val="20"/>
        </w:rPr>
      </w:pPr>
      <w:r>
        <w:rPr>
          <w:sz w:val="20"/>
          <w:szCs w:val="20"/>
        </w:rPr>
        <w:t>﻿ </w:t>
      </w:r>
    </w:p>
    <w:p w14:paraId="04B0FCB7" w14:textId="77777777" w:rsidR="00954279" w:rsidRDefault="00A66714">
      <w:pPr>
        <w:ind w:left="144" w:right="144"/>
        <w:rPr>
          <w:sz w:val="20"/>
          <w:szCs w:val="20"/>
        </w:rPr>
        <w:sectPr w:rsidR="00954279">
          <w:pgSz w:w="12240" w:h="15840"/>
          <w:pgMar w:top="576" w:right="720" w:bottom="576" w:left="720" w:header="144" w:footer="432" w:gutter="0"/>
          <w:cols w:space="720"/>
        </w:sectPr>
      </w:pPr>
      <w:r>
        <w:rPr>
          <w:sz w:val="20"/>
          <w:szCs w:val="20"/>
        </w:rPr>
        <w:t> </w:t>
      </w:r>
    </w:p>
    <w:p w14:paraId="14DBAF08" w14:textId="77777777" w:rsidR="00954279" w:rsidRDefault="00A66714">
      <w:pPr>
        <w:ind w:left="144" w:right="144"/>
        <w:rPr>
          <w:rFonts w:ascii="Calibri" w:eastAsia="Calibri" w:hAnsi="Calibri" w:cs="Calibri"/>
          <w:sz w:val="2"/>
          <w:szCs w:val="2"/>
        </w:rPr>
      </w:pPr>
      <w:r>
        <w:rPr>
          <w:rFonts w:ascii="Calibri" w:eastAsia="Calibri" w:hAnsi="Calibri" w:cs="Calibri"/>
          <w:sz w:val="2"/>
          <w:szCs w:val="2"/>
        </w:rPr>
        <w:t>  </w:t>
      </w:r>
    </w:p>
    <w:p w14:paraId="4AD68260" w14:textId="77777777" w:rsidR="00954279" w:rsidRDefault="00A66714">
      <w:pPr>
        <w:ind w:left="144" w:right="144"/>
        <w:rPr>
          <w:sz w:val="20"/>
          <w:szCs w:val="20"/>
        </w:rPr>
      </w:pPr>
      <w:r>
        <w:rPr>
          <w:sz w:val="20"/>
          <w:szCs w:val="20"/>
        </w:rPr>
        <w:t> </w:t>
      </w:r>
    </w:p>
    <w:p w14:paraId="225466C2" w14:textId="77777777" w:rsidR="00954279" w:rsidRDefault="00A66714">
      <w:pPr>
        <w:ind w:left="144" w:right="144"/>
        <w:jc w:val="right"/>
        <w:rPr>
          <w:sz w:val="20"/>
          <w:szCs w:val="20"/>
        </w:rPr>
      </w:pPr>
      <w:r>
        <w:rPr>
          <w:b/>
          <w:bCs/>
          <w:sz w:val="20"/>
          <w:szCs w:val="20"/>
        </w:rPr>
        <w:t xml:space="preserve">Exhibit 31.2 </w:t>
      </w:r>
    </w:p>
    <w:p w14:paraId="1AF6D7B4" w14:textId="77777777" w:rsidR="00954279" w:rsidRDefault="00A66714">
      <w:pPr>
        <w:ind w:left="144" w:right="144"/>
        <w:rPr>
          <w:sz w:val="20"/>
          <w:szCs w:val="20"/>
        </w:rPr>
      </w:pPr>
      <w:r>
        <w:rPr>
          <w:sz w:val="20"/>
          <w:szCs w:val="20"/>
        </w:rPr>
        <w:t> </w:t>
      </w:r>
    </w:p>
    <w:p w14:paraId="0ABDC2DA" w14:textId="77777777" w:rsidR="00954279" w:rsidRDefault="00A66714">
      <w:pPr>
        <w:ind w:left="144" w:right="144"/>
        <w:jc w:val="center"/>
        <w:rPr>
          <w:sz w:val="20"/>
          <w:szCs w:val="20"/>
        </w:rPr>
      </w:pPr>
      <w:r>
        <w:rPr>
          <w:b/>
          <w:bCs/>
          <w:sz w:val="20"/>
          <w:szCs w:val="20"/>
        </w:rPr>
        <w:t xml:space="preserve">CERTIFICATION </w:t>
      </w:r>
    </w:p>
    <w:p w14:paraId="2CE8C9FD" w14:textId="77777777" w:rsidR="00954279" w:rsidRDefault="00A66714">
      <w:pPr>
        <w:ind w:left="144" w:right="144"/>
        <w:rPr>
          <w:sz w:val="20"/>
          <w:szCs w:val="20"/>
        </w:rPr>
      </w:pPr>
      <w:r>
        <w:rPr>
          <w:sz w:val="20"/>
          <w:szCs w:val="20"/>
        </w:rPr>
        <w:t> </w:t>
      </w:r>
    </w:p>
    <w:p w14:paraId="7999A980" w14:textId="77777777" w:rsidR="00954279" w:rsidRDefault="00A66714">
      <w:pPr>
        <w:ind w:left="144" w:right="144"/>
        <w:rPr>
          <w:sz w:val="20"/>
          <w:szCs w:val="20"/>
        </w:rPr>
      </w:pPr>
      <w:r>
        <w:rPr>
          <w:sz w:val="20"/>
          <w:szCs w:val="20"/>
        </w:rPr>
        <w:t>I, Kelly Youngblood, certify that:</w:t>
      </w:r>
    </w:p>
    <w:p w14:paraId="1708955B" w14:textId="77777777" w:rsidR="00954279" w:rsidRDefault="00A66714">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20"/>
        <w:gridCol w:w="10080"/>
      </w:tblGrid>
      <w:tr w:rsidR="00954279" w14:paraId="60EE0C77" w14:textId="77777777">
        <w:tc>
          <w:tcPr>
            <w:tcW w:w="720" w:type="dxa"/>
            <w:tcMar>
              <w:top w:w="5" w:type="dxa"/>
              <w:left w:w="5" w:type="dxa"/>
              <w:bottom w:w="5" w:type="dxa"/>
              <w:right w:w="5" w:type="dxa"/>
            </w:tcMar>
            <w:hideMark/>
          </w:tcPr>
          <w:p w14:paraId="3F566F4B" w14:textId="77777777" w:rsidR="00954279" w:rsidRDefault="00A66714">
            <w:pPr>
              <w:rPr>
                <w:color w:val="000000"/>
                <w:sz w:val="20"/>
                <w:szCs w:val="20"/>
              </w:rPr>
            </w:pPr>
            <w:r>
              <w:rPr>
                <w:color w:val="000000"/>
                <w:sz w:val="20"/>
                <w:szCs w:val="20"/>
              </w:rPr>
              <w:t>1.</w:t>
            </w:r>
          </w:p>
        </w:tc>
        <w:tc>
          <w:tcPr>
            <w:tcW w:w="0" w:type="auto"/>
            <w:tcMar>
              <w:top w:w="5" w:type="dxa"/>
              <w:left w:w="5" w:type="dxa"/>
              <w:bottom w:w="5" w:type="dxa"/>
              <w:right w:w="5" w:type="dxa"/>
            </w:tcMar>
            <w:hideMark/>
          </w:tcPr>
          <w:p w14:paraId="71F862AA" w14:textId="77777777" w:rsidR="00954279" w:rsidRDefault="00A66714">
            <w:pPr>
              <w:rPr>
                <w:color w:val="000000"/>
                <w:sz w:val="20"/>
                <w:szCs w:val="20"/>
              </w:rPr>
            </w:pPr>
            <w:r>
              <w:rPr>
                <w:color w:val="000000"/>
                <w:sz w:val="20"/>
                <w:szCs w:val="20"/>
              </w:rPr>
              <w:t xml:space="preserve">I have reviewed this Quarterly Report on Form 10-Q for the period ended </w:t>
            </w:r>
            <w:bookmarkStart w:id="168" w:name="led65141F20208111599842495305"/>
            <w:r>
              <w:rPr>
                <w:color w:val="000000"/>
                <w:sz w:val="20"/>
                <w:szCs w:val="20"/>
              </w:rPr>
              <w:t>June 30, 2021</w:t>
            </w:r>
            <w:bookmarkEnd w:id="168"/>
            <w:r>
              <w:rPr>
                <w:color w:val="000000"/>
                <w:sz w:val="20"/>
                <w:szCs w:val="20"/>
              </w:rPr>
              <w:t> of MRC Global Inc.;</w:t>
            </w:r>
          </w:p>
        </w:tc>
      </w:tr>
    </w:tbl>
    <w:p w14:paraId="2761230C" w14:textId="77777777" w:rsidR="00954279" w:rsidRDefault="00A66714">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20"/>
        <w:gridCol w:w="10080"/>
      </w:tblGrid>
      <w:tr w:rsidR="00954279" w14:paraId="02F2C3D7" w14:textId="77777777">
        <w:tc>
          <w:tcPr>
            <w:tcW w:w="720" w:type="dxa"/>
            <w:tcMar>
              <w:top w:w="5" w:type="dxa"/>
              <w:left w:w="5" w:type="dxa"/>
              <w:bottom w:w="5" w:type="dxa"/>
              <w:right w:w="5" w:type="dxa"/>
            </w:tcMar>
            <w:hideMark/>
          </w:tcPr>
          <w:p w14:paraId="548A59D3" w14:textId="77777777" w:rsidR="00954279" w:rsidRDefault="00A66714">
            <w:pPr>
              <w:rPr>
                <w:color w:val="000000"/>
                <w:sz w:val="20"/>
                <w:szCs w:val="20"/>
              </w:rPr>
            </w:pPr>
            <w:r>
              <w:rPr>
                <w:color w:val="000000"/>
                <w:sz w:val="20"/>
                <w:szCs w:val="20"/>
              </w:rPr>
              <w:t>2.</w:t>
            </w:r>
          </w:p>
        </w:tc>
        <w:tc>
          <w:tcPr>
            <w:tcW w:w="0" w:type="auto"/>
            <w:tcMar>
              <w:top w:w="5" w:type="dxa"/>
              <w:left w:w="5" w:type="dxa"/>
              <w:bottom w:w="5" w:type="dxa"/>
              <w:right w:w="5" w:type="dxa"/>
            </w:tcMar>
            <w:hideMark/>
          </w:tcPr>
          <w:p w14:paraId="5AA4E504" w14:textId="77777777" w:rsidR="00954279" w:rsidRDefault="00A66714">
            <w:pPr>
              <w:rPr>
                <w:color w:val="000000"/>
                <w:sz w:val="20"/>
                <w:szCs w:val="20"/>
              </w:rPr>
            </w:pPr>
            <w:r>
              <w:rPr>
                <w:color w:val="000000"/>
                <w:sz w:val="20"/>
                <w:szCs w:val="20"/>
              </w:rPr>
              <w:t>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p>
        </w:tc>
      </w:tr>
    </w:tbl>
    <w:p w14:paraId="364FCC79" w14:textId="77777777" w:rsidR="00954279" w:rsidRDefault="00A66714">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20"/>
        <w:gridCol w:w="10080"/>
      </w:tblGrid>
      <w:tr w:rsidR="00954279" w14:paraId="495B4392" w14:textId="77777777">
        <w:tc>
          <w:tcPr>
            <w:tcW w:w="720" w:type="dxa"/>
            <w:tcMar>
              <w:top w:w="5" w:type="dxa"/>
              <w:left w:w="5" w:type="dxa"/>
              <w:bottom w:w="5" w:type="dxa"/>
              <w:right w:w="5" w:type="dxa"/>
            </w:tcMar>
            <w:hideMark/>
          </w:tcPr>
          <w:p w14:paraId="2E640EBC" w14:textId="77777777" w:rsidR="00954279" w:rsidRDefault="00A66714">
            <w:pPr>
              <w:rPr>
                <w:color w:val="000000"/>
                <w:sz w:val="20"/>
                <w:szCs w:val="20"/>
              </w:rPr>
            </w:pPr>
            <w:r>
              <w:rPr>
                <w:color w:val="000000"/>
                <w:sz w:val="20"/>
                <w:szCs w:val="20"/>
              </w:rPr>
              <w:t>3.</w:t>
            </w:r>
          </w:p>
        </w:tc>
        <w:tc>
          <w:tcPr>
            <w:tcW w:w="0" w:type="auto"/>
            <w:tcMar>
              <w:top w:w="5" w:type="dxa"/>
              <w:left w:w="5" w:type="dxa"/>
              <w:bottom w:w="5" w:type="dxa"/>
              <w:right w:w="5" w:type="dxa"/>
            </w:tcMar>
            <w:hideMark/>
          </w:tcPr>
          <w:p w14:paraId="4F96056F" w14:textId="77777777" w:rsidR="00954279" w:rsidRDefault="00A66714">
            <w:pPr>
              <w:rPr>
                <w:color w:val="000000"/>
                <w:sz w:val="20"/>
                <w:szCs w:val="20"/>
              </w:rPr>
            </w:pPr>
            <w:r>
              <w:rPr>
                <w:color w:val="000000"/>
                <w:sz w:val="20"/>
                <w:szCs w:val="20"/>
              </w:rPr>
              <w:t>Based on my knowledge, the financial statements, and other financial information included in this report, fairly present in all material respects the financial condition, results of operations and cash flows of the registrant as of, and for, the periods presented in this report;</w:t>
            </w:r>
          </w:p>
        </w:tc>
      </w:tr>
    </w:tbl>
    <w:p w14:paraId="4D3C267C" w14:textId="77777777" w:rsidR="00954279" w:rsidRDefault="00A66714">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20"/>
        <w:gridCol w:w="10080"/>
      </w:tblGrid>
      <w:tr w:rsidR="00954279" w14:paraId="19BE84C2" w14:textId="77777777">
        <w:tc>
          <w:tcPr>
            <w:tcW w:w="720" w:type="dxa"/>
            <w:tcMar>
              <w:top w:w="5" w:type="dxa"/>
              <w:left w:w="5" w:type="dxa"/>
              <w:bottom w:w="5" w:type="dxa"/>
              <w:right w:w="5" w:type="dxa"/>
            </w:tcMar>
            <w:hideMark/>
          </w:tcPr>
          <w:p w14:paraId="179D32D9" w14:textId="77777777" w:rsidR="00954279" w:rsidRDefault="00A66714">
            <w:pPr>
              <w:rPr>
                <w:color w:val="000000"/>
                <w:sz w:val="20"/>
                <w:szCs w:val="20"/>
              </w:rPr>
            </w:pPr>
            <w:r>
              <w:rPr>
                <w:color w:val="000000"/>
                <w:sz w:val="20"/>
                <w:szCs w:val="20"/>
              </w:rPr>
              <w:t>4.</w:t>
            </w:r>
          </w:p>
        </w:tc>
        <w:tc>
          <w:tcPr>
            <w:tcW w:w="0" w:type="auto"/>
            <w:tcMar>
              <w:top w:w="5" w:type="dxa"/>
              <w:left w:w="5" w:type="dxa"/>
              <w:bottom w:w="5" w:type="dxa"/>
              <w:right w:w="5" w:type="dxa"/>
            </w:tcMar>
            <w:hideMark/>
          </w:tcPr>
          <w:p w14:paraId="04B47378" w14:textId="77777777" w:rsidR="00954279" w:rsidRDefault="00A66714">
            <w:pPr>
              <w:rPr>
                <w:color w:val="000000"/>
                <w:sz w:val="20"/>
                <w:szCs w:val="20"/>
              </w:rPr>
            </w:pPr>
            <w:r>
              <w:rPr>
                <w:color w:val="000000"/>
                <w:sz w:val="20"/>
                <w:szCs w:val="20"/>
              </w:rPr>
              <w:t>The registrant’s other certifying officer and I are responsible for establishing and maintaining disclosure controls and procedures (as defined in Exchange Act Rules 13a-15(e) and 15d-15(e)) and internal control over financial reporting (as defined in the Exchange Act Rules 13a-15(f) and 15d-15(f)) for the registrant and have:</w:t>
            </w:r>
          </w:p>
        </w:tc>
      </w:tr>
    </w:tbl>
    <w:p w14:paraId="3CF7C8DD" w14:textId="77777777" w:rsidR="00954279" w:rsidRDefault="00A66714">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20"/>
        <w:gridCol w:w="720"/>
        <w:gridCol w:w="9360"/>
      </w:tblGrid>
      <w:tr w:rsidR="00954279" w14:paraId="51EBB555" w14:textId="77777777">
        <w:tc>
          <w:tcPr>
            <w:tcW w:w="720" w:type="dxa"/>
            <w:tcMar>
              <w:top w:w="5" w:type="dxa"/>
              <w:left w:w="5" w:type="dxa"/>
              <w:bottom w:w="5" w:type="dxa"/>
              <w:right w:w="5" w:type="dxa"/>
            </w:tcMar>
            <w:hideMark/>
          </w:tcPr>
          <w:p w14:paraId="08E19D95" w14:textId="77777777" w:rsidR="00954279" w:rsidRDefault="00A66714">
            <w:pPr>
              <w:rPr>
                <w:color w:val="000000"/>
              </w:rPr>
            </w:pPr>
            <w:r>
              <w:rPr>
                <w:color w:val="000000"/>
              </w:rPr>
              <w:t> </w:t>
            </w:r>
          </w:p>
        </w:tc>
        <w:tc>
          <w:tcPr>
            <w:tcW w:w="720" w:type="dxa"/>
            <w:tcMar>
              <w:top w:w="5" w:type="dxa"/>
              <w:left w:w="5" w:type="dxa"/>
              <w:bottom w:w="5" w:type="dxa"/>
              <w:right w:w="5" w:type="dxa"/>
            </w:tcMar>
            <w:hideMark/>
          </w:tcPr>
          <w:p w14:paraId="526701B1" w14:textId="77777777" w:rsidR="00954279" w:rsidRDefault="00A66714">
            <w:pPr>
              <w:rPr>
                <w:color w:val="000000"/>
                <w:sz w:val="20"/>
                <w:szCs w:val="20"/>
              </w:rPr>
            </w:pPr>
            <w:r>
              <w:rPr>
                <w:color w:val="000000"/>
                <w:sz w:val="20"/>
                <w:szCs w:val="20"/>
              </w:rPr>
              <w:t>a.</w:t>
            </w:r>
          </w:p>
        </w:tc>
        <w:tc>
          <w:tcPr>
            <w:tcW w:w="0" w:type="auto"/>
            <w:tcMar>
              <w:top w:w="5" w:type="dxa"/>
              <w:left w:w="5" w:type="dxa"/>
              <w:bottom w:w="5" w:type="dxa"/>
              <w:right w:w="5" w:type="dxa"/>
            </w:tcMar>
            <w:hideMark/>
          </w:tcPr>
          <w:p w14:paraId="54B8D5B7" w14:textId="77777777" w:rsidR="00954279" w:rsidRDefault="00A66714">
            <w:pPr>
              <w:rPr>
                <w:color w:val="000000"/>
                <w:sz w:val="20"/>
                <w:szCs w:val="20"/>
              </w:rPr>
            </w:pPr>
            <w:r>
              <w:rPr>
                <w:color w:val="000000"/>
                <w:sz w:val="20"/>
                <w:szCs w:val="20"/>
              </w:rPr>
              <w:t>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p>
        </w:tc>
      </w:tr>
    </w:tbl>
    <w:p w14:paraId="5A984E47" w14:textId="77777777" w:rsidR="00954279" w:rsidRDefault="00A66714">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20"/>
        <w:gridCol w:w="720"/>
        <w:gridCol w:w="9360"/>
      </w:tblGrid>
      <w:tr w:rsidR="00954279" w14:paraId="31D4F36D" w14:textId="77777777">
        <w:tc>
          <w:tcPr>
            <w:tcW w:w="720" w:type="dxa"/>
            <w:tcMar>
              <w:top w:w="5" w:type="dxa"/>
              <w:left w:w="5" w:type="dxa"/>
              <w:bottom w:w="5" w:type="dxa"/>
              <w:right w:w="5" w:type="dxa"/>
            </w:tcMar>
            <w:hideMark/>
          </w:tcPr>
          <w:p w14:paraId="1FFFCFD0" w14:textId="77777777" w:rsidR="00954279" w:rsidRDefault="00A66714">
            <w:pPr>
              <w:rPr>
                <w:color w:val="000000"/>
              </w:rPr>
            </w:pPr>
            <w:r>
              <w:rPr>
                <w:color w:val="000000"/>
              </w:rPr>
              <w:t> </w:t>
            </w:r>
          </w:p>
        </w:tc>
        <w:tc>
          <w:tcPr>
            <w:tcW w:w="720" w:type="dxa"/>
            <w:tcMar>
              <w:top w:w="5" w:type="dxa"/>
              <w:left w:w="5" w:type="dxa"/>
              <w:bottom w:w="5" w:type="dxa"/>
              <w:right w:w="5" w:type="dxa"/>
            </w:tcMar>
            <w:hideMark/>
          </w:tcPr>
          <w:p w14:paraId="33D4261F" w14:textId="77777777" w:rsidR="00954279" w:rsidRDefault="00A66714">
            <w:pPr>
              <w:rPr>
                <w:color w:val="000000"/>
                <w:sz w:val="20"/>
                <w:szCs w:val="20"/>
              </w:rPr>
            </w:pPr>
            <w:r>
              <w:rPr>
                <w:color w:val="000000"/>
                <w:sz w:val="20"/>
                <w:szCs w:val="20"/>
              </w:rPr>
              <w:t>b.</w:t>
            </w:r>
          </w:p>
        </w:tc>
        <w:tc>
          <w:tcPr>
            <w:tcW w:w="0" w:type="auto"/>
            <w:tcMar>
              <w:top w:w="5" w:type="dxa"/>
              <w:left w:w="5" w:type="dxa"/>
              <w:bottom w:w="5" w:type="dxa"/>
              <w:right w:w="5" w:type="dxa"/>
            </w:tcMar>
            <w:hideMark/>
          </w:tcPr>
          <w:p w14:paraId="6CC738A5" w14:textId="77777777" w:rsidR="00954279" w:rsidRDefault="00A66714">
            <w:pPr>
              <w:rPr>
                <w:color w:val="000000"/>
                <w:sz w:val="20"/>
                <w:szCs w:val="20"/>
              </w:rPr>
            </w:pPr>
            <w:r>
              <w:rPr>
                <w:color w:val="000000"/>
                <w:sz w:val="20"/>
                <w:szCs w:val="20"/>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tc>
      </w:tr>
    </w:tbl>
    <w:p w14:paraId="518B5C36" w14:textId="77777777" w:rsidR="00954279" w:rsidRDefault="00A66714">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20"/>
        <w:gridCol w:w="720"/>
        <w:gridCol w:w="9360"/>
      </w:tblGrid>
      <w:tr w:rsidR="00954279" w14:paraId="45F09CFD" w14:textId="77777777">
        <w:tc>
          <w:tcPr>
            <w:tcW w:w="720" w:type="dxa"/>
            <w:tcMar>
              <w:top w:w="5" w:type="dxa"/>
              <w:left w:w="5" w:type="dxa"/>
              <w:bottom w:w="5" w:type="dxa"/>
              <w:right w:w="5" w:type="dxa"/>
            </w:tcMar>
            <w:hideMark/>
          </w:tcPr>
          <w:p w14:paraId="6A5D659F" w14:textId="77777777" w:rsidR="00954279" w:rsidRDefault="00A66714">
            <w:pPr>
              <w:rPr>
                <w:color w:val="000000"/>
              </w:rPr>
            </w:pPr>
            <w:r>
              <w:rPr>
                <w:color w:val="000000"/>
              </w:rPr>
              <w:t> </w:t>
            </w:r>
          </w:p>
        </w:tc>
        <w:tc>
          <w:tcPr>
            <w:tcW w:w="720" w:type="dxa"/>
            <w:tcMar>
              <w:top w:w="5" w:type="dxa"/>
              <w:left w:w="5" w:type="dxa"/>
              <w:bottom w:w="5" w:type="dxa"/>
              <w:right w:w="5" w:type="dxa"/>
            </w:tcMar>
            <w:hideMark/>
          </w:tcPr>
          <w:p w14:paraId="1C107515" w14:textId="77777777" w:rsidR="00954279" w:rsidRDefault="00A66714">
            <w:pPr>
              <w:rPr>
                <w:color w:val="000000"/>
                <w:sz w:val="20"/>
                <w:szCs w:val="20"/>
              </w:rPr>
            </w:pPr>
            <w:r>
              <w:rPr>
                <w:color w:val="000000"/>
                <w:sz w:val="20"/>
                <w:szCs w:val="20"/>
              </w:rPr>
              <w:t>c.</w:t>
            </w:r>
          </w:p>
        </w:tc>
        <w:tc>
          <w:tcPr>
            <w:tcW w:w="0" w:type="auto"/>
            <w:tcMar>
              <w:top w:w="5" w:type="dxa"/>
              <w:left w:w="5" w:type="dxa"/>
              <w:bottom w:w="5" w:type="dxa"/>
              <w:right w:w="5" w:type="dxa"/>
            </w:tcMar>
            <w:hideMark/>
          </w:tcPr>
          <w:p w14:paraId="3E6864D2" w14:textId="77777777" w:rsidR="00954279" w:rsidRDefault="00A66714">
            <w:pPr>
              <w:rPr>
                <w:color w:val="000000"/>
                <w:sz w:val="20"/>
                <w:szCs w:val="20"/>
              </w:rPr>
            </w:pPr>
            <w:r>
              <w:rPr>
                <w:color w:val="000000"/>
                <w:sz w:val="20"/>
                <w:szCs w:val="20"/>
              </w:rPr>
              <w:t>Evaluated the effectiveness of the registrant’s disclosure controls and procedures and presented in this report our conclusions about the effectiveness of the disclosure controls and procedures, as of the end of the period covered by this report based on such evaluation; and</w:t>
            </w:r>
          </w:p>
        </w:tc>
      </w:tr>
    </w:tbl>
    <w:p w14:paraId="3AC36170" w14:textId="77777777" w:rsidR="00954279" w:rsidRDefault="00A66714">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20"/>
        <w:gridCol w:w="720"/>
        <w:gridCol w:w="9360"/>
      </w:tblGrid>
      <w:tr w:rsidR="00954279" w14:paraId="21DDDAB7" w14:textId="77777777">
        <w:tc>
          <w:tcPr>
            <w:tcW w:w="720" w:type="dxa"/>
            <w:tcMar>
              <w:top w:w="5" w:type="dxa"/>
              <w:left w:w="5" w:type="dxa"/>
              <w:bottom w:w="5" w:type="dxa"/>
              <w:right w:w="5" w:type="dxa"/>
            </w:tcMar>
            <w:hideMark/>
          </w:tcPr>
          <w:p w14:paraId="747DE31F" w14:textId="77777777" w:rsidR="00954279" w:rsidRDefault="00A66714">
            <w:pPr>
              <w:rPr>
                <w:color w:val="000000"/>
              </w:rPr>
            </w:pPr>
            <w:r>
              <w:rPr>
                <w:color w:val="000000"/>
              </w:rPr>
              <w:t> </w:t>
            </w:r>
          </w:p>
        </w:tc>
        <w:tc>
          <w:tcPr>
            <w:tcW w:w="720" w:type="dxa"/>
            <w:tcMar>
              <w:top w:w="5" w:type="dxa"/>
              <w:left w:w="5" w:type="dxa"/>
              <w:bottom w:w="5" w:type="dxa"/>
              <w:right w:w="5" w:type="dxa"/>
            </w:tcMar>
            <w:hideMark/>
          </w:tcPr>
          <w:p w14:paraId="1C7F0982" w14:textId="77777777" w:rsidR="00954279" w:rsidRDefault="00A66714">
            <w:pPr>
              <w:rPr>
                <w:color w:val="000000"/>
                <w:sz w:val="20"/>
                <w:szCs w:val="20"/>
              </w:rPr>
            </w:pPr>
            <w:r>
              <w:rPr>
                <w:color w:val="000000"/>
                <w:sz w:val="20"/>
                <w:szCs w:val="20"/>
              </w:rPr>
              <w:t>d.</w:t>
            </w:r>
          </w:p>
        </w:tc>
        <w:tc>
          <w:tcPr>
            <w:tcW w:w="0" w:type="auto"/>
            <w:tcMar>
              <w:top w:w="5" w:type="dxa"/>
              <w:left w:w="5" w:type="dxa"/>
              <w:bottom w:w="5" w:type="dxa"/>
              <w:right w:w="5" w:type="dxa"/>
            </w:tcMar>
            <w:hideMark/>
          </w:tcPr>
          <w:p w14:paraId="509C93C5" w14:textId="77777777" w:rsidR="00954279" w:rsidRDefault="00A66714">
            <w:pPr>
              <w:rPr>
                <w:color w:val="000000"/>
                <w:sz w:val="20"/>
                <w:szCs w:val="20"/>
              </w:rPr>
            </w:pPr>
            <w:r>
              <w:rPr>
                <w:color w:val="000000"/>
                <w:sz w:val="20"/>
                <w:szCs w:val="20"/>
              </w:rPr>
              <w:t>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w:t>
            </w:r>
          </w:p>
        </w:tc>
      </w:tr>
    </w:tbl>
    <w:p w14:paraId="571C5268" w14:textId="77777777" w:rsidR="00954279" w:rsidRDefault="00A66714">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20"/>
        <w:gridCol w:w="10080"/>
      </w:tblGrid>
      <w:tr w:rsidR="00954279" w14:paraId="467B1EAD" w14:textId="77777777">
        <w:tc>
          <w:tcPr>
            <w:tcW w:w="720" w:type="dxa"/>
            <w:tcMar>
              <w:top w:w="5" w:type="dxa"/>
              <w:left w:w="5" w:type="dxa"/>
              <w:bottom w:w="5" w:type="dxa"/>
              <w:right w:w="5" w:type="dxa"/>
            </w:tcMar>
            <w:hideMark/>
          </w:tcPr>
          <w:p w14:paraId="749234E6" w14:textId="77777777" w:rsidR="00954279" w:rsidRDefault="00A66714">
            <w:pPr>
              <w:rPr>
                <w:color w:val="000000"/>
                <w:sz w:val="20"/>
                <w:szCs w:val="20"/>
              </w:rPr>
            </w:pPr>
            <w:r>
              <w:rPr>
                <w:color w:val="000000"/>
                <w:sz w:val="20"/>
                <w:szCs w:val="20"/>
              </w:rPr>
              <w:t>5.</w:t>
            </w:r>
          </w:p>
        </w:tc>
        <w:tc>
          <w:tcPr>
            <w:tcW w:w="0" w:type="auto"/>
            <w:tcMar>
              <w:top w:w="5" w:type="dxa"/>
              <w:left w:w="5" w:type="dxa"/>
              <w:bottom w:w="5" w:type="dxa"/>
              <w:right w:w="5" w:type="dxa"/>
            </w:tcMar>
            <w:hideMark/>
          </w:tcPr>
          <w:p w14:paraId="28044295" w14:textId="77777777" w:rsidR="00954279" w:rsidRDefault="00A66714">
            <w:pPr>
              <w:rPr>
                <w:color w:val="000000"/>
                <w:sz w:val="20"/>
                <w:szCs w:val="20"/>
              </w:rPr>
            </w:pPr>
            <w:r>
              <w:rPr>
                <w:color w:val="000000"/>
                <w:sz w:val="20"/>
                <w:szCs w:val="20"/>
              </w:rPr>
              <w:t>The registrant’s other certifying officer and I have disclosed, based on our most recent evaluation of internal control over financial reporting, to the registrant’s auditors and the audit committee of the registrant’s board of directors (or persons performing the equivalent functions):</w:t>
            </w:r>
          </w:p>
        </w:tc>
      </w:tr>
    </w:tbl>
    <w:p w14:paraId="7C54B6CC" w14:textId="77777777" w:rsidR="00954279" w:rsidRDefault="00A66714">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20"/>
        <w:gridCol w:w="720"/>
        <w:gridCol w:w="9360"/>
      </w:tblGrid>
      <w:tr w:rsidR="00954279" w14:paraId="0E081718" w14:textId="77777777">
        <w:tc>
          <w:tcPr>
            <w:tcW w:w="720" w:type="dxa"/>
            <w:tcMar>
              <w:top w:w="5" w:type="dxa"/>
              <w:left w:w="5" w:type="dxa"/>
              <w:bottom w:w="5" w:type="dxa"/>
              <w:right w:w="5" w:type="dxa"/>
            </w:tcMar>
            <w:hideMark/>
          </w:tcPr>
          <w:p w14:paraId="58F5BC26" w14:textId="77777777" w:rsidR="00954279" w:rsidRDefault="00A66714">
            <w:pPr>
              <w:rPr>
                <w:color w:val="000000"/>
              </w:rPr>
            </w:pPr>
            <w:r>
              <w:rPr>
                <w:color w:val="000000"/>
              </w:rPr>
              <w:t> </w:t>
            </w:r>
          </w:p>
        </w:tc>
        <w:tc>
          <w:tcPr>
            <w:tcW w:w="720" w:type="dxa"/>
            <w:tcMar>
              <w:top w:w="5" w:type="dxa"/>
              <w:left w:w="5" w:type="dxa"/>
              <w:bottom w:w="5" w:type="dxa"/>
              <w:right w:w="5" w:type="dxa"/>
            </w:tcMar>
            <w:hideMark/>
          </w:tcPr>
          <w:p w14:paraId="663FEA60" w14:textId="77777777" w:rsidR="00954279" w:rsidRDefault="00A66714">
            <w:pPr>
              <w:rPr>
                <w:color w:val="000000"/>
                <w:sz w:val="20"/>
                <w:szCs w:val="20"/>
              </w:rPr>
            </w:pPr>
            <w:r>
              <w:rPr>
                <w:color w:val="000000"/>
                <w:sz w:val="20"/>
                <w:szCs w:val="20"/>
              </w:rPr>
              <w:t>a.</w:t>
            </w:r>
          </w:p>
        </w:tc>
        <w:tc>
          <w:tcPr>
            <w:tcW w:w="0" w:type="auto"/>
            <w:tcMar>
              <w:top w:w="5" w:type="dxa"/>
              <w:left w:w="5" w:type="dxa"/>
              <w:bottom w:w="5" w:type="dxa"/>
              <w:right w:w="5" w:type="dxa"/>
            </w:tcMar>
            <w:hideMark/>
          </w:tcPr>
          <w:p w14:paraId="3D0F4648" w14:textId="77777777" w:rsidR="00954279" w:rsidRDefault="00A66714">
            <w:pPr>
              <w:rPr>
                <w:color w:val="000000"/>
                <w:sz w:val="20"/>
                <w:szCs w:val="20"/>
              </w:rPr>
            </w:pPr>
            <w:r>
              <w:rPr>
                <w:color w:val="000000"/>
                <w:sz w:val="20"/>
                <w:szCs w:val="20"/>
              </w:rPr>
              <w:t>All significant deficiencies and material weaknesses in the design or operation of internal control over financial reporting which are reasonably likely to adversely affect the registrant’s ability to record, process, summarize and report financial information; and</w:t>
            </w:r>
          </w:p>
        </w:tc>
      </w:tr>
    </w:tbl>
    <w:p w14:paraId="676AAC83" w14:textId="77777777" w:rsidR="00954279" w:rsidRDefault="00A66714">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20"/>
        <w:gridCol w:w="720"/>
        <w:gridCol w:w="9360"/>
      </w:tblGrid>
      <w:tr w:rsidR="00954279" w14:paraId="7D87BEB7" w14:textId="77777777">
        <w:tc>
          <w:tcPr>
            <w:tcW w:w="720" w:type="dxa"/>
            <w:tcMar>
              <w:top w:w="5" w:type="dxa"/>
              <w:left w:w="5" w:type="dxa"/>
              <w:bottom w:w="5" w:type="dxa"/>
              <w:right w:w="5" w:type="dxa"/>
            </w:tcMar>
            <w:hideMark/>
          </w:tcPr>
          <w:p w14:paraId="026911A8" w14:textId="77777777" w:rsidR="00954279" w:rsidRDefault="00A66714">
            <w:pPr>
              <w:rPr>
                <w:color w:val="000000"/>
              </w:rPr>
            </w:pPr>
            <w:r>
              <w:rPr>
                <w:color w:val="000000"/>
              </w:rPr>
              <w:t> </w:t>
            </w:r>
          </w:p>
        </w:tc>
        <w:tc>
          <w:tcPr>
            <w:tcW w:w="720" w:type="dxa"/>
            <w:tcMar>
              <w:top w:w="5" w:type="dxa"/>
              <w:left w:w="5" w:type="dxa"/>
              <w:bottom w:w="5" w:type="dxa"/>
              <w:right w:w="5" w:type="dxa"/>
            </w:tcMar>
            <w:hideMark/>
          </w:tcPr>
          <w:p w14:paraId="13D71B5F" w14:textId="77777777" w:rsidR="00954279" w:rsidRDefault="00A66714">
            <w:pPr>
              <w:rPr>
                <w:color w:val="000000"/>
                <w:sz w:val="20"/>
                <w:szCs w:val="20"/>
              </w:rPr>
            </w:pPr>
            <w:r>
              <w:rPr>
                <w:color w:val="000000"/>
                <w:sz w:val="20"/>
                <w:szCs w:val="20"/>
              </w:rPr>
              <w:t>b.</w:t>
            </w:r>
          </w:p>
        </w:tc>
        <w:tc>
          <w:tcPr>
            <w:tcW w:w="0" w:type="auto"/>
            <w:tcMar>
              <w:top w:w="5" w:type="dxa"/>
              <w:left w:w="5" w:type="dxa"/>
              <w:bottom w:w="5" w:type="dxa"/>
              <w:right w:w="5" w:type="dxa"/>
            </w:tcMar>
            <w:hideMark/>
          </w:tcPr>
          <w:p w14:paraId="3E41CDFA" w14:textId="77777777" w:rsidR="00954279" w:rsidRDefault="00A66714">
            <w:pPr>
              <w:rPr>
                <w:color w:val="000000"/>
                <w:sz w:val="20"/>
                <w:szCs w:val="20"/>
              </w:rPr>
            </w:pPr>
            <w:r>
              <w:rPr>
                <w:color w:val="000000"/>
                <w:sz w:val="20"/>
                <w:szCs w:val="20"/>
              </w:rPr>
              <w:t>Any fraud, whether or not material, that involves management or other employees who have a significant role in the registrant’s internal control over financial reporting.</w:t>
            </w:r>
          </w:p>
        </w:tc>
      </w:tr>
    </w:tbl>
    <w:p w14:paraId="5BAC7CF2" w14:textId="77777777" w:rsidR="00954279" w:rsidRDefault="00A66714">
      <w:pPr>
        <w:ind w:left="144" w:right="144"/>
        <w:rPr>
          <w:sz w:val="20"/>
          <w:szCs w:val="20"/>
        </w:rPr>
      </w:pPr>
      <w:r>
        <w:rPr>
          <w:sz w:val="20"/>
          <w:szCs w:val="20"/>
        </w:rPr>
        <w:t>  </w:t>
      </w:r>
    </w:p>
    <w:p w14:paraId="03424388" w14:textId="77777777" w:rsidR="00954279" w:rsidRDefault="00A66714">
      <w:pPr>
        <w:ind w:left="144" w:right="144"/>
        <w:rPr>
          <w:sz w:val="20"/>
          <w:szCs w:val="20"/>
        </w:rPr>
      </w:pPr>
      <w:r>
        <w:rPr>
          <w:sz w:val="20"/>
          <w:szCs w:val="20"/>
        </w:rPr>
        <w:t>Date: July 30, 2021 </w:t>
      </w:r>
    </w:p>
    <w:p w14:paraId="2025764D" w14:textId="77777777" w:rsidR="00954279" w:rsidRDefault="00A66714">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940"/>
        <w:gridCol w:w="1080"/>
        <w:gridCol w:w="3780"/>
      </w:tblGrid>
      <w:tr w:rsidR="00954279" w14:paraId="624F3D14" w14:textId="77777777">
        <w:tc>
          <w:tcPr>
            <w:tcW w:w="2750" w:type="pct"/>
            <w:tcMar>
              <w:top w:w="5" w:type="dxa"/>
              <w:left w:w="5" w:type="dxa"/>
              <w:bottom w:w="5" w:type="dxa"/>
              <w:right w:w="5" w:type="dxa"/>
            </w:tcMar>
            <w:vAlign w:val="center"/>
            <w:hideMark/>
          </w:tcPr>
          <w:p w14:paraId="58381CCC" w14:textId="77777777" w:rsidR="00954279" w:rsidRDefault="00A66714">
            <w:pPr>
              <w:rPr>
                <w:color w:val="000000"/>
                <w:sz w:val="20"/>
                <w:szCs w:val="20"/>
              </w:rPr>
            </w:pPr>
            <w:r>
              <w:rPr>
                <w:color w:val="000000"/>
                <w:sz w:val="20"/>
                <w:szCs w:val="20"/>
              </w:rPr>
              <w:t> </w:t>
            </w:r>
          </w:p>
        </w:tc>
        <w:tc>
          <w:tcPr>
            <w:tcW w:w="500" w:type="pct"/>
            <w:tcMar>
              <w:top w:w="5" w:type="dxa"/>
              <w:left w:w="5" w:type="dxa"/>
              <w:bottom w:w="5" w:type="dxa"/>
              <w:right w:w="5" w:type="dxa"/>
            </w:tcMar>
            <w:vAlign w:val="center"/>
            <w:hideMark/>
          </w:tcPr>
          <w:p w14:paraId="7BB5B11F" w14:textId="77777777" w:rsidR="00954279" w:rsidRDefault="00A66714">
            <w:pPr>
              <w:rPr>
                <w:rFonts w:ascii="Calibri" w:eastAsia="Calibri" w:hAnsi="Calibri" w:cs="Calibri"/>
                <w:color w:val="000000"/>
                <w:sz w:val="2"/>
                <w:szCs w:val="2"/>
              </w:rPr>
            </w:pPr>
            <w:r>
              <w:rPr>
                <w:rFonts w:ascii="Calibri" w:eastAsia="Calibri" w:hAnsi="Calibri" w:cs="Calibri"/>
                <w:color w:val="000000"/>
                <w:sz w:val="2"/>
                <w:szCs w:val="2"/>
              </w:rPr>
              <w:t>﻿</w:t>
            </w:r>
          </w:p>
        </w:tc>
        <w:tc>
          <w:tcPr>
            <w:tcW w:w="1750" w:type="pct"/>
            <w:tcMar>
              <w:top w:w="5" w:type="dxa"/>
              <w:left w:w="5" w:type="dxa"/>
              <w:bottom w:w="5" w:type="dxa"/>
              <w:right w:w="5" w:type="dxa"/>
            </w:tcMar>
            <w:vAlign w:val="center"/>
            <w:hideMark/>
          </w:tcPr>
          <w:p w14:paraId="0458EB80" w14:textId="77777777" w:rsidR="00954279" w:rsidRDefault="00A66714">
            <w:pPr>
              <w:rPr>
                <w:rFonts w:ascii="Calibri" w:eastAsia="Calibri" w:hAnsi="Calibri" w:cs="Calibri"/>
                <w:color w:val="000000"/>
                <w:sz w:val="2"/>
                <w:szCs w:val="2"/>
              </w:rPr>
            </w:pPr>
            <w:r>
              <w:rPr>
                <w:rFonts w:ascii="Calibri" w:eastAsia="Calibri" w:hAnsi="Calibri" w:cs="Calibri"/>
                <w:color w:val="000000"/>
                <w:sz w:val="2"/>
                <w:szCs w:val="2"/>
              </w:rPr>
              <w:t> </w:t>
            </w:r>
          </w:p>
        </w:tc>
      </w:tr>
      <w:tr w:rsidR="00954279" w14:paraId="79C1319C" w14:textId="77777777">
        <w:tc>
          <w:tcPr>
            <w:tcW w:w="2750" w:type="pct"/>
            <w:tcMar>
              <w:top w:w="5" w:type="dxa"/>
              <w:left w:w="5" w:type="dxa"/>
              <w:bottom w:w="5" w:type="dxa"/>
              <w:right w:w="5" w:type="dxa"/>
            </w:tcMar>
            <w:vAlign w:val="center"/>
            <w:hideMark/>
          </w:tcPr>
          <w:p w14:paraId="14E70F38" w14:textId="77777777" w:rsidR="00954279" w:rsidRDefault="00A66714">
            <w:pPr>
              <w:rPr>
                <w:color w:val="000000"/>
                <w:sz w:val="20"/>
                <w:szCs w:val="20"/>
              </w:rPr>
            </w:pPr>
            <w:r>
              <w:rPr>
                <w:color w:val="000000"/>
                <w:sz w:val="20"/>
                <w:szCs w:val="20"/>
              </w:rPr>
              <w:t> </w:t>
            </w:r>
          </w:p>
        </w:tc>
        <w:tc>
          <w:tcPr>
            <w:tcW w:w="500" w:type="pct"/>
            <w:tcMar>
              <w:top w:w="5" w:type="dxa"/>
              <w:left w:w="5" w:type="dxa"/>
              <w:bottom w:w="5" w:type="dxa"/>
              <w:right w:w="5" w:type="dxa"/>
            </w:tcMar>
            <w:vAlign w:val="center"/>
            <w:hideMark/>
          </w:tcPr>
          <w:p w14:paraId="7F3FA0D8" w14:textId="77777777" w:rsidR="00954279" w:rsidRDefault="00A66714">
            <w:pPr>
              <w:rPr>
                <w:rFonts w:ascii="Tahoma" w:eastAsia="Tahoma" w:hAnsi="Tahoma" w:cs="Tahoma"/>
                <w:color w:val="000000"/>
                <w:sz w:val="2"/>
                <w:szCs w:val="2"/>
              </w:rPr>
            </w:pPr>
            <w:r>
              <w:rPr>
                <w:rFonts w:ascii="Tahoma" w:eastAsia="Tahoma" w:hAnsi="Tahoma" w:cs="Tahoma"/>
                <w:color w:val="000000"/>
                <w:sz w:val="2"/>
                <w:szCs w:val="2"/>
              </w:rPr>
              <w:t>﻿</w:t>
            </w:r>
          </w:p>
        </w:tc>
        <w:tc>
          <w:tcPr>
            <w:tcW w:w="1750" w:type="pct"/>
            <w:tcMar>
              <w:top w:w="5" w:type="dxa"/>
              <w:left w:w="5" w:type="dxa"/>
              <w:bottom w:w="5" w:type="dxa"/>
              <w:right w:w="5" w:type="dxa"/>
            </w:tcMar>
            <w:vAlign w:val="center"/>
            <w:hideMark/>
          </w:tcPr>
          <w:p w14:paraId="470A85F0" w14:textId="77777777" w:rsidR="00954279" w:rsidRDefault="00A66714">
            <w:pPr>
              <w:rPr>
                <w:color w:val="000000"/>
                <w:sz w:val="20"/>
                <w:szCs w:val="20"/>
              </w:rPr>
            </w:pPr>
            <w:r>
              <w:rPr>
                <w:color w:val="000000"/>
                <w:sz w:val="20"/>
                <w:szCs w:val="20"/>
              </w:rPr>
              <w:t> </w:t>
            </w:r>
          </w:p>
        </w:tc>
      </w:tr>
      <w:tr w:rsidR="00954279" w14:paraId="275447A8" w14:textId="77777777">
        <w:tc>
          <w:tcPr>
            <w:tcW w:w="2750" w:type="pct"/>
            <w:tcMar>
              <w:top w:w="5" w:type="dxa"/>
              <w:left w:w="5" w:type="dxa"/>
              <w:bottom w:w="5" w:type="dxa"/>
              <w:right w:w="5" w:type="dxa"/>
            </w:tcMar>
            <w:hideMark/>
          </w:tcPr>
          <w:p w14:paraId="03991D52" w14:textId="77777777" w:rsidR="00954279" w:rsidRDefault="00A66714">
            <w:pPr>
              <w:rPr>
                <w:color w:val="000000"/>
                <w:sz w:val="20"/>
                <w:szCs w:val="20"/>
              </w:rPr>
            </w:pPr>
            <w:r>
              <w:rPr>
                <w:color w:val="000000"/>
                <w:sz w:val="20"/>
                <w:szCs w:val="20"/>
              </w:rPr>
              <w:t> </w:t>
            </w:r>
          </w:p>
        </w:tc>
        <w:tc>
          <w:tcPr>
            <w:tcW w:w="500" w:type="pct"/>
            <w:gridSpan w:val="2"/>
            <w:tcBorders>
              <w:bottom w:val="single" w:sz="6" w:space="0" w:color="000000"/>
            </w:tcBorders>
            <w:tcMar>
              <w:top w:w="5" w:type="dxa"/>
              <w:left w:w="5" w:type="dxa"/>
              <w:bottom w:w="8" w:type="dxa"/>
              <w:right w:w="5" w:type="dxa"/>
            </w:tcMar>
            <w:hideMark/>
          </w:tcPr>
          <w:p w14:paraId="240678C8" w14:textId="77777777" w:rsidR="00954279" w:rsidRDefault="00A66714">
            <w:pPr>
              <w:rPr>
                <w:color w:val="000000"/>
                <w:sz w:val="20"/>
                <w:szCs w:val="20"/>
              </w:rPr>
            </w:pPr>
            <w:r>
              <w:rPr>
                <w:color w:val="000000"/>
                <w:sz w:val="20"/>
                <w:szCs w:val="20"/>
              </w:rPr>
              <w:t>/s/ Kelly Youngblood</w:t>
            </w:r>
          </w:p>
        </w:tc>
      </w:tr>
      <w:tr w:rsidR="00954279" w14:paraId="205126CD" w14:textId="77777777">
        <w:tc>
          <w:tcPr>
            <w:tcW w:w="2750" w:type="pct"/>
            <w:tcMar>
              <w:top w:w="5" w:type="dxa"/>
              <w:left w:w="5" w:type="dxa"/>
              <w:bottom w:w="5" w:type="dxa"/>
              <w:right w:w="5" w:type="dxa"/>
            </w:tcMar>
            <w:hideMark/>
          </w:tcPr>
          <w:p w14:paraId="674DB7F1" w14:textId="77777777" w:rsidR="00954279" w:rsidRDefault="00A66714">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2B96966F" w14:textId="77777777" w:rsidR="00954279" w:rsidRDefault="00A66714">
            <w:pPr>
              <w:rPr>
                <w:color w:val="000000"/>
                <w:sz w:val="20"/>
                <w:szCs w:val="20"/>
              </w:rPr>
            </w:pPr>
            <w:r>
              <w:rPr>
                <w:color w:val="000000"/>
                <w:sz w:val="20"/>
                <w:szCs w:val="20"/>
              </w:rPr>
              <w:t>Name: </w:t>
            </w:r>
          </w:p>
        </w:tc>
        <w:tc>
          <w:tcPr>
            <w:tcW w:w="1750" w:type="pct"/>
            <w:tcMar>
              <w:top w:w="5" w:type="dxa"/>
              <w:left w:w="5" w:type="dxa"/>
              <w:bottom w:w="5" w:type="dxa"/>
              <w:right w:w="5" w:type="dxa"/>
            </w:tcMar>
            <w:hideMark/>
          </w:tcPr>
          <w:p w14:paraId="4B15D9CB" w14:textId="77777777" w:rsidR="00954279" w:rsidRDefault="00A66714">
            <w:pPr>
              <w:rPr>
                <w:color w:val="000000"/>
                <w:sz w:val="20"/>
                <w:szCs w:val="20"/>
              </w:rPr>
            </w:pPr>
            <w:r>
              <w:rPr>
                <w:color w:val="000000"/>
                <w:sz w:val="20"/>
                <w:szCs w:val="20"/>
              </w:rPr>
              <w:t>Kelly Youngblood</w:t>
            </w:r>
          </w:p>
        </w:tc>
      </w:tr>
      <w:tr w:rsidR="00954279" w14:paraId="0A667E4F" w14:textId="77777777">
        <w:tc>
          <w:tcPr>
            <w:tcW w:w="2750" w:type="pct"/>
            <w:tcMar>
              <w:top w:w="5" w:type="dxa"/>
              <w:left w:w="5" w:type="dxa"/>
              <w:bottom w:w="5" w:type="dxa"/>
              <w:right w:w="5" w:type="dxa"/>
            </w:tcMar>
            <w:hideMark/>
          </w:tcPr>
          <w:p w14:paraId="644A4915" w14:textId="77777777" w:rsidR="00954279" w:rsidRDefault="00A66714">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10E296D4" w14:textId="77777777" w:rsidR="00954279" w:rsidRDefault="00A66714">
            <w:pPr>
              <w:rPr>
                <w:color w:val="000000"/>
                <w:sz w:val="20"/>
                <w:szCs w:val="20"/>
              </w:rPr>
            </w:pPr>
            <w:r>
              <w:rPr>
                <w:color w:val="000000"/>
                <w:sz w:val="20"/>
                <w:szCs w:val="20"/>
              </w:rPr>
              <w:t>Title:</w:t>
            </w:r>
          </w:p>
        </w:tc>
        <w:tc>
          <w:tcPr>
            <w:tcW w:w="1750" w:type="pct"/>
            <w:tcMar>
              <w:top w:w="5" w:type="dxa"/>
              <w:left w:w="5" w:type="dxa"/>
              <w:bottom w:w="5" w:type="dxa"/>
              <w:right w:w="5" w:type="dxa"/>
            </w:tcMar>
            <w:hideMark/>
          </w:tcPr>
          <w:p w14:paraId="5FC10194" w14:textId="77777777" w:rsidR="00954279" w:rsidRDefault="00A66714">
            <w:pPr>
              <w:rPr>
                <w:color w:val="000000"/>
                <w:sz w:val="20"/>
                <w:szCs w:val="20"/>
              </w:rPr>
            </w:pPr>
            <w:r>
              <w:rPr>
                <w:color w:val="000000"/>
                <w:sz w:val="20"/>
                <w:szCs w:val="20"/>
              </w:rPr>
              <w:t>Executive Vice President and Chief Financial Officer</w:t>
            </w:r>
          </w:p>
        </w:tc>
      </w:tr>
    </w:tbl>
    <w:p w14:paraId="190853A0" w14:textId="77777777" w:rsidR="00954279" w:rsidRDefault="00A66714">
      <w:pPr>
        <w:ind w:left="144" w:right="144"/>
        <w:rPr>
          <w:sz w:val="20"/>
          <w:szCs w:val="20"/>
        </w:rPr>
      </w:pPr>
      <w:r>
        <w:rPr>
          <w:sz w:val="20"/>
          <w:szCs w:val="20"/>
        </w:rPr>
        <w:t>﻿ </w:t>
      </w:r>
    </w:p>
    <w:p w14:paraId="6F7CDA11" w14:textId="77777777" w:rsidR="00954279" w:rsidRDefault="00A66714">
      <w:pPr>
        <w:ind w:left="144" w:right="144"/>
        <w:jc w:val="center"/>
        <w:rPr>
          <w:sz w:val="20"/>
          <w:szCs w:val="20"/>
        </w:rPr>
      </w:pPr>
      <w:r>
        <w:rPr>
          <w:sz w:val="20"/>
          <w:szCs w:val="20"/>
        </w:rPr>
        <w:t> </w:t>
      </w:r>
    </w:p>
    <w:p w14:paraId="23C6C02E" w14:textId="77777777" w:rsidR="00954279" w:rsidRDefault="00A66714">
      <w:pPr>
        <w:ind w:left="144" w:right="144"/>
        <w:rPr>
          <w:sz w:val="20"/>
          <w:szCs w:val="20"/>
        </w:rPr>
        <w:sectPr w:rsidR="00954279">
          <w:pgSz w:w="12240" w:h="15840"/>
          <w:pgMar w:top="576" w:right="720" w:bottom="576" w:left="720" w:header="144" w:footer="432" w:gutter="0"/>
          <w:cols w:space="720"/>
        </w:sectPr>
      </w:pPr>
      <w:r>
        <w:rPr>
          <w:sz w:val="20"/>
          <w:szCs w:val="20"/>
        </w:rPr>
        <w:t> </w:t>
      </w:r>
    </w:p>
    <w:p w14:paraId="1AC75DE2" w14:textId="77777777" w:rsidR="00954279" w:rsidRDefault="00A66714">
      <w:pPr>
        <w:ind w:left="144" w:right="144"/>
        <w:rPr>
          <w:sz w:val="2"/>
          <w:szCs w:val="2"/>
        </w:rPr>
      </w:pPr>
      <w:r>
        <w:rPr>
          <w:sz w:val="2"/>
          <w:szCs w:val="2"/>
        </w:rPr>
        <w:t>  </w:t>
      </w:r>
    </w:p>
    <w:p w14:paraId="6D697147" w14:textId="77777777" w:rsidR="00954279" w:rsidRDefault="00A66714">
      <w:pPr>
        <w:ind w:left="144" w:right="144"/>
        <w:rPr>
          <w:sz w:val="20"/>
          <w:szCs w:val="20"/>
        </w:rPr>
      </w:pPr>
      <w:r>
        <w:rPr>
          <w:sz w:val="20"/>
          <w:szCs w:val="20"/>
        </w:rPr>
        <w:t> </w:t>
      </w:r>
    </w:p>
    <w:p w14:paraId="012BAA42" w14:textId="77777777" w:rsidR="00954279" w:rsidRDefault="00A66714">
      <w:pPr>
        <w:ind w:left="144" w:right="144"/>
        <w:jc w:val="right"/>
        <w:rPr>
          <w:sz w:val="20"/>
          <w:szCs w:val="20"/>
        </w:rPr>
      </w:pPr>
      <w:r>
        <w:rPr>
          <w:b/>
          <w:bCs/>
          <w:sz w:val="20"/>
          <w:szCs w:val="20"/>
        </w:rPr>
        <w:t xml:space="preserve">Exhibit 32 </w:t>
      </w:r>
    </w:p>
    <w:p w14:paraId="032F4407" w14:textId="77777777" w:rsidR="00954279" w:rsidRDefault="00A66714">
      <w:pPr>
        <w:ind w:left="144" w:right="144"/>
        <w:rPr>
          <w:sz w:val="20"/>
          <w:szCs w:val="20"/>
        </w:rPr>
      </w:pPr>
      <w:r>
        <w:rPr>
          <w:sz w:val="20"/>
          <w:szCs w:val="20"/>
        </w:rPr>
        <w:t> </w:t>
      </w:r>
    </w:p>
    <w:p w14:paraId="47516DCD" w14:textId="77777777" w:rsidR="00954279" w:rsidRDefault="00A66714">
      <w:pPr>
        <w:ind w:left="144" w:right="144"/>
        <w:jc w:val="center"/>
        <w:rPr>
          <w:sz w:val="20"/>
          <w:szCs w:val="20"/>
        </w:rPr>
      </w:pPr>
      <w:r>
        <w:rPr>
          <w:b/>
          <w:bCs/>
          <w:sz w:val="20"/>
          <w:szCs w:val="20"/>
        </w:rPr>
        <w:t xml:space="preserve">CERTIFICATION PURSUANT TO 18 U.S.C. SECTION 1350, </w:t>
      </w:r>
    </w:p>
    <w:p w14:paraId="19EE2BB9" w14:textId="77777777" w:rsidR="00954279" w:rsidRDefault="00A66714">
      <w:pPr>
        <w:ind w:left="144" w:right="144"/>
        <w:jc w:val="center"/>
        <w:rPr>
          <w:sz w:val="20"/>
          <w:szCs w:val="20"/>
        </w:rPr>
      </w:pPr>
      <w:r>
        <w:rPr>
          <w:b/>
          <w:bCs/>
          <w:sz w:val="20"/>
          <w:szCs w:val="20"/>
        </w:rPr>
        <w:t xml:space="preserve">AS ADOPTED PURSUANT TO SECTION 906 OF THE SARBANES-OXLEY ACT OF 2002 </w:t>
      </w:r>
    </w:p>
    <w:p w14:paraId="6110260E" w14:textId="77777777" w:rsidR="00954279" w:rsidRDefault="00A66714">
      <w:pPr>
        <w:ind w:left="144" w:right="144"/>
        <w:rPr>
          <w:sz w:val="20"/>
          <w:szCs w:val="20"/>
        </w:rPr>
      </w:pPr>
      <w:r>
        <w:rPr>
          <w:sz w:val="20"/>
          <w:szCs w:val="20"/>
        </w:rPr>
        <w:t> </w:t>
      </w:r>
    </w:p>
    <w:p w14:paraId="4390DCB9" w14:textId="77777777" w:rsidR="00954279" w:rsidRDefault="00A66714">
      <w:pPr>
        <w:ind w:left="144" w:right="144" w:firstLine="490"/>
        <w:rPr>
          <w:sz w:val="20"/>
          <w:szCs w:val="20"/>
        </w:rPr>
      </w:pPr>
      <w:r>
        <w:rPr>
          <w:sz w:val="20"/>
          <w:szCs w:val="20"/>
        </w:rPr>
        <w:t xml:space="preserve">In connection with the filing of the Quarterly Report on Form 10-Q of MRC Global Inc., a Delaware corporation (the “Company”), for the period ended </w:t>
      </w:r>
      <w:bookmarkStart w:id="169" w:name="led65144F20207261598474194287"/>
      <w:r>
        <w:rPr>
          <w:sz w:val="20"/>
          <w:szCs w:val="20"/>
        </w:rPr>
        <w:t>June 30, 2021</w:t>
      </w:r>
      <w:bookmarkEnd w:id="169"/>
      <w:r>
        <w:rPr>
          <w:sz w:val="20"/>
          <w:szCs w:val="20"/>
        </w:rPr>
        <w:t xml:space="preserve"> (the “Report”), each of the undersigned officers of the Company certifies, pursuant to 18 U.S.C. § 1350, as adopted pursuant to § 906 of the Sarbanes-Oxley Act of 2002, that to his knowledge:</w:t>
      </w:r>
    </w:p>
    <w:p w14:paraId="277085CB" w14:textId="77777777" w:rsidR="00954279" w:rsidRDefault="00A66714">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
        <w:gridCol w:w="540"/>
        <w:gridCol w:w="9720"/>
      </w:tblGrid>
      <w:tr w:rsidR="00954279" w14:paraId="725592B4" w14:textId="77777777">
        <w:tc>
          <w:tcPr>
            <w:tcW w:w="540" w:type="dxa"/>
            <w:tcMar>
              <w:top w:w="5" w:type="dxa"/>
              <w:left w:w="5" w:type="dxa"/>
              <w:bottom w:w="5" w:type="dxa"/>
              <w:right w:w="5" w:type="dxa"/>
            </w:tcMar>
            <w:hideMark/>
          </w:tcPr>
          <w:p w14:paraId="22C97565" w14:textId="77777777" w:rsidR="00954279" w:rsidRDefault="00A66714">
            <w:pPr>
              <w:rPr>
                <w:color w:val="000000"/>
              </w:rPr>
            </w:pPr>
            <w:r>
              <w:rPr>
                <w:color w:val="000000"/>
              </w:rPr>
              <w:t> </w:t>
            </w:r>
          </w:p>
        </w:tc>
        <w:tc>
          <w:tcPr>
            <w:tcW w:w="540" w:type="dxa"/>
            <w:tcMar>
              <w:top w:w="5" w:type="dxa"/>
              <w:left w:w="5" w:type="dxa"/>
              <w:bottom w:w="5" w:type="dxa"/>
              <w:right w:w="5" w:type="dxa"/>
            </w:tcMar>
            <w:hideMark/>
          </w:tcPr>
          <w:p w14:paraId="25A96375" w14:textId="77777777" w:rsidR="00954279" w:rsidRDefault="00A66714">
            <w:pPr>
              <w:rPr>
                <w:color w:val="000000"/>
                <w:sz w:val="20"/>
                <w:szCs w:val="20"/>
              </w:rPr>
            </w:pPr>
            <w:r>
              <w:rPr>
                <w:color w:val="000000"/>
                <w:sz w:val="20"/>
                <w:szCs w:val="20"/>
              </w:rPr>
              <w:t>(1)</w:t>
            </w:r>
          </w:p>
        </w:tc>
        <w:tc>
          <w:tcPr>
            <w:tcW w:w="0" w:type="auto"/>
            <w:tcMar>
              <w:top w:w="5" w:type="dxa"/>
              <w:left w:w="5" w:type="dxa"/>
              <w:bottom w:w="5" w:type="dxa"/>
              <w:right w:w="5" w:type="dxa"/>
            </w:tcMar>
            <w:hideMark/>
          </w:tcPr>
          <w:p w14:paraId="6E594915" w14:textId="77777777" w:rsidR="00954279" w:rsidRDefault="00A66714">
            <w:pPr>
              <w:rPr>
                <w:color w:val="000000"/>
                <w:sz w:val="20"/>
                <w:szCs w:val="20"/>
              </w:rPr>
            </w:pPr>
            <w:r>
              <w:rPr>
                <w:color w:val="000000"/>
                <w:sz w:val="20"/>
                <w:szCs w:val="20"/>
              </w:rPr>
              <w:t>The Report fully complies with the requirements of Section 13(a) or 15(d) of the Securities Exchange Act of 1934; and</w:t>
            </w:r>
          </w:p>
        </w:tc>
      </w:tr>
    </w:tbl>
    <w:p w14:paraId="57E9E8C4" w14:textId="77777777" w:rsidR="00954279" w:rsidRDefault="00A66714">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
        <w:gridCol w:w="540"/>
        <w:gridCol w:w="9720"/>
      </w:tblGrid>
      <w:tr w:rsidR="00954279" w14:paraId="4B3287E5" w14:textId="77777777">
        <w:tc>
          <w:tcPr>
            <w:tcW w:w="540" w:type="dxa"/>
            <w:tcMar>
              <w:top w:w="5" w:type="dxa"/>
              <w:left w:w="5" w:type="dxa"/>
              <w:bottom w:w="5" w:type="dxa"/>
              <w:right w:w="5" w:type="dxa"/>
            </w:tcMar>
            <w:hideMark/>
          </w:tcPr>
          <w:p w14:paraId="43939E44" w14:textId="77777777" w:rsidR="00954279" w:rsidRDefault="00A66714">
            <w:pPr>
              <w:rPr>
                <w:color w:val="000000"/>
              </w:rPr>
            </w:pPr>
            <w:r>
              <w:rPr>
                <w:color w:val="000000"/>
              </w:rPr>
              <w:t> </w:t>
            </w:r>
          </w:p>
        </w:tc>
        <w:tc>
          <w:tcPr>
            <w:tcW w:w="540" w:type="dxa"/>
            <w:tcMar>
              <w:top w:w="5" w:type="dxa"/>
              <w:left w:w="5" w:type="dxa"/>
              <w:bottom w:w="5" w:type="dxa"/>
              <w:right w:w="5" w:type="dxa"/>
            </w:tcMar>
            <w:hideMark/>
          </w:tcPr>
          <w:p w14:paraId="112B623C" w14:textId="77777777" w:rsidR="00954279" w:rsidRDefault="00A66714">
            <w:pPr>
              <w:rPr>
                <w:color w:val="000000"/>
                <w:sz w:val="20"/>
                <w:szCs w:val="20"/>
              </w:rPr>
            </w:pPr>
            <w:r>
              <w:rPr>
                <w:color w:val="000000"/>
                <w:sz w:val="20"/>
                <w:szCs w:val="20"/>
              </w:rPr>
              <w:t>(2)</w:t>
            </w:r>
          </w:p>
        </w:tc>
        <w:tc>
          <w:tcPr>
            <w:tcW w:w="0" w:type="auto"/>
            <w:tcMar>
              <w:top w:w="5" w:type="dxa"/>
              <w:left w:w="5" w:type="dxa"/>
              <w:bottom w:w="5" w:type="dxa"/>
              <w:right w:w="5" w:type="dxa"/>
            </w:tcMar>
            <w:hideMark/>
          </w:tcPr>
          <w:p w14:paraId="48644EDE" w14:textId="77777777" w:rsidR="00954279" w:rsidRDefault="00A66714">
            <w:pPr>
              <w:rPr>
                <w:color w:val="000000"/>
                <w:sz w:val="20"/>
                <w:szCs w:val="20"/>
              </w:rPr>
            </w:pPr>
            <w:r>
              <w:rPr>
                <w:color w:val="000000"/>
                <w:sz w:val="20"/>
                <w:szCs w:val="20"/>
              </w:rPr>
              <w:t>The information contained in the Report fairly presents, in all material respects, the financial condition and results of operations of the Company.</w:t>
            </w:r>
          </w:p>
        </w:tc>
      </w:tr>
    </w:tbl>
    <w:p w14:paraId="6C942F96" w14:textId="77777777" w:rsidR="00954279" w:rsidRDefault="00A66714">
      <w:pPr>
        <w:ind w:left="144" w:right="144"/>
        <w:rPr>
          <w:sz w:val="20"/>
          <w:szCs w:val="20"/>
        </w:rPr>
      </w:pPr>
      <w:r>
        <w:rPr>
          <w:sz w:val="20"/>
          <w:szCs w:val="20"/>
        </w:rPr>
        <w:t>﻿ </w:t>
      </w:r>
    </w:p>
    <w:p w14:paraId="0BF26DB4" w14:textId="77777777" w:rsidR="00954279" w:rsidRDefault="00A66714">
      <w:pPr>
        <w:ind w:left="144" w:right="144"/>
        <w:rPr>
          <w:sz w:val="20"/>
          <w:szCs w:val="20"/>
        </w:rPr>
      </w:pPr>
      <w:r>
        <w:rPr>
          <w:sz w:val="20"/>
          <w:szCs w:val="20"/>
        </w:rPr>
        <w:t>Date: July 30, 2021</w:t>
      </w:r>
    </w:p>
    <w:p w14:paraId="6E674E8E" w14:textId="77777777" w:rsidR="00954279" w:rsidRDefault="00A66714">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6000"/>
        <w:gridCol w:w="1091"/>
        <w:gridCol w:w="3709"/>
      </w:tblGrid>
      <w:tr w:rsidR="00954279" w14:paraId="295B2033" w14:textId="77777777">
        <w:tc>
          <w:tcPr>
            <w:tcW w:w="2750" w:type="pct"/>
            <w:tcMar>
              <w:top w:w="5" w:type="dxa"/>
              <w:left w:w="5" w:type="dxa"/>
              <w:bottom w:w="5" w:type="dxa"/>
              <w:right w:w="5" w:type="dxa"/>
            </w:tcMar>
            <w:hideMark/>
          </w:tcPr>
          <w:p w14:paraId="0C3D9852" w14:textId="77777777" w:rsidR="00954279" w:rsidRDefault="00A66714">
            <w:pPr>
              <w:rPr>
                <w:color w:val="000000"/>
                <w:sz w:val="20"/>
                <w:szCs w:val="20"/>
              </w:rPr>
            </w:pPr>
            <w:r>
              <w:rPr>
                <w:color w:val="000000"/>
                <w:sz w:val="20"/>
                <w:szCs w:val="20"/>
              </w:rPr>
              <w:t> </w:t>
            </w:r>
          </w:p>
        </w:tc>
        <w:tc>
          <w:tcPr>
            <w:tcW w:w="550" w:type="pct"/>
            <w:gridSpan w:val="2"/>
            <w:tcBorders>
              <w:bottom w:val="single" w:sz="12" w:space="0" w:color="000000"/>
            </w:tcBorders>
            <w:tcMar>
              <w:top w:w="5" w:type="dxa"/>
              <w:left w:w="5" w:type="dxa"/>
              <w:bottom w:w="15" w:type="dxa"/>
              <w:right w:w="5" w:type="dxa"/>
            </w:tcMar>
            <w:hideMark/>
          </w:tcPr>
          <w:p w14:paraId="320949A5" w14:textId="77777777" w:rsidR="00954279" w:rsidRDefault="00A66714">
            <w:pPr>
              <w:rPr>
                <w:color w:val="000000"/>
                <w:sz w:val="20"/>
                <w:szCs w:val="20"/>
              </w:rPr>
            </w:pPr>
            <w:r>
              <w:rPr>
                <w:color w:val="000000"/>
                <w:sz w:val="20"/>
                <w:szCs w:val="20"/>
              </w:rPr>
              <w:t>/s/ Robert J. Saltiel, Jr.</w:t>
            </w:r>
          </w:p>
        </w:tc>
      </w:tr>
      <w:tr w:rsidR="00954279" w14:paraId="57DF4B82" w14:textId="77777777">
        <w:tc>
          <w:tcPr>
            <w:tcW w:w="2750" w:type="pct"/>
            <w:tcMar>
              <w:top w:w="5" w:type="dxa"/>
              <w:left w:w="5" w:type="dxa"/>
              <w:bottom w:w="5" w:type="dxa"/>
              <w:right w:w="5" w:type="dxa"/>
            </w:tcMar>
            <w:hideMark/>
          </w:tcPr>
          <w:p w14:paraId="27EF1587" w14:textId="77777777" w:rsidR="00954279" w:rsidRDefault="00A66714">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1A199D15" w14:textId="77777777" w:rsidR="00954279" w:rsidRDefault="00A66714">
            <w:pPr>
              <w:rPr>
                <w:color w:val="000000"/>
                <w:sz w:val="20"/>
                <w:szCs w:val="20"/>
              </w:rPr>
            </w:pPr>
            <w:r>
              <w:rPr>
                <w:color w:val="000000"/>
                <w:sz w:val="20"/>
                <w:szCs w:val="20"/>
              </w:rPr>
              <w:t>Name:</w:t>
            </w:r>
          </w:p>
        </w:tc>
        <w:tc>
          <w:tcPr>
            <w:tcW w:w="1700" w:type="pct"/>
            <w:tcMar>
              <w:top w:w="5" w:type="dxa"/>
              <w:left w:w="5" w:type="dxa"/>
              <w:bottom w:w="5" w:type="dxa"/>
              <w:right w:w="5" w:type="dxa"/>
            </w:tcMar>
            <w:vAlign w:val="bottom"/>
            <w:hideMark/>
          </w:tcPr>
          <w:p w14:paraId="63ABFB94" w14:textId="77777777" w:rsidR="00954279" w:rsidRDefault="00A66714">
            <w:pPr>
              <w:rPr>
                <w:color w:val="000000"/>
                <w:sz w:val="20"/>
                <w:szCs w:val="20"/>
              </w:rPr>
            </w:pPr>
            <w:r>
              <w:rPr>
                <w:color w:val="000000"/>
                <w:sz w:val="20"/>
                <w:szCs w:val="20"/>
              </w:rPr>
              <w:t>Robert J. Saltiel, Jr.</w:t>
            </w:r>
          </w:p>
        </w:tc>
      </w:tr>
      <w:tr w:rsidR="00954279" w14:paraId="0EB2F832" w14:textId="77777777">
        <w:tc>
          <w:tcPr>
            <w:tcW w:w="2750" w:type="pct"/>
            <w:tcMar>
              <w:top w:w="5" w:type="dxa"/>
              <w:left w:w="5" w:type="dxa"/>
              <w:bottom w:w="5" w:type="dxa"/>
              <w:right w:w="5" w:type="dxa"/>
            </w:tcMar>
            <w:hideMark/>
          </w:tcPr>
          <w:p w14:paraId="2C60A5E6" w14:textId="77777777" w:rsidR="00954279" w:rsidRDefault="00A66714">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12C94312" w14:textId="77777777" w:rsidR="00954279" w:rsidRDefault="00A66714">
            <w:pPr>
              <w:rPr>
                <w:color w:val="000000"/>
                <w:sz w:val="20"/>
                <w:szCs w:val="20"/>
              </w:rPr>
            </w:pPr>
            <w:r>
              <w:rPr>
                <w:color w:val="000000"/>
                <w:sz w:val="20"/>
                <w:szCs w:val="20"/>
              </w:rPr>
              <w:t>Title:</w:t>
            </w:r>
          </w:p>
        </w:tc>
        <w:tc>
          <w:tcPr>
            <w:tcW w:w="1700" w:type="pct"/>
            <w:tcMar>
              <w:top w:w="5" w:type="dxa"/>
              <w:left w:w="5" w:type="dxa"/>
              <w:bottom w:w="5" w:type="dxa"/>
              <w:right w:w="5" w:type="dxa"/>
            </w:tcMar>
            <w:vAlign w:val="bottom"/>
            <w:hideMark/>
          </w:tcPr>
          <w:p w14:paraId="4E1ECD33" w14:textId="77777777" w:rsidR="00954279" w:rsidRDefault="00A66714">
            <w:pPr>
              <w:rPr>
                <w:color w:val="000000"/>
                <w:sz w:val="20"/>
                <w:szCs w:val="20"/>
              </w:rPr>
            </w:pPr>
            <w:r>
              <w:rPr>
                <w:color w:val="000000"/>
                <w:sz w:val="20"/>
                <w:szCs w:val="20"/>
              </w:rPr>
              <w:t>President and Chief Executive Officer</w:t>
            </w:r>
          </w:p>
        </w:tc>
      </w:tr>
      <w:tr w:rsidR="00954279" w14:paraId="5FAEF2AB" w14:textId="77777777">
        <w:tc>
          <w:tcPr>
            <w:tcW w:w="2750" w:type="pct"/>
            <w:tcMar>
              <w:top w:w="5" w:type="dxa"/>
              <w:left w:w="5" w:type="dxa"/>
              <w:bottom w:w="5" w:type="dxa"/>
              <w:right w:w="5" w:type="dxa"/>
            </w:tcMar>
            <w:vAlign w:val="center"/>
            <w:hideMark/>
          </w:tcPr>
          <w:p w14:paraId="02E84167" w14:textId="77777777" w:rsidR="00954279" w:rsidRDefault="00A66714">
            <w:pPr>
              <w:rPr>
                <w:color w:val="000000"/>
                <w:sz w:val="20"/>
                <w:szCs w:val="20"/>
              </w:rPr>
            </w:pPr>
            <w:r>
              <w:rPr>
                <w:color w:val="000000"/>
                <w:sz w:val="20"/>
                <w:szCs w:val="20"/>
              </w:rPr>
              <w:t> </w:t>
            </w:r>
          </w:p>
        </w:tc>
        <w:tc>
          <w:tcPr>
            <w:tcW w:w="550" w:type="pct"/>
            <w:gridSpan w:val="2"/>
            <w:tcMar>
              <w:top w:w="5" w:type="dxa"/>
              <w:left w:w="5" w:type="dxa"/>
              <w:bottom w:w="5" w:type="dxa"/>
              <w:right w:w="5" w:type="dxa"/>
            </w:tcMar>
            <w:vAlign w:val="center"/>
            <w:hideMark/>
          </w:tcPr>
          <w:p w14:paraId="2321B87A" w14:textId="77777777" w:rsidR="00954279" w:rsidRDefault="00A66714">
            <w:pPr>
              <w:rPr>
                <w:color w:val="000000"/>
                <w:sz w:val="20"/>
                <w:szCs w:val="20"/>
              </w:rPr>
            </w:pPr>
            <w:r>
              <w:rPr>
                <w:color w:val="000000"/>
                <w:sz w:val="20"/>
                <w:szCs w:val="20"/>
              </w:rPr>
              <w:t>﻿</w:t>
            </w:r>
          </w:p>
        </w:tc>
      </w:tr>
      <w:tr w:rsidR="00954279" w14:paraId="7874CE8E" w14:textId="77777777">
        <w:tc>
          <w:tcPr>
            <w:tcW w:w="2750" w:type="pct"/>
            <w:tcMar>
              <w:top w:w="5" w:type="dxa"/>
              <w:left w:w="5" w:type="dxa"/>
              <w:bottom w:w="5" w:type="dxa"/>
              <w:right w:w="5" w:type="dxa"/>
            </w:tcMar>
            <w:hideMark/>
          </w:tcPr>
          <w:p w14:paraId="55A06C80" w14:textId="77777777" w:rsidR="00954279" w:rsidRDefault="00A66714">
            <w:pPr>
              <w:rPr>
                <w:color w:val="000000"/>
                <w:sz w:val="20"/>
                <w:szCs w:val="20"/>
              </w:rPr>
            </w:pPr>
            <w:r>
              <w:rPr>
                <w:color w:val="000000"/>
                <w:sz w:val="20"/>
                <w:szCs w:val="20"/>
              </w:rPr>
              <w:t> </w:t>
            </w:r>
          </w:p>
        </w:tc>
        <w:tc>
          <w:tcPr>
            <w:tcW w:w="550" w:type="pct"/>
            <w:gridSpan w:val="2"/>
            <w:tcBorders>
              <w:bottom w:val="single" w:sz="12" w:space="0" w:color="000000"/>
            </w:tcBorders>
            <w:tcMar>
              <w:top w:w="5" w:type="dxa"/>
              <w:left w:w="5" w:type="dxa"/>
              <w:bottom w:w="15" w:type="dxa"/>
              <w:right w:w="5" w:type="dxa"/>
            </w:tcMar>
            <w:hideMark/>
          </w:tcPr>
          <w:p w14:paraId="066F574D" w14:textId="77777777" w:rsidR="00954279" w:rsidRDefault="00A66714">
            <w:pPr>
              <w:rPr>
                <w:color w:val="000000"/>
                <w:sz w:val="20"/>
                <w:szCs w:val="20"/>
              </w:rPr>
            </w:pPr>
            <w:r>
              <w:rPr>
                <w:color w:val="000000"/>
                <w:sz w:val="20"/>
                <w:szCs w:val="20"/>
              </w:rPr>
              <w:t>/s/ Kelly Youngblood</w:t>
            </w:r>
          </w:p>
        </w:tc>
      </w:tr>
      <w:tr w:rsidR="00954279" w14:paraId="7C4D10A8" w14:textId="77777777">
        <w:tc>
          <w:tcPr>
            <w:tcW w:w="2750" w:type="pct"/>
            <w:tcMar>
              <w:top w:w="5" w:type="dxa"/>
              <w:left w:w="5" w:type="dxa"/>
              <w:bottom w:w="5" w:type="dxa"/>
              <w:right w:w="5" w:type="dxa"/>
            </w:tcMar>
            <w:hideMark/>
          </w:tcPr>
          <w:p w14:paraId="34251685" w14:textId="77777777" w:rsidR="00954279" w:rsidRDefault="00A66714">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0DDDCCC1" w14:textId="77777777" w:rsidR="00954279" w:rsidRDefault="00A66714">
            <w:pPr>
              <w:rPr>
                <w:color w:val="000000"/>
                <w:sz w:val="20"/>
                <w:szCs w:val="20"/>
              </w:rPr>
            </w:pPr>
            <w:r>
              <w:rPr>
                <w:color w:val="000000"/>
                <w:sz w:val="20"/>
                <w:szCs w:val="20"/>
              </w:rPr>
              <w:t>Name:</w:t>
            </w:r>
          </w:p>
        </w:tc>
        <w:tc>
          <w:tcPr>
            <w:tcW w:w="1700" w:type="pct"/>
            <w:tcMar>
              <w:top w:w="5" w:type="dxa"/>
              <w:left w:w="5" w:type="dxa"/>
              <w:bottom w:w="5" w:type="dxa"/>
              <w:right w:w="5" w:type="dxa"/>
            </w:tcMar>
            <w:hideMark/>
          </w:tcPr>
          <w:p w14:paraId="1104B2D3" w14:textId="77777777" w:rsidR="00954279" w:rsidRDefault="00A66714">
            <w:pPr>
              <w:rPr>
                <w:color w:val="000000"/>
                <w:sz w:val="20"/>
                <w:szCs w:val="20"/>
              </w:rPr>
            </w:pPr>
            <w:r>
              <w:rPr>
                <w:color w:val="000000"/>
                <w:sz w:val="20"/>
                <w:szCs w:val="20"/>
              </w:rPr>
              <w:t>Kelly Youngblood</w:t>
            </w:r>
          </w:p>
        </w:tc>
      </w:tr>
      <w:tr w:rsidR="00954279" w14:paraId="5965EFBE" w14:textId="77777777">
        <w:tc>
          <w:tcPr>
            <w:tcW w:w="2750" w:type="pct"/>
            <w:tcMar>
              <w:top w:w="5" w:type="dxa"/>
              <w:left w:w="5" w:type="dxa"/>
              <w:bottom w:w="5" w:type="dxa"/>
              <w:right w:w="5" w:type="dxa"/>
            </w:tcMar>
            <w:hideMark/>
          </w:tcPr>
          <w:p w14:paraId="3384EC3A" w14:textId="77777777" w:rsidR="00954279" w:rsidRDefault="00A66714">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0D6735D4" w14:textId="77777777" w:rsidR="00954279" w:rsidRDefault="00A66714">
            <w:pPr>
              <w:rPr>
                <w:color w:val="000000"/>
                <w:sz w:val="20"/>
                <w:szCs w:val="20"/>
              </w:rPr>
            </w:pPr>
            <w:r>
              <w:rPr>
                <w:color w:val="000000"/>
                <w:sz w:val="20"/>
                <w:szCs w:val="20"/>
              </w:rPr>
              <w:t>Title:</w:t>
            </w:r>
          </w:p>
        </w:tc>
        <w:tc>
          <w:tcPr>
            <w:tcW w:w="1700" w:type="pct"/>
            <w:tcMar>
              <w:top w:w="5" w:type="dxa"/>
              <w:left w:w="5" w:type="dxa"/>
              <w:bottom w:w="5" w:type="dxa"/>
              <w:right w:w="5" w:type="dxa"/>
            </w:tcMar>
            <w:vAlign w:val="bottom"/>
            <w:hideMark/>
          </w:tcPr>
          <w:p w14:paraId="4B88C7CD" w14:textId="77777777" w:rsidR="00954279" w:rsidRDefault="00A66714">
            <w:pPr>
              <w:rPr>
                <w:color w:val="000000"/>
                <w:sz w:val="20"/>
                <w:szCs w:val="20"/>
              </w:rPr>
            </w:pPr>
            <w:r>
              <w:rPr>
                <w:color w:val="000000"/>
                <w:sz w:val="20"/>
                <w:szCs w:val="20"/>
              </w:rPr>
              <w:t>Executive Vice President and Chief Financial Officer</w:t>
            </w:r>
          </w:p>
        </w:tc>
      </w:tr>
    </w:tbl>
    <w:p w14:paraId="36AB37EC" w14:textId="77777777" w:rsidR="00954279" w:rsidRDefault="00A66714">
      <w:pPr>
        <w:ind w:left="144" w:right="144"/>
        <w:rPr>
          <w:sz w:val="20"/>
          <w:szCs w:val="20"/>
        </w:rPr>
      </w:pPr>
      <w:r>
        <w:rPr>
          <w:sz w:val="20"/>
          <w:szCs w:val="20"/>
        </w:rPr>
        <w:t>﻿ </w:t>
      </w:r>
    </w:p>
    <w:p w14:paraId="618D21CA" w14:textId="77777777" w:rsidR="00954279" w:rsidRDefault="00A66714">
      <w:pPr>
        <w:ind w:left="144" w:right="144"/>
        <w:rPr>
          <w:sz w:val="20"/>
          <w:szCs w:val="20"/>
        </w:rPr>
      </w:pPr>
      <w:r>
        <w:rPr>
          <w:sz w:val="20"/>
          <w:szCs w:val="20"/>
        </w:rPr>
        <w:t> </w:t>
      </w:r>
    </w:p>
    <w:sectPr w:rsidR="00954279">
      <w:pgSz w:w="12240" w:h="15840"/>
      <w:pgMar w:top="576" w:right="720" w:bottom="576" w:left="720" w:header="144" w:footer="4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79"/>
    <w:rsid w:val="005554C6"/>
    <w:rsid w:val="00691A5E"/>
    <w:rsid w:val="006C5497"/>
    <w:rsid w:val="007118B7"/>
    <w:rsid w:val="00717712"/>
    <w:rsid w:val="008B7E63"/>
    <w:rsid w:val="00954279"/>
    <w:rsid w:val="00A66714"/>
    <w:rsid w:val="00DB5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A2AED"/>
  <w15:docId w15:val="{ADA3AF3A-E615-448A-9426-86DE0F72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nTable">
    <w:name w:val="finTable"/>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rdg-iis\proofapi\App_Data\ex_245491.htm" TargetMode="External"/><Relationship Id="rId3" Type="http://schemas.openxmlformats.org/officeDocument/2006/relationships/webSettings" Target="webSettings.xml"/><Relationship Id="rId7" Type="http://schemas.openxmlformats.org/officeDocument/2006/relationships/hyperlink" Target="file:///C:\rdg-iis\proofapi\App_Data\ex_245490.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c.gov/Archives/edgar/data/1439095/000119312515220651/d939010dex31.htm" TargetMode="External"/><Relationship Id="rId11" Type="http://schemas.openxmlformats.org/officeDocument/2006/relationships/theme" Target="theme/theme1.xml"/><Relationship Id="rId5" Type="http://schemas.openxmlformats.org/officeDocument/2006/relationships/hyperlink" Target="http://www.sec.gov/Archives/edgar/data/1439095/000119312513440228/d627585dex31.htm" TargetMode="External"/><Relationship Id="rId10" Type="http://schemas.openxmlformats.org/officeDocument/2006/relationships/fontTable" Target="fontTable.xml"/><Relationship Id="rId4" Type="http://schemas.openxmlformats.org/officeDocument/2006/relationships/hyperlink" Target="http://www.sec.gov/Archives/edgar/data/1439095/000119312512166449/d334321dex31.htm" TargetMode="External"/><Relationship Id="rId9" Type="http://schemas.openxmlformats.org/officeDocument/2006/relationships/hyperlink" Target="file:///C:\rdg-iis\proofapi\App_Data\ex_24549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19937</Words>
  <Characters>113642</Characters>
  <Application>Microsoft Office Word</Application>
  <DocSecurity>4</DocSecurity>
  <Lines>947</Lines>
  <Paragraphs>266</Paragraphs>
  <ScaleCrop>false</ScaleCrop>
  <HeadingPairs>
    <vt:vector size="2" baseType="variant">
      <vt:variant>
        <vt:lpstr>Title</vt:lpstr>
      </vt:variant>
      <vt:variant>
        <vt:i4>1</vt:i4>
      </vt:variant>
    </vt:vector>
  </HeadingPairs>
  <TitlesOfParts>
    <vt:vector size="1" baseType="lpstr">
      <vt:lpstr>mrc20210630_10q.htm</vt:lpstr>
    </vt:vector>
  </TitlesOfParts>
  <Company/>
  <LinksUpToDate>false</LinksUpToDate>
  <CharactersWithSpaces>133313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mrc20210630_10q.htm</dc:title>
  <dc:creator>Smith, Amanda</dc:creator>
  <cp:lastModifiedBy>De castro, Jose ibrahim G.</cp:lastModifiedBy>
  <cp:revision>2</cp:revision>
  <dcterms:created xsi:type="dcterms:W3CDTF">2021-07-30T18:44:00Z</dcterms:created>
  <dcterms:modified xsi:type="dcterms:W3CDTF">2021-07-30T18:44:00Z</dcterms:modified>
</cp:coreProperties>
</file>