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8C7" w:rsidRDefault="006948C7" w:rsidP="006948C7">
      <w:pPr>
        <w:pBdr>
          <w:top w:val="double" w:sz="6" w:space="1" w:color="auto"/>
        </w:pBdr>
        <w:jc w:val="center"/>
        <w:rPr>
          <w:b/>
          <w:sz w:val="36"/>
          <w:szCs w:val="36"/>
        </w:rPr>
      </w:pPr>
      <w:r>
        <w:rPr>
          <w:b/>
          <w:sz w:val="36"/>
          <w:szCs w:val="36"/>
        </w:rPr>
        <w:t>UNITED STATES</w:t>
      </w:r>
    </w:p>
    <w:p w:rsidR="006948C7" w:rsidRDefault="006948C7" w:rsidP="006948C7">
      <w:pPr>
        <w:pBdr>
          <w:top w:val="double" w:sz="6" w:space="1" w:color="auto"/>
        </w:pBdr>
        <w:jc w:val="center"/>
        <w:rPr>
          <w:b/>
          <w:sz w:val="36"/>
          <w:szCs w:val="36"/>
        </w:rPr>
      </w:pPr>
      <w:r>
        <w:rPr>
          <w:b/>
          <w:sz w:val="36"/>
          <w:szCs w:val="36"/>
        </w:rPr>
        <w:t>SECURITIES AND EXCHANGE COMMISSION</w:t>
      </w:r>
    </w:p>
    <w:p w:rsidR="006948C7" w:rsidRDefault="006948C7" w:rsidP="006948C7">
      <w:pPr>
        <w:jc w:val="center"/>
        <w:rPr>
          <w:b/>
          <w:sz w:val="24"/>
          <w:szCs w:val="24"/>
        </w:rPr>
      </w:pPr>
      <w:r>
        <w:rPr>
          <w:b/>
          <w:caps/>
          <w:sz w:val="24"/>
          <w:szCs w:val="24"/>
        </w:rPr>
        <w:t>Washington</w:t>
      </w:r>
      <w:r>
        <w:rPr>
          <w:b/>
          <w:sz w:val="24"/>
          <w:szCs w:val="24"/>
        </w:rPr>
        <w:t>, D.C.  20549</w:t>
      </w:r>
    </w:p>
    <w:p w:rsidR="006948C7" w:rsidRDefault="006948C7" w:rsidP="006948C7">
      <w:pPr>
        <w:jc w:val="center"/>
        <w:rPr>
          <w:b/>
          <w:sz w:val="20"/>
        </w:rPr>
      </w:pPr>
      <w:r>
        <w:rPr>
          <w:b/>
          <w:sz w:val="20"/>
        </w:rPr>
        <w:t>___________________________________</w:t>
      </w:r>
    </w:p>
    <w:p w:rsidR="006948C7" w:rsidRDefault="006948C7" w:rsidP="006948C7">
      <w:pPr>
        <w:tabs>
          <w:tab w:val="left" w:pos="1350"/>
        </w:tabs>
        <w:jc w:val="center"/>
        <w:rPr>
          <w:b/>
          <w:sz w:val="36"/>
          <w:szCs w:val="36"/>
        </w:rPr>
      </w:pPr>
    </w:p>
    <w:p w:rsidR="006948C7" w:rsidRDefault="006948C7" w:rsidP="006948C7">
      <w:pPr>
        <w:tabs>
          <w:tab w:val="left" w:pos="1350"/>
        </w:tabs>
        <w:jc w:val="center"/>
        <w:rPr>
          <w:b/>
          <w:sz w:val="36"/>
          <w:szCs w:val="36"/>
        </w:rPr>
      </w:pPr>
      <w:r>
        <w:rPr>
          <w:b/>
          <w:sz w:val="36"/>
          <w:szCs w:val="36"/>
        </w:rPr>
        <w:t>FORM 8-K</w:t>
      </w:r>
    </w:p>
    <w:p w:rsidR="006948C7" w:rsidRDefault="006948C7" w:rsidP="006948C7">
      <w:pPr>
        <w:jc w:val="center"/>
        <w:rPr>
          <w:b/>
          <w:sz w:val="20"/>
        </w:rPr>
      </w:pPr>
    </w:p>
    <w:p w:rsidR="006948C7" w:rsidRDefault="006948C7" w:rsidP="006948C7">
      <w:pPr>
        <w:jc w:val="center"/>
        <w:rPr>
          <w:b/>
          <w:sz w:val="20"/>
        </w:rPr>
      </w:pPr>
      <w:r>
        <w:rPr>
          <w:b/>
          <w:sz w:val="20"/>
        </w:rPr>
        <w:t>___________________________________</w:t>
      </w:r>
    </w:p>
    <w:p w:rsidR="006948C7" w:rsidRDefault="006948C7" w:rsidP="006948C7">
      <w:pPr>
        <w:tabs>
          <w:tab w:val="left" w:pos="1350"/>
        </w:tabs>
        <w:jc w:val="center"/>
        <w:rPr>
          <w:b/>
          <w:sz w:val="36"/>
          <w:szCs w:val="36"/>
        </w:rPr>
      </w:pPr>
    </w:p>
    <w:p w:rsidR="006948C7" w:rsidRDefault="006948C7" w:rsidP="006948C7">
      <w:pPr>
        <w:jc w:val="center"/>
        <w:rPr>
          <w:b/>
          <w:sz w:val="24"/>
          <w:szCs w:val="24"/>
        </w:rPr>
      </w:pPr>
      <w:r>
        <w:rPr>
          <w:b/>
          <w:sz w:val="24"/>
          <w:szCs w:val="24"/>
        </w:rPr>
        <w:t>CURRENT REPORT</w:t>
      </w:r>
    </w:p>
    <w:p w:rsidR="006948C7" w:rsidRDefault="006948C7" w:rsidP="006948C7">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rsidR="006948C7" w:rsidRDefault="006948C7" w:rsidP="006948C7">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Pursuant to Section 13 or 15(d) of the Securities Exchange Act of 1934</w:t>
      </w:r>
    </w:p>
    <w:p w:rsidR="006948C7" w:rsidRDefault="006948C7" w:rsidP="006948C7">
      <w:pPr>
        <w:jc w:val="center"/>
        <w:rPr>
          <w:b/>
        </w:rPr>
      </w:pPr>
    </w:p>
    <w:p w:rsidR="006948C7" w:rsidRDefault="006948C7" w:rsidP="006948C7">
      <w:pPr>
        <w:tabs>
          <w:tab w:val="left" w:pos="-6300"/>
        </w:tabs>
        <w:jc w:val="center"/>
        <w:rPr>
          <w:rFonts w:eastAsia="Calibri"/>
          <w:b/>
          <w:bCs/>
          <w:sz w:val="24"/>
          <w:szCs w:val="24"/>
        </w:rPr>
      </w:pPr>
      <w:r>
        <w:rPr>
          <w:rFonts w:eastAsia="Calibri"/>
          <w:b/>
          <w:bCs/>
          <w:sz w:val="24"/>
          <w:szCs w:val="24"/>
        </w:rPr>
        <w:t>Date of Report (Date of earliest event reported): February 14, 2019</w:t>
      </w:r>
    </w:p>
    <w:p w:rsidR="006948C7" w:rsidRDefault="006948C7" w:rsidP="006948C7">
      <w:pPr>
        <w:tabs>
          <w:tab w:val="left" w:pos="-6300"/>
        </w:tabs>
        <w:jc w:val="center"/>
        <w:rPr>
          <w:rFonts w:eastAsia="Calibri"/>
          <w:b/>
          <w:bCs/>
          <w:sz w:val="20"/>
        </w:rPr>
      </w:pPr>
    </w:p>
    <w:p w:rsidR="006948C7" w:rsidRDefault="006948C7" w:rsidP="006948C7">
      <w:pPr>
        <w:jc w:val="center"/>
        <w:rPr>
          <w:sz w:val="20"/>
        </w:rPr>
      </w:pPr>
      <w:r>
        <w:rPr>
          <w:b/>
          <w:sz w:val="20"/>
        </w:rPr>
        <w:t>___________________________________</w:t>
      </w:r>
    </w:p>
    <w:p w:rsidR="006948C7" w:rsidRDefault="006948C7" w:rsidP="006948C7">
      <w:pPr>
        <w:pStyle w:val="xl52"/>
        <w:spacing w:before="0" w:beforeAutospacing="0" w:after="0" w:afterAutospacing="0"/>
        <w:rPr>
          <w:rFonts w:ascii="Times New Roman" w:eastAsia="Times New Roman" w:hAnsi="Times New Roman" w:cs="Times New Roman"/>
          <w:bCs w:val="0"/>
          <w:sz w:val="20"/>
          <w:szCs w:val="20"/>
        </w:rPr>
      </w:pPr>
    </w:p>
    <w:p w:rsidR="006948C7" w:rsidRDefault="006948C7" w:rsidP="006948C7">
      <w:pPr>
        <w:tabs>
          <w:tab w:val="left" w:pos="-6300"/>
        </w:tabs>
        <w:jc w:val="center"/>
        <w:rPr>
          <w:b/>
          <w:sz w:val="48"/>
          <w:szCs w:val="48"/>
        </w:rPr>
      </w:pPr>
      <w:r>
        <w:rPr>
          <w:b/>
          <w:caps/>
          <w:sz w:val="48"/>
          <w:szCs w:val="48"/>
        </w:rPr>
        <w:t>MRC Global inc.</w:t>
      </w:r>
    </w:p>
    <w:p w:rsidR="006948C7" w:rsidRDefault="006948C7" w:rsidP="006948C7">
      <w:pPr>
        <w:jc w:val="center"/>
        <w:rPr>
          <w:sz w:val="20"/>
        </w:rPr>
      </w:pPr>
      <w:r>
        <w:rPr>
          <w:sz w:val="20"/>
        </w:rPr>
        <w:t>(Exact name of registrant as specified in its charter)</w:t>
      </w:r>
    </w:p>
    <w:p w:rsidR="006948C7" w:rsidRDefault="006948C7" w:rsidP="006948C7">
      <w:pPr>
        <w:jc w:val="center"/>
        <w:rPr>
          <w:sz w:val="20"/>
        </w:rPr>
      </w:pPr>
    </w:p>
    <w:p w:rsidR="006948C7" w:rsidRDefault="006948C7" w:rsidP="006948C7">
      <w:pPr>
        <w:jc w:val="center"/>
        <w:rPr>
          <w:sz w:val="20"/>
        </w:rPr>
      </w:pPr>
      <w:r>
        <w:rPr>
          <w:b/>
          <w:sz w:val="20"/>
        </w:rPr>
        <w:t>___________________________________</w:t>
      </w:r>
    </w:p>
    <w:p w:rsidR="006948C7" w:rsidRDefault="006948C7" w:rsidP="006948C7">
      <w:pPr>
        <w:jc w:val="center"/>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6948C7" w:rsidTr="006948C7">
        <w:trPr>
          <w:cantSplit/>
          <w:trHeight w:hRule="exact" w:val="20"/>
          <w:jc w:val="center"/>
        </w:trPr>
        <w:tc>
          <w:tcPr>
            <w:tcW w:w="2718" w:type="dxa"/>
            <w:gridSpan w:val="2"/>
          </w:tcPr>
          <w:p w:rsidR="006948C7" w:rsidRDefault="006948C7">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p>
        </w:tc>
        <w:tc>
          <w:tcPr>
            <w:tcW w:w="4159" w:type="dxa"/>
          </w:tcPr>
          <w:p w:rsidR="006948C7" w:rsidRDefault="006948C7">
            <w:pPr>
              <w:spacing w:line="276" w:lineRule="auto"/>
              <w:jc w:val="center"/>
              <w:rPr>
                <w:b/>
                <w:sz w:val="20"/>
              </w:rPr>
            </w:pPr>
          </w:p>
          <w:p w:rsidR="006948C7" w:rsidRDefault="006948C7">
            <w:pPr>
              <w:spacing w:line="276" w:lineRule="auto"/>
              <w:jc w:val="center"/>
              <w:rPr>
                <w:b/>
                <w:sz w:val="20"/>
              </w:rPr>
            </w:pPr>
          </w:p>
          <w:p w:rsidR="006948C7" w:rsidRDefault="006948C7">
            <w:pPr>
              <w:spacing w:line="276" w:lineRule="auto"/>
              <w:rPr>
                <w:sz w:val="2"/>
              </w:rPr>
            </w:pPr>
          </w:p>
        </w:tc>
        <w:tc>
          <w:tcPr>
            <w:tcW w:w="2682" w:type="dxa"/>
            <w:gridSpan w:val="2"/>
            <w:hideMark/>
          </w:tcPr>
          <w:p w:rsidR="006948C7" w:rsidRDefault="006948C7">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br/>
              <w:t>Identification Number)</w:t>
            </w:r>
          </w:p>
        </w:tc>
      </w:tr>
      <w:tr w:rsidR="006948C7" w:rsidTr="006948C7">
        <w:trPr>
          <w:cantSplit/>
          <w:trHeight w:val="674"/>
          <w:jc w:val="center"/>
        </w:trPr>
        <w:tc>
          <w:tcPr>
            <w:tcW w:w="2718" w:type="dxa"/>
            <w:gridSpan w:val="2"/>
            <w:hideMark/>
          </w:tcPr>
          <w:p w:rsidR="006948C7" w:rsidRDefault="006948C7">
            <w:pPr>
              <w:spacing w:line="276" w:lineRule="auto"/>
              <w:jc w:val="center"/>
              <w:rPr>
                <w:b/>
                <w:sz w:val="20"/>
              </w:rPr>
            </w:pPr>
            <w:r>
              <w:rPr>
                <w:b/>
                <w:sz w:val="20"/>
              </w:rPr>
              <w:t>Delaware</w:t>
            </w:r>
          </w:p>
          <w:p w:rsidR="006948C7" w:rsidRDefault="006948C7">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4159" w:type="dxa"/>
            <w:hideMark/>
          </w:tcPr>
          <w:p w:rsidR="006948C7" w:rsidRDefault="006948C7">
            <w:pPr>
              <w:spacing w:line="276" w:lineRule="auto"/>
              <w:jc w:val="center"/>
              <w:rPr>
                <w:b/>
                <w:sz w:val="20"/>
              </w:rPr>
            </w:pPr>
            <w:r>
              <w:rPr>
                <w:b/>
                <w:sz w:val="20"/>
              </w:rPr>
              <w:t>001-35479</w:t>
            </w:r>
          </w:p>
          <w:p w:rsidR="006948C7" w:rsidRDefault="006948C7">
            <w:pPr>
              <w:spacing w:line="276" w:lineRule="auto"/>
              <w:jc w:val="center"/>
              <w:rPr>
                <w:sz w:val="20"/>
              </w:rPr>
            </w:pPr>
            <w:r>
              <w:rPr>
                <w:sz w:val="20"/>
              </w:rPr>
              <w:t xml:space="preserve">(Commission </w:t>
            </w:r>
          </w:p>
          <w:p w:rsidR="006948C7" w:rsidRDefault="006948C7">
            <w:pPr>
              <w:spacing w:line="276" w:lineRule="auto"/>
              <w:jc w:val="center"/>
              <w:rPr>
                <w:b/>
                <w:sz w:val="20"/>
              </w:rPr>
            </w:pPr>
            <w:r>
              <w:rPr>
                <w:sz w:val="20"/>
              </w:rPr>
              <w:t>File Number)</w:t>
            </w:r>
          </w:p>
        </w:tc>
        <w:tc>
          <w:tcPr>
            <w:tcW w:w="2682" w:type="dxa"/>
            <w:gridSpan w:val="2"/>
            <w:hideMark/>
          </w:tcPr>
          <w:p w:rsidR="006948C7" w:rsidRDefault="006948C7">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rsidR="006948C7" w:rsidRDefault="006948C7">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6948C7" w:rsidTr="006948C7">
        <w:trPr>
          <w:cantSplit/>
          <w:jc w:val="center"/>
        </w:trPr>
        <w:tc>
          <w:tcPr>
            <w:tcW w:w="2260" w:type="dxa"/>
          </w:tcPr>
          <w:p w:rsidR="006948C7" w:rsidRDefault="006948C7">
            <w:pPr>
              <w:spacing w:line="276" w:lineRule="auto"/>
              <w:jc w:val="center"/>
              <w:rPr>
                <w:b/>
                <w:sz w:val="20"/>
              </w:rPr>
            </w:pPr>
          </w:p>
        </w:tc>
        <w:tc>
          <w:tcPr>
            <w:tcW w:w="5040" w:type="dxa"/>
            <w:gridSpan w:val="3"/>
          </w:tcPr>
          <w:p w:rsidR="006948C7" w:rsidRDefault="006948C7">
            <w:pPr>
              <w:spacing w:line="276" w:lineRule="auto"/>
              <w:jc w:val="center"/>
              <w:rPr>
                <w:b/>
                <w:sz w:val="20"/>
                <w:lang w:bidi="en-US"/>
              </w:rPr>
            </w:pPr>
          </w:p>
          <w:p w:rsidR="006948C7" w:rsidRDefault="006948C7">
            <w:pPr>
              <w:spacing w:line="276" w:lineRule="auto"/>
              <w:jc w:val="center"/>
              <w:rPr>
                <w:b/>
                <w:sz w:val="20"/>
                <w:lang w:bidi="en-US"/>
              </w:rPr>
            </w:pPr>
            <w:r>
              <w:rPr>
                <w:b/>
                <w:sz w:val="20"/>
                <w:lang w:bidi="en-US"/>
              </w:rPr>
              <w:t xml:space="preserve">Fulbright Tower, 1301 McKinney Street, Suite 2300 </w:t>
            </w:r>
          </w:p>
          <w:p w:rsidR="006948C7" w:rsidRDefault="006948C7">
            <w:pPr>
              <w:spacing w:line="276" w:lineRule="auto"/>
              <w:jc w:val="center"/>
              <w:rPr>
                <w:b/>
                <w:sz w:val="16"/>
                <w:szCs w:val="16"/>
              </w:rPr>
            </w:pPr>
            <w:r>
              <w:rPr>
                <w:b/>
                <w:sz w:val="20"/>
                <w:lang w:bidi="en-US"/>
              </w:rPr>
              <w:t>Houston, Texas 77010</w:t>
            </w:r>
            <w:r>
              <w:rPr>
                <w:b/>
                <w:sz w:val="20"/>
              </w:rPr>
              <w:br/>
            </w:r>
            <w:r>
              <w:rPr>
                <w:b/>
                <w:sz w:val="16"/>
                <w:szCs w:val="16"/>
              </w:rPr>
              <w:t>(Address of Principal Executive Offices)</w:t>
            </w:r>
          </w:p>
          <w:p w:rsidR="006948C7" w:rsidRDefault="006948C7">
            <w:pPr>
              <w:spacing w:line="276" w:lineRule="auto"/>
              <w:jc w:val="center"/>
              <w:rPr>
                <w:b/>
                <w:sz w:val="16"/>
                <w:szCs w:val="16"/>
              </w:rPr>
            </w:pPr>
          </w:p>
        </w:tc>
        <w:tc>
          <w:tcPr>
            <w:tcW w:w="2259" w:type="dxa"/>
          </w:tcPr>
          <w:p w:rsidR="006948C7" w:rsidRDefault="006948C7">
            <w:pPr>
              <w:spacing w:line="276" w:lineRule="auto"/>
              <w:jc w:val="center"/>
              <w:rPr>
                <w:b/>
                <w:sz w:val="20"/>
              </w:rPr>
            </w:pPr>
          </w:p>
        </w:tc>
      </w:tr>
    </w:tbl>
    <w:p w:rsidR="006948C7" w:rsidRDefault="006948C7" w:rsidP="006948C7">
      <w:pPr>
        <w:pStyle w:val="BodyText3"/>
        <w:spacing w:after="0"/>
        <w:jc w:val="center"/>
        <w:rPr>
          <w:b/>
        </w:rPr>
      </w:pPr>
      <w:r>
        <w:rPr>
          <w:b/>
        </w:rPr>
        <w:t>Registrant’s telephone number, including area code: (877) 294-7574</w:t>
      </w:r>
    </w:p>
    <w:p w:rsidR="006948C7" w:rsidRDefault="006948C7" w:rsidP="006948C7">
      <w:pPr>
        <w:pStyle w:val="BodyText3"/>
        <w:spacing w:after="0"/>
        <w:jc w:val="center"/>
        <w:rPr>
          <w:rFonts w:ascii="Times New Roman" w:hAnsi="Times New Roman"/>
        </w:rPr>
      </w:pPr>
    </w:p>
    <w:p w:rsidR="006948C7" w:rsidRDefault="006948C7" w:rsidP="006948C7">
      <w:pPr>
        <w:pStyle w:val="BodyText3"/>
        <w:spacing w:after="0"/>
        <w:rPr>
          <w:rFonts w:ascii="Times New Roman" w:hAnsi="Times New Roman"/>
        </w:rPr>
      </w:pPr>
      <w:r>
        <w:rPr>
          <w:rFonts w:ascii="Times New Roman" w:hAnsi="Times New Roman"/>
        </w:rPr>
        <w:t>Check the appropriate box below if the Form 8-K filing is intended to simultaneously satisfy the filing obligation of the registrant under any of the following provisions (see General Instruction A.2. below):</w:t>
      </w:r>
    </w:p>
    <w:p w:rsidR="006948C7" w:rsidRDefault="006948C7" w:rsidP="006948C7">
      <w:pPr>
        <w:pStyle w:val="BodyText3"/>
        <w:spacing w:after="0"/>
        <w:rPr>
          <w:rFonts w:ascii="Times New Roman" w:hAnsi="Times New Roman"/>
        </w:rPr>
      </w:pPr>
    </w:p>
    <w:p w:rsidR="006948C7" w:rsidRDefault="006948C7" w:rsidP="006948C7">
      <w:pPr>
        <w:pStyle w:val="BodyText3"/>
        <w:overflowPunct/>
        <w:autoSpaceDE/>
        <w:adjustRightInd/>
        <w:spacing w:after="0"/>
        <w:rPr>
          <w:rFonts w:ascii="Times New Roman" w:hAnsi="Times New Roman"/>
        </w:rPr>
      </w:pPr>
      <w:proofErr w:type="gramStart"/>
      <w:r>
        <w:rPr>
          <w:rFonts w:ascii="Times New Roman" w:hAnsi="Times New Roman"/>
        </w:rPr>
        <w:t>[  ]</w:t>
      </w:r>
      <w:proofErr w:type="gramEnd"/>
      <w:r>
        <w:rPr>
          <w:rFonts w:ascii="Times New Roman" w:hAnsi="Times New Roman"/>
        </w:rPr>
        <w:t xml:space="preserve"> Written communications pursuant to Rule 425 under the Securities Act (17 CFR 230.425)</w:t>
      </w:r>
    </w:p>
    <w:p w:rsidR="006948C7" w:rsidRDefault="006948C7" w:rsidP="006948C7">
      <w:pPr>
        <w:pStyle w:val="BodyText3"/>
        <w:overflowPunct/>
        <w:autoSpaceDE/>
        <w:adjustRightInd/>
        <w:spacing w:after="0"/>
        <w:rPr>
          <w:rFonts w:ascii="Times New Roman" w:hAnsi="Times New Roman"/>
        </w:rPr>
      </w:pPr>
    </w:p>
    <w:p w:rsidR="006948C7" w:rsidRDefault="006948C7" w:rsidP="006948C7">
      <w:pPr>
        <w:pStyle w:val="BodyText2"/>
        <w:widowControl/>
        <w:rPr>
          <w:sz w:val="20"/>
        </w:rPr>
      </w:pPr>
      <w:proofErr w:type="gramStart"/>
      <w:r>
        <w:rPr>
          <w:sz w:val="20"/>
        </w:rPr>
        <w:t>[  ]</w:t>
      </w:r>
      <w:proofErr w:type="gramEnd"/>
      <w:r>
        <w:rPr>
          <w:sz w:val="20"/>
        </w:rPr>
        <w:t xml:space="preserve"> Soliciting material pursuant to Rule 14a-12 under the Exchange Act (17 CFR 240.14a-12)</w:t>
      </w:r>
    </w:p>
    <w:p w:rsidR="006948C7" w:rsidRDefault="006948C7" w:rsidP="006948C7">
      <w:pPr>
        <w:pStyle w:val="BodyText2"/>
        <w:widowControl/>
        <w:rPr>
          <w:sz w:val="20"/>
        </w:rPr>
      </w:pPr>
    </w:p>
    <w:p w:rsidR="006948C7" w:rsidRDefault="006948C7" w:rsidP="006948C7">
      <w:pPr>
        <w:rPr>
          <w:sz w:val="20"/>
        </w:rPr>
      </w:pPr>
      <w:proofErr w:type="gramStart"/>
      <w:r>
        <w:rPr>
          <w:sz w:val="20"/>
        </w:rPr>
        <w:t>[  ]</w:t>
      </w:r>
      <w:proofErr w:type="gramEnd"/>
      <w:r>
        <w:rPr>
          <w:sz w:val="20"/>
        </w:rPr>
        <w:t xml:space="preserve"> Pre-commencement communications pursuant to Rule 14d-2(b) under the Exchange Act (17 CFR 240.14d-2(b))</w:t>
      </w:r>
    </w:p>
    <w:p w:rsidR="006948C7" w:rsidRDefault="006948C7" w:rsidP="006948C7">
      <w:pPr>
        <w:rPr>
          <w:sz w:val="20"/>
        </w:rPr>
      </w:pPr>
    </w:p>
    <w:p w:rsidR="006948C7" w:rsidRDefault="006948C7" w:rsidP="006948C7">
      <w:pPr>
        <w:rPr>
          <w:sz w:val="20"/>
        </w:rPr>
      </w:pPr>
      <w:proofErr w:type="gramStart"/>
      <w:r>
        <w:rPr>
          <w:sz w:val="20"/>
        </w:rPr>
        <w:t>[  ]</w:t>
      </w:r>
      <w:proofErr w:type="gramEnd"/>
      <w:r>
        <w:rPr>
          <w:sz w:val="20"/>
        </w:rPr>
        <w:t xml:space="preserve"> Pre-commencement communications pursuant to Rule 13e-4(c) under the Exchange Act (17 CFR 240.13e-4(c))</w:t>
      </w:r>
    </w:p>
    <w:p w:rsidR="006948C7" w:rsidRDefault="006948C7" w:rsidP="006948C7">
      <w:pPr>
        <w:rPr>
          <w:sz w:val="20"/>
        </w:rPr>
      </w:pPr>
    </w:p>
    <w:p w:rsidR="006948C7" w:rsidRDefault="006948C7" w:rsidP="006948C7">
      <w:pPr>
        <w:rPr>
          <w:color w:val="000000"/>
          <w:sz w:val="20"/>
        </w:rPr>
      </w:pPr>
      <w:r>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rsidR="006948C7" w:rsidRDefault="006948C7" w:rsidP="006948C7">
      <w:pPr>
        <w:rPr>
          <w:color w:val="000000"/>
          <w:sz w:val="20"/>
        </w:rPr>
      </w:pPr>
    </w:p>
    <w:p w:rsidR="006948C7" w:rsidRDefault="006948C7" w:rsidP="006948C7">
      <w:pPr>
        <w:rPr>
          <w:rFonts w:ascii="Segoe UI Symbol" w:hAnsi="Segoe UI Symbol" w:cs="Segoe UI Symbol"/>
          <w:color w:val="000000"/>
          <w:sz w:val="20"/>
        </w:rPr>
      </w:pPr>
      <w:r>
        <w:rPr>
          <w:color w:val="000000"/>
          <w:sz w:val="20"/>
        </w:rPr>
        <w:t xml:space="preserve">Emerging growth company </w:t>
      </w:r>
      <w:r>
        <w:rPr>
          <w:rFonts w:ascii="Segoe UI Symbol" w:hAnsi="Segoe UI Symbol" w:cs="Segoe UI Symbol"/>
          <w:color w:val="000000"/>
          <w:sz w:val="20"/>
        </w:rPr>
        <w:t>☐</w:t>
      </w:r>
    </w:p>
    <w:p w:rsidR="006948C7" w:rsidRDefault="006948C7" w:rsidP="006948C7">
      <w:pPr>
        <w:rPr>
          <w:color w:val="000000"/>
          <w:sz w:val="20"/>
        </w:rPr>
      </w:pPr>
    </w:p>
    <w:p w:rsidR="006948C7" w:rsidRDefault="006948C7" w:rsidP="006948C7">
      <w:pPr>
        <w:rPr>
          <w:color w:val="000000"/>
          <w:sz w:val="20"/>
        </w:rPr>
      </w:pPr>
      <w:r>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color w:val="000000"/>
          <w:sz w:val="20"/>
        </w:rPr>
        <w:t>☐</w:t>
      </w:r>
    </w:p>
    <w:p w:rsidR="00C95E2D" w:rsidRDefault="00C95E2D" w:rsidP="00C95E2D">
      <w:pPr>
        <w:pBdr>
          <w:top w:val="double" w:sz="6" w:space="1" w:color="auto"/>
        </w:pBdr>
        <w:rPr>
          <w:b/>
          <w:sz w:val="20"/>
        </w:rPr>
      </w:pPr>
    </w:p>
    <w:p w:rsidR="00C95E2D" w:rsidRDefault="00C95E2D" w:rsidP="00C95E2D">
      <w:pPr>
        <w:overflowPunct/>
        <w:autoSpaceDE/>
        <w:autoSpaceDN/>
        <w:adjustRightInd/>
        <w:rPr>
          <w:b/>
          <w:sz w:val="20"/>
        </w:rPr>
        <w:sectPr w:rsidR="00C95E2D">
          <w:footerReference w:type="first" r:id="rId8"/>
          <w:pgSz w:w="12240" w:h="15840"/>
          <w:pgMar w:top="864" w:right="1440" w:bottom="720" w:left="1440" w:header="432" w:footer="360" w:gutter="0"/>
          <w:paperSrc w:first="15" w:other="15"/>
          <w:pgNumType w:start="1"/>
          <w:cols w:space="720"/>
        </w:sectPr>
      </w:pPr>
    </w:p>
    <w:p w:rsidR="001B44F7" w:rsidRPr="001B44F7" w:rsidRDefault="001B44F7" w:rsidP="001B44F7">
      <w:pPr>
        <w:spacing w:after="240"/>
        <w:ind w:left="1440" w:hanging="1440"/>
        <w:rPr>
          <w:b/>
          <w:color w:val="000000"/>
          <w:sz w:val="20"/>
        </w:rPr>
      </w:pPr>
      <w:r w:rsidRPr="001B44F7">
        <w:rPr>
          <w:b/>
          <w:color w:val="000000"/>
          <w:sz w:val="20"/>
        </w:rPr>
        <w:lastRenderedPageBreak/>
        <w:t>Item 2.02</w:t>
      </w:r>
      <w:r w:rsidRPr="001B44F7">
        <w:rPr>
          <w:b/>
          <w:color w:val="000000"/>
          <w:sz w:val="20"/>
        </w:rPr>
        <w:tab/>
      </w:r>
      <w:r w:rsidRPr="001B44F7">
        <w:rPr>
          <w:b/>
          <w:color w:val="000000"/>
          <w:sz w:val="20"/>
          <w:u w:val="single"/>
        </w:rPr>
        <w:t>Results of Operations and Financial Condition</w:t>
      </w:r>
    </w:p>
    <w:p w:rsidR="001B44F7" w:rsidRDefault="001B44F7" w:rsidP="002505CB">
      <w:pPr>
        <w:spacing w:after="240"/>
        <w:rPr>
          <w:color w:val="000000"/>
          <w:sz w:val="20"/>
        </w:rPr>
      </w:pPr>
      <w:r>
        <w:rPr>
          <w:color w:val="000000"/>
          <w:sz w:val="20"/>
        </w:rPr>
        <w:t xml:space="preserve">On </w:t>
      </w:r>
      <w:r w:rsidR="00C85C25">
        <w:rPr>
          <w:color w:val="000000"/>
          <w:sz w:val="20"/>
        </w:rPr>
        <w:t>February 1</w:t>
      </w:r>
      <w:r w:rsidR="006948C7">
        <w:rPr>
          <w:color w:val="000000"/>
          <w:sz w:val="20"/>
        </w:rPr>
        <w:t>4</w:t>
      </w:r>
      <w:r>
        <w:rPr>
          <w:color w:val="000000"/>
          <w:sz w:val="20"/>
        </w:rPr>
        <w:t>, 201</w:t>
      </w:r>
      <w:r w:rsidR="006948C7">
        <w:rPr>
          <w:color w:val="000000"/>
          <w:sz w:val="20"/>
        </w:rPr>
        <w:t>9</w:t>
      </w:r>
      <w:r>
        <w:rPr>
          <w:color w:val="000000"/>
          <w:sz w:val="20"/>
        </w:rPr>
        <w:t xml:space="preserve">, MRC Global Inc. </w:t>
      </w:r>
      <w:r w:rsidR="00A77EB5">
        <w:rPr>
          <w:color w:val="000000"/>
          <w:sz w:val="20"/>
        </w:rPr>
        <w:t xml:space="preserve">(“MRC Global” or the “Company”) </w:t>
      </w:r>
      <w:r>
        <w:rPr>
          <w:color w:val="000000"/>
          <w:sz w:val="20"/>
        </w:rPr>
        <w:t xml:space="preserve">issued a press release announcing its financial results for the </w:t>
      </w:r>
      <w:r w:rsidR="00C85C25">
        <w:rPr>
          <w:color w:val="000000"/>
          <w:sz w:val="20"/>
        </w:rPr>
        <w:t>year</w:t>
      </w:r>
      <w:r>
        <w:rPr>
          <w:color w:val="000000"/>
          <w:sz w:val="20"/>
        </w:rPr>
        <w:t xml:space="preserve"> ended </w:t>
      </w:r>
      <w:r w:rsidR="00C85C25">
        <w:rPr>
          <w:color w:val="000000"/>
          <w:sz w:val="20"/>
        </w:rPr>
        <w:t>Dec</w:t>
      </w:r>
      <w:r w:rsidR="00531C53">
        <w:rPr>
          <w:color w:val="000000"/>
          <w:sz w:val="20"/>
        </w:rPr>
        <w:t>ember</w:t>
      </w:r>
      <w:r>
        <w:rPr>
          <w:color w:val="000000"/>
          <w:sz w:val="20"/>
        </w:rPr>
        <w:t xml:space="preserve"> 3</w:t>
      </w:r>
      <w:r w:rsidR="00C85C25">
        <w:rPr>
          <w:color w:val="000000"/>
          <w:sz w:val="20"/>
        </w:rPr>
        <w:t>1</w:t>
      </w:r>
      <w:r>
        <w:rPr>
          <w:color w:val="000000"/>
          <w:sz w:val="20"/>
        </w:rPr>
        <w:t>, 201</w:t>
      </w:r>
      <w:r w:rsidR="006948C7">
        <w:rPr>
          <w:color w:val="000000"/>
          <w:sz w:val="20"/>
        </w:rPr>
        <w:t>8</w:t>
      </w:r>
      <w:r>
        <w:rPr>
          <w:color w:val="000000"/>
          <w:sz w:val="20"/>
        </w:rPr>
        <w:t>. A copy of the press release is furnished as Exhibit 99.1 to this Form 8-K and is incorporated herein by reference.</w:t>
      </w:r>
    </w:p>
    <w:p w:rsidR="001B44F7" w:rsidRDefault="001B44F7" w:rsidP="002505CB">
      <w:pPr>
        <w:spacing w:after="240"/>
        <w:rPr>
          <w:color w:val="000000"/>
          <w:sz w:val="20"/>
        </w:rPr>
      </w:pPr>
      <w:r>
        <w:rPr>
          <w:color w:val="000000"/>
          <w:sz w:val="20"/>
        </w:rPr>
        <w:t>In accordance with General Instruction B.2 of Form 8-K, the information in</w:t>
      </w:r>
      <w:r w:rsidR="00353C73">
        <w:rPr>
          <w:color w:val="000000"/>
          <w:sz w:val="20"/>
        </w:rPr>
        <w:t xml:space="preserve"> Item 2.02 of</w:t>
      </w:r>
      <w:r>
        <w:rPr>
          <w:color w:val="000000"/>
          <w:sz w:val="20"/>
        </w:rPr>
        <w:t xml:space="preserve"> this Current Report on Form 8-K, including Exhibit 99.1, shall not be deemed to be "filed" for purposes of Section 18 of the Securities Exchange Act of 1934, as amended (the "Exchange Act"), or otherwise subject to the liability of that section, and shall not be incorporated by reference into any registration statement or other document filed under the Securities Act of 1933, as amended, or the Exchange Act, except as shall be expressly set forth by specific reference in such filing.</w:t>
      </w:r>
    </w:p>
    <w:p w:rsidR="006168FE" w:rsidRDefault="006168FE" w:rsidP="006168FE">
      <w:pPr>
        <w:ind w:left="1440" w:hanging="1440"/>
        <w:rPr>
          <w:sz w:val="20"/>
          <w:u w:val="single"/>
        </w:rPr>
      </w:pPr>
      <w:r>
        <w:rPr>
          <w:b/>
          <w:sz w:val="20"/>
        </w:rPr>
        <w:t>Item 5.02</w:t>
      </w:r>
      <w:r>
        <w:rPr>
          <w:b/>
          <w:sz w:val="20"/>
        </w:rPr>
        <w:tab/>
      </w:r>
      <w:r>
        <w:rPr>
          <w:b/>
          <w:sz w:val="20"/>
          <w:u w:val="single"/>
        </w:rPr>
        <w:t>Departure of Directors or Certain Officers; Election of Directors; Appointment of Certain Officers; Compensatory Arrangements of Certain Officers</w:t>
      </w:r>
    </w:p>
    <w:p w:rsidR="006168FE" w:rsidRDefault="006168FE" w:rsidP="006168FE">
      <w:pPr>
        <w:rPr>
          <w:sz w:val="20"/>
        </w:rPr>
      </w:pPr>
    </w:p>
    <w:p w:rsidR="006168FE" w:rsidRDefault="006168FE" w:rsidP="006168FE">
      <w:pPr>
        <w:rPr>
          <w:sz w:val="20"/>
        </w:rPr>
      </w:pPr>
      <w:r>
        <w:rPr>
          <w:sz w:val="20"/>
        </w:rPr>
        <w:t>In February 201</w:t>
      </w:r>
      <w:r w:rsidR="006948C7">
        <w:rPr>
          <w:sz w:val="20"/>
        </w:rPr>
        <w:t>9</w:t>
      </w:r>
      <w:r>
        <w:rPr>
          <w:sz w:val="20"/>
        </w:rPr>
        <w:t>, we granted the following named executive officers named in the table below performance stock units pursuant to the MRC Global Inc. 2011 Omnibus Incentive Plan</w:t>
      </w:r>
      <w:r w:rsidR="00CF7FC3">
        <w:rPr>
          <w:sz w:val="20"/>
        </w:rPr>
        <w:t>, as amended,</w:t>
      </w:r>
      <w:r>
        <w:rPr>
          <w:sz w:val="20"/>
        </w:rPr>
        <w:t xml:space="preserve"> in addition to certain time-vested restricted stock units reported on Forms 4.  Each recipient of performance stock units can earn shares of Company common stock between 0% and </w:t>
      </w:r>
      <w:r w:rsidR="00BF457B">
        <w:rPr>
          <w:sz w:val="20"/>
        </w:rPr>
        <w:t>200</w:t>
      </w:r>
      <w:r>
        <w:rPr>
          <w:sz w:val="20"/>
        </w:rPr>
        <w:t>% of the target number of units based:</w:t>
      </w:r>
    </w:p>
    <w:p w:rsidR="006168FE" w:rsidRDefault="006168FE" w:rsidP="006168FE">
      <w:pPr>
        <w:rPr>
          <w:sz w:val="20"/>
        </w:rPr>
      </w:pPr>
    </w:p>
    <w:p w:rsidR="006168FE" w:rsidRDefault="006168FE" w:rsidP="006168FE">
      <w:pPr>
        <w:pStyle w:val="ListParagraph"/>
        <w:numPr>
          <w:ilvl w:val="0"/>
          <w:numId w:val="5"/>
        </w:numPr>
        <w:spacing w:after="0" w:line="240" w:lineRule="auto"/>
        <w:rPr>
          <w:rFonts w:ascii="Times New Roman" w:hAnsi="Times New Roman" w:cs="Times New Roman"/>
          <w:sz w:val="20"/>
        </w:rPr>
      </w:pPr>
      <w:r>
        <w:rPr>
          <w:rFonts w:ascii="Times New Roman" w:hAnsi="Times New Roman" w:cs="Times New Roman"/>
          <w:sz w:val="20"/>
        </w:rPr>
        <w:t>50% on a three-year total shareholder return relative to the companies in the Philadelphia OSX Index (the “OSX Index”) at the end of the three-year period ending December 31, 202</w:t>
      </w:r>
      <w:r w:rsidR="008C3F8C">
        <w:rPr>
          <w:rFonts w:ascii="Times New Roman" w:hAnsi="Times New Roman" w:cs="Times New Roman"/>
          <w:sz w:val="20"/>
        </w:rPr>
        <w:t>1</w:t>
      </w:r>
      <w:r>
        <w:rPr>
          <w:rFonts w:ascii="Times New Roman" w:hAnsi="Times New Roman" w:cs="Times New Roman"/>
          <w:sz w:val="20"/>
        </w:rPr>
        <w:t xml:space="preserve"> (the “Performance Period”) and </w:t>
      </w:r>
    </w:p>
    <w:p w:rsidR="006168FE" w:rsidRDefault="006168FE" w:rsidP="006168FE">
      <w:pPr>
        <w:pStyle w:val="ListParagraph"/>
        <w:numPr>
          <w:ilvl w:val="0"/>
          <w:numId w:val="5"/>
        </w:numPr>
        <w:spacing w:after="0" w:line="240" w:lineRule="auto"/>
        <w:rPr>
          <w:rFonts w:ascii="Times New Roman" w:hAnsi="Times New Roman" w:cs="Times New Roman"/>
          <w:sz w:val="20"/>
        </w:rPr>
      </w:pPr>
      <w:r>
        <w:rPr>
          <w:rFonts w:ascii="Times New Roman" w:hAnsi="Times New Roman" w:cs="Times New Roman"/>
          <w:sz w:val="20"/>
        </w:rPr>
        <w:t xml:space="preserve">50% on a three-year return on average net capital employed objective for the Performance Period.  </w:t>
      </w:r>
    </w:p>
    <w:p w:rsidR="006168FE" w:rsidRDefault="006168FE" w:rsidP="006168FE">
      <w:pPr>
        <w:rPr>
          <w:rFonts w:cstheme="minorBidi"/>
          <w:sz w:val="20"/>
        </w:rPr>
      </w:pPr>
    </w:p>
    <w:p w:rsidR="006168FE" w:rsidRDefault="006168FE" w:rsidP="006168FE">
      <w:pPr>
        <w:rPr>
          <w:sz w:val="20"/>
        </w:rPr>
      </w:pPr>
      <w:r>
        <w:rPr>
          <w:sz w:val="20"/>
        </w:rPr>
        <w:t>The performance stock units vest at the end of the Performance Period so long as the recipient remains employed with the Company when the performance against the two criteria is measured.</w:t>
      </w:r>
    </w:p>
    <w:p w:rsidR="006168FE" w:rsidRDefault="006168FE" w:rsidP="006168FE">
      <w:pPr>
        <w:rPr>
          <w:sz w:val="20"/>
        </w:rPr>
      </w:pPr>
    </w:p>
    <w:p w:rsidR="006168FE" w:rsidRDefault="006168FE" w:rsidP="006168FE">
      <w:pPr>
        <w:rPr>
          <w:sz w:val="20"/>
        </w:rPr>
      </w:pPr>
      <w:r>
        <w:rPr>
          <w:sz w:val="20"/>
        </w:rPr>
        <w:t>Below is the number of target performance stock units that the Company granted to each named executive officer:</w:t>
      </w:r>
    </w:p>
    <w:p w:rsidR="006168FE" w:rsidRDefault="006168FE" w:rsidP="006168FE">
      <w:pPr>
        <w:rPr>
          <w:sz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6468"/>
        <w:gridCol w:w="1274"/>
      </w:tblGrid>
      <w:tr w:rsidR="006168FE" w:rsidTr="008C3F8C">
        <w:trPr>
          <w:trHeight w:hRule="exact" w:val="20"/>
          <w:jc w:val="center"/>
        </w:trPr>
        <w:tc>
          <w:tcPr>
            <w:tcW w:w="904" w:type="pct"/>
            <w:tcBorders>
              <w:top w:val="nil"/>
              <w:left w:val="nil"/>
              <w:bottom w:val="nil"/>
              <w:right w:val="nil"/>
            </w:tcBorders>
            <w:vAlign w:val="center"/>
            <w:hideMark/>
          </w:tcPr>
          <w:p w:rsidR="006168FE" w:rsidRDefault="006168FE">
            <w:pPr>
              <w:rPr>
                <w:sz w:val="20"/>
              </w:rPr>
            </w:pPr>
          </w:p>
        </w:tc>
        <w:tc>
          <w:tcPr>
            <w:tcW w:w="3422" w:type="pct"/>
            <w:tcBorders>
              <w:top w:val="nil"/>
              <w:left w:val="nil"/>
              <w:bottom w:val="nil"/>
              <w:right w:val="nil"/>
            </w:tcBorders>
            <w:vAlign w:val="center"/>
            <w:hideMark/>
          </w:tcPr>
          <w:p w:rsidR="006168FE" w:rsidRDefault="006168FE">
            <w:pPr>
              <w:overflowPunct/>
              <w:autoSpaceDE/>
              <w:autoSpaceDN/>
              <w:adjustRightInd/>
              <w:spacing w:after="200" w:line="276" w:lineRule="auto"/>
              <w:rPr>
                <w:rFonts w:asciiTheme="minorHAnsi" w:eastAsiaTheme="minorHAnsi" w:hAnsiTheme="minorHAnsi" w:cstheme="minorBidi"/>
                <w:sz w:val="20"/>
              </w:rPr>
            </w:pPr>
          </w:p>
        </w:tc>
        <w:tc>
          <w:tcPr>
            <w:tcW w:w="674" w:type="pct"/>
            <w:tcBorders>
              <w:top w:val="nil"/>
              <w:left w:val="nil"/>
              <w:bottom w:val="nil"/>
              <w:right w:val="nil"/>
            </w:tcBorders>
            <w:vAlign w:val="center"/>
            <w:hideMark/>
          </w:tcPr>
          <w:p w:rsidR="006168FE" w:rsidRDefault="006168FE">
            <w:pPr>
              <w:overflowPunct/>
              <w:autoSpaceDE/>
              <w:autoSpaceDN/>
              <w:adjustRightInd/>
              <w:spacing w:after="200" w:line="276" w:lineRule="auto"/>
              <w:rPr>
                <w:rFonts w:asciiTheme="minorHAnsi" w:eastAsiaTheme="minorHAnsi" w:hAnsiTheme="minorHAnsi" w:cstheme="minorBidi"/>
                <w:sz w:val="20"/>
              </w:rPr>
            </w:pPr>
          </w:p>
        </w:tc>
      </w:tr>
      <w:tr w:rsidR="006168FE" w:rsidTr="008C3F8C">
        <w:trPr>
          <w:jc w:val="center"/>
        </w:trPr>
        <w:tc>
          <w:tcPr>
            <w:tcW w:w="904" w:type="pct"/>
            <w:tcBorders>
              <w:top w:val="single" w:sz="4" w:space="0" w:color="auto"/>
              <w:left w:val="single" w:sz="4" w:space="0" w:color="auto"/>
              <w:bottom w:val="single" w:sz="4" w:space="0" w:color="auto"/>
              <w:right w:val="single" w:sz="4" w:space="0" w:color="auto"/>
            </w:tcBorders>
            <w:vAlign w:val="center"/>
            <w:hideMark/>
          </w:tcPr>
          <w:p w:rsidR="006168FE" w:rsidRDefault="006168FE">
            <w:pPr>
              <w:spacing w:line="276" w:lineRule="auto"/>
              <w:jc w:val="center"/>
              <w:rPr>
                <w:bCs/>
                <w:color w:val="000000"/>
                <w:sz w:val="20"/>
                <w:szCs w:val="22"/>
              </w:rPr>
            </w:pPr>
            <w:r>
              <w:rPr>
                <w:bCs/>
                <w:color w:val="000000"/>
                <w:sz w:val="20"/>
              </w:rPr>
              <w:t>Name</w:t>
            </w:r>
          </w:p>
        </w:tc>
        <w:tc>
          <w:tcPr>
            <w:tcW w:w="3422" w:type="pct"/>
            <w:tcBorders>
              <w:top w:val="single" w:sz="4" w:space="0" w:color="auto"/>
              <w:left w:val="single" w:sz="4" w:space="0" w:color="auto"/>
              <w:bottom w:val="single" w:sz="4" w:space="0" w:color="auto"/>
              <w:right w:val="single" w:sz="4" w:space="0" w:color="auto"/>
            </w:tcBorders>
            <w:vAlign w:val="center"/>
            <w:hideMark/>
          </w:tcPr>
          <w:p w:rsidR="006168FE" w:rsidRDefault="006168FE">
            <w:pPr>
              <w:spacing w:line="276" w:lineRule="auto"/>
              <w:jc w:val="center"/>
              <w:rPr>
                <w:bCs/>
                <w:color w:val="000000"/>
                <w:sz w:val="20"/>
                <w:szCs w:val="22"/>
              </w:rPr>
            </w:pPr>
            <w:r>
              <w:rPr>
                <w:bCs/>
                <w:color w:val="000000"/>
                <w:sz w:val="20"/>
              </w:rPr>
              <w:t>Job Title</w:t>
            </w:r>
          </w:p>
        </w:tc>
        <w:tc>
          <w:tcPr>
            <w:tcW w:w="674" w:type="pct"/>
            <w:tcBorders>
              <w:top w:val="single" w:sz="4" w:space="0" w:color="auto"/>
              <w:left w:val="single" w:sz="4" w:space="0" w:color="auto"/>
              <w:bottom w:val="single" w:sz="4" w:space="0" w:color="auto"/>
              <w:right w:val="single" w:sz="4" w:space="0" w:color="auto"/>
            </w:tcBorders>
            <w:vAlign w:val="center"/>
            <w:hideMark/>
          </w:tcPr>
          <w:p w:rsidR="006168FE" w:rsidRDefault="006168FE">
            <w:pPr>
              <w:spacing w:line="276" w:lineRule="auto"/>
              <w:jc w:val="center"/>
              <w:rPr>
                <w:bCs/>
                <w:color w:val="000000"/>
                <w:sz w:val="20"/>
                <w:szCs w:val="22"/>
              </w:rPr>
            </w:pPr>
            <w:r>
              <w:rPr>
                <w:bCs/>
                <w:color w:val="000000"/>
                <w:sz w:val="20"/>
              </w:rPr>
              <w:t># of Performance Stock Units</w:t>
            </w:r>
          </w:p>
        </w:tc>
      </w:tr>
      <w:tr w:rsidR="006168FE" w:rsidTr="008C3F8C">
        <w:trPr>
          <w:trHeight w:val="315"/>
          <w:jc w:val="center"/>
        </w:trPr>
        <w:tc>
          <w:tcPr>
            <w:tcW w:w="904"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pPr>
              <w:spacing w:line="276" w:lineRule="auto"/>
              <w:rPr>
                <w:color w:val="000000"/>
                <w:sz w:val="20"/>
                <w:szCs w:val="22"/>
              </w:rPr>
            </w:pPr>
            <w:r>
              <w:rPr>
                <w:color w:val="000000"/>
                <w:sz w:val="20"/>
              </w:rPr>
              <w:t>Lane, Andrew R.</w:t>
            </w:r>
          </w:p>
        </w:tc>
        <w:tc>
          <w:tcPr>
            <w:tcW w:w="3422"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rsidP="006168FE">
            <w:pPr>
              <w:spacing w:line="276" w:lineRule="auto"/>
              <w:rPr>
                <w:color w:val="000000"/>
                <w:sz w:val="20"/>
                <w:szCs w:val="22"/>
              </w:rPr>
            </w:pPr>
            <w:r>
              <w:rPr>
                <w:color w:val="000000"/>
                <w:sz w:val="20"/>
              </w:rPr>
              <w:t>President &amp; Chief Executive Officer</w:t>
            </w:r>
          </w:p>
        </w:tc>
        <w:tc>
          <w:tcPr>
            <w:tcW w:w="674" w:type="pct"/>
            <w:tcBorders>
              <w:top w:val="single" w:sz="4" w:space="0" w:color="auto"/>
              <w:left w:val="single" w:sz="4" w:space="0" w:color="auto"/>
              <w:bottom w:val="single" w:sz="4" w:space="0" w:color="auto"/>
              <w:right w:val="single" w:sz="4" w:space="0" w:color="auto"/>
            </w:tcBorders>
            <w:noWrap/>
            <w:vAlign w:val="bottom"/>
            <w:hideMark/>
          </w:tcPr>
          <w:p w:rsidR="006168FE" w:rsidRDefault="00BF457B">
            <w:pPr>
              <w:spacing w:line="276" w:lineRule="auto"/>
              <w:jc w:val="center"/>
              <w:rPr>
                <w:bCs/>
                <w:color w:val="000000"/>
                <w:sz w:val="20"/>
                <w:szCs w:val="22"/>
              </w:rPr>
            </w:pPr>
            <w:r>
              <w:rPr>
                <w:bCs/>
                <w:color w:val="000000"/>
                <w:sz w:val="20"/>
                <w:szCs w:val="22"/>
              </w:rPr>
              <w:t>129,974</w:t>
            </w:r>
          </w:p>
        </w:tc>
      </w:tr>
      <w:tr w:rsidR="006168FE" w:rsidTr="008C3F8C">
        <w:trPr>
          <w:trHeight w:val="300"/>
          <w:jc w:val="center"/>
        </w:trPr>
        <w:tc>
          <w:tcPr>
            <w:tcW w:w="904"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pPr>
              <w:spacing w:line="276" w:lineRule="auto"/>
              <w:rPr>
                <w:color w:val="000000"/>
                <w:sz w:val="20"/>
                <w:szCs w:val="22"/>
              </w:rPr>
            </w:pPr>
            <w:r>
              <w:rPr>
                <w:color w:val="000000"/>
                <w:sz w:val="20"/>
              </w:rPr>
              <w:t>Braun, James E.</w:t>
            </w:r>
          </w:p>
        </w:tc>
        <w:tc>
          <w:tcPr>
            <w:tcW w:w="3422"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pPr>
              <w:spacing w:line="276" w:lineRule="auto"/>
              <w:rPr>
                <w:color w:val="000000"/>
                <w:sz w:val="20"/>
                <w:szCs w:val="22"/>
              </w:rPr>
            </w:pPr>
            <w:r>
              <w:rPr>
                <w:color w:val="000000"/>
                <w:sz w:val="20"/>
              </w:rPr>
              <w:t>Executive Vice President &amp; Chief Financial Officer</w:t>
            </w:r>
          </w:p>
        </w:tc>
        <w:tc>
          <w:tcPr>
            <w:tcW w:w="674" w:type="pct"/>
            <w:tcBorders>
              <w:top w:val="single" w:sz="4" w:space="0" w:color="auto"/>
              <w:left w:val="single" w:sz="4" w:space="0" w:color="auto"/>
              <w:bottom w:val="single" w:sz="4" w:space="0" w:color="auto"/>
              <w:right w:val="single" w:sz="4" w:space="0" w:color="auto"/>
            </w:tcBorders>
            <w:noWrap/>
            <w:vAlign w:val="bottom"/>
            <w:hideMark/>
          </w:tcPr>
          <w:p w:rsidR="006168FE" w:rsidRDefault="00BF457B">
            <w:pPr>
              <w:spacing w:line="276" w:lineRule="auto"/>
              <w:jc w:val="center"/>
              <w:rPr>
                <w:bCs/>
                <w:color w:val="000000"/>
                <w:sz w:val="20"/>
                <w:szCs w:val="22"/>
              </w:rPr>
            </w:pPr>
            <w:r>
              <w:rPr>
                <w:bCs/>
                <w:color w:val="000000"/>
                <w:sz w:val="20"/>
                <w:szCs w:val="22"/>
              </w:rPr>
              <w:t>32,092</w:t>
            </w:r>
          </w:p>
        </w:tc>
      </w:tr>
      <w:tr w:rsidR="006168FE" w:rsidTr="008C3F8C">
        <w:trPr>
          <w:trHeight w:val="300"/>
          <w:jc w:val="center"/>
        </w:trPr>
        <w:tc>
          <w:tcPr>
            <w:tcW w:w="904" w:type="pct"/>
            <w:tcBorders>
              <w:top w:val="single" w:sz="4" w:space="0" w:color="auto"/>
              <w:left w:val="single" w:sz="4" w:space="0" w:color="auto"/>
              <w:bottom w:val="single" w:sz="4" w:space="0" w:color="auto"/>
              <w:right w:val="single" w:sz="4" w:space="0" w:color="auto"/>
            </w:tcBorders>
            <w:noWrap/>
            <w:hideMark/>
          </w:tcPr>
          <w:p w:rsidR="006168FE" w:rsidRDefault="006168FE" w:rsidP="002A1114">
            <w:pPr>
              <w:spacing w:line="276" w:lineRule="auto"/>
              <w:rPr>
                <w:color w:val="000000"/>
                <w:sz w:val="20"/>
                <w:szCs w:val="22"/>
              </w:rPr>
            </w:pPr>
            <w:r>
              <w:rPr>
                <w:color w:val="000000"/>
                <w:sz w:val="20"/>
              </w:rPr>
              <w:t>Churay, Daniel J.</w:t>
            </w:r>
          </w:p>
        </w:tc>
        <w:tc>
          <w:tcPr>
            <w:tcW w:w="3422"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rsidP="006168FE">
            <w:pPr>
              <w:spacing w:line="276" w:lineRule="auto"/>
              <w:rPr>
                <w:color w:val="000000"/>
                <w:sz w:val="20"/>
                <w:szCs w:val="22"/>
              </w:rPr>
            </w:pPr>
            <w:r>
              <w:rPr>
                <w:color w:val="000000"/>
                <w:sz w:val="20"/>
              </w:rPr>
              <w:t>Executive Vice President – Corporate Affairs, General Counsel, Corporate Secretary</w:t>
            </w:r>
          </w:p>
        </w:tc>
        <w:tc>
          <w:tcPr>
            <w:tcW w:w="674" w:type="pct"/>
            <w:tcBorders>
              <w:top w:val="single" w:sz="4" w:space="0" w:color="auto"/>
              <w:left w:val="single" w:sz="4" w:space="0" w:color="auto"/>
              <w:bottom w:val="single" w:sz="4" w:space="0" w:color="auto"/>
              <w:right w:val="single" w:sz="4" w:space="0" w:color="auto"/>
            </w:tcBorders>
            <w:noWrap/>
            <w:hideMark/>
          </w:tcPr>
          <w:p w:rsidR="006168FE" w:rsidRDefault="00BF457B" w:rsidP="00ED1366">
            <w:pPr>
              <w:spacing w:line="276" w:lineRule="auto"/>
              <w:jc w:val="center"/>
              <w:rPr>
                <w:bCs/>
                <w:color w:val="000000"/>
                <w:sz w:val="20"/>
                <w:szCs w:val="22"/>
              </w:rPr>
            </w:pPr>
            <w:r>
              <w:rPr>
                <w:bCs/>
                <w:color w:val="000000"/>
                <w:sz w:val="20"/>
                <w:szCs w:val="22"/>
              </w:rPr>
              <w:t>23,869</w:t>
            </w:r>
          </w:p>
        </w:tc>
      </w:tr>
      <w:tr w:rsidR="006168FE" w:rsidTr="00BF457B">
        <w:trPr>
          <w:trHeight w:val="300"/>
          <w:jc w:val="center"/>
        </w:trPr>
        <w:tc>
          <w:tcPr>
            <w:tcW w:w="904" w:type="pct"/>
            <w:tcBorders>
              <w:top w:val="single" w:sz="4" w:space="0" w:color="auto"/>
              <w:left w:val="single" w:sz="4" w:space="0" w:color="auto"/>
              <w:bottom w:val="single" w:sz="4" w:space="0" w:color="auto"/>
              <w:right w:val="single" w:sz="4" w:space="0" w:color="auto"/>
            </w:tcBorders>
            <w:noWrap/>
          </w:tcPr>
          <w:p w:rsidR="006168FE" w:rsidRDefault="006168FE" w:rsidP="00BF457B">
            <w:pPr>
              <w:spacing w:line="276" w:lineRule="auto"/>
              <w:rPr>
                <w:color w:val="000000"/>
                <w:sz w:val="20"/>
              </w:rPr>
            </w:pPr>
            <w:r>
              <w:rPr>
                <w:color w:val="000000"/>
                <w:sz w:val="20"/>
              </w:rPr>
              <w:t>Bates, Grant R.</w:t>
            </w:r>
          </w:p>
        </w:tc>
        <w:tc>
          <w:tcPr>
            <w:tcW w:w="3422" w:type="pct"/>
            <w:tcBorders>
              <w:top w:val="single" w:sz="4" w:space="0" w:color="auto"/>
              <w:left w:val="single" w:sz="4" w:space="0" w:color="auto"/>
              <w:bottom w:val="single" w:sz="4" w:space="0" w:color="auto"/>
              <w:right w:val="single" w:sz="4" w:space="0" w:color="auto"/>
            </w:tcBorders>
            <w:noWrap/>
            <w:vAlign w:val="bottom"/>
          </w:tcPr>
          <w:p w:rsidR="006168FE" w:rsidRDefault="009039F9" w:rsidP="006168FE">
            <w:pPr>
              <w:spacing w:line="276" w:lineRule="auto"/>
              <w:rPr>
                <w:color w:val="000000"/>
                <w:sz w:val="20"/>
              </w:rPr>
            </w:pPr>
            <w:r>
              <w:rPr>
                <w:color w:val="000000"/>
                <w:sz w:val="20"/>
              </w:rPr>
              <w:t>Senior Vice President – Canada, International &amp; Operational Excellence</w:t>
            </w:r>
          </w:p>
        </w:tc>
        <w:tc>
          <w:tcPr>
            <w:tcW w:w="674" w:type="pct"/>
            <w:tcBorders>
              <w:top w:val="single" w:sz="4" w:space="0" w:color="auto"/>
              <w:left w:val="single" w:sz="4" w:space="0" w:color="auto"/>
              <w:bottom w:val="single" w:sz="4" w:space="0" w:color="auto"/>
              <w:right w:val="single" w:sz="4" w:space="0" w:color="auto"/>
            </w:tcBorders>
            <w:noWrap/>
          </w:tcPr>
          <w:p w:rsidR="006168FE" w:rsidRDefault="00BF457B" w:rsidP="00BF457B">
            <w:pPr>
              <w:spacing w:line="276" w:lineRule="auto"/>
              <w:jc w:val="center"/>
              <w:rPr>
                <w:bCs/>
                <w:color w:val="000000"/>
                <w:sz w:val="20"/>
                <w:szCs w:val="22"/>
              </w:rPr>
            </w:pPr>
            <w:r>
              <w:rPr>
                <w:bCs/>
                <w:color w:val="000000"/>
                <w:sz w:val="20"/>
                <w:szCs w:val="22"/>
              </w:rPr>
              <w:t>10,430</w:t>
            </w:r>
          </w:p>
        </w:tc>
      </w:tr>
      <w:tr w:rsidR="006168FE" w:rsidTr="008C3F8C">
        <w:trPr>
          <w:trHeight w:val="300"/>
          <w:jc w:val="center"/>
        </w:trPr>
        <w:tc>
          <w:tcPr>
            <w:tcW w:w="904" w:type="pct"/>
            <w:tcBorders>
              <w:top w:val="single" w:sz="4" w:space="0" w:color="auto"/>
              <w:left w:val="single" w:sz="4" w:space="0" w:color="auto"/>
              <w:bottom w:val="single" w:sz="4" w:space="0" w:color="auto"/>
              <w:right w:val="single" w:sz="4" w:space="0" w:color="auto"/>
            </w:tcBorders>
            <w:noWrap/>
          </w:tcPr>
          <w:p w:rsidR="006168FE" w:rsidRDefault="006168FE" w:rsidP="00ED1366">
            <w:pPr>
              <w:spacing w:line="276" w:lineRule="auto"/>
              <w:rPr>
                <w:color w:val="000000"/>
                <w:sz w:val="20"/>
              </w:rPr>
            </w:pPr>
            <w:proofErr w:type="spellStart"/>
            <w:r>
              <w:rPr>
                <w:color w:val="000000"/>
                <w:sz w:val="20"/>
              </w:rPr>
              <w:t>Bowhay</w:t>
            </w:r>
            <w:proofErr w:type="spellEnd"/>
            <w:r>
              <w:rPr>
                <w:color w:val="000000"/>
                <w:sz w:val="20"/>
              </w:rPr>
              <w:t>, John L.</w:t>
            </w:r>
          </w:p>
        </w:tc>
        <w:tc>
          <w:tcPr>
            <w:tcW w:w="3422" w:type="pct"/>
            <w:tcBorders>
              <w:top w:val="single" w:sz="4" w:space="0" w:color="auto"/>
              <w:left w:val="single" w:sz="4" w:space="0" w:color="auto"/>
              <w:bottom w:val="single" w:sz="4" w:space="0" w:color="auto"/>
              <w:right w:val="single" w:sz="4" w:space="0" w:color="auto"/>
            </w:tcBorders>
            <w:noWrap/>
            <w:vAlign w:val="bottom"/>
          </w:tcPr>
          <w:p w:rsidR="006168FE" w:rsidRDefault="006168FE" w:rsidP="006168FE">
            <w:pPr>
              <w:spacing w:line="276" w:lineRule="auto"/>
              <w:rPr>
                <w:color w:val="000000"/>
                <w:sz w:val="20"/>
              </w:rPr>
            </w:pPr>
            <w:r>
              <w:rPr>
                <w:color w:val="000000"/>
                <w:sz w:val="20"/>
              </w:rPr>
              <w:t>Senior Vice President, Supply Chain Management, Valve &amp; Technical Product Sales</w:t>
            </w:r>
          </w:p>
        </w:tc>
        <w:tc>
          <w:tcPr>
            <w:tcW w:w="674" w:type="pct"/>
            <w:tcBorders>
              <w:top w:val="single" w:sz="4" w:space="0" w:color="auto"/>
              <w:left w:val="single" w:sz="4" w:space="0" w:color="auto"/>
              <w:bottom w:val="single" w:sz="4" w:space="0" w:color="auto"/>
              <w:right w:val="single" w:sz="4" w:space="0" w:color="auto"/>
            </w:tcBorders>
            <w:noWrap/>
          </w:tcPr>
          <w:p w:rsidR="006168FE" w:rsidRDefault="00BF457B" w:rsidP="00ED1366">
            <w:pPr>
              <w:spacing w:line="276" w:lineRule="auto"/>
              <w:jc w:val="center"/>
              <w:rPr>
                <w:bCs/>
                <w:color w:val="000000"/>
                <w:sz w:val="20"/>
                <w:szCs w:val="22"/>
              </w:rPr>
            </w:pPr>
            <w:r>
              <w:rPr>
                <w:bCs/>
                <w:color w:val="000000"/>
                <w:sz w:val="20"/>
                <w:szCs w:val="22"/>
              </w:rPr>
              <w:t>11,826</w:t>
            </w:r>
          </w:p>
        </w:tc>
      </w:tr>
    </w:tbl>
    <w:p w:rsidR="006168FE" w:rsidRDefault="006168FE" w:rsidP="002505CB">
      <w:pPr>
        <w:spacing w:after="240"/>
        <w:rPr>
          <w:color w:val="000000"/>
          <w:sz w:val="20"/>
        </w:rPr>
      </w:pPr>
    </w:p>
    <w:p w:rsidR="00CC32B7" w:rsidRDefault="00CC32B7" w:rsidP="00CC32B7">
      <w:pPr>
        <w:pStyle w:val="NormalWeb"/>
        <w:keepNext/>
        <w:spacing w:before="0" w:beforeAutospacing="0" w:after="0" w:afterAutospacing="0"/>
        <w:ind w:left="1440" w:hanging="1440"/>
        <w:rPr>
          <w:b/>
          <w:bCs/>
          <w:sz w:val="20"/>
          <w:szCs w:val="20"/>
        </w:rPr>
      </w:pPr>
      <w:r>
        <w:rPr>
          <w:b/>
          <w:bCs/>
          <w:sz w:val="20"/>
          <w:szCs w:val="20"/>
        </w:rPr>
        <w:lastRenderedPageBreak/>
        <w:t>Item 7.01</w:t>
      </w:r>
      <w:r>
        <w:rPr>
          <w:b/>
          <w:bCs/>
          <w:sz w:val="20"/>
          <w:szCs w:val="20"/>
        </w:rPr>
        <w:tab/>
      </w:r>
      <w:r>
        <w:rPr>
          <w:b/>
          <w:bCs/>
          <w:sz w:val="20"/>
          <w:szCs w:val="20"/>
          <w:u w:val="single"/>
        </w:rPr>
        <w:t>Regulation FD Disclosure</w:t>
      </w:r>
      <w:r>
        <w:rPr>
          <w:b/>
          <w:bCs/>
          <w:sz w:val="20"/>
          <w:szCs w:val="20"/>
        </w:rPr>
        <w:t>.</w:t>
      </w:r>
    </w:p>
    <w:p w:rsidR="00CC32B7" w:rsidRDefault="00CC32B7" w:rsidP="00CC32B7">
      <w:pPr>
        <w:pStyle w:val="NormalWeb"/>
        <w:keepNext/>
        <w:spacing w:before="0" w:beforeAutospacing="0" w:after="0" w:afterAutospacing="0"/>
        <w:rPr>
          <w:b/>
          <w:bCs/>
          <w:sz w:val="20"/>
          <w:szCs w:val="20"/>
        </w:rPr>
      </w:pPr>
    </w:p>
    <w:p w:rsidR="00CC32B7" w:rsidRDefault="00CC32B7" w:rsidP="00CC32B7">
      <w:pPr>
        <w:pStyle w:val="NormalWeb"/>
        <w:keepNext/>
        <w:spacing w:before="0" w:beforeAutospacing="0" w:after="0" w:afterAutospacing="0"/>
        <w:rPr>
          <w:sz w:val="20"/>
          <w:szCs w:val="20"/>
        </w:rPr>
      </w:pPr>
      <w:r>
        <w:rPr>
          <w:sz w:val="20"/>
          <w:szCs w:val="20"/>
        </w:rPr>
        <w:t>MRC Global expects the following results with respect to the operations and performance of the Company for the 201</w:t>
      </w:r>
      <w:r w:rsidR="007D49FF">
        <w:rPr>
          <w:sz w:val="20"/>
          <w:szCs w:val="20"/>
        </w:rPr>
        <w:t>9</w:t>
      </w:r>
      <w:r>
        <w:rPr>
          <w:sz w:val="20"/>
          <w:szCs w:val="20"/>
        </w:rPr>
        <w:t xml:space="preserve"> fiscal year:</w:t>
      </w:r>
    </w:p>
    <w:p w:rsidR="00CC32B7" w:rsidRDefault="00CC32B7" w:rsidP="002505CB">
      <w:pPr>
        <w:pStyle w:val="NormalWeb"/>
        <w:keepNext/>
        <w:spacing w:before="0" w:beforeAutospacing="0" w:after="0" w:afterAutospacing="0"/>
        <w:jc w:val="both"/>
        <w:rPr>
          <w:sz w:val="20"/>
          <w:szCs w:val="20"/>
        </w:rPr>
      </w:pPr>
    </w:p>
    <w:p w:rsidR="00C87F2E" w:rsidRPr="00C87F2E" w:rsidRDefault="00CC32B7" w:rsidP="00C87F2E">
      <w:pPr>
        <w:pStyle w:val="NormalWeb"/>
        <w:keepNext/>
        <w:numPr>
          <w:ilvl w:val="0"/>
          <w:numId w:val="4"/>
        </w:numPr>
        <w:spacing w:before="0" w:beforeAutospacing="0" w:after="0" w:afterAutospacing="0"/>
        <w:rPr>
          <w:sz w:val="20"/>
          <w:szCs w:val="20"/>
        </w:rPr>
      </w:pPr>
      <w:r>
        <w:rPr>
          <w:sz w:val="20"/>
          <w:szCs w:val="20"/>
        </w:rPr>
        <w:t>The Company expects 201</w:t>
      </w:r>
      <w:r w:rsidR="008C3F8C">
        <w:rPr>
          <w:sz w:val="20"/>
          <w:szCs w:val="20"/>
        </w:rPr>
        <w:t>9</w:t>
      </w:r>
      <w:r w:rsidR="00BE7F98">
        <w:rPr>
          <w:sz w:val="20"/>
          <w:szCs w:val="20"/>
        </w:rPr>
        <w:t xml:space="preserve"> revenue to be</w:t>
      </w:r>
      <w:r w:rsidR="00D05A70" w:rsidRPr="00D05A70">
        <w:rPr>
          <w:sz w:val="20"/>
          <w:szCs w:val="20"/>
        </w:rPr>
        <w:t xml:space="preserve"> between $</w:t>
      </w:r>
      <w:r w:rsidR="006948C7">
        <w:rPr>
          <w:sz w:val="20"/>
          <w:szCs w:val="20"/>
        </w:rPr>
        <w:t>4</w:t>
      </w:r>
      <w:r w:rsidR="00D05A70" w:rsidRPr="00D05A70">
        <w:rPr>
          <w:sz w:val="20"/>
          <w:szCs w:val="20"/>
        </w:rPr>
        <w:t>,</w:t>
      </w:r>
      <w:r w:rsidR="006948C7">
        <w:rPr>
          <w:sz w:val="20"/>
          <w:szCs w:val="20"/>
        </w:rPr>
        <w:t>070</w:t>
      </w:r>
      <w:r w:rsidR="00D05A70" w:rsidRPr="00D05A70">
        <w:rPr>
          <w:sz w:val="20"/>
          <w:szCs w:val="20"/>
        </w:rPr>
        <w:t xml:space="preserve"> million and $4,</w:t>
      </w:r>
      <w:r w:rsidR="006948C7">
        <w:rPr>
          <w:sz w:val="20"/>
          <w:szCs w:val="20"/>
        </w:rPr>
        <w:t>470</w:t>
      </w:r>
      <w:r w:rsidR="00D05A70" w:rsidRPr="00D05A70">
        <w:rPr>
          <w:sz w:val="20"/>
          <w:szCs w:val="20"/>
        </w:rPr>
        <w:t xml:space="preserve"> million.</w:t>
      </w:r>
    </w:p>
    <w:p w:rsidR="00CC32B7" w:rsidRDefault="00CC32B7" w:rsidP="002505CB">
      <w:pPr>
        <w:pStyle w:val="NormalWeb"/>
        <w:keepNext/>
        <w:spacing w:before="0" w:beforeAutospacing="0" w:after="0" w:afterAutospacing="0"/>
        <w:ind w:left="1080"/>
        <w:rPr>
          <w:sz w:val="20"/>
          <w:szCs w:val="20"/>
        </w:rPr>
      </w:pPr>
    </w:p>
    <w:p w:rsidR="00B066C9" w:rsidRDefault="00B066C9" w:rsidP="00C87F2E">
      <w:pPr>
        <w:pStyle w:val="NormalWeb"/>
        <w:keepNext/>
        <w:numPr>
          <w:ilvl w:val="0"/>
          <w:numId w:val="4"/>
        </w:numPr>
        <w:spacing w:before="0" w:beforeAutospacing="0" w:after="0" w:afterAutospacing="0"/>
        <w:rPr>
          <w:sz w:val="20"/>
          <w:szCs w:val="20"/>
        </w:rPr>
      </w:pPr>
      <w:r>
        <w:rPr>
          <w:sz w:val="20"/>
          <w:szCs w:val="20"/>
        </w:rPr>
        <w:t>Sequentially</w:t>
      </w:r>
      <w:r w:rsidR="00D05A70" w:rsidRPr="00D05A70">
        <w:rPr>
          <w:sz w:val="20"/>
          <w:szCs w:val="20"/>
        </w:rPr>
        <w:t>, the Company expects first quarte</w:t>
      </w:r>
      <w:r w:rsidR="00D05A70">
        <w:rPr>
          <w:sz w:val="20"/>
          <w:szCs w:val="20"/>
        </w:rPr>
        <w:t>r 201</w:t>
      </w:r>
      <w:r w:rsidR="00002EB6">
        <w:rPr>
          <w:sz w:val="20"/>
          <w:szCs w:val="20"/>
        </w:rPr>
        <w:t>9</w:t>
      </w:r>
      <w:r w:rsidR="00D05A70">
        <w:rPr>
          <w:sz w:val="20"/>
          <w:szCs w:val="20"/>
        </w:rPr>
        <w:t xml:space="preserve"> revenue to be </w:t>
      </w:r>
      <w:r w:rsidR="00002EB6">
        <w:rPr>
          <w:sz w:val="20"/>
          <w:szCs w:val="20"/>
        </w:rPr>
        <w:t>down</w:t>
      </w:r>
      <w:r w:rsidR="00D05A70">
        <w:rPr>
          <w:sz w:val="20"/>
          <w:szCs w:val="20"/>
        </w:rPr>
        <w:t xml:space="preserve"> </w:t>
      </w:r>
      <w:r w:rsidR="008C3F8C">
        <w:rPr>
          <w:sz w:val="20"/>
          <w:szCs w:val="20"/>
        </w:rPr>
        <w:t>approximately 6%</w:t>
      </w:r>
      <w:r w:rsidR="00D05A70" w:rsidRPr="00D05A70">
        <w:rPr>
          <w:sz w:val="20"/>
          <w:szCs w:val="20"/>
        </w:rPr>
        <w:t xml:space="preserve"> from the fourth quarter of 201</w:t>
      </w:r>
      <w:r w:rsidR="00002EB6">
        <w:rPr>
          <w:sz w:val="20"/>
          <w:szCs w:val="20"/>
        </w:rPr>
        <w:t>8</w:t>
      </w:r>
      <w:r w:rsidR="00D05A70" w:rsidRPr="00D05A70">
        <w:rPr>
          <w:sz w:val="20"/>
          <w:szCs w:val="20"/>
        </w:rPr>
        <w:t>.</w:t>
      </w:r>
    </w:p>
    <w:p w:rsidR="00CC32B7" w:rsidRDefault="00CC32B7" w:rsidP="002505CB">
      <w:pPr>
        <w:pStyle w:val="NormalWeb"/>
        <w:keepNext/>
        <w:spacing w:before="0" w:beforeAutospacing="0" w:after="0" w:afterAutospacing="0"/>
        <w:ind w:left="720"/>
        <w:rPr>
          <w:sz w:val="20"/>
          <w:szCs w:val="20"/>
        </w:rPr>
      </w:pPr>
    </w:p>
    <w:p w:rsidR="00CC32B7" w:rsidRDefault="00CC32B7" w:rsidP="006168FE">
      <w:pPr>
        <w:pStyle w:val="NormalWeb"/>
        <w:widowControl w:val="0"/>
        <w:numPr>
          <w:ilvl w:val="0"/>
          <w:numId w:val="4"/>
        </w:numPr>
        <w:spacing w:before="0" w:beforeAutospacing="0" w:after="0" w:afterAutospacing="0"/>
        <w:contextualSpacing/>
        <w:rPr>
          <w:sz w:val="20"/>
          <w:szCs w:val="20"/>
        </w:rPr>
      </w:pPr>
      <w:r>
        <w:rPr>
          <w:sz w:val="20"/>
          <w:szCs w:val="20"/>
        </w:rPr>
        <w:t xml:space="preserve">Given </w:t>
      </w:r>
      <w:r w:rsidR="00D05A70" w:rsidRPr="00D05A70">
        <w:rPr>
          <w:sz w:val="20"/>
          <w:szCs w:val="20"/>
        </w:rPr>
        <w:t xml:space="preserve">MRC </w:t>
      </w:r>
      <w:proofErr w:type="spellStart"/>
      <w:r w:rsidR="00D05A70" w:rsidRPr="00D05A70">
        <w:rPr>
          <w:sz w:val="20"/>
          <w:szCs w:val="20"/>
        </w:rPr>
        <w:t>Global’s</w:t>
      </w:r>
      <w:proofErr w:type="spellEnd"/>
      <w:r w:rsidR="00D05A70" w:rsidRPr="00D05A70">
        <w:rPr>
          <w:sz w:val="20"/>
          <w:szCs w:val="20"/>
        </w:rPr>
        <w:t xml:space="preserve"> current mix of products, the Company expects a gr</w:t>
      </w:r>
      <w:r w:rsidR="00CF7FC3">
        <w:rPr>
          <w:sz w:val="20"/>
          <w:szCs w:val="20"/>
        </w:rPr>
        <w:t>oss profit percentage between</w:t>
      </w:r>
      <w:r w:rsidR="00D05A70">
        <w:rPr>
          <w:sz w:val="20"/>
          <w:szCs w:val="20"/>
        </w:rPr>
        <w:t xml:space="preserve"> 1</w:t>
      </w:r>
      <w:r w:rsidR="00002EB6">
        <w:rPr>
          <w:sz w:val="20"/>
          <w:szCs w:val="20"/>
        </w:rPr>
        <w:t>7</w:t>
      </w:r>
      <w:r w:rsidR="00D05A70">
        <w:rPr>
          <w:sz w:val="20"/>
          <w:szCs w:val="20"/>
        </w:rPr>
        <w:t>.</w:t>
      </w:r>
      <w:r w:rsidR="005A62C2">
        <w:rPr>
          <w:sz w:val="20"/>
          <w:szCs w:val="20"/>
        </w:rPr>
        <w:t>0</w:t>
      </w:r>
      <w:r w:rsidR="00D05A70">
        <w:rPr>
          <w:sz w:val="20"/>
          <w:szCs w:val="20"/>
        </w:rPr>
        <w:t>%</w:t>
      </w:r>
      <w:r w:rsidR="00477284">
        <w:rPr>
          <w:sz w:val="20"/>
          <w:szCs w:val="20"/>
        </w:rPr>
        <w:t xml:space="preserve"> and 17.</w:t>
      </w:r>
      <w:r w:rsidR="005A62C2">
        <w:rPr>
          <w:sz w:val="20"/>
          <w:szCs w:val="20"/>
        </w:rPr>
        <w:t>8</w:t>
      </w:r>
      <w:r w:rsidR="00477284">
        <w:rPr>
          <w:sz w:val="20"/>
          <w:szCs w:val="20"/>
        </w:rPr>
        <w:t>%</w:t>
      </w:r>
      <w:r w:rsidR="00D05A70">
        <w:rPr>
          <w:sz w:val="20"/>
          <w:szCs w:val="20"/>
        </w:rPr>
        <w:t xml:space="preserve"> </w:t>
      </w:r>
      <w:r w:rsidR="00D05A70" w:rsidRPr="00D05A70">
        <w:rPr>
          <w:sz w:val="20"/>
          <w:szCs w:val="20"/>
        </w:rPr>
        <w:t>and an Adjusted Gross Profit percentage</w:t>
      </w:r>
      <w:r w:rsidR="00CF7FC3">
        <w:rPr>
          <w:sz w:val="20"/>
          <w:szCs w:val="20"/>
        </w:rPr>
        <w:t xml:space="preserve"> between</w:t>
      </w:r>
      <w:r w:rsidR="00D05A70" w:rsidRPr="00D05A70">
        <w:rPr>
          <w:sz w:val="20"/>
          <w:szCs w:val="20"/>
        </w:rPr>
        <w:t xml:space="preserve"> 19</w:t>
      </w:r>
      <w:r w:rsidR="00002EB6">
        <w:rPr>
          <w:sz w:val="20"/>
          <w:szCs w:val="20"/>
        </w:rPr>
        <w:t>.</w:t>
      </w:r>
      <w:r w:rsidR="00CF7FC3">
        <w:rPr>
          <w:sz w:val="20"/>
          <w:szCs w:val="20"/>
        </w:rPr>
        <w:t>7</w:t>
      </w:r>
      <w:r w:rsidR="00D05A70" w:rsidRPr="00D05A70">
        <w:rPr>
          <w:sz w:val="20"/>
          <w:szCs w:val="20"/>
        </w:rPr>
        <w:t>%</w:t>
      </w:r>
      <w:r w:rsidR="00477284">
        <w:rPr>
          <w:sz w:val="20"/>
          <w:szCs w:val="20"/>
        </w:rPr>
        <w:t xml:space="preserve"> and</w:t>
      </w:r>
      <w:r w:rsidR="00CF7FC3">
        <w:rPr>
          <w:sz w:val="20"/>
          <w:szCs w:val="20"/>
        </w:rPr>
        <w:t xml:space="preserve"> 19.9%</w:t>
      </w:r>
      <w:r w:rsidR="00D05A70" w:rsidRPr="00D05A70">
        <w:rPr>
          <w:sz w:val="20"/>
          <w:szCs w:val="20"/>
        </w:rPr>
        <w:t xml:space="preserve"> for 201</w:t>
      </w:r>
      <w:r w:rsidR="00002EB6">
        <w:rPr>
          <w:sz w:val="20"/>
          <w:szCs w:val="20"/>
        </w:rPr>
        <w:t>9</w:t>
      </w:r>
      <w:r w:rsidR="00D05A70" w:rsidRPr="00D05A70">
        <w:rPr>
          <w:sz w:val="20"/>
          <w:szCs w:val="20"/>
        </w:rPr>
        <w:t xml:space="preserve">.  </w:t>
      </w:r>
      <w:r>
        <w:rPr>
          <w:sz w:val="20"/>
          <w:szCs w:val="20"/>
        </w:rPr>
        <w:t xml:space="preserve">Adjusted Gross Profit percentage is a non-GAAP measure that is not necessarily better than gross profit percentage.  The Company defines Adjusted Gross Profit as sales, less cost of sales, plus depreciation and amortization, plus amortization of intangibles, and plus or minus the impact of its </w:t>
      </w:r>
      <w:r w:rsidR="002C522F">
        <w:rPr>
          <w:sz w:val="20"/>
          <w:szCs w:val="20"/>
        </w:rPr>
        <w:t xml:space="preserve">last-in, first-out (“LIFO”) </w:t>
      </w:r>
      <w:r>
        <w:rPr>
          <w:sz w:val="20"/>
          <w:szCs w:val="20"/>
        </w:rPr>
        <w:t xml:space="preserve">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w:t>
      </w:r>
      <w:r w:rsidR="00B066C9">
        <w:rPr>
          <w:sz w:val="20"/>
          <w:szCs w:val="20"/>
        </w:rPr>
        <w:t xml:space="preserve">of the </w:t>
      </w:r>
      <w:r w:rsidR="002C522F">
        <w:rPr>
          <w:sz w:val="20"/>
          <w:szCs w:val="20"/>
        </w:rPr>
        <w:t xml:space="preserve">LIFO </w:t>
      </w:r>
      <w:r>
        <w:rPr>
          <w:sz w:val="20"/>
          <w:szCs w:val="20"/>
        </w:rPr>
        <w:t>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rsidR="00CC32B7" w:rsidRDefault="00CC32B7" w:rsidP="006168FE">
      <w:pPr>
        <w:pStyle w:val="NormalWeb"/>
        <w:widowControl w:val="0"/>
        <w:spacing w:before="0" w:beforeAutospacing="0" w:after="0" w:afterAutospacing="0"/>
        <w:ind w:left="1080"/>
        <w:contextualSpacing/>
        <w:rPr>
          <w:sz w:val="20"/>
          <w:szCs w:val="20"/>
        </w:rPr>
      </w:pPr>
    </w:p>
    <w:p w:rsidR="00CC32B7" w:rsidRDefault="00CC32B7" w:rsidP="006168FE">
      <w:pPr>
        <w:pStyle w:val="NormalWeb"/>
        <w:widowControl w:val="0"/>
        <w:spacing w:before="0" w:beforeAutospacing="0" w:after="0" w:afterAutospacing="0"/>
        <w:ind w:left="1080"/>
        <w:contextualSpacing/>
        <w:rPr>
          <w:sz w:val="20"/>
          <w:szCs w:val="20"/>
        </w:rPr>
      </w:pPr>
      <w:r>
        <w:rPr>
          <w:sz w:val="20"/>
          <w:szCs w:val="20"/>
        </w:rPr>
        <w:t>The following table reconciles</w:t>
      </w:r>
      <w:r w:rsidR="009C6341" w:rsidRPr="009C6341">
        <w:rPr>
          <w:sz w:val="20"/>
          <w:szCs w:val="20"/>
        </w:rPr>
        <w:t xml:space="preserve"> </w:t>
      </w:r>
      <w:r w:rsidR="009C6341">
        <w:rPr>
          <w:sz w:val="20"/>
          <w:szCs w:val="20"/>
        </w:rPr>
        <w:t>gross profit and gross profit percentage</w:t>
      </w:r>
      <w:r w:rsidR="007D49FF">
        <w:rPr>
          <w:sz w:val="20"/>
          <w:szCs w:val="20"/>
        </w:rPr>
        <w:t xml:space="preserve">, </w:t>
      </w:r>
      <w:r w:rsidR="009C6341">
        <w:rPr>
          <w:sz w:val="20"/>
          <w:szCs w:val="20"/>
        </w:rPr>
        <w:t>GAAP measures</w:t>
      </w:r>
      <w:r w:rsidR="008C3F8C">
        <w:rPr>
          <w:sz w:val="20"/>
          <w:szCs w:val="20"/>
        </w:rPr>
        <w:t>,</w:t>
      </w:r>
      <w:r w:rsidR="009C6341">
        <w:rPr>
          <w:sz w:val="20"/>
          <w:szCs w:val="20"/>
        </w:rPr>
        <w:t xml:space="preserve"> to</w:t>
      </w:r>
      <w:r>
        <w:rPr>
          <w:sz w:val="20"/>
          <w:szCs w:val="20"/>
        </w:rPr>
        <w:t xml:space="preserve"> Adjusted Gross Profit and Adjusted Gross Profit percentage</w:t>
      </w:r>
      <w:r w:rsidR="007D49FF">
        <w:rPr>
          <w:sz w:val="20"/>
          <w:szCs w:val="20"/>
        </w:rPr>
        <w:t xml:space="preserve">, </w:t>
      </w:r>
      <w:r>
        <w:rPr>
          <w:sz w:val="20"/>
          <w:szCs w:val="20"/>
        </w:rPr>
        <w:t>non-GAAP measures</w:t>
      </w:r>
      <w:r w:rsidR="007D49FF">
        <w:rPr>
          <w:sz w:val="20"/>
          <w:szCs w:val="20"/>
        </w:rPr>
        <w:t xml:space="preserve"> (in millions)</w:t>
      </w:r>
      <w:r w:rsidR="009C6341">
        <w:rPr>
          <w:sz w:val="20"/>
          <w:szCs w:val="20"/>
        </w:rPr>
        <w:t>:</w:t>
      </w:r>
    </w:p>
    <w:p w:rsidR="00CC32B7" w:rsidRDefault="00CC32B7" w:rsidP="006168FE">
      <w:pPr>
        <w:pStyle w:val="NormalWeb"/>
        <w:widowControl w:val="0"/>
        <w:spacing w:before="0" w:beforeAutospacing="0" w:after="0" w:afterAutospacing="0"/>
        <w:ind w:left="1620"/>
        <w:jc w:val="both"/>
        <w:rPr>
          <w:sz w:val="20"/>
          <w:szCs w:val="20"/>
        </w:rPr>
      </w:pPr>
    </w:p>
    <w:p w:rsidR="00002EB6" w:rsidRPr="00002EB6" w:rsidRDefault="00002EB6" w:rsidP="00002EB6">
      <w:pPr>
        <w:pStyle w:val="NormalWeb"/>
        <w:widowControl w:val="0"/>
        <w:spacing w:before="0" w:beforeAutospacing="0" w:after="0" w:afterAutospacing="0"/>
        <w:ind w:left="1620"/>
        <w:jc w:val="both"/>
        <w:rPr>
          <w:sz w:val="2"/>
          <w:szCs w:val="20"/>
        </w:rPr>
      </w:pPr>
    </w:p>
    <w:tbl>
      <w:tblPr>
        <w:tblW w:w="4190" w:type="pct"/>
        <w:jc w:val="center"/>
        <w:tblCellMar>
          <w:left w:w="0" w:type="dxa"/>
          <w:right w:w="0" w:type="dxa"/>
        </w:tblCellMar>
        <w:tblLook w:val="04A0" w:firstRow="1" w:lastRow="0" w:firstColumn="1" w:lastColumn="0" w:noHBand="0" w:noVBand="1"/>
      </w:tblPr>
      <w:tblGrid>
        <w:gridCol w:w="3817"/>
        <w:gridCol w:w="480"/>
        <w:gridCol w:w="1861"/>
        <w:gridCol w:w="1686"/>
      </w:tblGrid>
      <w:tr w:rsidR="00477284" w:rsidTr="00477284">
        <w:trPr>
          <w:trHeight w:hRule="exact" w:val="21"/>
          <w:jc w:val="center"/>
        </w:trPr>
        <w:tc>
          <w:tcPr>
            <w:tcW w:w="2433" w:type="pct"/>
            <w:tcBorders>
              <w:top w:val="nil"/>
              <w:left w:val="nil"/>
              <w:bottom w:val="nil"/>
              <w:right w:val="nil"/>
            </w:tcBorders>
            <w:shd w:val="clear" w:color="auto" w:fill="auto"/>
            <w:vAlign w:val="bottom"/>
          </w:tcPr>
          <w:p w:rsidR="00477284" w:rsidRDefault="00477284" w:rsidP="00477284">
            <w:pPr>
              <w:spacing w:before="1" w:after="1"/>
              <w:rPr>
                <w:sz w:val="2"/>
              </w:rPr>
            </w:pPr>
          </w:p>
        </w:tc>
        <w:tc>
          <w:tcPr>
            <w:tcW w:w="306" w:type="pct"/>
            <w:tcBorders>
              <w:top w:val="nil"/>
              <w:left w:val="nil"/>
              <w:bottom w:val="nil"/>
              <w:right w:val="nil"/>
            </w:tcBorders>
            <w:shd w:val="clear" w:color="auto" w:fill="auto"/>
            <w:vAlign w:val="bottom"/>
          </w:tcPr>
          <w:p w:rsidR="00477284" w:rsidRDefault="00477284" w:rsidP="00477284">
            <w:pPr>
              <w:spacing w:before="1" w:after="1"/>
              <w:rPr>
                <w:sz w:val="2"/>
              </w:rPr>
            </w:pPr>
          </w:p>
        </w:tc>
        <w:tc>
          <w:tcPr>
            <w:tcW w:w="1186" w:type="pct"/>
            <w:tcBorders>
              <w:top w:val="nil"/>
              <w:left w:val="nil"/>
              <w:bottom w:val="nil"/>
              <w:right w:val="nil"/>
            </w:tcBorders>
            <w:shd w:val="clear" w:color="auto" w:fill="auto"/>
            <w:vAlign w:val="bottom"/>
          </w:tcPr>
          <w:p w:rsidR="00477284" w:rsidRDefault="00477284" w:rsidP="00477284">
            <w:pPr>
              <w:spacing w:before="1" w:after="1"/>
              <w:rPr>
                <w:sz w:val="2"/>
              </w:rPr>
            </w:pPr>
          </w:p>
        </w:tc>
        <w:tc>
          <w:tcPr>
            <w:tcW w:w="1075" w:type="pct"/>
            <w:tcBorders>
              <w:top w:val="nil"/>
              <w:left w:val="nil"/>
              <w:bottom w:val="nil"/>
              <w:right w:val="nil"/>
            </w:tcBorders>
            <w:shd w:val="clear" w:color="auto" w:fill="auto"/>
            <w:vAlign w:val="bottom"/>
          </w:tcPr>
          <w:p w:rsidR="00477284" w:rsidRDefault="00477284" w:rsidP="00477284">
            <w:pPr>
              <w:spacing w:before="1" w:after="1"/>
              <w:rPr>
                <w:sz w:val="2"/>
              </w:rPr>
            </w:pPr>
          </w:p>
        </w:tc>
      </w:tr>
      <w:tr w:rsidR="00477284" w:rsidTr="00477284">
        <w:trPr>
          <w:trHeight w:hRule="exact" w:val="830"/>
          <w:jc w:val="center"/>
        </w:trPr>
        <w:tc>
          <w:tcPr>
            <w:tcW w:w="2433"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p>
        </w:tc>
        <w:tc>
          <w:tcPr>
            <w:tcW w:w="1492" w:type="pct"/>
            <w:gridSpan w:val="2"/>
            <w:tcBorders>
              <w:top w:val="nil"/>
              <w:left w:val="nil"/>
              <w:bottom w:val="single" w:sz="0" w:space="0" w:color="000000"/>
              <w:right w:val="nil"/>
              <w:tl2br w:val="nil"/>
              <w:tr2bl w:val="nil"/>
            </w:tcBorders>
            <w:shd w:val="clear" w:color="auto" w:fill="auto"/>
            <w:vAlign w:val="bottom"/>
          </w:tcPr>
          <w:p w:rsidR="00477284" w:rsidRDefault="00477284" w:rsidP="00477284">
            <w:pPr>
              <w:spacing w:before="1" w:after="1"/>
              <w:jc w:val="center"/>
              <w:rPr>
                <w:b/>
                <w:sz w:val="20"/>
              </w:rPr>
            </w:pPr>
            <w:r>
              <w:rPr>
                <w:b/>
                <w:sz w:val="20"/>
              </w:rPr>
              <w:t>Expected for the Year Ended 2019</w:t>
            </w:r>
          </w:p>
        </w:tc>
        <w:tc>
          <w:tcPr>
            <w:tcW w:w="1075" w:type="pct"/>
            <w:tcBorders>
              <w:top w:val="nil"/>
              <w:left w:val="nil"/>
              <w:bottom w:val="single" w:sz="0" w:space="0" w:color="000000"/>
              <w:right w:val="nil"/>
              <w:tl2br w:val="nil"/>
              <w:tr2bl w:val="nil"/>
            </w:tcBorders>
            <w:shd w:val="clear" w:color="auto" w:fill="auto"/>
            <w:vAlign w:val="bottom"/>
          </w:tcPr>
          <w:p w:rsidR="00477284" w:rsidRDefault="00477284" w:rsidP="00477284">
            <w:pPr>
              <w:spacing w:before="1" w:after="1"/>
              <w:jc w:val="center"/>
              <w:rPr>
                <w:b/>
                <w:sz w:val="20"/>
              </w:rPr>
            </w:pPr>
            <w:r>
              <w:rPr>
                <w:b/>
                <w:sz w:val="20"/>
              </w:rPr>
              <w:t>Percentage of Expected Revenue*</w:t>
            </w:r>
          </w:p>
        </w:tc>
      </w:tr>
      <w:tr w:rsidR="00477284" w:rsidTr="00477284">
        <w:trPr>
          <w:trHeight w:hRule="exact" w:val="271"/>
          <w:jc w:val="center"/>
        </w:trPr>
        <w:tc>
          <w:tcPr>
            <w:tcW w:w="2433"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r>
              <w:rPr>
                <w:sz w:val="20"/>
              </w:rPr>
              <w:t>Gross profit</w:t>
            </w:r>
          </w:p>
        </w:tc>
        <w:tc>
          <w:tcPr>
            <w:tcW w:w="306" w:type="pct"/>
            <w:tcBorders>
              <w:top w:val="single" w:sz="0" w:space="0" w:color="000000"/>
              <w:left w:val="nil"/>
              <w:bottom w:val="nil"/>
              <w:right w:val="nil"/>
              <w:tl2br w:val="nil"/>
              <w:tr2bl w:val="nil"/>
            </w:tcBorders>
            <w:shd w:val="clear" w:color="auto" w:fill="auto"/>
            <w:vAlign w:val="bottom"/>
          </w:tcPr>
          <w:p w:rsidR="00477284" w:rsidRDefault="00477284" w:rsidP="00477284">
            <w:pPr>
              <w:spacing w:before="1" w:after="1"/>
              <w:rPr>
                <w:sz w:val="20"/>
              </w:rPr>
            </w:pPr>
            <w:r>
              <w:rPr>
                <w:sz w:val="20"/>
              </w:rPr>
              <w:t>$</w:t>
            </w:r>
          </w:p>
        </w:tc>
        <w:tc>
          <w:tcPr>
            <w:tcW w:w="1186" w:type="pct"/>
            <w:tcBorders>
              <w:top w:val="single" w:sz="0" w:space="0" w:color="000000"/>
              <w:left w:val="nil"/>
              <w:bottom w:val="nil"/>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7</w:t>
            </w:r>
            <w:r w:rsidR="009039F9">
              <w:rPr>
                <w:sz w:val="20"/>
              </w:rPr>
              <w:t>43</w:t>
            </w:r>
          </w:p>
        </w:tc>
        <w:tc>
          <w:tcPr>
            <w:tcW w:w="1075" w:type="pct"/>
            <w:tcBorders>
              <w:top w:val="single" w:sz="0" w:space="0" w:color="000000"/>
              <w:left w:val="nil"/>
              <w:bottom w:val="nil"/>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17.</w:t>
            </w:r>
            <w:r w:rsidR="009039F9">
              <w:rPr>
                <w:sz w:val="20"/>
              </w:rPr>
              <w:t>4</w:t>
            </w:r>
            <w:r>
              <w:rPr>
                <w:sz w:val="20"/>
              </w:rPr>
              <w:t>%</w:t>
            </w:r>
          </w:p>
        </w:tc>
      </w:tr>
      <w:tr w:rsidR="00477284" w:rsidTr="00477284">
        <w:trPr>
          <w:trHeight w:hRule="exact" w:val="271"/>
          <w:jc w:val="center"/>
        </w:trPr>
        <w:tc>
          <w:tcPr>
            <w:tcW w:w="2433"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r>
              <w:rPr>
                <w:sz w:val="20"/>
              </w:rPr>
              <w:t>Depreciation and amortization</w:t>
            </w:r>
          </w:p>
        </w:tc>
        <w:tc>
          <w:tcPr>
            <w:tcW w:w="306"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p>
        </w:tc>
        <w:tc>
          <w:tcPr>
            <w:tcW w:w="1186" w:type="pct"/>
            <w:tcBorders>
              <w:top w:val="nil"/>
              <w:left w:val="nil"/>
              <w:bottom w:val="nil"/>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23</w:t>
            </w:r>
          </w:p>
        </w:tc>
        <w:tc>
          <w:tcPr>
            <w:tcW w:w="1075" w:type="pct"/>
            <w:tcBorders>
              <w:top w:val="nil"/>
              <w:left w:val="nil"/>
              <w:bottom w:val="nil"/>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0.5%</w:t>
            </w:r>
          </w:p>
        </w:tc>
      </w:tr>
      <w:tr w:rsidR="00477284" w:rsidTr="00477284">
        <w:trPr>
          <w:trHeight w:hRule="exact" w:val="271"/>
          <w:jc w:val="center"/>
        </w:trPr>
        <w:tc>
          <w:tcPr>
            <w:tcW w:w="2433"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r>
              <w:rPr>
                <w:sz w:val="20"/>
              </w:rPr>
              <w:t>Amortization of intangibles</w:t>
            </w:r>
          </w:p>
        </w:tc>
        <w:tc>
          <w:tcPr>
            <w:tcW w:w="306"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p>
        </w:tc>
        <w:tc>
          <w:tcPr>
            <w:tcW w:w="1186" w:type="pct"/>
            <w:tcBorders>
              <w:top w:val="nil"/>
              <w:left w:val="nil"/>
              <w:bottom w:val="nil"/>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42</w:t>
            </w:r>
          </w:p>
        </w:tc>
        <w:tc>
          <w:tcPr>
            <w:tcW w:w="1075" w:type="pct"/>
            <w:tcBorders>
              <w:top w:val="nil"/>
              <w:left w:val="nil"/>
              <w:bottom w:val="nil"/>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1.0%</w:t>
            </w:r>
          </w:p>
        </w:tc>
      </w:tr>
      <w:tr w:rsidR="00477284" w:rsidTr="00477284">
        <w:trPr>
          <w:trHeight w:hRule="exact" w:val="271"/>
          <w:jc w:val="center"/>
        </w:trPr>
        <w:tc>
          <w:tcPr>
            <w:tcW w:w="2433"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r>
              <w:rPr>
                <w:sz w:val="20"/>
              </w:rPr>
              <w:t>Increase in LIFO reserve</w:t>
            </w:r>
          </w:p>
        </w:tc>
        <w:tc>
          <w:tcPr>
            <w:tcW w:w="306" w:type="pct"/>
            <w:tcBorders>
              <w:top w:val="nil"/>
              <w:left w:val="nil"/>
              <w:bottom w:val="single" w:sz="0" w:space="0" w:color="000000"/>
              <w:right w:val="nil"/>
              <w:tl2br w:val="nil"/>
              <w:tr2bl w:val="nil"/>
            </w:tcBorders>
            <w:shd w:val="clear" w:color="auto" w:fill="auto"/>
            <w:vAlign w:val="bottom"/>
          </w:tcPr>
          <w:p w:rsidR="00477284" w:rsidRDefault="00477284" w:rsidP="00477284">
            <w:pPr>
              <w:spacing w:before="1" w:after="1"/>
              <w:rPr>
                <w:sz w:val="20"/>
              </w:rPr>
            </w:pPr>
          </w:p>
        </w:tc>
        <w:tc>
          <w:tcPr>
            <w:tcW w:w="1186" w:type="pct"/>
            <w:tcBorders>
              <w:top w:val="nil"/>
              <w:left w:val="nil"/>
              <w:bottom w:val="single" w:sz="0" w:space="0" w:color="000000"/>
              <w:right w:val="nil"/>
              <w:tl2br w:val="nil"/>
              <w:tr2bl w:val="nil"/>
            </w:tcBorders>
            <w:shd w:val="clear" w:color="auto" w:fill="auto"/>
            <w:vAlign w:val="bottom"/>
          </w:tcPr>
          <w:p w:rsidR="00477284" w:rsidRDefault="009039F9" w:rsidP="00477284">
            <w:pPr>
              <w:spacing w:before="1" w:after="1"/>
              <w:ind w:right="65"/>
              <w:jc w:val="right"/>
              <w:rPr>
                <w:sz w:val="20"/>
              </w:rPr>
            </w:pPr>
            <w:r>
              <w:rPr>
                <w:sz w:val="20"/>
              </w:rPr>
              <w:t>38</w:t>
            </w:r>
          </w:p>
        </w:tc>
        <w:tc>
          <w:tcPr>
            <w:tcW w:w="1075" w:type="pct"/>
            <w:tcBorders>
              <w:top w:val="nil"/>
              <w:left w:val="nil"/>
              <w:bottom w:val="single" w:sz="0" w:space="0" w:color="000000"/>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0.</w:t>
            </w:r>
            <w:r w:rsidR="009039F9">
              <w:rPr>
                <w:sz w:val="20"/>
              </w:rPr>
              <w:t>9</w:t>
            </w:r>
            <w:r>
              <w:rPr>
                <w:sz w:val="20"/>
              </w:rPr>
              <w:t>%</w:t>
            </w:r>
          </w:p>
        </w:tc>
      </w:tr>
      <w:tr w:rsidR="00477284" w:rsidTr="00477284">
        <w:trPr>
          <w:trHeight w:hRule="exact" w:val="287"/>
          <w:jc w:val="center"/>
        </w:trPr>
        <w:tc>
          <w:tcPr>
            <w:tcW w:w="2433"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r>
              <w:rPr>
                <w:sz w:val="20"/>
              </w:rPr>
              <w:t>Adjusted Gross Profit</w:t>
            </w:r>
          </w:p>
        </w:tc>
        <w:tc>
          <w:tcPr>
            <w:tcW w:w="306" w:type="pct"/>
            <w:tcBorders>
              <w:top w:val="single" w:sz="0" w:space="0" w:color="000000"/>
              <w:left w:val="nil"/>
              <w:bottom w:val="double" w:sz="4" w:space="0" w:color="000000"/>
              <w:right w:val="nil"/>
              <w:tl2br w:val="nil"/>
              <w:tr2bl w:val="nil"/>
            </w:tcBorders>
            <w:shd w:val="clear" w:color="auto" w:fill="auto"/>
            <w:vAlign w:val="bottom"/>
          </w:tcPr>
          <w:p w:rsidR="00477284" w:rsidRDefault="00477284" w:rsidP="00477284">
            <w:pPr>
              <w:spacing w:before="1" w:after="1"/>
              <w:rPr>
                <w:sz w:val="20"/>
              </w:rPr>
            </w:pPr>
            <w:r>
              <w:rPr>
                <w:sz w:val="20"/>
              </w:rPr>
              <w:t>$</w:t>
            </w:r>
          </w:p>
        </w:tc>
        <w:tc>
          <w:tcPr>
            <w:tcW w:w="1186" w:type="pct"/>
            <w:tcBorders>
              <w:top w:val="single" w:sz="0" w:space="0" w:color="000000"/>
              <w:left w:val="nil"/>
              <w:bottom w:val="double" w:sz="4" w:space="0" w:color="000000"/>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846</w:t>
            </w:r>
          </w:p>
        </w:tc>
        <w:tc>
          <w:tcPr>
            <w:tcW w:w="1075" w:type="pct"/>
            <w:tcBorders>
              <w:top w:val="single" w:sz="0" w:space="0" w:color="000000"/>
              <w:left w:val="nil"/>
              <w:bottom w:val="double" w:sz="4" w:space="0" w:color="000000"/>
              <w:right w:val="nil"/>
              <w:tl2br w:val="nil"/>
              <w:tr2bl w:val="nil"/>
            </w:tcBorders>
            <w:shd w:val="clear" w:color="auto" w:fill="auto"/>
            <w:vAlign w:val="bottom"/>
          </w:tcPr>
          <w:p w:rsidR="00477284" w:rsidRDefault="00477284" w:rsidP="00477284">
            <w:pPr>
              <w:spacing w:before="1" w:after="1"/>
              <w:ind w:right="65"/>
              <w:jc w:val="right"/>
              <w:rPr>
                <w:sz w:val="20"/>
              </w:rPr>
            </w:pPr>
            <w:r>
              <w:rPr>
                <w:sz w:val="20"/>
              </w:rPr>
              <w:t>19.8%</w:t>
            </w:r>
          </w:p>
        </w:tc>
      </w:tr>
      <w:tr w:rsidR="00477284" w:rsidTr="00477284">
        <w:trPr>
          <w:trHeight w:hRule="exact" w:val="287"/>
          <w:jc w:val="center"/>
        </w:trPr>
        <w:tc>
          <w:tcPr>
            <w:tcW w:w="2433" w:type="pct"/>
            <w:tcBorders>
              <w:top w:val="nil"/>
              <w:left w:val="nil"/>
              <w:bottom w:val="nil"/>
              <w:right w:val="nil"/>
              <w:tl2br w:val="nil"/>
              <w:tr2bl w:val="nil"/>
            </w:tcBorders>
            <w:shd w:val="clear" w:color="auto" w:fill="auto"/>
            <w:vAlign w:val="bottom"/>
          </w:tcPr>
          <w:p w:rsidR="00477284" w:rsidRDefault="00477284" w:rsidP="00477284">
            <w:pPr>
              <w:spacing w:before="1" w:after="1"/>
              <w:rPr>
                <w:sz w:val="20"/>
              </w:rPr>
            </w:pPr>
          </w:p>
        </w:tc>
        <w:tc>
          <w:tcPr>
            <w:tcW w:w="306" w:type="pct"/>
            <w:tcBorders>
              <w:top w:val="double" w:sz="0" w:space="0" w:color="000000"/>
              <w:left w:val="nil"/>
              <w:bottom w:val="nil"/>
              <w:right w:val="nil"/>
              <w:tl2br w:val="nil"/>
              <w:tr2bl w:val="nil"/>
            </w:tcBorders>
            <w:shd w:val="clear" w:color="auto" w:fill="auto"/>
            <w:vAlign w:val="bottom"/>
          </w:tcPr>
          <w:p w:rsidR="00477284" w:rsidRDefault="00477284" w:rsidP="00477284">
            <w:pPr>
              <w:spacing w:before="1" w:after="1"/>
              <w:rPr>
                <w:sz w:val="20"/>
              </w:rPr>
            </w:pPr>
          </w:p>
        </w:tc>
        <w:tc>
          <w:tcPr>
            <w:tcW w:w="1186" w:type="pct"/>
            <w:tcBorders>
              <w:top w:val="double" w:sz="0" w:space="0" w:color="000000"/>
              <w:left w:val="nil"/>
              <w:bottom w:val="nil"/>
              <w:right w:val="nil"/>
              <w:tl2br w:val="nil"/>
              <w:tr2bl w:val="nil"/>
            </w:tcBorders>
            <w:shd w:val="clear" w:color="auto" w:fill="auto"/>
            <w:vAlign w:val="bottom"/>
          </w:tcPr>
          <w:p w:rsidR="00477284" w:rsidRDefault="00477284" w:rsidP="00477284">
            <w:pPr>
              <w:spacing w:before="1" w:after="1"/>
              <w:rPr>
                <w:sz w:val="20"/>
              </w:rPr>
            </w:pPr>
          </w:p>
        </w:tc>
        <w:tc>
          <w:tcPr>
            <w:tcW w:w="1075" w:type="pct"/>
            <w:tcBorders>
              <w:top w:val="double" w:sz="0" w:space="0" w:color="000000"/>
              <w:left w:val="nil"/>
              <w:bottom w:val="nil"/>
              <w:right w:val="nil"/>
              <w:tl2br w:val="nil"/>
              <w:tr2bl w:val="nil"/>
            </w:tcBorders>
            <w:shd w:val="clear" w:color="auto" w:fill="auto"/>
            <w:vAlign w:val="bottom"/>
          </w:tcPr>
          <w:p w:rsidR="00477284" w:rsidRDefault="00477284" w:rsidP="00477284">
            <w:pPr>
              <w:spacing w:before="1" w:after="1"/>
              <w:rPr>
                <w:sz w:val="20"/>
              </w:rPr>
            </w:pPr>
          </w:p>
        </w:tc>
      </w:tr>
    </w:tbl>
    <w:p w:rsidR="0067507A" w:rsidRDefault="00CC32B7" w:rsidP="0067507A">
      <w:pPr>
        <w:pStyle w:val="NormalWeb"/>
        <w:widowControl w:val="0"/>
        <w:spacing w:before="0" w:beforeAutospacing="0" w:after="0" w:afterAutospacing="0"/>
        <w:ind w:left="1620"/>
        <w:jc w:val="both"/>
        <w:rPr>
          <w:sz w:val="20"/>
          <w:szCs w:val="20"/>
        </w:rPr>
      </w:pPr>
      <w:r>
        <w:rPr>
          <w:sz w:val="20"/>
          <w:szCs w:val="20"/>
        </w:rPr>
        <w:t>* Percentages are based on the midpoint of revenue guidance provided above.</w:t>
      </w:r>
    </w:p>
    <w:p w:rsidR="0067507A" w:rsidRDefault="0067507A" w:rsidP="0067507A">
      <w:pPr>
        <w:pStyle w:val="NormalWeb"/>
        <w:widowControl w:val="0"/>
        <w:spacing w:before="0" w:beforeAutospacing="0" w:after="0" w:afterAutospacing="0"/>
        <w:ind w:left="1620"/>
        <w:jc w:val="both"/>
        <w:rPr>
          <w:sz w:val="20"/>
          <w:szCs w:val="20"/>
        </w:rPr>
      </w:pPr>
    </w:p>
    <w:p w:rsidR="009039F9" w:rsidRDefault="009039F9" w:rsidP="009039F9">
      <w:pPr>
        <w:pStyle w:val="NormalWeb"/>
        <w:keepNext/>
        <w:numPr>
          <w:ilvl w:val="0"/>
          <w:numId w:val="6"/>
        </w:numPr>
        <w:spacing w:before="0" w:beforeAutospacing="0" w:after="0" w:afterAutospacing="0"/>
        <w:rPr>
          <w:sz w:val="20"/>
          <w:szCs w:val="20"/>
        </w:rPr>
      </w:pPr>
      <w:r>
        <w:rPr>
          <w:sz w:val="20"/>
          <w:szCs w:val="20"/>
        </w:rPr>
        <w:t>The Company expects LIFO expense to be between $25 million and $50 million</w:t>
      </w:r>
      <w:r w:rsidR="00695443">
        <w:rPr>
          <w:sz w:val="20"/>
          <w:szCs w:val="20"/>
        </w:rPr>
        <w:t xml:space="preserve"> in 2019</w:t>
      </w:r>
      <w:r>
        <w:rPr>
          <w:sz w:val="20"/>
          <w:szCs w:val="20"/>
        </w:rPr>
        <w:t>.</w:t>
      </w:r>
    </w:p>
    <w:p w:rsidR="009039F9" w:rsidRDefault="009039F9" w:rsidP="009039F9">
      <w:pPr>
        <w:pStyle w:val="NormalWeb"/>
        <w:keepNext/>
        <w:spacing w:before="0" w:beforeAutospacing="0" w:after="0" w:afterAutospacing="0"/>
        <w:ind w:left="1080"/>
        <w:rPr>
          <w:sz w:val="20"/>
          <w:szCs w:val="20"/>
        </w:rPr>
      </w:pPr>
    </w:p>
    <w:p w:rsidR="008C3F8C" w:rsidRPr="008C3F8C" w:rsidRDefault="006168FE" w:rsidP="008C3F8C">
      <w:pPr>
        <w:pStyle w:val="NormalWeb"/>
        <w:keepNext/>
        <w:numPr>
          <w:ilvl w:val="0"/>
          <w:numId w:val="4"/>
        </w:numPr>
        <w:spacing w:before="0" w:beforeAutospacing="0" w:after="0" w:afterAutospacing="0"/>
        <w:rPr>
          <w:sz w:val="20"/>
          <w:szCs w:val="20"/>
        </w:rPr>
      </w:pPr>
      <w:r>
        <w:rPr>
          <w:sz w:val="20"/>
          <w:szCs w:val="20"/>
        </w:rPr>
        <w:t xml:space="preserve">The Company expects </w:t>
      </w:r>
      <w:r w:rsidR="00D05A70" w:rsidRPr="00D05A70">
        <w:rPr>
          <w:sz w:val="20"/>
          <w:szCs w:val="20"/>
        </w:rPr>
        <w:t>selling, general and administr</w:t>
      </w:r>
      <w:r w:rsidR="002A1114">
        <w:rPr>
          <w:sz w:val="20"/>
          <w:szCs w:val="20"/>
        </w:rPr>
        <w:t>ative expense to be between $5</w:t>
      </w:r>
      <w:r w:rsidR="00BF457B">
        <w:rPr>
          <w:sz w:val="20"/>
          <w:szCs w:val="20"/>
        </w:rPr>
        <w:t>55</w:t>
      </w:r>
      <w:r w:rsidR="002A1114">
        <w:rPr>
          <w:sz w:val="20"/>
          <w:szCs w:val="20"/>
        </w:rPr>
        <w:t xml:space="preserve"> million and $5</w:t>
      </w:r>
      <w:r w:rsidR="00002EB6">
        <w:rPr>
          <w:sz w:val="20"/>
          <w:szCs w:val="20"/>
        </w:rPr>
        <w:t>7</w:t>
      </w:r>
      <w:r w:rsidR="00BF457B">
        <w:rPr>
          <w:sz w:val="20"/>
          <w:szCs w:val="20"/>
        </w:rPr>
        <w:t>5</w:t>
      </w:r>
      <w:r w:rsidR="00D05A70" w:rsidRPr="00D05A70">
        <w:rPr>
          <w:sz w:val="20"/>
          <w:szCs w:val="20"/>
        </w:rPr>
        <w:t xml:space="preserve"> million in</w:t>
      </w:r>
      <w:r w:rsidR="00D05A70">
        <w:rPr>
          <w:sz w:val="20"/>
          <w:szCs w:val="20"/>
        </w:rPr>
        <w:t xml:space="preserve"> </w:t>
      </w:r>
      <w:r w:rsidR="00D05A70" w:rsidRPr="00D05A70">
        <w:rPr>
          <w:sz w:val="20"/>
          <w:szCs w:val="20"/>
        </w:rPr>
        <w:t>201</w:t>
      </w:r>
      <w:r w:rsidR="00002EB6">
        <w:rPr>
          <w:sz w:val="20"/>
          <w:szCs w:val="20"/>
        </w:rPr>
        <w:t>9</w:t>
      </w:r>
      <w:r w:rsidR="00D05A70" w:rsidRPr="00D05A70">
        <w:rPr>
          <w:sz w:val="20"/>
          <w:szCs w:val="20"/>
        </w:rPr>
        <w:t>.</w:t>
      </w:r>
    </w:p>
    <w:p w:rsidR="00CC32B7" w:rsidRDefault="00CC32B7" w:rsidP="00056F2F">
      <w:pPr>
        <w:pStyle w:val="NormalWeb"/>
        <w:keepNext/>
        <w:spacing w:before="0" w:beforeAutospacing="0" w:after="0" w:afterAutospacing="0"/>
        <w:rPr>
          <w:sz w:val="20"/>
          <w:szCs w:val="20"/>
        </w:rPr>
      </w:pPr>
    </w:p>
    <w:p w:rsidR="008C3F8C" w:rsidRDefault="008C3F8C" w:rsidP="0067507A">
      <w:pPr>
        <w:pStyle w:val="NormalWeb"/>
        <w:keepNext/>
        <w:numPr>
          <w:ilvl w:val="0"/>
          <w:numId w:val="4"/>
        </w:numPr>
        <w:spacing w:before="0" w:beforeAutospacing="0" w:after="0" w:afterAutospacing="0"/>
        <w:jc w:val="both"/>
        <w:rPr>
          <w:sz w:val="20"/>
          <w:szCs w:val="20"/>
        </w:rPr>
      </w:pPr>
      <w:r>
        <w:rPr>
          <w:sz w:val="20"/>
          <w:szCs w:val="20"/>
        </w:rPr>
        <w:t>The Company expects equity</w:t>
      </w:r>
      <w:r w:rsidR="00BF457B">
        <w:rPr>
          <w:sz w:val="20"/>
          <w:szCs w:val="20"/>
        </w:rPr>
        <w:t>-</w:t>
      </w:r>
      <w:r w:rsidR="008009F7">
        <w:rPr>
          <w:sz w:val="20"/>
          <w:szCs w:val="20"/>
        </w:rPr>
        <w:t>based</w:t>
      </w:r>
      <w:r>
        <w:rPr>
          <w:sz w:val="20"/>
          <w:szCs w:val="20"/>
        </w:rPr>
        <w:t xml:space="preserve"> compensation expense to be $15 million in 2019.</w:t>
      </w:r>
    </w:p>
    <w:p w:rsidR="0067507A" w:rsidRDefault="0067507A" w:rsidP="0067507A">
      <w:pPr>
        <w:pStyle w:val="NormalWeb"/>
        <w:keepNext/>
        <w:spacing w:before="0" w:beforeAutospacing="0" w:after="0" w:afterAutospacing="0"/>
        <w:jc w:val="both"/>
        <w:rPr>
          <w:sz w:val="20"/>
          <w:szCs w:val="20"/>
        </w:rPr>
      </w:pPr>
    </w:p>
    <w:p w:rsidR="00CC32B7" w:rsidRDefault="00CC32B7" w:rsidP="00D05A70">
      <w:pPr>
        <w:pStyle w:val="NormalWeb"/>
        <w:keepNext/>
        <w:numPr>
          <w:ilvl w:val="0"/>
          <w:numId w:val="4"/>
        </w:numPr>
        <w:spacing w:before="0" w:beforeAutospacing="0" w:after="0" w:afterAutospacing="0"/>
        <w:jc w:val="both"/>
        <w:rPr>
          <w:sz w:val="20"/>
          <w:szCs w:val="20"/>
        </w:rPr>
      </w:pPr>
      <w:r>
        <w:rPr>
          <w:sz w:val="20"/>
          <w:szCs w:val="20"/>
        </w:rPr>
        <w:t>The Company expects to generate</w:t>
      </w:r>
      <w:r w:rsidR="00D05A70" w:rsidRPr="00D05A70">
        <w:rPr>
          <w:sz w:val="20"/>
          <w:szCs w:val="20"/>
        </w:rPr>
        <w:t xml:space="preserve"> </w:t>
      </w:r>
      <w:r w:rsidR="00002EB6">
        <w:rPr>
          <w:sz w:val="20"/>
          <w:szCs w:val="20"/>
        </w:rPr>
        <w:t>between</w:t>
      </w:r>
      <w:r w:rsidR="00D05A70" w:rsidRPr="00D05A70">
        <w:rPr>
          <w:sz w:val="20"/>
          <w:szCs w:val="20"/>
        </w:rPr>
        <w:t xml:space="preserve"> $</w:t>
      </w:r>
      <w:r w:rsidR="00002EB6">
        <w:rPr>
          <w:sz w:val="20"/>
          <w:szCs w:val="20"/>
        </w:rPr>
        <w:t>150 million and $200</w:t>
      </w:r>
      <w:r w:rsidR="00D05A70" w:rsidRPr="00D05A70">
        <w:rPr>
          <w:sz w:val="20"/>
          <w:szCs w:val="20"/>
        </w:rPr>
        <w:t xml:space="preserve"> million of cash from operations in 201</w:t>
      </w:r>
      <w:r w:rsidR="00002EB6">
        <w:rPr>
          <w:sz w:val="20"/>
          <w:szCs w:val="20"/>
        </w:rPr>
        <w:t>9</w:t>
      </w:r>
      <w:r w:rsidR="00D05A70" w:rsidRPr="00D05A70">
        <w:rPr>
          <w:sz w:val="20"/>
          <w:szCs w:val="20"/>
        </w:rPr>
        <w:t>.</w:t>
      </w:r>
    </w:p>
    <w:p w:rsidR="0067507A" w:rsidRDefault="0067507A" w:rsidP="0067507A">
      <w:pPr>
        <w:pStyle w:val="NormalWeb"/>
        <w:keepNext/>
        <w:spacing w:before="0" w:beforeAutospacing="0" w:after="0" w:afterAutospacing="0"/>
        <w:ind w:left="1080"/>
        <w:jc w:val="both"/>
        <w:rPr>
          <w:sz w:val="20"/>
          <w:szCs w:val="20"/>
        </w:rPr>
      </w:pPr>
    </w:p>
    <w:p w:rsidR="00CC32B7" w:rsidRDefault="00CC32B7" w:rsidP="006168FE">
      <w:pPr>
        <w:pStyle w:val="NormalWeb"/>
        <w:keepNext/>
        <w:numPr>
          <w:ilvl w:val="0"/>
          <w:numId w:val="4"/>
        </w:numPr>
        <w:spacing w:before="0" w:beforeAutospacing="0" w:after="0" w:afterAutospacing="0"/>
        <w:jc w:val="both"/>
        <w:rPr>
          <w:sz w:val="20"/>
          <w:szCs w:val="20"/>
        </w:rPr>
      </w:pPr>
      <w:r>
        <w:rPr>
          <w:sz w:val="20"/>
          <w:szCs w:val="20"/>
        </w:rPr>
        <w:t xml:space="preserve">The Company expects to have an effective tax rate of </w:t>
      </w:r>
      <w:r w:rsidR="00BE7F98">
        <w:rPr>
          <w:sz w:val="20"/>
          <w:szCs w:val="20"/>
        </w:rPr>
        <w:t>2</w:t>
      </w:r>
      <w:r w:rsidR="00002EB6">
        <w:rPr>
          <w:sz w:val="20"/>
          <w:szCs w:val="20"/>
        </w:rPr>
        <w:t>5</w:t>
      </w:r>
      <w:r>
        <w:rPr>
          <w:sz w:val="20"/>
          <w:szCs w:val="20"/>
        </w:rPr>
        <w:t>% for the full year of 201</w:t>
      </w:r>
      <w:r w:rsidR="00002EB6">
        <w:rPr>
          <w:sz w:val="20"/>
          <w:szCs w:val="20"/>
        </w:rPr>
        <w:t>9</w:t>
      </w:r>
      <w:r>
        <w:rPr>
          <w:sz w:val="20"/>
          <w:szCs w:val="20"/>
        </w:rPr>
        <w:t>.</w:t>
      </w:r>
    </w:p>
    <w:p w:rsidR="0067507A" w:rsidRDefault="0067507A" w:rsidP="0067507A">
      <w:pPr>
        <w:pStyle w:val="ListParagraph"/>
        <w:rPr>
          <w:sz w:val="20"/>
          <w:szCs w:val="20"/>
        </w:rPr>
      </w:pPr>
    </w:p>
    <w:p w:rsidR="0067507A" w:rsidRDefault="0067507A" w:rsidP="0067507A">
      <w:pPr>
        <w:pStyle w:val="NormalWeb"/>
        <w:keepNext/>
        <w:spacing w:before="0" w:beforeAutospacing="0" w:after="0" w:afterAutospacing="0"/>
        <w:jc w:val="both"/>
        <w:rPr>
          <w:sz w:val="20"/>
          <w:szCs w:val="20"/>
        </w:rPr>
      </w:pPr>
    </w:p>
    <w:p w:rsidR="00CC32B7" w:rsidRPr="0067507A" w:rsidRDefault="00CC32B7" w:rsidP="0067507A">
      <w:pPr>
        <w:pStyle w:val="NormalWeb"/>
        <w:keepNext/>
        <w:numPr>
          <w:ilvl w:val="0"/>
          <w:numId w:val="4"/>
        </w:numPr>
        <w:spacing w:before="0" w:beforeAutospacing="0" w:after="0" w:afterAutospacing="0"/>
        <w:jc w:val="both"/>
        <w:rPr>
          <w:sz w:val="20"/>
          <w:szCs w:val="20"/>
        </w:rPr>
      </w:pPr>
      <w:r w:rsidRPr="0067507A">
        <w:rPr>
          <w:sz w:val="20"/>
          <w:szCs w:val="20"/>
        </w:rPr>
        <w:t xml:space="preserve">The Company expects its total capital </w:t>
      </w:r>
      <w:r w:rsidR="00BE7F98" w:rsidRPr="0067507A">
        <w:rPr>
          <w:sz w:val="20"/>
          <w:szCs w:val="20"/>
        </w:rPr>
        <w:t>expenditures for 201</w:t>
      </w:r>
      <w:r w:rsidR="00002EB6" w:rsidRPr="0067507A">
        <w:rPr>
          <w:sz w:val="20"/>
          <w:szCs w:val="20"/>
        </w:rPr>
        <w:t>9</w:t>
      </w:r>
      <w:r w:rsidRPr="0067507A">
        <w:rPr>
          <w:sz w:val="20"/>
          <w:szCs w:val="20"/>
        </w:rPr>
        <w:t xml:space="preserve"> to be approximately $</w:t>
      </w:r>
      <w:r w:rsidR="00BE7F98" w:rsidRPr="0067507A">
        <w:rPr>
          <w:sz w:val="20"/>
          <w:szCs w:val="20"/>
        </w:rPr>
        <w:t>25</w:t>
      </w:r>
      <w:r w:rsidRPr="0067507A">
        <w:rPr>
          <w:sz w:val="20"/>
          <w:szCs w:val="20"/>
        </w:rPr>
        <w:t xml:space="preserve"> million.</w:t>
      </w:r>
    </w:p>
    <w:p w:rsidR="006168FE" w:rsidRDefault="006168FE" w:rsidP="00002EB6">
      <w:pPr>
        <w:pStyle w:val="NormalWeb"/>
        <w:keepNext/>
        <w:spacing w:before="0" w:beforeAutospacing="0" w:after="0" w:afterAutospacing="0"/>
        <w:jc w:val="both"/>
        <w:rPr>
          <w:sz w:val="20"/>
          <w:szCs w:val="20"/>
        </w:rPr>
      </w:pPr>
    </w:p>
    <w:p w:rsidR="00002EB6" w:rsidRDefault="00002EB6" w:rsidP="00002EB6">
      <w:pPr>
        <w:pStyle w:val="NormalWeb"/>
        <w:keepNext/>
        <w:numPr>
          <w:ilvl w:val="0"/>
          <w:numId w:val="4"/>
        </w:numPr>
        <w:spacing w:before="0" w:beforeAutospacing="0" w:after="0" w:afterAutospacing="0"/>
        <w:jc w:val="both"/>
        <w:rPr>
          <w:sz w:val="20"/>
          <w:szCs w:val="20"/>
        </w:rPr>
      </w:pPr>
      <w:r>
        <w:rPr>
          <w:sz w:val="20"/>
          <w:szCs w:val="20"/>
        </w:rPr>
        <w:t xml:space="preserve">The Company expects </w:t>
      </w:r>
      <w:r w:rsidR="008C3F8C">
        <w:rPr>
          <w:sz w:val="20"/>
          <w:szCs w:val="20"/>
        </w:rPr>
        <w:t xml:space="preserve">diluted </w:t>
      </w:r>
      <w:r>
        <w:rPr>
          <w:sz w:val="20"/>
          <w:szCs w:val="20"/>
        </w:rPr>
        <w:t>earnings per share to be between $0.</w:t>
      </w:r>
      <w:r w:rsidR="00BF457B">
        <w:rPr>
          <w:sz w:val="20"/>
          <w:szCs w:val="20"/>
        </w:rPr>
        <w:t>8</w:t>
      </w:r>
      <w:r w:rsidR="00D75629">
        <w:rPr>
          <w:sz w:val="20"/>
          <w:szCs w:val="20"/>
        </w:rPr>
        <w:t>0</w:t>
      </w:r>
      <w:r>
        <w:rPr>
          <w:sz w:val="20"/>
          <w:szCs w:val="20"/>
        </w:rPr>
        <w:t xml:space="preserve"> and $1.</w:t>
      </w:r>
      <w:r w:rsidR="00BF457B">
        <w:rPr>
          <w:sz w:val="20"/>
          <w:szCs w:val="20"/>
        </w:rPr>
        <w:t>1</w:t>
      </w:r>
      <w:r w:rsidR="00D75629">
        <w:rPr>
          <w:sz w:val="20"/>
          <w:szCs w:val="20"/>
        </w:rPr>
        <w:t>0</w:t>
      </w:r>
      <w:r w:rsidR="006168FE" w:rsidRPr="006168FE">
        <w:rPr>
          <w:sz w:val="20"/>
          <w:szCs w:val="20"/>
        </w:rPr>
        <w:t>.</w:t>
      </w:r>
    </w:p>
    <w:p w:rsidR="00002EB6" w:rsidRDefault="00002EB6" w:rsidP="00002EB6">
      <w:pPr>
        <w:pStyle w:val="ListParagraph"/>
        <w:spacing w:after="0" w:line="240" w:lineRule="auto"/>
        <w:contextualSpacing w:val="0"/>
        <w:rPr>
          <w:sz w:val="20"/>
          <w:szCs w:val="20"/>
        </w:rPr>
      </w:pPr>
    </w:p>
    <w:p w:rsidR="00002EB6" w:rsidRPr="007D49FF" w:rsidRDefault="00002EB6" w:rsidP="007D49FF">
      <w:pPr>
        <w:pStyle w:val="NormalWeb"/>
        <w:keepNext/>
        <w:numPr>
          <w:ilvl w:val="0"/>
          <w:numId w:val="4"/>
        </w:numPr>
        <w:spacing w:before="0" w:beforeAutospacing="0" w:after="0" w:afterAutospacing="0"/>
        <w:rPr>
          <w:sz w:val="20"/>
          <w:szCs w:val="20"/>
        </w:rPr>
      </w:pPr>
      <w:r>
        <w:rPr>
          <w:sz w:val="20"/>
          <w:szCs w:val="20"/>
        </w:rPr>
        <w:t>The Company expects</w:t>
      </w:r>
      <w:r w:rsidR="009C6341">
        <w:rPr>
          <w:sz w:val="20"/>
          <w:szCs w:val="20"/>
        </w:rPr>
        <w:t xml:space="preserve"> to have</w:t>
      </w:r>
      <w:r>
        <w:rPr>
          <w:sz w:val="20"/>
          <w:szCs w:val="20"/>
        </w:rPr>
        <w:t xml:space="preserve"> </w:t>
      </w:r>
      <w:r w:rsidR="008C3F8C">
        <w:rPr>
          <w:sz w:val="20"/>
          <w:szCs w:val="20"/>
        </w:rPr>
        <w:t>net income</w:t>
      </w:r>
      <w:r w:rsidR="009039F9">
        <w:rPr>
          <w:sz w:val="20"/>
          <w:szCs w:val="20"/>
        </w:rPr>
        <w:t xml:space="preserve"> (before preferred stock dividend) </w:t>
      </w:r>
      <w:r w:rsidR="008C3F8C">
        <w:rPr>
          <w:sz w:val="20"/>
          <w:szCs w:val="20"/>
        </w:rPr>
        <w:t>between $</w:t>
      </w:r>
      <w:r w:rsidR="00BF457B">
        <w:rPr>
          <w:sz w:val="20"/>
          <w:szCs w:val="20"/>
        </w:rPr>
        <w:t>90</w:t>
      </w:r>
      <w:r w:rsidR="009039F9">
        <w:rPr>
          <w:sz w:val="20"/>
          <w:szCs w:val="20"/>
        </w:rPr>
        <w:t> </w:t>
      </w:r>
      <w:r w:rsidR="008C3F8C">
        <w:rPr>
          <w:sz w:val="20"/>
          <w:szCs w:val="20"/>
        </w:rPr>
        <w:t>million and $12</w:t>
      </w:r>
      <w:r w:rsidR="00BF457B">
        <w:rPr>
          <w:sz w:val="20"/>
          <w:szCs w:val="20"/>
        </w:rPr>
        <w:t>0</w:t>
      </w:r>
      <w:r w:rsidR="008C3F8C">
        <w:rPr>
          <w:sz w:val="20"/>
          <w:szCs w:val="20"/>
        </w:rPr>
        <w:t xml:space="preserve"> </w:t>
      </w:r>
      <w:r w:rsidR="009039F9">
        <w:rPr>
          <w:sz w:val="20"/>
          <w:szCs w:val="20"/>
        </w:rPr>
        <w:t xml:space="preserve">million </w:t>
      </w:r>
      <w:r w:rsidR="008C3F8C">
        <w:rPr>
          <w:sz w:val="20"/>
          <w:szCs w:val="20"/>
        </w:rPr>
        <w:t xml:space="preserve">and </w:t>
      </w:r>
      <w:r>
        <w:rPr>
          <w:sz w:val="20"/>
          <w:szCs w:val="20"/>
        </w:rPr>
        <w:t>Adjusted EBITDA</w:t>
      </w:r>
      <w:r w:rsidR="009C6341">
        <w:rPr>
          <w:sz w:val="20"/>
          <w:szCs w:val="20"/>
        </w:rPr>
        <w:t xml:space="preserve"> between $275 million and $315 million in 2019.  Adjusted EBITDA is a non-GAAP measure</w:t>
      </w:r>
      <w:r w:rsidR="008C3F8C">
        <w:rPr>
          <w:sz w:val="20"/>
          <w:szCs w:val="20"/>
        </w:rPr>
        <w:t xml:space="preserve"> that is not necessarily better than net income. The Company</w:t>
      </w:r>
      <w:r w:rsidR="009C6341">
        <w:rPr>
          <w:sz w:val="20"/>
          <w:szCs w:val="20"/>
        </w:rPr>
        <w:t xml:space="preserve"> define</w:t>
      </w:r>
      <w:r w:rsidR="008C3F8C">
        <w:rPr>
          <w:sz w:val="20"/>
          <w:szCs w:val="20"/>
        </w:rPr>
        <w:t>s</w:t>
      </w:r>
      <w:r w:rsidR="009C6341">
        <w:rPr>
          <w:sz w:val="20"/>
          <w:szCs w:val="20"/>
        </w:rPr>
        <w:t xml:space="preserve"> Adjusted </w:t>
      </w:r>
      <w:r w:rsidR="009C6341">
        <w:rPr>
          <w:sz w:val="20"/>
        </w:rPr>
        <w:t>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our LIFO inventory costing methodology.</w:t>
      </w:r>
      <w:r>
        <w:rPr>
          <w:sz w:val="20"/>
          <w:szCs w:val="20"/>
        </w:rPr>
        <w:t xml:space="preserve"> </w:t>
      </w:r>
      <w:r w:rsidR="009C6341">
        <w:rPr>
          <w:sz w:val="20"/>
          <w:szCs w:val="20"/>
        </w:rPr>
        <w:t xml:space="preserve">The Company presents </w:t>
      </w:r>
      <w:r w:rsidR="009C6341">
        <w:rPr>
          <w:sz w:val="20"/>
        </w:rPr>
        <w:t>Adjusted EBITDA because the Company believes it provides investors a helpful measure for comparing our operating performance with the performance of other companies that have different financing and capital structures or tax rates. We believe that net income is the financial measure calculated and presented in accordance with U.S. generally accepted accounting principles that is most direct</w:t>
      </w:r>
      <w:r w:rsidR="008009F7">
        <w:rPr>
          <w:sz w:val="20"/>
        </w:rPr>
        <w:t>ly comparable to Adjusted EBITDA.</w:t>
      </w:r>
    </w:p>
    <w:p w:rsidR="007D49FF" w:rsidRDefault="007D49FF" w:rsidP="007D49FF">
      <w:pPr>
        <w:pStyle w:val="NormalWeb"/>
        <w:keepNext/>
        <w:spacing w:before="0" w:beforeAutospacing="0" w:after="0" w:afterAutospacing="0"/>
        <w:ind w:left="1080"/>
        <w:rPr>
          <w:rFonts w:asciiTheme="minorHAnsi" w:eastAsiaTheme="minorHAnsi" w:hAnsiTheme="minorHAnsi" w:cstheme="minorBidi"/>
          <w:sz w:val="20"/>
          <w:szCs w:val="20"/>
        </w:rPr>
      </w:pPr>
    </w:p>
    <w:p w:rsidR="007D49FF" w:rsidRDefault="007D49FF" w:rsidP="007D49FF">
      <w:pPr>
        <w:pStyle w:val="NormalWeb"/>
        <w:keepNext/>
        <w:spacing w:before="0" w:beforeAutospacing="0" w:after="0" w:afterAutospacing="0"/>
        <w:ind w:left="1080"/>
        <w:rPr>
          <w:sz w:val="20"/>
        </w:rPr>
      </w:pPr>
      <w:r>
        <w:rPr>
          <w:sz w:val="20"/>
          <w:szCs w:val="20"/>
        </w:rPr>
        <w:t>The following table</w:t>
      </w:r>
      <w:r w:rsidRPr="007D49FF">
        <w:rPr>
          <w:sz w:val="20"/>
        </w:rPr>
        <w:t xml:space="preserve"> </w:t>
      </w:r>
      <w:r>
        <w:rPr>
          <w:sz w:val="20"/>
        </w:rPr>
        <w:t>reconciles net income, a GAAP measure, with Adjusted EBITDA, a non-GAAP measure</w:t>
      </w:r>
      <w:r w:rsidR="008C3F8C">
        <w:rPr>
          <w:sz w:val="20"/>
        </w:rPr>
        <w:t>, based on the mid-point of the guidance (in millions)</w:t>
      </w:r>
      <w:r>
        <w:rPr>
          <w:sz w:val="20"/>
        </w:rPr>
        <w:t>:</w:t>
      </w:r>
    </w:p>
    <w:p w:rsidR="007D49FF" w:rsidRDefault="007D49FF" w:rsidP="007D49FF">
      <w:pPr>
        <w:pStyle w:val="NormalWeb"/>
        <w:keepNext/>
        <w:spacing w:before="0" w:beforeAutospacing="0" w:after="0" w:afterAutospacing="0"/>
        <w:ind w:left="1080"/>
        <w:jc w:val="both"/>
        <w:rPr>
          <w:sz w:val="20"/>
          <w:szCs w:val="20"/>
        </w:rPr>
      </w:pPr>
    </w:p>
    <w:p w:rsidR="007D49FF" w:rsidRPr="007D49FF" w:rsidRDefault="007D49FF" w:rsidP="007D49FF">
      <w:pPr>
        <w:pStyle w:val="NormalWeb"/>
        <w:keepNext/>
        <w:spacing w:before="0" w:beforeAutospacing="0" w:after="0" w:afterAutospacing="0"/>
        <w:ind w:left="1080"/>
        <w:jc w:val="both"/>
        <w:rPr>
          <w:sz w:val="2"/>
          <w:szCs w:val="20"/>
        </w:rPr>
      </w:pPr>
    </w:p>
    <w:tbl>
      <w:tblPr>
        <w:tblW w:w="2693" w:type="pct"/>
        <w:jc w:val="center"/>
        <w:tblLayout w:type="fixed"/>
        <w:tblCellMar>
          <w:left w:w="0" w:type="dxa"/>
          <w:right w:w="0" w:type="dxa"/>
        </w:tblCellMar>
        <w:tblLook w:val="04A0" w:firstRow="1" w:lastRow="0" w:firstColumn="1" w:lastColumn="0" w:noHBand="0" w:noVBand="1"/>
      </w:tblPr>
      <w:tblGrid>
        <w:gridCol w:w="3421"/>
        <w:gridCol w:w="231"/>
        <w:gridCol w:w="1389"/>
      </w:tblGrid>
      <w:tr w:rsidR="00BF457B" w:rsidTr="00BF457B">
        <w:trPr>
          <w:trHeight w:hRule="exact" w:val="20"/>
          <w:jc w:val="center"/>
        </w:trPr>
        <w:tc>
          <w:tcPr>
            <w:tcW w:w="3393" w:type="pct"/>
            <w:tcBorders>
              <w:top w:val="nil"/>
              <w:left w:val="nil"/>
              <w:bottom w:val="nil"/>
              <w:right w:val="nil"/>
            </w:tcBorders>
            <w:shd w:val="clear" w:color="auto" w:fill="auto"/>
            <w:vAlign w:val="bottom"/>
          </w:tcPr>
          <w:p w:rsidR="00BF457B" w:rsidRDefault="00BF457B" w:rsidP="00BF457B">
            <w:pPr>
              <w:spacing w:before="1" w:after="1"/>
              <w:rPr>
                <w:sz w:val="2"/>
              </w:rPr>
            </w:pPr>
          </w:p>
        </w:tc>
        <w:tc>
          <w:tcPr>
            <w:tcW w:w="229" w:type="pct"/>
            <w:tcBorders>
              <w:top w:val="nil"/>
              <w:left w:val="nil"/>
              <w:bottom w:val="nil"/>
              <w:right w:val="nil"/>
            </w:tcBorders>
            <w:shd w:val="clear" w:color="auto" w:fill="auto"/>
            <w:vAlign w:val="bottom"/>
          </w:tcPr>
          <w:p w:rsidR="00BF457B" w:rsidRDefault="00BF457B" w:rsidP="00BF457B">
            <w:pPr>
              <w:spacing w:before="1" w:after="1"/>
              <w:rPr>
                <w:sz w:val="2"/>
              </w:rPr>
            </w:pPr>
          </w:p>
        </w:tc>
        <w:tc>
          <w:tcPr>
            <w:tcW w:w="1378" w:type="pct"/>
            <w:tcBorders>
              <w:top w:val="nil"/>
              <w:left w:val="nil"/>
              <w:bottom w:val="nil"/>
              <w:right w:val="nil"/>
            </w:tcBorders>
            <w:shd w:val="clear" w:color="auto" w:fill="auto"/>
            <w:vAlign w:val="bottom"/>
          </w:tcPr>
          <w:p w:rsidR="00BF457B" w:rsidRDefault="00BF457B" w:rsidP="00BF457B">
            <w:pPr>
              <w:spacing w:before="1" w:after="1"/>
              <w:rPr>
                <w:sz w:val="2"/>
              </w:rPr>
            </w:pPr>
          </w:p>
        </w:tc>
      </w:tr>
      <w:tr w:rsidR="00BF457B" w:rsidTr="00BF457B">
        <w:trPr>
          <w:trHeight w:hRule="exact" w:val="555"/>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p>
        </w:tc>
        <w:tc>
          <w:tcPr>
            <w:tcW w:w="1607" w:type="pct"/>
            <w:gridSpan w:val="2"/>
            <w:tcBorders>
              <w:top w:val="nil"/>
              <w:left w:val="nil"/>
              <w:bottom w:val="single" w:sz="0" w:space="0" w:color="000000"/>
              <w:right w:val="nil"/>
              <w:tl2br w:val="nil"/>
              <w:tr2bl w:val="nil"/>
            </w:tcBorders>
            <w:shd w:val="clear" w:color="auto" w:fill="auto"/>
            <w:vAlign w:val="bottom"/>
          </w:tcPr>
          <w:p w:rsidR="00BF457B" w:rsidRDefault="00BF457B" w:rsidP="00BF457B">
            <w:pPr>
              <w:spacing w:before="1" w:after="1"/>
              <w:jc w:val="center"/>
              <w:rPr>
                <w:b/>
                <w:sz w:val="20"/>
              </w:rPr>
            </w:pPr>
            <w:r>
              <w:rPr>
                <w:b/>
                <w:sz w:val="20"/>
              </w:rPr>
              <w:t>Expected for the Year Ended 2019</w:t>
            </w:r>
          </w:p>
        </w:tc>
      </w:tr>
      <w:tr w:rsidR="00BF457B" w:rsidTr="00BF457B">
        <w:trPr>
          <w:trHeight w:hRule="exact" w:val="255"/>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Net income</w:t>
            </w:r>
          </w:p>
        </w:tc>
        <w:tc>
          <w:tcPr>
            <w:tcW w:w="229" w:type="pct"/>
            <w:tcBorders>
              <w:top w:val="single" w:sz="0" w:space="0" w:color="000000"/>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w:t>
            </w:r>
          </w:p>
        </w:tc>
        <w:tc>
          <w:tcPr>
            <w:tcW w:w="1378" w:type="pct"/>
            <w:tcBorders>
              <w:top w:val="single" w:sz="0" w:space="0" w:color="000000"/>
              <w:left w:val="nil"/>
              <w:bottom w:val="nil"/>
              <w:right w:val="nil"/>
              <w:tl2br w:val="nil"/>
              <w:tr2bl w:val="nil"/>
            </w:tcBorders>
            <w:shd w:val="clear" w:color="auto" w:fill="auto"/>
            <w:vAlign w:val="bottom"/>
          </w:tcPr>
          <w:p w:rsidR="00BF457B" w:rsidRDefault="00BF457B" w:rsidP="00BF457B">
            <w:pPr>
              <w:spacing w:before="1" w:after="1"/>
              <w:ind w:right="65"/>
              <w:jc w:val="right"/>
              <w:rPr>
                <w:sz w:val="20"/>
              </w:rPr>
            </w:pPr>
            <w:r>
              <w:rPr>
                <w:sz w:val="20"/>
              </w:rPr>
              <w:t>104</w:t>
            </w:r>
          </w:p>
        </w:tc>
      </w:tr>
      <w:tr w:rsidR="00BF457B" w:rsidTr="00BF457B">
        <w:trPr>
          <w:trHeight w:hRule="exact" w:val="255"/>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Income tax expense</w:t>
            </w:r>
          </w:p>
        </w:tc>
        <w:tc>
          <w:tcPr>
            <w:tcW w:w="229"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p>
        </w:tc>
        <w:tc>
          <w:tcPr>
            <w:tcW w:w="1378" w:type="pct"/>
            <w:tcBorders>
              <w:top w:val="nil"/>
              <w:left w:val="nil"/>
              <w:bottom w:val="nil"/>
              <w:right w:val="nil"/>
              <w:tl2br w:val="nil"/>
              <w:tr2bl w:val="nil"/>
            </w:tcBorders>
            <w:shd w:val="clear" w:color="auto" w:fill="auto"/>
            <w:vAlign w:val="bottom"/>
          </w:tcPr>
          <w:p w:rsidR="00BF457B" w:rsidRDefault="00BF457B" w:rsidP="00BF457B">
            <w:pPr>
              <w:spacing w:before="1" w:after="1"/>
              <w:ind w:right="65"/>
              <w:jc w:val="right"/>
              <w:rPr>
                <w:sz w:val="20"/>
              </w:rPr>
            </w:pPr>
            <w:r>
              <w:rPr>
                <w:sz w:val="20"/>
              </w:rPr>
              <w:t>35</w:t>
            </w:r>
          </w:p>
        </w:tc>
      </w:tr>
      <w:tr w:rsidR="00BF457B" w:rsidTr="00BF457B">
        <w:trPr>
          <w:trHeight w:hRule="exact" w:val="255"/>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Interest expense</w:t>
            </w:r>
          </w:p>
        </w:tc>
        <w:tc>
          <w:tcPr>
            <w:tcW w:w="229"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p>
        </w:tc>
        <w:tc>
          <w:tcPr>
            <w:tcW w:w="1378" w:type="pct"/>
            <w:tcBorders>
              <w:top w:val="nil"/>
              <w:left w:val="nil"/>
              <w:bottom w:val="nil"/>
              <w:right w:val="nil"/>
              <w:tl2br w:val="nil"/>
              <w:tr2bl w:val="nil"/>
            </w:tcBorders>
            <w:shd w:val="clear" w:color="auto" w:fill="auto"/>
            <w:vAlign w:val="bottom"/>
          </w:tcPr>
          <w:p w:rsidR="00BF457B" w:rsidRDefault="00BF457B" w:rsidP="00BF457B">
            <w:pPr>
              <w:spacing w:before="1" w:after="1"/>
              <w:ind w:right="65"/>
              <w:jc w:val="right"/>
              <w:rPr>
                <w:sz w:val="20"/>
              </w:rPr>
            </w:pPr>
            <w:r>
              <w:rPr>
                <w:sz w:val="20"/>
              </w:rPr>
              <w:t>38</w:t>
            </w:r>
          </w:p>
        </w:tc>
      </w:tr>
      <w:tr w:rsidR="00BF457B" w:rsidTr="00BF457B">
        <w:trPr>
          <w:trHeight w:hRule="exact" w:val="255"/>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Depreciation and amortization</w:t>
            </w:r>
          </w:p>
        </w:tc>
        <w:tc>
          <w:tcPr>
            <w:tcW w:w="229"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p>
        </w:tc>
        <w:tc>
          <w:tcPr>
            <w:tcW w:w="1378" w:type="pct"/>
            <w:tcBorders>
              <w:top w:val="nil"/>
              <w:left w:val="nil"/>
              <w:bottom w:val="nil"/>
              <w:right w:val="nil"/>
              <w:tl2br w:val="nil"/>
              <w:tr2bl w:val="nil"/>
            </w:tcBorders>
            <w:shd w:val="clear" w:color="auto" w:fill="auto"/>
            <w:vAlign w:val="bottom"/>
          </w:tcPr>
          <w:p w:rsidR="00BF457B" w:rsidRDefault="00BF457B" w:rsidP="00BF457B">
            <w:pPr>
              <w:spacing w:before="1" w:after="1"/>
              <w:ind w:right="65"/>
              <w:jc w:val="right"/>
              <w:rPr>
                <w:sz w:val="20"/>
              </w:rPr>
            </w:pPr>
            <w:r>
              <w:rPr>
                <w:sz w:val="20"/>
              </w:rPr>
              <w:t>23</w:t>
            </w:r>
          </w:p>
        </w:tc>
      </w:tr>
      <w:tr w:rsidR="00BF457B" w:rsidTr="00BF457B">
        <w:trPr>
          <w:trHeight w:hRule="exact" w:val="255"/>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Amortization of intangibles</w:t>
            </w:r>
          </w:p>
        </w:tc>
        <w:tc>
          <w:tcPr>
            <w:tcW w:w="229"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p>
        </w:tc>
        <w:tc>
          <w:tcPr>
            <w:tcW w:w="1378" w:type="pct"/>
            <w:tcBorders>
              <w:top w:val="nil"/>
              <w:left w:val="nil"/>
              <w:bottom w:val="nil"/>
              <w:right w:val="nil"/>
              <w:tl2br w:val="nil"/>
              <w:tr2bl w:val="nil"/>
            </w:tcBorders>
            <w:shd w:val="clear" w:color="auto" w:fill="auto"/>
            <w:vAlign w:val="bottom"/>
          </w:tcPr>
          <w:p w:rsidR="00BF457B" w:rsidRDefault="00BF457B" w:rsidP="00BF457B">
            <w:pPr>
              <w:spacing w:before="1" w:after="1"/>
              <w:ind w:right="65"/>
              <w:jc w:val="right"/>
              <w:rPr>
                <w:sz w:val="20"/>
              </w:rPr>
            </w:pPr>
            <w:r>
              <w:rPr>
                <w:sz w:val="20"/>
              </w:rPr>
              <w:t>42</w:t>
            </w:r>
          </w:p>
        </w:tc>
      </w:tr>
      <w:tr w:rsidR="00BF457B" w:rsidTr="00BF457B">
        <w:trPr>
          <w:trHeight w:hRule="exact" w:val="255"/>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Increase in LIFO reserve</w:t>
            </w:r>
          </w:p>
        </w:tc>
        <w:tc>
          <w:tcPr>
            <w:tcW w:w="229"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p>
        </w:tc>
        <w:tc>
          <w:tcPr>
            <w:tcW w:w="1378" w:type="pct"/>
            <w:tcBorders>
              <w:top w:val="nil"/>
              <w:left w:val="nil"/>
              <w:bottom w:val="nil"/>
              <w:right w:val="nil"/>
              <w:tl2br w:val="nil"/>
              <w:tr2bl w:val="nil"/>
            </w:tcBorders>
            <w:shd w:val="clear" w:color="auto" w:fill="auto"/>
            <w:vAlign w:val="bottom"/>
          </w:tcPr>
          <w:p w:rsidR="00BF457B" w:rsidRDefault="00BF457B" w:rsidP="00BF457B">
            <w:pPr>
              <w:spacing w:before="1" w:after="1"/>
              <w:ind w:right="65"/>
              <w:jc w:val="right"/>
              <w:rPr>
                <w:sz w:val="20"/>
              </w:rPr>
            </w:pPr>
            <w:r>
              <w:rPr>
                <w:sz w:val="20"/>
              </w:rPr>
              <w:t>38</w:t>
            </w:r>
          </w:p>
        </w:tc>
      </w:tr>
      <w:tr w:rsidR="00BF457B" w:rsidTr="00BF457B">
        <w:trPr>
          <w:trHeight w:hRule="exact" w:val="255"/>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Equity-based compensation expense</w:t>
            </w:r>
          </w:p>
        </w:tc>
        <w:tc>
          <w:tcPr>
            <w:tcW w:w="229" w:type="pct"/>
            <w:tcBorders>
              <w:top w:val="nil"/>
              <w:left w:val="nil"/>
              <w:bottom w:val="single" w:sz="0" w:space="0" w:color="000000"/>
              <w:right w:val="nil"/>
              <w:tl2br w:val="nil"/>
              <w:tr2bl w:val="nil"/>
            </w:tcBorders>
            <w:shd w:val="clear" w:color="auto" w:fill="auto"/>
            <w:vAlign w:val="bottom"/>
          </w:tcPr>
          <w:p w:rsidR="00BF457B" w:rsidRDefault="00BF457B" w:rsidP="00BF457B">
            <w:pPr>
              <w:spacing w:before="1" w:after="1"/>
              <w:rPr>
                <w:sz w:val="20"/>
              </w:rPr>
            </w:pPr>
          </w:p>
        </w:tc>
        <w:tc>
          <w:tcPr>
            <w:tcW w:w="1378" w:type="pct"/>
            <w:tcBorders>
              <w:top w:val="nil"/>
              <w:left w:val="nil"/>
              <w:bottom w:val="single" w:sz="0" w:space="0" w:color="000000"/>
              <w:right w:val="nil"/>
              <w:tl2br w:val="nil"/>
              <w:tr2bl w:val="nil"/>
            </w:tcBorders>
            <w:shd w:val="clear" w:color="auto" w:fill="auto"/>
            <w:vAlign w:val="bottom"/>
          </w:tcPr>
          <w:p w:rsidR="00BF457B" w:rsidRDefault="00BF457B" w:rsidP="00BF457B">
            <w:pPr>
              <w:spacing w:before="1" w:after="1"/>
              <w:ind w:right="65"/>
              <w:jc w:val="right"/>
              <w:rPr>
                <w:sz w:val="20"/>
              </w:rPr>
            </w:pPr>
            <w:r>
              <w:rPr>
                <w:sz w:val="20"/>
              </w:rPr>
              <w:t>15</w:t>
            </w:r>
          </w:p>
        </w:tc>
      </w:tr>
      <w:tr w:rsidR="00BF457B" w:rsidTr="00BF457B">
        <w:trPr>
          <w:trHeight w:hRule="exact" w:val="270"/>
          <w:jc w:val="center"/>
        </w:trPr>
        <w:tc>
          <w:tcPr>
            <w:tcW w:w="3393" w:type="pct"/>
            <w:tcBorders>
              <w:top w:val="nil"/>
              <w:left w:val="nil"/>
              <w:bottom w:val="nil"/>
              <w:right w:val="nil"/>
              <w:tl2br w:val="nil"/>
              <w:tr2bl w:val="nil"/>
            </w:tcBorders>
            <w:shd w:val="clear" w:color="auto" w:fill="auto"/>
            <w:vAlign w:val="bottom"/>
          </w:tcPr>
          <w:p w:rsidR="00BF457B" w:rsidRDefault="00BF457B" w:rsidP="00BF457B">
            <w:pPr>
              <w:spacing w:before="1" w:after="1"/>
              <w:rPr>
                <w:sz w:val="20"/>
              </w:rPr>
            </w:pPr>
            <w:r>
              <w:rPr>
                <w:sz w:val="20"/>
              </w:rPr>
              <w:t>Adjusted EBITDA</w:t>
            </w:r>
          </w:p>
        </w:tc>
        <w:tc>
          <w:tcPr>
            <w:tcW w:w="229" w:type="pct"/>
            <w:tcBorders>
              <w:top w:val="single" w:sz="0" w:space="0" w:color="000000"/>
              <w:left w:val="nil"/>
              <w:bottom w:val="double" w:sz="4" w:space="0" w:color="000000"/>
              <w:right w:val="nil"/>
              <w:tl2br w:val="nil"/>
              <w:tr2bl w:val="nil"/>
            </w:tcBorders>
            <w:shd w:val="clear" w:color="auto" w:fill="auto"/>
            <w:vAlign w:val="bottom"/>
          </w:tcPr>
          <w:p w:rsidR="00BF457B" w:rsidRDefault="00BF457B" w:rsidP="00BF457B">
            <w:pPr>
              <w:spacing w:before="1" w:after="1"/>
              <w:rPr>
                <w:sz w:val="20"/>
              </w:rPr>
            </w:pPr>
            <w:r>
              <w:rPr>
                <w:sz w:val="20"/>
              </w:rPr>
              <w:t>$</w:t>
            </w:r>
          </w:p>
        </w:tc>
        <w:tc>
          <w:tcPr>
            <w:tcW w:w="1378" w:type="pct"/>
            <w:tcBorders>
              <w:top w:val="single" w:sz="0" w:space="0" w:color="000000"/>
              <w:left w:val="nil"/>
              <w:bottom w:val="double" w:sz="4" w:space="0" w:color="000000"/>
              <w:right w:val="nil"/>
              <w:tl2br w:val="nil"/>
              <w:tr2bl w:val="nil"/>
            </w:tcBorders>
            <w:shd w:val="clear" w:color="auto" w:fill="auto"/>
            <w:vAlign w:val="bottom"/>
          </w:tcPr>
          <w:p w:rsidR="00BF457B" w:rsidRDefault="00BF457B" w:rsidP="00BF457B">
            <w:pPr>
              <w:spacing w:before="1" w:after="1"/>
              <w:ind w:right="65"/>
              <w:jc w:val="right"/>
              <w:rPr>
                <w:sz w:val="20"/>
              </w:rPr>
            </w:pPr>
            <w:r>
              <w:rPr>
                <w:sz w:val="20"/>
              </w:rPr>
              <w:t>295</w:t>
            </w:r>
          </w:p>
        </w:tc>
      </w:tr>
    </w:tbl>
    <w:p w:rsidR="00002EB6" w:rsidRPr="00002EB6" w:rsidRDefault="00002EB6" w:rsidP="00002EB6">
      <w:pPr>
        <w:pStyle w:val="NormalWeb"/>
        <w:keepNext/>
        <w:spacing w:before="0" w:beforeAutospacing="0" w:after="0" w:afterAutospacing="0"/>
        <w:jc w:val="both"/>
        <w:rPr>
          <w:sz w:val="20"/>
          <w:szCs w:val="20"/>
        </w:rPr>
      </w:pPr>
    </w:p>
    <w:p w:rsidR="00CC32B7" w:rsidRDefault="00CC32B7" w:rsidP="002505CB">
      <w:pPr>
        <w:pStyle w:val="NormalWeb"/>
        <w:keepNext/>
        <w:spacing w:before="0" w:beforeAutospacing="0" w:after="0" w:afterAutospacing="0"/>
        <w:jc w:val="both"/>
        <w:rPr>
          <w:sz w:val="20"/>
          <w:szCs w:val="20"/>
        </w:rPr>
      </w:pPr>
    </w:p>
    <w:p w:rsidR="00CC32B7" w:rsidRDefault="00CC32B7" w:rsidP="00CC32B7">
      <w:pPr>
        <w:pStyle w:val="NormalWeb"/>
        <w:keepNext/>
        <w:spacing w:before="0" w:beforeAutospacing="0" w:after="0" w:afterAutospacing="0"/>
        <w:ind w:firstLine="720"/>
        <w:jc w:val="both"/>
        <w:rPr>
          <w:sz w:val="20"/>
          <w:szCs w:val="20"/>
        </w:rPr>
      </w:pPr>
    </w:p>
    <w:p w:rsidR="00CC32B7" w:rsidRDefault="00CC32B7" w:rsidP="00CC32B7">
      <w:pPr>
        <w:rPr>
          <w:sz w:val="20"/>
        </w:rPr>
      </w:pPr>
      <w:r>
        <w:rPr>
          <w:sz w:val="20"/>
        </w:rPr>
        <w:t xml:space="preserve">The above information, as well as information contained in Exhibit 99.1 referenced under Item 9.01 below, contain forward-looking statements within the meaning of Section 27A of the Securities Act and Section 21E of the Exchange Act.  Words such as “will,” </w:t>
      </w:r>
      <w:r w:rsidR="002A1114">
        <w:rPr>
          <w:sz w:val="20"/>
        </w:rPr>
        <w:t>“expect,” “expects,” “expected,”</w:t>
      </w:r>
      <w:r>
        <w:rPr>
          <w:sz w:val="20"/>
        </w:rPr>
        <w:t xml:space="preserve"> </w:t>
      </w:r>
      <w:r w:rsidR="002A1114">
        <w:rPr>
          <w:sz w:val="20"/>
        </w:rPr>
        <w:t>“believes,”</w:t>
      </w:r>
      <w:r w:rsidR="006168FE">
        <w:rPr>
          <w:sz w:val="20"/>
        </w:rPr>
        <w:t xml:space="preserve"> </w:t>
      </w:r>
      <w:r>
        <w:rPr>
          <w:sz w:val="20"/>
        </w:rPr>
        <w:t>“looking forward</w:t>
      </w:r>
      <w:r w:rsidR="002A1114">
        <w:rPr>
          <w:sz w:val="20"/>
        </w:rPr>
        <w:t>,</w:t>
      </w:r>
      <w:r>
        <w:rPr>
          <w:sz w:val="20"/>
        </w:rPr>
        <w:t>” “guidance” and similar expressions are intended to identify forward-looking statements.</w:t>
      </w:r>
    </w:p>
    <w:p w:rsidR="00CC32B7" w:rsidRDefault="00CC32B7" w:rsidP="00CC32B7">
      <w:pPr>
        <w:rPr>
          <w:sz w:val="20"/>
        </w:rPr>
      </w:pPr>
    </w:p>
    <w:p w:rsidR="00CC32B7" w:rsidRDefault="00CC32B7" w:rsidP="00CC32B7">
      <w:pPr>
        <w:rPr>
          <w:sz w:val="20"/>
        </w:rPr>
      </w:pPr>
      <w:r>
        <w:rPr>
          <w:sz w:val="20"/>
        </w:rPr>
        <w:t xml:space="preserve">Statements about the company’s business, including its strategy, its industry, the company’s future profitability, the company’s guidance on its sales, Adjusted EBITDA, gross profit, gross profit percentage, Adjusted Gross Profit and Adjusted Gross Profit percentage, tax rate, capital expenditures and cash from operations, growth in the company’s various markets and the company’s expectations, beliefs, plans, strategies, objectives, prospects and assumptions are not guarantees of future performance.  These statements are based on management’s expectations that involve </w:t>
      </w:r>
      <w:proofErr w:type="gramStart"/>
      <w:r>
        <w:rPr>
          <w:sz w:val="20"/>
        </w:rPr>
        <w:t>a number of</w:t>
      </w:r>
      <w:proofErr w:type="gramEnd"/>
      <w:r>
        <w:rPr>
          <w:sz w:val="20"/>
        </w:rPr>
        <w:t xml:space="preserve">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rsidR="00CC32B7" w:rsidRDefault="00CC32B7" w:rsidP="00CC32B7">
      <w:pPr>
        <w:rPr>
          <w:sz w:val="20"/>
        </w:rPr>
      </w:pPr>
    </w:p>
    <w:p w:rsidR="00CC32B7" w:rsidRDefault="00FF31E8" w:rsidP="00CC32B7">
      <w:pPr>
        <w:rPr>
          <w:sz w:val="20"/>
        </w:rPr>
      </w:pPr>
      <w:r>
        <w:rPr>
          <w:sz w:val="20"/>
        </w:rPr>
        <w:t>With respect to net income (before preferred stock dividend) and diluted earnings per share, these risks include actual share count, LIFO expense and the other component expectations listed above meeting the Company’s expectations for each component.</w:t>
      </w:r>
      <w:r w:rsidR="00CD2E11">
        <w:rPr>
          <w:sz w:val="20"/>
        </w:rPr>
        <w:t xml:space="preserve">  </w:t>
      </w:r>
      <w:r w:rsidR="00CC32B7">
        <w:rPr>
          <w:sz w:val="20"/>
        </w:rPr>
        <w:t>These risks and uncertainties</w:t>
      </w:r>
      <w:r w:rsidR="00244A20">
        <w:rPr>
          <w:sz w:val="20"/>
        </w:rPr>
        <w:t xml:space="preserve"> also</w:t>
      </w:r>
      <w:r w:rsidR="00CC32B7">
        <w:rPr>
          <w:sz w:val="20"/>
        </w:rPr>
        <w:t xml:space="preserve"> include (among others) decreases in oil and </w:t>
      </w:r>
      <w:r w:rsidR="00CC32B7">
        <w:rPr>
          <w:sz w:val="20"/>
        </w:rPr>
        <w:lastRenderedPageBreak/>
        <w:t xml:space="preserve">natural gas prices; decreases in oil and natural gas industry expenditure levels, which may result from decreased oil and natural gas prices or other factors; increased usage of alternative fuels, which may negatively affect oil and natural gas industry expenditure levels; U.S. and international general economic conditions; the company’s ability to compete successfully with other companies in MRC </w:t>
      </w:r>
      <w:proofErr w:type="spellStart"/>
      <w:r w:rsidR="00CC32B7">
        <w:rPr>
          <w:sz w:val="20"/>
        </w:rPr>
        <w:t>Global’s</w:t>
      </w:r>
      <w:proofErr w:type="spellEnd"/>
      <w:r w:rsidR="00CC32B7">
        <w:rPr>
          <w:sz w:val="20"/>
        </w:rPr>
        <w:t xml:space="preserve"> industry; the risk that manufacturers of the products the company distributes will sell a substantial amount of goods directly to end users in the industry sectors the company serves; unexpected supply shortages; cost increases by the company’s suppliers; the company’s lack of long-term contracts with most of its suppliers; suppliers’ price reductions of products that the company sells, which could cause the value of the company’s inventory to decline; decreases in steel prices, which could significantly lower MRC </w:t>
      </w:r>
      <w:proofErr w:type="spellStart"/>
      <w:r w:rsidR="00CC32B7">
        <w:rPr>
          <w:sz w:val="20"/>
        </w:rPr>
        <w:t>Global’s</w:t>
      </w:r>
      <w:proofErr w:type="spellEnd"/>
      <w:r w:rsidR="00CC32B7">
        <w:rPr>
          <w:sz w:val="20"/>
        </w:rPr>
        <w:t xml:space="preserve"> profit; increases in steel prices, which the company may be unable to pass along to its customers which could significantly lower its profit; the company’s lack of long-term contracts with many of its customers and the company’s lack of contracts with customers that require minimum purchase volumes; changes in the company’s customer and product mix; risks related to the company’s customers’ creditworthiness; the success of the company’s acquisition strategies; the potential adverse effects associated with integrating acquisitions into the company’s business and whether these acquisitions will yield their intended benefits; the company’s significant indebtedness; the dependence on the company’s subsidiaries for cash to meet its debt obligations; changes in the company’s credit profile; a decline in demand for certain of the products the company distributes if import restrictions on these products are lifted; environmental, health and safety laws and regulations and the interpretation or implementation thereof; the sufficiency of the company’s insurance policies to cover losses, including liabilities arising from litigation; product liability claims against the company; pending or future asbestos-related claims against the company; the potential loss of key personnel; interruption in the proper functioning of the company’s information systems and the occurrence of cyber security incidents; loss of third-party transportation providers; potential inability to obtain necessary capital; risks related to adverse weather events or natural disasters; impairment of our goodwill or other intangible assets; adverse changes in political or economic conditions in the countries in which the company operates;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w:t>
      </w:r>
      <w:r w:rsidR="002A1114">
        <w:rPr>
          <w:sz w:val="20"/>
        </w:rPr>
        <w:t xml:space="preserve"> 404 of the Sarbanes-Oxley Act;</w:t>
      </w:r>
      <w:r w:rsidR="001B32FC">
        <w:rPr>
          <w:sz w:val="20"/>
        </w:rPr>
        <w:t xml:space="preserve"> </w:t>
      </w:r>
      <w:r w:rsidR="006168FE">
        <w:rPr>
          <w:sz w:val="20"/>
        </w:rPr>
        <w:t>risks related to the Company’s intention not to pay dividends</w:t>
      </w:r>
      <w:r w:rsidR="00CC32B7">
        <w:rPr>
          <w:sz w:val="20"/>
        </w:rPr>
        <w:t>; and</w:t>
      </w:r>
      <w:r w:rsidR="002A1114">
        <w:rPr>
          <w:sz w:val="20"/>
        </w:rPr>
        <w:t xml:space="preserve"> risks arising from</w:t>
      </w:r>
      <w:r w:rsidR="00CC32B7">
        <w:rPr>
          <w:sz w:val="20"/>
        </w:rPr>
        <w:t xml:space="preserve"> compliance with and changes in laws and regulations in the countries in which we operate</w:t>
      </w:r>
      <w:r w:rsidR="002A1114">
        <w:rPr>
          <w:sz w:val="20"/>
        </w:rPr>
        <w:t>, including (among others) changes in tax law, tax rates and interpretation in tax laws</w:t>
      </w:r>
      <w:r w:rsidR="00CF7FC3">
        <w:rPr>
          <w:sz w:val="20"/>
        </w:rPr>
        <w:t>, changes in trade and other treaties that lead to differing tariffs and trade rules, the expansion of currency exchange controls, export controls or additional restrictions on doing business in countries subject to sanctions in which we operate or intend to operate.</w:t>
      </w:r>
      <w:r w:rsidR="002A1114">
        <w:rPr>
          <w:sz w:val="20"/>
        </w:rPr>
        <w:t xml:space="preserve"> In addition, the Company’s intention to continue to repurchase shares of the Company’s common stock is also subject to the trading price of the stock being at prices that the Company believes are favorable to stockholders and to the Company’s debt and liquidity levels being at levels the Company deems sufficient to repurchase shares.</w:t>
      </w:r>
      <w:r w:rsidR="00CC32B7">
        <w:rPr>
          <w:sz w:val="20"/>
        </w:rPr>
        <w:t xml:space="preserve"> </w:t>
      </w:r>
    </w:p>
    <w:p w:rsidR="00CC32B7" w:rsidRDefault="00CC32B7" w:rsidP="00CC32B7">
      <w:pPr>
        <w:rPr>
          <w:sz w:val="20"/>
        </w:rPr>
      </w:pPr>
    </w:p>
    <w:p w:rsidR="00CC32B7" w:rsidRDefault="00CC32B7" w:rsidP="00CC32B7">
      <w:pPr>
        <w:rPr>
          <w:sz w:val="20"/>
        </w:rPr>
      </w:pPr>
      <w:r>
        <w:rPr>
          <w:sz w:val="20"/>
        </w:rPr>
        <w:t xml:space="preserve">For a discussion of key risk factors, please see the risk factors disclosed in the company’s SEC filings, which are available on the SEC’s website at </w:t>
      </w:r>
      <w:r w:rsidRPr="00CD58D2">
        <w:rPr>
          <w:sz w:val="20"/>
          <w:u w:val="single"/>
        </w:rPr>
        <w:t>www.sec.gov</w:t>
      </w:r>
      <w:r>
        <w:rPr>
          <w:sz w:val="20"/>
        </w:rPr>
        <w:t xml:space="preserve"> and on the company’s website, </w:t>
      </w:r>
      <w:r>
        <w:rPr>
          <w:sz w:val="20"/>
          <w:u w:val="single"/>
        </w:rPr>
        <w:t>www.mrcglobal.com</w:t>
      </w:r>
      <w:r>
        <w:rPr>
          <w:sz w:val="20"/>
        </w:rPr>
        <w:t xml:space="preserve">.  Our filings and other important information are also available on the Investor Relations page of our website at </w:t>
      </w:r>
      <w:r w:rsidRPr="00CD58D2">
        <w:rPr>
          <w:sz w:val="20"/>
          <w:u w:val="single"/>
        </w:rPr>
        <w:t>www.mrcglobal.com</w:t>
      </w:r>
      <w:r>
        <w:rPr>
          <w:sz w:val="20"/>
        </w:rPr>
        <w:t>.</w:t>
      </w:r>
    </w:p>
    <w:p w:rsidR="00CC32B7" w:rsidRDefault="00CC32B7" w:rsidP="00CC32B7">
      <w:pPr>
        <w:rPr>
          <w:sz w:val="20"/>
        </w:rPr>
      </w:pPr>
    </w:p>
    <w:p w:rsidR="00CC32B7" w:rsidRDefault="00CC32B7" w:rsidP="00CC32B7">
      <w:pPr>
        <w:rPr>
          <w:sz w:val="20"/>
        </w:rPr>
      </w:pPr>
      <w:r>
        <w:rPr>
          <w:sz w:val="20"/>
        </w:rPr>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w:t>
      </w:r>
      <w:proofErr w:type="gramStart"/>
      <w:r>
        <w:rPr>
          <w:sz w:val="20"/>
        </w:rPr>
        <w:t>as a result of</w:t>
      </w:r>
      <w:proofErr w:type="gramEnd"/>
      <w:r>
        <w:rPr>
          <w:sz w:val="20"/>
        </w:rPr>
        <w:t xml:space="preserve"> new information, future events, changed circumstances or otherwise, except to the extent required by law.</w:t>
      </w:r>
    </w:p>
    <w:p w:rsidR="00CC32B7" w:rsidRDefault="00CC32B7" w:rsidP="00CC32B7">
      <w:pPr>
        <w:pStyle w:val="NormalWeb"/>
        <w:keepNext/>
        <w:spacing w:before="0" w:beforeAutospacing="0" w:after="0" w:afterAutospacing="0"/>
        <w:rPr>
          <w:sz w:val="20"/>
          <w:szCs w:val="20"/>
        </w:rPr>
      </w:pPr>
    </w:p>
    <w:p w:rsidR="00A5120B" w:rsidRDefault="00CC32B7" w:rsidP="00CC32B7">
      <w:pPr>
        <w:pStyle w:val="NormalWeb"/>
        <w:keepNext/>
        <w:spacing w:before="0" w:beforeAutospacing="0" w:after="0" w:afterAutospacing="0"/>
        <w:rPr>
          <w:sz w:val="20"/>
          <w:szCs w:val="20"/>
        </w:rPr>
      </w:pPr>
      <w:r>
        <w:rPr>
          <w:sz w:val="20"/>
        </w:rPr>
        <w:t>The information referenced under Item 7.01 (including Exhibit 99.1 referenced under Item 9.01 below) of this Current Report on Form 8-K is being “furnished” under “Item 7.01.  Regulation FD Disclosure” and, as such, shall not be deemed to be “filed” for the purposes of Section 18 of the Securities Exchange Act of 1934, as amended, or otherwise subject to the liabilities of that section.  The information set forth in this Current Report on Form 8-K (including Exhibit 99.1 referenced under Item 9.01 below) shall not be incorporated by reference into any registration statement, report or other document filed by MRC Global pursuant to the Securities Act of 1933, as amended, except as shall be expressly set forth by specific reference in such filing.</w:t>
      </w:r>
    </w:p>
    <w:p w:rsidR="00A5120B" w:rsidRDefault="00A5120B" w:rsidP="00A5120B">
      <w:pPr>
        <w:ind w:left="1440" w:hanging="1440"/>
        <w:rPr>
          <w:color w:val="000000"/>
          <w:sz w:val="20"/>
        </w:rPr>
      </w:pPr>
    </w:p>
    <w:p w:rsidR="000207AE" w:rsidRPr="001B44F7" w:rsidRDefault="000207AE" w:rsidP="009039F9">
      <w:pPr>
        <w:keepNext/>
        <w:keepLines/>
        <w:widowControl w:val="0"/>
        <w:ind w:left="1440" w:hanging="1440"/>
        <w:rPr>
          <w:b/>
          <w:color w:val="000000"/>
          <w:sz w:val="20"/>
          <w:u w:val="single"/>
        </w:rPr>
      </w:pPr>
      <w:r w:rsidRPr="001B44F7">
        <w:rPr>
          <w:b/>
          <w:color w:val="000000"/>
          <w:sz w:val="20"/>
        </w:rPr>
        <w:lastRenderedPageBreak/>
        <w:t xml:space="preserve">Item 9.01 </w:t>
      </w:r>
      <w:r w:rsidRPr="001B44F7">
        <w:rPr>
          <w:b/>
          <w:color w:val="000000"/>
          <w:sz w:val="20"/>
        </w:rPr>
        <w:tab/>
      </w:r>
      <w:r w:rsidRPr="001B44F7">
        <w:rPr>
          <w:b/>
          <w:color w:val="000000"/>
          <w:sz w:val="20"/>
          <w:u w:val="single"/>
        </w:rPr>
        <w:t>Financial Statements and Exhibits.</w:t>
      </w:r>
    </w:p>
    <w:p w:rsidR="000207AE" w:rsidRDefault="000207AE" w:rsidP="009039F9">
      <w:pPr>
        <w:keepNext/>
        <w:keepLines/>
        <w:widowControl w:val="0"/>
        <w:ind w:left="1440" w:hanging="1440"/>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0207AE" w:rsidTr="000207AE">
        <w:trPr>
          <w:trHeight w:hRule="exact" w:val="20"/>
        </w:trPr>
        <w:tc>
          <w:tcPr>
            <w:tcW w:w="272" w:type="pct"/>
            <w:hideMark/>
          </w:tcPr>
          <w:p w:rsidR="000207AE" w:rsidRDefault="000207AE" w:rsidP="009039F9">
            <w:pPr>
              <w:keepNext/>
              <w:keepLines/>
              <w:widowControl w:val="0"/>
              <w:rPr>
                <w:color w:val="000000"/>
                <w:sz w:val="20"/>
              </w:rPr>
            </w:pPr>
          </w:p>
        </w:tc>
        <w:tc>
          <w:tcPr>
            <w:tcW w:w="8143" w:type="dxa"/>
            <w:hideMark/>
          </w:tcPr>
          <w:p w:rsidR="000207AE" w:rsidRDefault="000207AE" w:rsidP="009039F9">
            <w:pPr>
              <w:keepNext/>
              <w:keepLines/>
              <w:widowControl w:val="0"/>
              <w:overflowPunct/>
              <w:autoSpaceDE/>
              <w:autoSpaceDN/>
              <w:adjustRightInd/>
              <w:spacing w:after="200" w:line="276" w:lineRule="auto"/>
              <w:rPr>
                <w:rFonts w:asciiTheme="minorHAnsi" w:eastAsiaTheme="minorHAnsi" w:hAnsiTheme="minorHAnsi" w:cstheme="minorBidi"/>
                <w:sz w:val="20"/>
              </w:rPr>
            </w:pPr>
          </w:p>
        </w:tc>
      </w:tr>
      <w:tr w:rsidR="000207AE" w:rsidTr="000207AE">
        <w:tc>
          <w:tcPr>
            <w:tcW w:w="272" w:type="pct"/>
            <w:hideMark/>
          </w:tcPr>
          <w:p w:rsidR="000207AE" w:rsidRDefault="000207AE" w:rsidP="009039F9">
            <w:pPr>
              <w:keepNext/>
              <w:keepLines/>
              <w:widowControl w:val="0"/>
              <w:spacing w:line="276" w:lineRule="auto"/>
              <w:rPr>
                <w:sz w:val="20"/>
              </w:rPr>
            </w:pPr>
            <w:r>
              <w:rPr>
                <w:sz w:val="20"/>
              </w:rPr>
              <w:t>(d)</w:t>
            </w:r>
          </w:p>
        </w:tc>
        <w:tc>
          <w:tcPr>
            <w:tcW w:w="8143" w:type="dxa"/>
            <w:hideMark/>
          </w:tcPr>
          <w:p w:rsidR="000207AE" w:rsidRDefault="000207AE" w:rsidP="009039F9">
            <w:pPr>
              <w:keepNext/>
              <w:keepLines/>
              <w:widowControl w:val="0"/>
              <w:spacing w:after="240" w:line="276" w:lineRule="auto"/>
              <w:rPr>
                <w:sz w:val="20"/>
              </w:rPr>
            </w:pPr>
            <w:r>
              <w:rPr>
                <w:i/>
                <w:iCs/>
                <w:sz w:val="20"/>
              </w:rPr>
              <w:t>Exhibits.</w:t>
            </w:r>
          </w:p>
        </w:tc>
      </w:tr>
    </w:tbl>
    <w:p w:rsidR="008C3209" w:rsidRDefault="000207AE" w:rsidP="009039F9">
      <w:pPr>
        <w:keepNext/>
        <w:keepLines/>
        <w:widowControl w:val="0"/>
        <w:rPr>
          <w:sz w:val="20"/>
        </w:rPr>
      </w:pPr>
      <w:r>
        <w:rPr>
          <w:color w:val="000000"/>
          <w:sz w:val="20"/>
        </w:rPr>
        <w:t xml:space="preserve">99.1 </w:t>
      </w:r>
      <w:r>
        <w:rPr>
          <w:color w:val="000000"/>
          <w:sz w:val="20"/>
        </w:rPr>
        <w:tab/>
      </w:r>
      <w:hyperlink r:id="rId9" w:tooltip="mrc-20190214x8k.htm" w:history="1">
        <w:r w:rsidR="00002EB6">
          <w:rPr>
            <w:rStyle w:val="Hyperlink"/>
            <w:sz w:val="20"/>
          </w:rPr>
          <w:t>Press release of MRC Global Inc. dated February 14, 2019</w:t>
        </w:r>
      </w:hyperlink>
    </w:p>
    <w:p w:rsidR="008C3209" w:rsidRDefault="008C3209" w:rsidP="008C3209">
      <w:pPr>
        <w:overflowPunct/>
        <w:autoSpaceDE/>
        <w:autoSpaceDN/>
        <w:adjustRightInd/>
        <w:rPr>
          <w:rFonts w:eastAsia="Arial Unicode MS"/>
          <w:b/>
          <w:bCs/>
          <w:sz w:val="20"/>
        </w:rPr>
        <w:sectPr w:rsidR="008C3209" w:rsidSect="00056F2F">
          <w:pgSz w:w="12240" w:h="15840"/>
          <w:pgMar w:top="1440" w:right="1440" w:bottom="1440" w:left="1440" w:header="432" w:footer="360" w:gutter="0"/>
          <w:paperSrc w:first="15" w:other="15"/>
          <w:pgNumType w:start="1"/>
          <w:cols w:space="720"/>
          <w:docGrid w:linePitch="354"/>
        </w:sectPr>
      </w:pP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lastRenderedPageBreak/>
        <w:t>SIGNATURES</w:t>
      </w:r>
    </w:p>
    <w:p w:rsidR="008C3209" w:rsidRDefault="008C3209" w:rsidP="008C3209">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rsidR="008C3209" w:rsidRDefault="008C3209" w:rsidP="008C3209">
      <w:pPr>
        <w:pStyle w:val="Text"/>
        <w:spacing w:after="480"/>
        <w:ind w:firstLine="0"/>
        <w:rPr>
          <w:rFonts w:ascii="Times New Roman" w:hAnsi="Times New Roman"/>
        </w:rPr>
      </w:pPr>
      <w:r>
        <w:rPr>
          <w:rFonts w:ascii="Times New Roman" w:hAnsi="Times New Roman"/>
        </w:rPr>
        <w:t>Date:</w:t>
      </w:r>
      <w:r w:rsidRPr="00C85C25">
        <w:rPr>
          <w:rFonts w:ascii="Times New Roman" w:hAnsi="Times New Roman"/>
        </w:rPr>
        <w:t xml:space="preserve">  </w:t>
      </w:r>
      <w:r w:rsidR="00C85C25" w:rsidRPr="00C85C25">
        <w:rPr>
          <w:rFonts w:ascii="Times New Roman" w:hAnsi="Times New Roman"/>
          <w:color w:val="000000"/>
        </w:rPr>
        <w:t>February 1</w:t>
      </w:r>
      <w:r w:rsidR="00002EB6">
        <w:rPr>
          <w:rFonts w:ascii="Times New Roman" w:hAnsi="Times New Roman"/>
          <w:color w:val="000000"/>
        </w:rPr>
        <w:t>4</w:t>
      </w:r>
      <w:r w:rsidR="00C85C25" w:rsidRPr="00C85C25">
        <w:rPr>
          <w:rFonts w:ascii="Times New Roman" w:hAnsi="Times New Roman"/>
          <w:color w:val="000000"/>
        </w:rPr>
        <w:t>, 201</w:t>
      </w:r>
      <w:r w:rsidR="00002EB6">
        <w:rPr>
          <w:rFonts w:ascii="Times New Roman" w:hAnsi="Times New Roman"/>
          <w:color w:val="000000"/>
        </w:rPr>
        <w:t>9</w:t>
      </w:r>
    </w:p>
    <w:p w:rsidR="008C3209" w:rsidRDefault="008C3209" w:rsidP="008C3209">
      <w:pPr>
        <w:tabs>
          <w:tab w:val="left" w:pos="1296"/>
          <w:tab w:val="left" w:pos="2160"/>
          <w:tab w:val="left" w:pos="3168"/>
        </w:tabs>
        <w:spacing w:after="480" w:line="240" w:lineRule="atLeast"/>
        <w:ind w:left="4320" w:right="-187"/>
        <w:rPr>
          <w:sz w:val="20"/>
        </w:rPr>
      </w:pPr>
      <w:r>
        <w:rPr>
          <w:sz w:val="20"/>
        </w:rPr>
        <w:t>MRC GLOBAL INC.</w:t>
      </w:r>
    </w:p>
    <w:p w:rsidR="008C3209" w:rsidRDefault="008C3209" w:rsidP="008C3209">
      <w:pPr>
        <w:tabs>
          <w:tab w:val="left" w:pos="7830"/>
        </w:tabs>
        <w:ind w:left="4320"/>
        <w:rPr>
          <w:sz w:val="20"/>
          <w:u w:val="single"/>
        </w:rPr>
      </w:pPr>
      <w:r>
        <w:rPr>
          <w:sz w:val="20"/>
        </w:rPr>
        <w:t xml:space="preserve">By: </w:t>
      </w:r>
      <w:r>
        <w:rPr>
          <w:sz w:val="20"/>
          <w:u w:val="single"/>
        </w:rPr>
        <w:t xml:space="preserve">/s/ James E. Braun                                                     </w:t>
      </w:r>
    </w:p>
    <w:p w:rsidR="008C3209" w:rsidRDefault="008C3209" w:rsidP="008C3209">
      <w:pPr>
        <w:tabs>
          <w:tab w:val="left" w:pos="7830"/>
        </w:tabs>
        <w:ind w:left="4320"/>
        <w:rPr>
          <w:sz w:val="20"/>
        </w:rPr>
      </w:pPr>
      <w:r>
        <w:rPr>
          <w:sz w:val="20"/>
        </w:rPr>
        <w:t>James E. Braun</w:t>
      </w:r>
    </w:p>
    <w:p w:rsidR="008C3209" w:rsidRDefault="008C3209" w:rsidP="008C3209">
      <w:pPr>
        <w:tabs>
          <w:tab w:val="left" w:pos="1296"/>
          <w:tab w:val="left" w:pos="2160"/>
          <w:tab w:val="left" w:pos="3168"/>
        </w:tabs>
        <w:ind w:left="4320"/>
        <w:rPr>
          <w:sz w:val="20"/>
        </w:rPr>
      </w:pPr>
      <w:r>
        <w:rPr>
          <w:sz w:val="20"/>
        </w:rPr>
        <w:t>Executive Vice President and Chief Financial Officer</w:t>
      </w: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C3209" w:rsidRDefault="008C3209" w:rsidP="008C3209">
      <w:pPr>
        <w:overflowPunct/>
        <w:autoSpaceDE/>
        <w:autoSpaceDN/>
        <w:adjustRightInd/>
        <w:rPr>
          <w:rFonts w:eastAsia="Arial Unicode MS"/>
          <w:b/>
          <w:bCs/>
          <w:sz w:val="20"/>
        </w:rPr>
        <w:sectPr w:rsidR="008C3209">
          <w:pgSz w:w="12240" w:h="15840"/>
          <w:pgMar w:top="1440" w:right="1440" w:bottom="1440" w:left="1440" w:header="432" w:footer="360" w:gutter="0"/>
          <w:paperSrc w:first="15" w:other="15"/>
          <w:pgNumType w:start="1"/>
          <w:cols w:space="720"/>
        </w:sectPr>
      </w:pPr>
    </w:p>
    <w:p w:rsidR="008C3209" w:rsidRDefault="008C3209" w:rsidP="008C3209">
      <w:pPr>
        <w:pStyle w:val="NormalWeb"/>
        <w:spacing w:before="0" w:beforeAutospacing="0" w:after="0" w:afterAutospacing="0"/>
        <w:jc w:val="center"/>
        <w:rPr>
          <w:color w:val="000000"/>
          <w:sz w:val="20"/>
          <w:szCs w:val="20"/>
        </w:rPr>
      </w:pPr>
      <w:r>
        <w:rPr>
          <w:b/>
          <w:bCs/>
          <w:color w:val="000000"/>
          <w:sz w:val="20"/>
          <w:szCs w:val="20"/>
        </w:rPr>
        <w:lastRenderedPageBreak/>
        <w:t>INDEX TO EXHIBITS</w:t>
      </w:r>
    </w:p>
    <w:p w:rsidR="008C3209" w:rsidRDefault="008C3209" w:rsidP="008C3209">
      <w:pPr>
        <w:rPr>
          <w:color w:val="000000"/>
          <w:sz w:val="20"/>
        </w:rPr>
      </w:pPr>
      <w:r>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4"/>
        <w:gridCol w:w="100"/>
        <w:gridCol w:w="8326"/>
      </w:tblGrid>
      <w:tr w:rsidR="008C3209" w:rsidTr="008C3209">
        <w:trPr>
          <w:trHeight w:hRule="exact" w:val="20"/>
          <w:tblCellSpacing w:w="0" w:type="dxa"/>
          <w:jc w:val="center"/>
        </w:trPr>
        <w:tc>
          <w:tcPr>
            <w:tcW w:w="463" w:type="pct"/>
            <w:vAlign w:val="center"/>
            <w:hideMark/>
          </w:tcPr>
          <w:p w:rsidR="008C3209" w:rsidRDefault="008C3209">
            <w:pPr>
              <w:rPr>
                <w:sz w:val="2"/>
              </w:rPr>
            </w:pPr>
            <w:r>
              <w:rPr>
                <w:color w:val="000000"/>
                <w:sz w:val="20"/>
              </w:rPr>
              <w:t>re</w:t>
            </w:r>
          </w:p>
        </w:tc>
        <w:tc>
          <w:tcPr>
            <w:tcW w:w="50" w:type="pct"/>
            <w:vAlign w:val="bottom"/>
            <w:hideMark/>
          </w:tcPr>
          <w:p w:rsidR="008C3209" w:rsidRDefault="008C3209">
            <w:pPr>
              <w:rPr>
                <w:sz w:val="2"/>
              </w:rPr>
            </w:pPr>
          </w:p>
        </w:tc>
        <w:tc>
          <w:tcPr>
            <w:tcW w:w="4488" w:type="pct"/>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vAlign w:val="center"/>
            <w:hideMark/>
          </w:tcPr>
          <w:p w:rsidR="008C3209" w:rsidRDefault="008C3209">
            <w:pPr>
              <w:overflowPunct/>
              <w:autoSpaceDE/>
              <w:autoSpaceDN/>
              <w:adjustRightInd/>
              <w:rPr>
                <w:sz w:val="20"/>
              </w:rPr>
            </w:pPr>
          </w:p>
        </w:tc>
        <w:tc>
          <w:tcPr>
            <w:tcW w:w="50" w:type="pct"/>
            <w:vAlign w:val="bottom"/>
            <w:hideMark/>
          </w:tcPr>
          <w:p w:rsidR="008C3209" w:rsidRDefault="008C3209">
            <w:pPr>
              <w:overflowPunct/>
              <w:autoSpaceDE/>
              <w:autoSpaceDN/>
              <w:adjustRightInd/>
              <w:rPr>
                <w:sz w:val="20"/>
              </w:rPr>
            </w:pPr>
          </w:p>
        </w:tc>
        <w:tc>
          <w:tcPr>
            <w:tcW w:w="4488" w:type="pct"/>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noWrap/>
            <w:vAlign w:val="bottom"/>
            <w:hideMark/>
          </w:tcPr>
          <w:p w:rsidR="008C3209" w:rsidRDefault="008C3209">
            <w:pPr>
              <w:pBdr>
                <w:bottom w:val="single" w:sz="6" w:space="0" w:color="000000"/>
              </w:pBdr>
              <w:spacing w:before="100" w:beforeAutospacing="1" w:after="100" w:afterAutospacing="1"/>
              <w:jc w:val="center"/>
              <w:rPr>
                <w:sz w:val="20"/>
              </w:rPr>
            </w:pPr>
            <w:r>
              <w:rPr>
                <w:bCs/>
                <w:sz w:val="20"/>
              </w:rPr>
              <w:t>Exhibit No.</w:t>
            </w:r>
          </w:p>
        </w:tc>
        <w:tc>
          <w:tcPr>
            <w:tcW w:w="50" w:type="pct"/>
            <w:vAlign w:val="bottom"/>
            <w:hideMark/>
          </w:tcPr>
          <w:p w:rsidR="008C3209" w:rsidRDefault="008C3209">
            <w:pPr>
              <w:rPr>
                <w:sz w:val="20"/>
              </w:rPr>
            </w:pPr>
            <w:r>
              <w:rPr>
                <w:sz w:val="20"/>
              </w:rPr>
              <w:t>  </w:t>
            </w:r>
          </w:p>
        </w:tc>
        <w:tc>
          <w:tcPr>
            <w:tcW w:w="4488" w:type="pct"/>
            <w:noWrap/>
            <w:vAlign w:val="bottom"/>
            <w:hideMark/>
          </w:tcPr>
          <w:p w:rsidR="008C3209" w:rsidRDefault="008C3209">
            <w:pPr>
              <w:pBdr>
                <w:bottom w:val="single" w:sz="6" w:space="0" w:color="000000"/>
              </w:pBdr>
              <w:spacing w:before="100" w:beforeAutospacing="1" w:after="100" w:afterAutospacing="1"/>
              <w:rPr>
                <w:sz w:val="20"/>
              </w:rPr>
            </w:pPr>
            <w:r>
              <w:rPr>
                <w:bCs/>
                <w:sz w:val="20"/>
              </w:rPr>
              <w:t>Description</w:t>
            </w:r>
          </w:p>
        </w:tc>
      </w:tr>
      <w:tr w:rsidR="008C3209" w:rsidTr="008C3209">
        <w:trPr>
          <w:trHeight w:val="120"/>
          <w:tblCellSpacing w:w="0" w:type="dxa"/>
          <w:jc w:val="center"/>
        </w:trPr>
        <w:tc>
          <w:tcPr>
            <w:tcW w:w="463" w:type="pct"/>
            <w:vAlign w:val="center"/>
            <w:hideMark/>
          </w:tcPr>
          <w:p w:rsidR="008C3209" w:rsidRDefault="008C3209">
            <w:pPr>
              <w:rPr>
                <w:sz w:val="20"/>
              </w:rPr>
            </w:pPr>
          </w:p>
        </w:tc>
        <w:tc>
          <w:tcPr>
            <w:tcW w:w="4537" w:type="pct"/>
            <w:gridSpan w:val="2"/>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noWrap/>
            <w:hideMark/>
          </w:tcPr>
          <w:p w:rsidR="008C3209" w:rsidRDefault="008C3209">
            <w:pPr>
              <w:spacing w:after="240"/>
              <w:rPr>
                <w:sz w:val="20"/>
              </w:rPr>
            </w:pPr>
            <w:r>
              <w:rPr>
                <w:sz w:val="20"/>
              </w:rPr>
              <w:t>99.1</w:t>
            </w:r>
          </w:p>
        </w:tc>
        <w:tc>
          <w:tcPr>
            <w:tcW w:w="50" w:type="pct"/>
            <w:vAlign w:val="bottom"/>
            <w:hideMark/>
          </w:tcPr>
          <w:p w:rsidR="008C3209" w:rsidRDefault="008C3209">
            <w:pPr>
              <w:spacing w:after="240"/>
              <w:rPr>
                <w:sz w:val="20"/>
              </w:rPr>
            </w:pPr>
            <w:r>
              <w:rPr>
                <w:sz w:val="20"/>
              </w:rPr>
              <w:t>  </w:t>
            </w:r>
          </w:p>
        </w:tc>
        <w:tc>
          <w:tcPr>
            <w:tcW w:w="4488" w:type="pct"/>
            <w:hideMark/>
          </w:tcPr>
          <w:p w:rsidR="008C3209" w:rsidRDefault="008C3209" w:rsidP="00BE7F98">
            <w:pPr>
              <w:spacing w:after="180"/>
              <w:rPr>
                <w:sz w:val="20"/>
              </w:rPr>
            </w:pPr>
            <w:r>
              <w:rPr>
                <w:color w:val="000000"/>
                <w:sz w:val="20"/>
              </w:rPr>
              <w:t xml:space="preserve">Press release dated </w:t>
            </w:r>
            <w:r w:rsidR="00C85C25">
              <w:rPr>
                <w:color w:val="000000"/>
                <w:sz w:val="20"/>
              </w:rPr>
              <w:t>February 1</w:t>
            </w:r>
            <w:r w:rsidR="007D49FF">
              <w:rPr>
                <w:color w:val="000000"/>
                <w:sz w:val="20"/>
              </w:rPr>
              <w:t>4</w:t>
            </w:r>
            <w:r w:rsidR="00C85C25">
              <w:rPr>
                <w:color w:val="000000"/>
                <w:sz w:val="20"/>
              </w:rPr>
              <w:t>, 201</w:t>
            </w:r>
            <w:r w:rsidR="007D49FF">
              <w:rPr>
                <w:color w:val="000000"/>
                <w:sz w:val="20"/>
              </w:rPr>
              <w:t>9</w:t>
            </w:r>
          </w:p>
        </w:tc>
      </w:tr>
    </w:tbl>
    <w:p w:rsidR="008C3209" w:rsidRDefault="008C3209" w:rsidP="008C3209"/>
    <w:p w:rsidR="008C3209" w:rsidRDefault="008C3209" w:rsidP="008C3209">
      <w:pPr>
        <w:spacing w:after="240"/>
        <w:rPr>
          <w:color w:val="000000"/>
          <w:sz w:val="20"/>
        </w:rPr>
      </w:pPr>
      <w:r>
        <w:rPr>
          <w:color w:val="000000"/>
          <w:sz w:val="20"/>
        </w:rPr>
        <w:t> </w:t>
      </w:r>
    </w:p>
    <w:p w:rsidR="008C3209" w:rsidRDefault="008C3209" w:rsidP="008C3209">
      <w:pPr>
        <w:rPr>
          <w:rFonts w:eastAsia="Arial Unicode MS"/>
          <w:b/>
          <w:bCs/>
          <w:sz w:val="20"/>
        </w:rPr>
      </w:pPr>
    </w:p>
    <w:p w:rsidR="00FE7E45" w:rsidRDefault="00FE7E45" w:rsidP="008C3209">
      <w:pPr>
        <w:spacing w:after="240"/>
        <w:ind w:left="1440" w:hanging="1440"/>
        <w:sectPr w:rsidR="00FE7E45" w:rsidSect="008C3209">
          <w:pgSz w:w="12240" w:h="15840"/>
          <w:pgMar w:top="1440" w:right="1440" w:bottom="1440" w:left="1440" w:header="432" w:footer="360" w:gutter="0"/>
          <w:paperSrc w:first="15" w:other="15"/>
          <w:pgNumType w:start="1"/>
          <w:cols w:space="720"/>
        </w:sectPr>
      </w:pPr>
    </w:p>
    <w:tbl>
      <w:tblPr>
        <w:tblW w:w="10888" w:type="dxa"/>
        <w:jc w:val="center"/>
        <w:tblLayout w:type="fixed"/>
        <w:tblLook w:val="04A0" w:firstRow="1" w:lastRow="0" w:firstColumn="1" w:lastColumn="0" w:noHBand="0" w:noVBand="1"/>
      </w:tblPr>
      <w:tblGrid>
        <w:gridCol w:w="5153"/>
        <w:gridCol w:w="5735"/>
      </w:tblGrid>
      <w:tr w:rsidR="00B50569" w:rsidRPr="00B50569" w:rsidTr="007D35A2">
        <w:trPr>
          <w:trHeight w:hRule="exact" w:val="20"/>
          <w:jc w:val="center"/>
        </w:trPr>
        <w:tc>
          <w:tcPr>
            <w:tcW w:w="5153" w:type="dxa"/>
            <w:tcBorders>
              <w:top w:val="nil"/>
              <w:left w:val="nil"/>
              <w:bottom w:val="nil"/>
              <w:right w:val="nil"/>
            </w:tcBorders>
            <w:hideMark/>
          </w:tcPr>
          <w:p w:rsidR="00B50569" w:rsidRPr="00B50569" w:rsidRDefault="00B50569" w:rsidP="00B50569">
            <w:pPr>
              <w:widowControl w:val="0"/>
              <w:overflowPunct/>
              <w:autoSpaceDE/>
              <w:autoSpaceDN/>
              <w:adjustRightInd/>
              <w:spacing w:line="276" w:lineRule="auto"/>
              <w:jc w:val="center"/>
              <w:rPr>
                <w:sz w:val="24"/>
                <w:szCs w:val="28"/>
                <w:lang w:bidi="en-US"/>
              </w:rPr>
            </w:pPr>
            <w:r w:rsidRPr="00B50569">
              <w:rPr>
                <w:rFonts w:ascii="Arial" w:eastAsia="Calibri" w:hAnsi="Arial" w:cs="Arial"/>
                <w:b/>
                <w:bCs/>
                <w:sz w:val="20"/>
                <w:szCs w:val="24"/>
                <w:lang w:bidi="en-US"/>
              </w:rPr>
              <w:lastRenderedPageBreak/>
              <w:t>Exhibit 99.1</w:t>
            </w:r>
          </w:p>
          <w:p w:rsidR="00B50569" w:rsidRPr="00B50569" w:rsidRDefault="00B50569" w:rsidP="00B50569">
            <w:pPr>
              <w:textAlignment w:val="baseline"/>
              <w:rPr>
                <w:sz w:val="2"/>
              </w:rPr>
            </w:pPr>
          </w:p>
        </w:tc>
        <w:tc>
          <w:tcPr>
            <w:tcW w:w="5735" w:type="dxa"/>
            <w:tcBorders>
              <w:top w:val="nil"/>
              <w:left w:val="nil"/>
              <w:bottom w:val="nil"/>
              <w:right w:val="nil"/>
            </w:tcBorders>
            <w:vAlign w:val="center"/>
          </w:tcPr>
          <w:p w:rsidR="00B50569" w:rsidRPr="00B50569" w:rsidRDefault="00B50569" w:rsidP="00B50569">
            <w:pPr>
              <w:textAlignment w:val="baseline"/>
              <w:rPr>
                <w:sz w:val="2"/>
              </w:rPr>
            </w:pPr>
          </w:p>
        </w:tc>
      </w:tr>
      <w:tr w:rsidR="00B50569" w:rsidRPr="00B50569" w:rsidTr="007D35A2">
        <w:trPr>
          <w:trHeight w:hRule="exact" w:val="20"/>
          <w:jc w:val="center"/>
        </w:trPr>
        <w:tc>
          <w:tcPr>
            <w:tcW w:w="5153" w:type="dxa"/>
          </w:tcPr>
          <w:p w:rsidR="00B50569" w:rsidRPr="00B50569" w:rsidRDefault="00B50569" w:rsidP="00B50569">
            <w:pPr>
              <w:widowControl w:val="0"/>
              <w:overflowPunct/>
              <w:autoSpaceDE/>
              <w:autoSpaceDN/>
              <w:adjustRightInd/>
              <w:spacing w:line="276" w:lineRule="auto"/>
              <w:jc w:val="center"/>
              <w:rPr>
                <w:sz w:val="24"/>
                <w:szCs w:val="28"/>
                <w:lang w:bidi="en-US"/>
              </w:rPr>
            </w:pPr>
          </w:p>
        </w:tc>
        <w:tc>
          <w:tcPr>
            <w:tcW w:w="5735" w:type="dxa"/>
            <w:vAlign w:val="center"/>
            <w:hideMark/>
          </w:tcPr>
          <w:p w:rsidR="00B50569" w:rsidRPr="00B50569" w:rsidRDefault="00B50569" w:rsidP="00B50569">
            <w:pPr>
              <w:spacing w:line="276" w:lineRule="auto"/>
              <w:textAlignment w:val="baseline"/>
              <w:rPr>
                <w:sz w:val="2"/>
              </w:rPr>
            </w:pPr>
            <w:r w:rsidRPr="00B50569">
              <w:rPr>
                <w:sz w:val="2"/>
              </w:rPr>
              <w:t>E</w:t>
            </w:r>
          </w:p>
        </w:tc>
      </w:tr>
    </w:tbl>
    <w:p w:rsidR="00B50569" w:rsidRPr="00B50569" w:rsidRDefault="00B50569" w:rsidP="00CD2499">
      <w:pPr>
        <w:jc w:val="center"/>
        <w:textAlignment w:val="baseline"/>
        <w:rPr>
          <w:rFonts w:ascii="Arial" w:hAnsi="Arial" w:cs="Arial"/>
          <w:b/>
          <w:bCs/>
          <w:sz w:val="20"/>
        </w:rPr>
      </w:pPr>
      <w:bookmarkStart w:id="0" w:name="_GoBack"/>
      <w:r w:rsidRPr="00B50569">
        <w:rPr>
          <w:noProof/>
        </w:rPr>
        <w:drawing>
          <wp:inline distT="0" distB="0" distL="0" distR="0" wp14:anchorId="05CE437A" wp14:editId="54FF46CE">
            <wp:extent cx="3876190" cy="10095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6190" cy="1009524"/>
                    </a:xfrm>
                    <a:prstGeom prst="rect">
                      <a:avLst/>
                    </a:prstGeom>
                  </pic:spPr>
                </pic:pic>
              </a:graphicData>
            </a:graphic>
          </wp:inline>
        </w:drawing>
      </w:r>
      <w:bookmarkEnd w:id="0"/>
    </w:p>
    <w:p w:rsidR="00B50569" w:rsidRPr="00B50569" w:rsidRDefault="00B50569" w:rsidP="00B50569">
      <w:pPr>
        <w:jc w:val="center"/>
        <w:textAlignment w:val="baseline"/>
        <w:rPr>
          <w:rFonts w:ascii="Arial" w:hAnsi="Arial" w:cs="Arial"/>
          <w:b/>
          <w:bCs/>
          <w:sz w:val="28"/>
          <w:szCs w:val="22"/>
        </w:rPr>
      </w:pPr>
      <w:r w:rsidRPr="00B50569">
        <w:rPr>
          <w:rFonts w:ascii="Arial" w:hAnsi="Arial" w:cs="Arial"/>
          <w:b/>
          <w:bCs/>
          <w:sz w:val="28"/>
          <w:szCs w:val="22"/>
        </w:rPr>
        <w:t xml:space="preserve">MRC Global Announces Fourth Quarter and Full Year 2018 Results </w:t>
      </w:r>
    </w:p>
    <w:p w:rsidR="00B50569" w:rsidRPr="00B50569" w:rsidRDefault="00B50569" w:rsidP="00B50569">
      <w:pPr>
        <w:jc w:val="center"/>
        <w:textAlignment w:val="baseline"/>
        <w:rPr>
          <w:rFonts w:ascii="Arial" w:hAnsi="Arial" w:cs="Arial"/>
          <w:b/>
          <w:bCs/>
          <w:sz w:val="24"/>
          <w:szCs w:val="24"/>
        </w:rPr>
      </w:pPr>
      <w:r w:rsidRPr="00B50569">
        <w:rPr>
          <w:rFonts w:ascii="Arial" w:hAnsi="Arial" w:cs="Arial"/>
          <w:b/>
          <w:bCs/>
          <w:sz w:val="24"/>
          <w:szCs w:val="24"/>
        </w:rPr>
        <w:t>MRC Global Repurchased $125 million of Common Stock in 2018 including</w:t>
      </w:r>
    </w:p>
    <w:p w:rsidR="00B50569" w:rsidRPr="00B50569" w:rsidRDefault="00B50569" w:rsidP="00B50569">
      <w:pPr>
        <w:jc w:val="center"/>
        <w:textAlignment w:val="baseline"/>
        <w:rPr>
          <w:rFonts w:ascii="Arial" w:hAnsi="Arial" w:cs="Arial"/>
          <w:b/>
          <w:bCs/>
          <w:sz w:val="24"/>
          <w:szCs w:val="24"/>
        </w:rPr>
      </w:pPr>
      <w:r w:rsidRPr="00B50569">
        <w:rPr>
          <w:rFonts w:ascii="Arial" w:hAnsi="Arial" w:cs="Arial"/>
          <w:b/>
          <w:bCs/>
          <w:sz w:val="24"/>
          <w:szCs w:val="24"/>
        </w:rPr>
        <w:t>$75 million in the Fourth Quarter</w:t>
      </w:r>
    </w:p>
    <w:p w:rsidR="00B50569" w:rsidRPr="00B50569" w:rsidRDefault="00B50569" w:rsidP="00B50569">
      <w:pPr>
        <w:jc w:val="center"/>
        <w:textAlignment w:val="baseline"/>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44" w:type="dxa"/>
          <w:bottom w:w="29" w:type="dxa"/>
          <w:right w:w="144" w:type="dxa"/>
        </w:tblCellMar>
        <w:tblLook w:val="04A0" w:firstRow="1" w:lastRow="0" w:firstColumn="1" w:lastColumn="0" w:noHBand="0" w:noVBand="1"/>
      </w:tblPr>
      <w:tblGrid>
        <w:gridCol w:w="5379"/>
        <w:gridCol w:w="5379"/>
      </w:tblGrid>
      <w:tr w:rsidR="00B50569" w:rsidRPr="00B50569" w:rsidTr="007D35A2">
        <w:trPr>
          <w:trHeight w:val="364"/>
        </w:trPr>
        <w:tc>
          <w:tcPr>
            <w:tcW w:w="5379" w:type="dxa"/>
            <w:hideMark/>
          </w:tcPr>
          <w:p w:rsidR="00B50569" w:rsidRPr="00B50569" w:rsidRDefault="00B50569" w:rsidP="00B50569">
            <w:pPr>
              <w:jc w:val="center"/>
              <w:textAlignment w:val="baseline"/>
              <w:rPr>
                <w:rFonts w:ascii="Arial" w:hAnsi="Arial" w:cs="Arial"/>
                <w:b/>
                <w:bCs/>
                <w:sz w:val="22"/>
                <w:szCs w:val="22"/>
                <w:u w:val="single"/>
              </w:rPr>
            </w:pPr>
            <w:r w:rsidRPr="00B50569">
              <w:rPr>
                <w:rFonts w:ascii="Arial" w:hAnsi="Arial" w:cs="Arial"/>
                <w:b/>
                <w:bCs/>
                <w:sz w:val="22"/>
                <w:szCs w:val="22"/>
                <w:u w:val="single"/>
              </w:rPr>
              <w:t>Fourth Quarter 2018:</w:t>
            </w:r>
          </w:p>
        </w:tc>
        <w:tc>
          <w:tcPr>
            <w:tcW w:w="5379" w:type="dxa"/>
            <w:hideMark/>
          </w:tcPr>
          <w:p w:rsidR="00B50569" w:rsidRPr="00B50569" w:rsidRDefault="00B50569" w:rsidP="00B50569">
            <w:pPr>
              <w:jc w:val="center"/>
              <w:textAlignment w:val="baseline"/>
              <w:rPr>
                <w:rFonts w:ascii="Arial" w:hAnsi="Arial" w:cs="Arial"/>
                <w:b/>
                <w:bCs/>
                <w:sz w:val="22"/>
                <w:szCs w:val="22"/>
                <w:u w:val="single"/>
              </w:rPr>
            </w:pPr>
            <w:r w:rsidRPr="00B50569">
              <w:rPr>
                <w:rFonts w:ascii="Arial" w:hAnsi="Arial" w:cs="Arial"/>
                <w:b/>
                <w:bCs/>
                <w:sz w:val="22"/>
                <w:szCs w:val="22"/>
                <w:u w:val="single"/>
              </w:rPr>
              <w:t>Full Year 2018:</w:t>
            </w:r>
          </w:p>
        </w:tc>
      </w:tr>
      <w:tr w:rsidR="00B50569" w:rsidRPr="00B50569" w:rsidTr="007D35A2">
        <w:trPr>
          <w:trHeight w:val="171"/>
        </w:trPr>
        <w:tc>
          <w:tcPr>
            <w:tcW w:w="5379" w:type="dxa"/>
            <w:hideMark/>
          </w:tcPr>
          <w:p w:rsidR="00B50569" w:rsidRPr="00B50569" w:rsidRDefault="00B50569" w:rsidP="00B50569">
            <w:pPr>
              <w:jc w:val="center"/>
              <w:textAlignment w:val="baseline"/>
              <w:rPr>
                <w:rFonts w:ascii="Arial" w:hAnsi="Arial" w:cs="Arial"/>
                <w:b/>
                <w:bCs/>
                <w:sz w:val="22"/>
                <w:szCs w:val="22"/>
              </w:rPr>
            </w:pPr>
            <w:r w:rsidRPr="00B50569">
              <w:rPr>
                <w:rFonts w:ascii="Arial" w:hAnsi="Arial" w:cs="Arial"/>
                <w:b/>
                <w:bCs/>
                <w:sz w:val="22"/>
                <w:szCs w:val="22"/>
              </w:rPr>
              <w:t>Sales of $1.009 billion</w:t>
            </w:r>
          </w:p>
        </w:tc>
        <w:tc>
          <w:tcPr>
            <w:tcW w:w="5379" w:type="dxa"/>
            <w:hideMark/>
          </w:tcPr>
          <w:p w:rsidR="00B50569" w:rsidRPr="00B50569" w:rsidRDefault="00B50569" w:rsidP="00B50569">
            <w:pPr>
              <w:jc w:val="center"/>
              <w:textAlignment w:val="baseline"/>
              <w:rPr>
                <w:rFonts w:ascii="Arial" w:hAnsi="Arial" w:cs="Arial"/>
                <w:b/>
                <w:bCs/>
                <w:sz w:val="22"/>
                <w:szCs w:val="22"/>
              </w:rPr>
            </w:pPr>
            <w:r w:rsidRPr="00B50569">
              <w:rPr>
                <w:rFonts w:ascii="Arial" w:hAnsi="Arial" w:cs="Arial"/>
                <w:b/>
                <w:bCs/>
                <w:sz w:val="22"/>
                <w:szCs w:val="22"/>
              </w:rPr>
              <w:t>Sales of $4.172 billion</w:t>
            </w:r>
          </w:p>
        </w:tc>
      </w:tr>
      <w:tr w:rsidR="00B50569" w:rsidRPr="00B50569" w:rsidTr="007D35A2">
        <w:trPr>
          <w:trHeight w:val="352"/>
        </w:trPr>
        <w:tc>
          <w:tcPr>
            <w:tcW w:w="5379" w:type="dxa"/>
            <w:hideMark/>
          </w:tcPr>
          <w:p w:rsidR="00B50569" w:rsidRPr="00B50569" w:rsidRDefault="00B50569" w:rsidP="00B50569">
            <w:pPr>
              <w:jc w:val="center"/>
              <w:textAlignment w:val="baseline"/>
              <w:rPr>
                <w:rFonts w:ascii="Arial" w:hAnsi="Arial" w:cs="Arial"/>
                <w:b/>
                <w:bCs/>
                <w:sz w:val="22"/>
                <w:szCs w:val="22"/>
              </w:rPr>
            </w:pPr>
            <w:r w:rsidRPr="00B50569">
              <w:rPr>
                <w:rFonts w:ascii="Arial" w:hAnsi="Arial" w:cs="Arial"/>
                <w:b/>
                <w:bCs/>
                <w:sz w:val="22"/>
                <w:szCs w:val="22"/>
              </w:rPr>
              <w:t>Net income attributable to common stockholders of $4 million</w:t>
            </w:r>
          </w:p>
        </w:tc>
        <w:tc>
          <w:tcPr>
            <w:tcW w:w="5379" w:type="dxa"/>
            <w:hideMark/>
          </w:tcPr>
          <w:p w:rsidR="00B50569" w:rsidRPr="00B50569" w:rsidRDefault="00B50569" w:rsidP="00B50569">
            <w:pPr>
              <w:jc w:val="center"/>
              <w:textAlignment w:val="baseline"/>
              <w:rPr>
                <w:rFonts w:ascii="Arial" w:hAnsi="Arial" w:cs="Arial"/>
                <w:b/>
                <w:bCs/>
                <w:sz w:val="22"/>
                <w:szCs w:val="22"/>
              </w:rPr>
            </w:pPr>
            <w:r w:rsidRPr="00B50569">
              <w:rPr>
                <w:rFonts w:ascii="Arial" w:hAnsi="Arial" w:cs="Arial"/>
                <w:b/>
                <w:bCs/>
                <w:sz w:val="22"/>
                <w:szCs w:val="22"/>
              </w:rPr>
              <w:t>Net income attributable to common stockholders of $50 million</w:t>
            </w:r>
          </w:p>
        </w:tc>
      </w:tr>
      <w:tr w:rsidR="00B50569" w:rsidRPr="00B50569" w:rsidTr="007D35A2">
        <w:trPr>
          <w:trHeight w:val="27"/>
        </w:trPr>
        <w:tc>
          <w:tcPr>
            <w:tcW w:w="5379" w:type="dxa"/>
            <w:hideMark/>
          </w:tcPr>
          <w:p w:rsidR="00B50569" w:rsidRPr="00B50569" w:rsidRDefault="00B50569" w:rsidP="00B50569">
            <w:pPr>
              <w:jc w:val="center"/>
              <w:textAlignment w:val="baseline"/>
              <w:rPr>
                <w:rFonts w:ascii="Arial" w:hAnsi="Arial" w:cs="Arial"/>
                <w:b/>
                <w:bCs/>
                <w:sz w:val="22"/>
                <w:szCs w:val="22"/>
              </w:rPr>
            </w:pPr>
            <w:r w:rsidRPr="00B50569">
              <w:rPr>
                <w:rFonts w:ascii="Arial" w:hAnsi="Arial" w:cs="Arial"/>
                <w:b/>
                <w:bCs/>
                <w:sz w:val="22"/>
                <w:szCs w:val="22"/>
              </w:rPr>
              <w:t>Adjusted EBITDA of $63 million</w:t>
            </w:r>
          </w:p>
        </w:tc>
        <w:tc>
          <w:tcPr>
            <w:tcW w:w="5379" w:type="dxa"/>
            <w:hideMark/>
          </w:tcPr>
          <w:p w:rsidR="00B50569" w:rsidRPr="00B50569" w:rsidRDefault="00B50569" w:rsidP="00B50569">
            <w:pPr>
              <w:jc w:val="center"/>
              <w:textAlignment w:val="baseline"/>
              <w:rPr>
                <w:rFonts w:ascii="Arial" w:hAnsi="Arial" w:cs="Arial"/>
                <w:b/>
                <w:bCs/>
                <w:sz w:val="22"/>
                <w:szCs w:val="22"/>
              </w:rPr>
            </w:pPr>
            <w:r w:rsidRPr="00B50569">
              <w:rPr>
                <w:rFonts w:ascii="Arial" w:hAnsi="Arial" w:cs="Arial"/>
                <w:b/>
                <w:bCs/>
                <w:sz w:val="22"/>
                <w:szCs w:val="22"/>
              </w:rPr>
              <w:t>Adjusted EBITDA of $280 million</w:t>
            </w:r>
          </w:p>
        </w:tc>
      </w:tr>
    </w:tbl>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Houston, TX – February 14, 2019 – MRC Global Inc. (NYSE: MRC), the largest global distributor, based on sales, of pipe, valves and fittings and related products and services to the energy industry, today announced fourth quarter and full year 2018 results. </w:t>
      </w:r>
    </w:p>
    <w:p w:rsidR="00B50569" w:rsidRPr="00B50569" w:rsidRDefault="00B50569" w:rsidP="00B50569">
      <w:pPr>
        <w:jc w:val="both"/>
        <w:textAlignment w:val="baseline"/>
        <w:rPr>
          <w:rFonts w:ascii="Arial" w:hAnsi="Arial" w:cs="Arial"/>
          <w:color w:val="333333"/>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The company’s sales were $1.009 billion for the fourth quarter of 2018, which was 12% higher than the fourth quarter of 2017 and 6% lower than the third quarter of 2018. As compared to 2017, the fourth quarter increase was driven primarily by the upstream and downstream sectors.  </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Net income attributable to common stockholders for the fourth quarter of 2018 was $4 million, or $0.04 per diluted share, as compared to the fourth quarter of 2017 of $29 million, or $0.30 per diluted share. The fourth quarter results include severance and restructuring after-tax charges of $3 million, or $ 0.03 per diluted share in 2018 and $14 million, or $0.15 per diluted share in 2017. The results for the fourth quarter of 2017 include a provisional tax benefit of $50 million, or $0.53 per diluted share, related to the accounting for United States tax reform legislation. Fourth quarter 2017 results also include after-tax charges of $6 million or $0.06 per diluted share for the write </w:t>
      </w:r>
      <w:proofErr w:type="gramStart"/>
      <w:r w:rsidRPr="00B50569">
        <w:rPr>
          <w:rFonts w:ascii="Arial" w:hAnsi="Arial" w:cs="Arial"/>
          <w:sz w:val="22"/>
          <w:szCs w:val="22"/>
        </w:rPr>
        <w:t>off of</w:t>
      </w:r>
      <w:proofErr w:type="gramEnd"/>
      <w:r w:rsidRPr="00B50569">
        <w:rPr>
          <w:rFonts w:ascii="Arial" w:hAnsi="Arial" w:cs="Arial"/>
          <w:sz w:val="22"/>
          <w:szCs w:val="22"/>
        </w:rPr>
        <w:t xml:space="preserve"> inventory in the international segment related to reducing our local presence in Iraq. </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MRC </w:t>
      </w:r>
      <w:proofErr w:type="spellStart"/>
      <w:r w:rsidRPr="00B50569">
        <w:rPr>
          <w:rFonts w:ascii="Arial" w:hAnsi="Arial" w:cs="Arial"/>
          <w:sz w:val="22"/>
          <w:szCs w:val="22"/>
        </w:rPr>
        <w:t>Global’s</w:t>
      </w:r>
      <w:proofErr w:type="spellEnd"/>
      <w:r w:rsidRPr="00B50569">
        <w:rPr>
          <w:rFonts w:ascii="Arial" w:hAnsi="Arial" w:cs="Arial"/>
          <w:sz w:val="22"/>
          <w:szCs w:val="22"/>
        </w:rPr>
        <w:t xml:space="preserve"> fourth quarter 2018 gross profit was $171 million, or 16.9% of sales, an increase from fourth quarter 2017 gross profit of $141 million, or 15.6% of sales. Gross profit for the fourth quarter of 2018 and 2017 reflects an expense of $14 million and $9 million, respectively, in cost of sales relating to the use of the last-in, first out (LIFO) method of inventory cost accounting. Gross profit for the fourth quarter of 2017 also includes $6 million of non-cash inventory charges recorded in cost of sales.</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Andrew R. Lane, MRC </w:t>
      </w:r>
      <w:proofErr w:type="spellStart"/>
      <w:r w:rsidRPr="00B50569">
        <w:rPr>
          <w:rFonts w:ascii="Arial" w:hAnsi="Arial" w:cs="Arial"/>
          <w:sz w:val="22"/>
          <w:szCs w:val="22"/>
        </w:rPr>
        <w:t>Global’s</w:t>
      </w:r>
      <w:proofErr w:type="spellEnd"/>
      <w:r w:rsidRPr="00B50569">
        <w:rPr>
          <w:rFonts w:ascii="Arial" w:hAnsi="Arial" w:cs="Arial"/>
          <w:sz w:val="22"/>
          <w:szCs w:val="22"/>
        </w:rPr>
        <w:t xml:space="preserve"> president and chief executive officer stated, “</w:t>
      </w:r>
      <w:bookmarkStart w:id="1" w:name="_Hlk536168056"/>
      <w:bookmarkStart w:id="2" w:name="_Hlk536171848"/>
      <w:r w:rsidRPr="00B50569">
        <w:rPr>
          <w:rFonts w:ascii="Arial" w:hAnsi="Arial" w:cs="Arial"/>
          <w:sz w:val="22"/>
          <w:szCs w:val="22"/>
        </w:rPr>
        <w:t>The fourth quarter 2018 results were as we expected with revenue over $1.0 billion. All three geographic segments and our valve product group drove strong growth in the fourth quarter of 2018 over the same quarter in 2017.</w:t>
      </w:r>
      <w:bookmarkEnd w:id="1"/>
      <w:r w:rsidRPr="00B50569">
        <w:rPr>
          <w:rFonts w:ascii="Arial" w:hAnsi="Arial" w:cs="Arial"/>
          <w:sz w:val="22"/>
          <w:szCs w:val="22"/>
        </w:rPr>
        <w:t xml:space="preserve"> </w:t>
      </w:r>
      <w:bookmarkEnd w:id="2"/>
      <w:r w:rsidRPr="00B50569">
        <w:rPr>
          <w:rFonts w:ascii="Arial" w:hAnsi="Arial" w:cs="Arial"/>
          <w:sz w:val="22"/>
          <w:szCs w:val="22"/>
        </w:rPr>
        <w:t>Our fourth quarter 2018 adjusted gross profit percentage of 20.0% and our adjusted EBITDA of $63 million remained strong. We generated $135 million in cash flow from operations, and we repurchased $75 million of common stock in the fourth quarter.”</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Mr. Lane added, “I am very proud of our results for 2018, the second year of the oil and gas industry recovery, as we continued to successfully execute our long-term strategy. As compared to 2017, our 2018 revenue increased 14%, which includes more than $900 million of e-commerce revenue. Our 2018 adjusted gross profit percentage of </w:t>
      </w:r>
      <w:bookmarkStart w:id="3" w:name="_Hlk536168045"/>
      <w:r w:rsidRPr="00B50569">
        <w:rPr>
          <w:rFonts w:ascii="Arial" w:hAnsi="Arial" w:cs="Arial"/>
          <w:sz w:val="22"/>
          <w:szCs w:val="22"/>
        </w:rPr>
        <w:t xml:space="preserve">19.6% was the best since 2008, and our 2018 adjusted EBITDA increased 56% over 2017. We achieved adjusted EBITDA margins of 6.7% in 2018, the best since 2014. </w:t>
      </w:r>
      <w:bookmarkEnd w:id="3"/>
      <w:r w:rsidRPr="00B50569">
        <w:rPr>
          <w:rFonts w:ascii="Arial" w:hAnsi="Arial" w:cs="Arial"/>
          <w:sz w:val="22"/>
          <w:szCs w:val="22"/>
        </w:rPr>
        <w:t xml:space="preserve">Our 2018 net income attributable to common stockholders improved 92% to $50 million and our diluted earnings per share improved 100% to $0.54 per share.” </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Selling, general and administrative (SG&amp;A) expenses were $148 million, or 14.7% of sales, for the fourth quarter of 2018 compared to $148 million, or 16.4% of sales, for the same period of 2017. SG&amp;A expenses for the fourth </w:t>
      </w:r>
      <w:r w:rsidRPr="00B50569">
        <w:rPr>
          <w:rFonts w:ascii="Arial" w:hAnsi="Arial" w:cs="Arial"/>
          <w:sz w:val="22"/>
          <w:szCs w:val="22"/>
        </w:rPr>
        <w:lastRenderedPageBreak/>
        <w:t>quarter of 2018 and 2017 include $4 million and $14 million of pre-tax severance and restructuring charges, respectively.</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Please refer to the reconciliation of non-GAAP measures (adjusted gross profit and adjusted EBITDA) to GAAP measures (gross profit, net income) in this release.</w:t>
      </w:r>
    </w:p>
    <w:p w:rsidR="00B50569" w:rsidRPr="00B50569" w:rsidRDefault="00B50569" w:rsidP="00B50569">
      <w:pPr>
        <w:jc w:val="both"/>
        <w:textAlignment w:val="baseline"/>
        <w:rPr>
          <w:rFonts w:ascii="Arial" w:hAnsi="Arial" w:cs="Arial"/>
          <w:b/>
          <w:sz w:val="22"/>
          <w:szCs w:val="22"/>
        </w:rPr>
      </w:pPr>
    </w:p>
    <w:p w:rsidR="00B50569" w:rsidRPr="00B50569" w:rsidRDefault="00B50569" w:rsidP="00B50569">
      <w:pPr>
        <w:jc w:val="both"/>
        <w:textAlignment w:val="baseline"/>
        <w:rPr>
          <w:rFonts w:ascii="Arial" w:hAnsi="Arial" w:cs="Arial"/>
          <w:b/>
          <w:sz w:val="22"/>
          <w:szCs w:val="22"/>
        </w:rPr>
      </w:pPr>
      <w:r w:rsidRPr="00B50569">
        <w:rPr>
          <w:rFonts w:ascii="Arial" w:hAnsi="Arial" w:cs="Arial"/>
          <w:b/>
          <w:sz w:val="22"/>
          <w:szCs w:val="22"/>
        </w:rPr>
        <w:t xml:space="preserve">Sales by Segment </w:t>
      </w:r>
    </w:p>
    <w:p w:rsidR="00B50569" w:rsidRPr="00B50569" w:rsidRDefault="00B50569" w:rsidP="00B50569">
      <w:pPr>
        <w:jc w:val="both"/>
        <w:textAlignment w:val="baseline"/>
        <w:rPr>
          <w:rFonts w:ascii="Arial" w:hAnsi="Arial" w:cs="Arial"/>
          <w:b/>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U.S. sales in the fourth quarter of 2018 were $778 million, up $63 million, or 9%, from the same quarter in 2017. Upstream increased by $37 million, or 23% primarily due to higher well completions. Downstream increased $33 million, or 17% driven by project deliveries and market share gains. Midstream declined slightly by $7 million, or 2% due primarily to non-recurring project work. </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Canadian sales in the fourth quarter of 2018 were $79 million, up $8 million, or 11%, from the same quarter in 2017 due to market share gains in the upstream sector and project work in the midstream sector. A weaker Canadian dollar relative to the U.S. dollar unfavorably impacted sales by $3 million. </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International sales in the fourth quarter of 2018 were $152 million, up $35 million, or 30%, from the same period in 2017. The $19 million increase in upstream was driven primarily by project deliveries in Kazakhstan and the $15 million increase in downstream was primarily due to increased refinery activity. Weaker foreign currencies relative to the U.S. dollar unfavorably impacted sales by $6 million.</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b/>
          <w:sz w:val="22"/>
          <w:szCs w:val="22"/>
        </w:rPr>
      </w:pPr>
      <w:r w:rsidRPr="00B50569">
        <w:rPr>
          <w:rFonts w:ascii="Arial" w:hAnsi="Arial" w:cs="Arial"/>
          <w:b/>
          <w:sz w:val="22"/>
          <w:szCs w:val="22"/>
        </w:rPr>
        <w:t xml:space="preserve">Sales by Sector </w:t>
      </w:r>
    </w:p>
    <w:p w:rsidR="00B50569" w:rsidRPr="00B50569" w:rsidRDefault="00B50569" w:rsidP="00B50569">
      <w:pPr>
        <w:jc w:val="both"/>
        <w:textAlignment w:val="baseline"/>
        <w:rPr>
          <w:rFonts w:ascii="Arial" w:hAnsi="Arial" w:cs="Arial"/>
          <w:b/>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Upstream sales in the fourth quarter of 2018 increased 22% over the fourth quarter of 2017 to $339 million, or 34% of total sales. The increase in upstream sales was across all segments. </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bookmarkStart w:id="4" w:name="_Hlk536083416"/>
      <w:r w:rsidRPr="00B50569">
        <w:rPr>
          <w:rFonts w:ascii="Arial" w:hAnsi="Arial" w:cs="Arial"/>
          <w:sz w:val="22"/>
          <w:szCs w:val="22"/>
        </w:rPr>
        <w:t>Midstream sales in the fourth quarter of 2018 were $373 million, or 37% of total sales, virtually flat with the fourth quarter of 2017. Sales to gas utility customers were up by 26% due to an increase in integrity and growth project spending for various customers, while sales to transmission and gathering customers were down 21% over the same quarter in 2017 due primarily to non-recurring project work.</w:t>
      </w:r>
    </w:p>
    <w:bookmarkEnd w:id="4"/>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Downstream sales in the fourth quarter of 2018 increased 18% from the fourth quarter of 2017 to $297 million, or 29% of total sales. The U.S. segment was the primary driver of the increase followed by the international segment.</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b/>
          <w:sz w:val="22"/>
          <w:szCs w:val="22"/>
        </w:rPr>
      </w:pPr>
      <w:r w:rsidRPr="00B50569">
        <w:rPr>
          <w:rFonts w:ascii="Arial" w:hAnsi="Arial" w:cs="Arial"/>
          <w:b/>
          <w:sz w:val="22"/>
          <w:szCs w:val="22"/>
        </w:rPr>
        <w:t>Balance Sheet</w:t>
      </w:r>
    </w:p>
    <w:p w:rsidR="00B50569" w:rsidRPr="00B50569" w:rsidRDefault="00B50569" w:rsidP="00B50569">
      <w:pPr>
        <w:jc w:val="both"/>
        <w:textAlignment w:val="baseline"/>
        <w:rPr>
          <w:rFonts w:ascii="Arial" w:hAnsi="Arial" w:cs="Arial"/>
          <w:b/>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Cash balances were $43 million at December 31, 2018. Debt, net of cash, was $641 million as of December 31, 2018 and excess availability under our asset-based lending facility was $449 million. Cash provided from operations was $135 million in the fourth quarter of 2018. MRC </w:t>
      </w:r>
      <w:proofErr w:type="spellStart"/>
      <w:r w:rsidRPr="00B50569">
        <w:rPr>
          <w:rFonts w:ascii="Arial" w:hAnsi="Arial" w:cs="Arial"/>
          <w:sz w:val="22"/>
          <w:szCs w:val="22"/>
        </w:rPr>
        <w:t>Global’s</w:t>
      </w:r>
      <w:proofErr w:type="spellEnd"/>
      <w:r w:rsidRPr="00B50569">
        <w:rPr>
          <w:rFonts w:ascii="Arial" w:hAnsi="Arial" w:cs="Arial"/>
          <w:sz w:val="22"/>
          <w:szCs w:val="22"/>
        </w:rPr>
        <w:t xml:space="preserve"> liquidity position of $492 million is sufficient to support the business and capital needs. </w:t>
      </w:r>
    </w:p>
    <w:p w:rsidR="00B50569" w:rsidRPr="00B50569" w:rsidRDefault="00B50569" w:rsidP="00B50569">
      <w:pPr>
        <w:jc w:val="both"/>
        <w:textAlignment w:val="baseline"/>
        <w:rPr>
          <w:rFonts w:ascii="Arial" w:hAnsi="Arial" w:cs="Arial"/>
          <w:b/>
          <w:bCs/>
          <w:sz w:val="22"/>
          <w:szCs w:val="22"/>
        </w:rPr>
      </w:pPr>
    </w:p>
    <w:p w:rsidR="00B50569" w:rsidRPr="00B50569" w:rsidRDefault="00B50569" w:rsidP="00B50569">
      <w:pPr>
        <w:jc w:val="both"/>
        <w:textAlignment w:val="baseline"/>
        <w:rPr>
          <w:rFonts w:ascii="Arial" w:hAnsi="Arial" w:cs="Arial"/>
          <w:b/>
          <w:bCs/>
          <w:sz w:val="22"/>
          <w:szCs w:val="22"/>
        </w:rPr>
      </w:pPr>
    </w:p>
    <w:p w:rsidR="00B50569" w:rsidRPr="00B50569" w:rsidRDefault="00B50569" w:rsidP="00B50569">
      <w:pPr>
        <w:jc w:val="both"/>
        <w:textAlignment w:val="baseline"/>
        <w:rPr>
          <w:rFonts w:ascii="Arial" w:hAnsi="Arial" w:cs="Arial"/>
          <w:b/>
          <w:bCs/>
          <w:sz w:val="22"/>
          <w:szCs w:val="22"/>
        </w:rPr>
      </w:pPr>
      <w:r w:rsidRPr="00B50569">
        <w:rPr>
          <w:rFonts w:ascii="Arial" w:hAnsi="Arial" w:cs="Arial"/>
          <w:b/>
          <w:bCs/>
          <w:sz w:val="22"/>
          <w:szCs w:val="22"/>
        </w:rPr>
        <w:t>Share Repurchase Program Update</w:t>
      </w:r>
    </w:p>
    <w:p w:rsidR="00B50569" w:rsidRPr="00B50569" w:rsidRDefault="00B50569" w:rsidP="00B50569">
      <w:pPr>
        <w:jc w:val="both"/>
        <w:textAlignment w:val="baseline"/>
        <w:rPr>
          <w:rFonts w:ascii="Arial" w:hAnsi="Arial" w:cs="Arial"/>
          <w:b/>
          <w:bCs/>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 xml:space="preserve">In October 2018, the board of directors authorized a share repurchase program for common stock of up to $150 million. During the fourth quarter, the company purchased $75 million of its common stock at an average price of $15.89 per share. In 2018, under both the current and prior authorizations, the company repurchased $125 million of common stock at an average price of $16.46. In January 2019, the company purchased an additional $25 million of its common stock at an average price of $14.24 per share, leaving another $50 million under the current authorization. </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Since 2015, the company has repurchased $325 million (21.1 million shares) at an average price of $15.40 per share. The outstanding share count as of January 31, 2019 was 83.9 million shares.</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lastRenderedPageBreak/>
        <w:t>The shares may be repurchased at management’s discretion in the open market. Depending on market conditions and other factors, these repurchases may be commenced or suspended from time to time without prior notice. The current program is scheduled to expire on December 31, 2019.</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b/>
          <w:bCs/>
          <w:sz w:val="22"/>
          <w:szCs w:val="22"/>
        </w:rPr>
        <w:t>Conference Call</w:t>
      </w:r>
    </w:p>
    <w:p w:rsidR="00B50569" w:rsidRPr="00B50569" w:rsidRDefault="00B50569" w:rsidP="00B50569">
      <w:pPr>
        <w:jc w:val="both"/>
        <w:textAlignment w:val="baseline"/>
        <w:rPr>
          <w:rFonts w:ascii="Arial" w:hAnsi="Arial" w:cs="Arial"/>
          <w:sz w:val="22"/>
          <w:szCs w:val="22"/>
        </w:rPr>
      </w:pPr>
    </w:p>
    <w:p w:rsidR="00B50569" w:rsidRPr="00B50569" w:rsidRDefault="00B50569" w:rsidP="00B50569">
      <w:pPr>
        <w:overflowPunct/>
        <w:autoSpaceDE/>
        <w:adjustRightInd/>
        <w:jc w:val="both"/>
        <w:textAlignment w:val="baseline"/>
        <w:rPr>
          <w:rFonts w:ascii="Arial" w:hAnsi="Arial" w:cs="Arial"/>
          <w:sz w:val="22"/>
          <w:szCs w:val="22"/>
        </w:rPr>
      </w:pPr>
      <w:r w:rsidRPr="00B50569">
        <w:rPr>
          <w:rFonts w:ascii="Arial" w:hAnsi="Arial" w:cs="Arial"/>
          <w:sz w:val="22"/>
          <w:szCs w:val="22"/>
        </w:rPr>
        <w:t>The Company will hold a conference call to discuss its fourth quarter 2018 results at 10:00 a.m. Eastern Time (9:00 a.m. Central Time) on February 15, 2019. To participate in the call, please dial 412</w:t>
      </w:r>
      <w:r w:rsidRPr="00B50569">
        <w:rPr>
          <w:rFonts w:ascii="Arial" w:hAnsi="Arial" w:cs="Arial"/>
          <w:sz w:val="22"/>
          <w:szCs w:val="22"/>
        </w:rPr>
        <w:noBreakHyphen/>
        <w:t xml:space="preserve">902-0003 and ask for the MRC Global conference call at least 10 minutes prior to the start time. To access the conference </w:t>
      </w:r>
      <w:proofErr w:type="gramStart"/>
      <w:r w:rsidRPr="00B50569">
        <w:rPr>
          <w:rFonts w:ascii="Arial" w:hAnsi="Arial" w:cs="Arial"/>
          <w:sz w:val="22"/>
          <w:szCs w:val="22"/>
        </w:rPr>
        <w:t>call</w:t>
      </w:r>
      <w:proofErr w:type="gramEnd"/>
      <w:r w:rsidRPr="00B50569">
        <w:rPr>
          <w:rFonts w:ascii="Arial" w:hAnsi="Arial" w:cs="Arial"/>
          <w:sz w:val="22"/>
          <w:szCs w:val="22"/>
        </w:rPr>
        <w:t xml:space="preserve"> live over the Internet, please log onto the web at www.mrcglobal.com</w:t>
      </w:r>
      <w:r w:rsidRPr="00B50569">
        <w:t xml:space="preserve"> </w:t>
      </w:r>
      <w:r w:rsidRPr="00B50569">
        <w:rPr>
          <w:rFonts w:ascii="Arial" w:hAnsi="Arial" w:cs="Arial"/>
          <w:sz w:val="22"/>
          <w:szCs w:val="22"/>
        </w:rPr>
        <w:t>and go to the “Investor Relations” page of the company’s website at least fifteen minutes early to register, download and install any necessary audio software. For those who cannot listen to the live call, a replay will be available through March 1, 2019 and can be accessed by dialing 201-612-7415 and using pass code 13686236#. Also, an archive of the webcast will be available shortly after the call at www.mrcglobal.com for 90 days.</w:t>
      </w:r>
    </w:p>
    <w:p w:rsidR="00B50569" w:rsidRPr="00B50569" w:rsidRDefault="00B50569" w:rsidP="00B50569">
      <w:pPr>
        <w:jc w:val="both"/>
        <w:textAlignment w:val="baseline"/>
        <w:rPr>
          <w:rFonts w:ascii="Arial" w:hAnsi="Arial" w:cs="Arial"/>
          <w:b/>
          <w:sz w:val="22"/>
          <w:szCs w:val="22"/>
        </w:rPr>
      </w:pPr>
    </w:p>
    <w:p w:rsidR="00B50569" w:rsidRPr="00B50569" w:rsidRDefault="00B50569" w:rsidP="00B50569">
      <w:pPr>
        <w:jc w:val="both"/>
        <w:textAlignment w:val="baseline"/>
        <w:rPr>
          <w:rFonts w:ascii="Arial" w:hAnsi="Arial" w:cs="Arial"/>
          <w:b/>
          <w:sz w:val="22"/>
          <w:szCs w:val="22"/>
        </w:rPr>
      </w:pPr>
    </w:p>
    <w:p w:rsidR="00B50569" w:rsidRPr="00B50569" w:rsidRDefault="00B50569" w:rsidP="00B50569">
      <w:pPr>
        <w:overflowPunct/>
        <w:autoSpaceDE/>
        <w:adjustRightInd/>
        <w:textAlignment w:val="baseline"/>
        <w:rPr>
          <w:rFonts w:ascii="Arial" w:hAnsi="Arial" w:cs="Arial"/>
          <w:b/>
          <w:bCs/>
          <w:sz w:val="22"/>
          <w:szCs w:val="22"/>
        </w:rPr>
      </w:pPr>
      <w:r w:rsidRPr="00B50569">
        <w:rPr>
          <w:rFonts w:ascii="Arial" w:hAnsi="Arial" w:cs="Arial"/>
          <w:b/>
          <w:bCs/>
          <w:sz w:val="22"/>
          <w:szCs w:val="22"/>
        </w:rPr>
        <w:t>About MRC Global Inc.</w:t>
      </w:r>
    </w:p>
    <w:p w:rsidR="00B50569" w:rsidRPr="00B50569" w:rsidRDefault="00B50569" w:rsidP="00B50569">
      <w:pPr>
        <w:textAlignment w:val="baseline"/>
        <w:rPr>
          <w:b/>
          <w:bCs/>
          <w:sz w:val="22"/>
          <w:szCs w:val="22"/>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Headquartered in Houston, Texas, MRC Global, is the largest global distributor, based on sales, of pipe, valves and fittings (PVF) and related products and services to the energy industry and supplies these products and services across each of the upstream, midstream and downstream sectors. More information about MRC Global can be found on our website mrcglobal.com.</w:t>
      </w:r>
    </w:p>
    <w:p w:rsidR="00B50569" w:rsidRPr="00B50569" w:rsidRDefault="00B50569" w:rsidP="00B50569">
      <w:pPr>
        <w:jc w:val="both"/>
        <w:textAlignment w:val="baseline"/>
        <w:rPr>
          <w:rFonts w:ascii="Arial" w:hAnsi="Arial" w:cs="Arial"/>
          <w:b/>
          <w:sz w:val="22"/>
          <w:szCs w:val="22"/>
        </w:rPr>
      </w:pPr>
    </w:p>
    <w:p w:rsidR="00B50569" w:rsidRPr="00B50569" w:rsidRDefault="00B50569" w:rsidP="00B50569">
      <w:pPr>
        <w:overflowPunct/>
        <w:autoSpaceDE/>
        <w:autoSpaceDN/>
        <w:adjustRightInd/>
        <w:spacing w:before="69"/>
        <w:jc w:val="both"/>
        <w:rPr>
          <w:i/>
          <w:iCs/>
          <w:sz w:val="20"/>
        </w:rPr>
      </w:pPr>
      <w:r w:rsidRPr="00B50569">
        <w:rPr>
          <w:i/>
          <w:iCs/>
          <w:sz w:val="20"/>
        </w:rPr>
        <w:t xml:space="preserve">This news release contains forward-looking statements within the meaning of Section 27A of the Securities Act and Section 21E of the Exchange Act. Words such as “expect,” “expected,” “intend,” “believes,” “well positioned,” “strong position,” “looking forward,” “guidance,” “plans” and similar expressions are intended to identify forward-looking statements. </w:t>
      </w:r>
    </w:p>
    <w:p w:rsidR="00B50569" w:rsidRPr="00B50569" w:rsidRDefault="00B50569" w:rsidP="00B50569">
      <w:pPr>
        <w:overflowPunct/>
        <w:autoSpaceDE/>
        <w:autoSpaceDN/>
        <w:adjustRightInd/>
        <w:spacing w:before="100" w:beforeAutospacing="1" w:after="100" w:afterAutospacing="1"/>
        <w:jc w:val="both"/>
        <w:rPr>
          <w:i/>
          <w:iCs/>
          <w:sz w:val="20"/>
        </w:rPr>
      </w:pPr>
      <w:r w:rsidRPr="00B50569">
        <w:rPr>
          <w:i/>
          <w:iCs/>
          <w:sz w:val="20"/>
        </w:rPr>
        <w:t xml:space="preserve">Statements about the company’s business, including its strategy, its industry, the company’s future profitability, the company’s guidance on its sales, adjusted EBITDA, tax rate, capital expenditures and cash flow, growth in the company’s various markets and the company’s expectations, beliefs, plans, strategies, objectives, prospects and assumptions are not guarantees of future performance. These statements are based on management’s expectations that involve </w:t>
      </w:r>
      <w:proofErr w:type="gramStart"/>
      <w:r w:rsidRPr="00B50569">
        <w:rPr>
          <w:i/>
          <w:iCs/>
          <w:sz w:val="20"/>
        </w:rPr>
        <w:t>a number of</w:t>
      </w:r>
      <w:proofErr w:type="gramEnd"/>
      <w:r w:rsidRPr="00B50569">
        <w:rPr>
          <w:i/>
          <w:iCs/>
          <w:sz w:val="20"/>
        </w:rPr>
        <w:t xml:space="preserve">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rsidR="00B50569" w:rsidRPr="00B50569" w:rsidRDefault="00B50569" w:rsidP="00B50569">
      <w:pPr>
        <w:overflowPunct/>
        <w:autoSpaceDE/>
        <w:autoSpaceDN/>
        <w:adjustRightInd/>
        <w:spacing w:before="100" w:beforeAutospacing="1" w:after="100" w:afterAutospacing="1"/>
        <w:jc w:val="both"/>
        <w:rPr>
          <w:i/>
          <w:iCs/>
          <w:sz w:val="20"/>
        </w:rPr>
      </w:pPr>
      <w:r w:rsidRPr="00B50569">
        <w:rPr>
          <w:i/>
          <w:iCs/>
          <w:sz w:val="20"/>
        </w:rPr>
        <w:t xml:space="preserve"> 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w:t>
      </w:r>
      <w:r w:rsidRPr="00B50569">
        <w:rPr>
          <w:i/>
          <w:iCs/>
          <w:sz w:val="20"/>
          <w:szCs w:val="24"/>
        </w:rPr>
        <w:t xml:space="preserve"> </w:t>
      </w:r>
      <w:r w:rsidRPr="00B50569">
        <w:rPr>
          <w:i/>
          <w:iCs/>
          <w:sz w:val="20"/>
        </w:rPr>
        <w:t xml:space="preserve">and international general economic conditions; the company’s ability to compete successfully with other companies in </w:t>
      </w:r>
      <w:r w:rsidRPr="00B50569">
        <w:rPr>
          <w:i/>
          <w:iCs/>
          <w:sz w:val="20"/>
          <w:szCs w:val="24"/>
        </w:rPr>
        <w:t xml:space="preserve">MRC </w:t>
      </w:r>
      <w:proofErr w:type="spellStart"/>
      <w:r w:rsidRPr="00B50569">
        <w:rPr>
          <w:i/>
          <w:iCs/>
          <w:sz w:val="20"/>
          <w:szCs w:val="24"/>
        </w:rPr>
        <w:t>Global’s</w:t>
      </w:r>
      <w:proofErr w:type="spellEnd"/>
      <w:r w:rsidRPr="00B50569">
        <w:rPr>
          <w:i/>
          <w:iCs/>
          <w:sz w:val="20"/>
        </w:rPr>
        <w:t xml:space="preserve"> industry; the risk that manufacturers of the products the company distributes will sell a substantial amount of goods directly to end users in the </w:t>
      </w:r>
      <w:r w:rsidRPr="00B50569">
        <w:rPr>
          <w:i/>
          <w:iCs/>
          <w:sz w:val="20"/>
          <w:szCs w:val="24"/>
        </w:rPr>
        <w:t>industry sectors the company</w:t>
      </w:r>
      <w:r w:rsidRPr="00B50569">
        <w:rPr>
          <w:i/>
          <w:iCs/>
          <w:sz w:val="20"/>
        </w:rPr>
        <w:t xml:space="preserve"> serves; </w:t>
      </w:r>
      <w:r w:rsidRPr="00B50569">
        <w:rPr>
          <w:i/>
          <w:iCs/>
          <w:sz w:val="20"/>
          <w:szCs w:val="24"/>
        </w:rPr>
        <w:t xml:space="preserve"> </w:t>
      </w:r>
      <w:r w:rsidRPr="00B50569">
        <w:rPr>
          <w:i/>
          <w:iCs/>
          <w:sz w:val="20"/>
        </w:rPr>
        <w:t>unexpected supply shortages;</w:t>
      </w:r>
      <w:r w:rsidRPr="00B50569">
        <w:rPr>
          <w:i/>
          <w:iCs/>
          <w:sz w:val="20"/>
          <w:szCs w:val="24"/>
        </w:rPr>
        <w:t xml:space="preserve"> </w:t>
      </w:r>
      <w:r w:rsidRPr="00B50569">
        <w:rPr>
          <w:i/>
          <w:iCs/>
          <w:sz w:val="20"/>
        </w:rPr>
        <w:t xml:space="preserve"> cost increases by the company’s suppliers; the company’s lack of long-term contracts with most of its suppliers; suppliers’ price reductions of products that the company sells, which could cause the value of </w:t>
      </w:r>
      <w:r w:rsidRPr="00B50569">
        <w:rPr>
          <w:i/>
          <w:iCs/>
          <w:sz w:val="20"/>
          <w:szCs w:val="24"/>
        </w:rPr>
        <w:t xml:space="preserve">the company’s </w:t>
      </w:r>
      <w:r w:rsidRPr="00B50569">
        <w:rPr>
          <w:i/>
          <w:iCs/>
          <w:sz w:val="20"/>
        </w:rPr>
        <w:t xml:space="preserve">inventory to decline; </w:t>
      </w:r>
      <w:r w:rsidRPr="00B50569">
        <w:rPr>
          <w:i/>
          <w:iCs/>
          <w:sz w:val="20"/>
          <w:szCs w:val="24"/>
        </w:rPr>
        <w:t xml:space="preserve"> </w:t>
      </w:r>
      <w:r w:rsidRPr="00B50569">
        <w:rPr>
          <w:i/>
          <w:iCs/>
          <w:sz w:val="20"/>
        </w:rPr>
        <w:t xml:space="preserve">decreases in steel prices, which could significantly lower </w:t>
      </w:r>
      <w:r w:rsidRPr="00B50569">
        <w:rPr>
          <w:i/>
          <w:iCs/>
          <w:sz w:val="20"/>
          <w:szCs w:val="24"/>
        </w:rPr>
        <w:t xml:space="preserve">MRC </w:t>
      </w:r>
      <w:proofErr w:type="spellStart"/>
      <w:r w:rsidRPr="00B50569">
        <w:rPr>
          <w:i/>
          <w:iCs/>
          <w:sz w:val="20"/>
          <w:szCs w:val="24"/>
        </w:rPr>
        <w:t>Global’s</w:t>
      </w:r>
      <w:proofErr w:type="spellEnd"/>
      <w:r w:rsidRPr="00B50569">
        <w:rPr>
          <w:i/>
          <w:iCs/>
          <w:sz w:val="20"/>
          <w:szCs w:val="24"/>
        </w:rPr>
        <w:t xml:space="preserve"> </w:t>
      </w:r>
      <w:r w:rsidRPr="00B50569">
        <w:rPr>
          <w:i/>
          <w:iCs/>
          <w:sz w:val="20"/>
        </w:rPr>
        <w:t xml:space="preserve">profit; </w:t>
      </w:r>
      <w:r w:rsidRPr="00B50569">
        <w:rPr>
          <w:i/>
          <w:iCs/>
          <w:sz w:val="20"/>
          <w:szCs w:val="24"/>
        </w:rPr>
        <w:t xml:space="preserve"> </w:t>
      </w:r>
      <w:r w:rsidRPr="00B50569">
        <w:rPr>
          <w:i/>
          <w:iCs/>
          <w:sz w:val="20"/>
        </w:rPr>
        <w:t xml:space="preserve">increases in steel prices, which </w:t>
      </w:r>
      <w:r w:rsidRPr="00B50569">
        <w:rPr>
          <w:i/>
          <w:iCs/>
          <w:sz w:val="20"/>
          <w:szCs w:val="24"/>
        </w:rPr>
        <w:t>the company</w:t>
      </w:r>
      <w:r w:rsidRPr="00B50569">
        <w:rPr>
          <w:i/>
          <w:iCs/>
          <w:sz w:val="20"/>
        </w:rPr>
        <w:t xml:space="preserve"> may be unable to pass along to its customers which could significantly lower its profit; the company’s lack of long-term contracts with many of its customers and </w:t>
      </w:r>
      <w:r w:rsidRPr="00B50569">
        <w:rPr>
          <w:i/>
          <w:iCs/>
          <w:sz w:val="20"/>
          <w:szCs w:val="24"/>
        </w:rPr>
        <w:t>the company’s</w:t>
      </w:r>
      <w:r w:rsidRPr="00B50569">
        <w:rPr>
          <w:i/>
          <w:iCs/>
          <w:sz w:val="20"/>
        </w:rPr>
        <w:t xml:space="preserve"> lack of contracts with customers that require minimum purchase volumes; </w:t>
      </w:r>
      <w:r w:rsidRPr="00B50569">
        <w:rPr>
          <w:i/>
          <w:iCs/>
          <w:sz w:val="20"/>
          <w:szCs w:val="24"/>
        </w:rPr>
        <w:t xml:space="preserve"> </w:t>
      </w:r>
      <w:r w:rsidRPr="00B50569">
        <w:rPr>
          <w:i/>
          <w:iCs/>
          <w:sz w:val="20"/>
        </w:rPr>
        <w:t xml:space="preserve">changes in the company’s customer and product mix; </w:t>
      </w:r>
      <w:r w:rsidRPr="00B50569">
        <w:rPr>
          <w:i/>
          <w:iCs/>
          <w:sz w:val="20"/>
          <w:szCs w:val="24"/>
        </w:rPr>
        <w:t xml:space="preserve"> </w:t>
      </w:r>
      <w:r w:rsidRPr="00B50569">
        <w:rPr>
          <w:i/>
          <w:iCs/>
          <w:sz w:val="20"/>
        </w:rPr>
        <w:t xml:space="preserve">risks related to the company’s customers’ </w:t>
      </w:r>
      <w:r w:rsidRPr="00B50569">
        <w:rPr>
          <w:i/>
          <w:iCs/>
          <w:sz w:val="20"/>
          <w:szCs w:val="24"/>
        </w:rPr>
        <w:t xml:space="preserve">creditworthiness; </w:t>
      </w:r>
      <w:r w:rsidRPr="00B50569">
        <w:rPr>
          <w:i/>
          <w:iCs/>
          <w:sz w:val="20"/>
        </w:rPr>
        <w:t xml:space="preserve">the success of the company’s acquisition strategies;  the potential adverse effects associated with integrating acquisitions into the company’s business and whether these acquisitions will yield their intended benefits; the company’s significant indebtedness; </w:t>
      </w:r>
      <w:r w:rsidRPr="00B50569">
        <w:rPr>
          <w:i/>
          <w:iCs/>
          <w:sz w:val="20"/>
          <w:szCs w:val="24"/>
        </w:rPr>
        <w:t xml:space="preserve"> </w:t>
      </w:r>
      <w:r w:rsidRPr="00B50569">
        <w:rPr>
          <w:i/>
          <w:iCs/>
          <w:sz w:val="20"/>
        </w:rPr>
        <w:t xml:space="preserve">the dependence on the company’s subsidiaries for cash to meet its obligations; </w:t>
      </w:r>
      <w:r w:rsidRPr="00B50569">
        <w:rPr>
          <w:i/>
          <w:iCs/>
          <w:sz w:val="20"/>
          <w:szCs w:val="24"/>
        </w:rPr>
        <w:t xml:space="preserve"> </w:t>
      </w:r>
      <w:r w:rsidRPr="00B50569">
        <w:rPr>
          <w:i/>
          <w:iCs/>
          <w:sz w:val="20"/>
        </w:rPr>
        <w:t xml:space="preserve">changes in the company’s credit profile; </w:t>
      </w:r>
      <w:r w:rsidRPr="00B50569">
        <w:rPr>
          <w:i/>
          <w:iCs/>
          <w:sz w:val="20"/>
          <w:szCs w:val="24"/>
        </w:rPr>
        <w:t xml:space="preserve"> </w:t>
      </w:r>
      <w:r w:rsidRPr="00B50569">
        <w:rPr>
          <w:i/>
          <w:iCs/>
          <w:sz w:val="20"/>
        </w:rPr>
        <w:t>a decline in demand for certain of the products the company distributes if import restrictions on these products are lifted; environmental, health and safety laws and regulations</w:t>
      </w:r>
      <w:r w:rsidRPr="00B50569">
        <w:rPr>
          <w:i/>
          <w:iCs/>
          <w:sz w:val="20"/>
          <w:szCs w:val="24"/>
        </w:rPr>
        <w:t xml:space="preserve"> and the interpretation or implementation thereof</w:t>
      </w:r>
      <w:r w:rsidRPr="00B50569">
        <w:rPr>
          <w:i/>
          <w:iCs/>
          <w:sz w:val="20"/>
        </w:rPr>
        <w:t xml:space="preserve">; the sufficiency of the company’s insurance policies to cover losses, including liabilities arising from litigation; </w:t>
      </w:r>
      <w:r w:rsidRPr="00B50569">
        <w:rPr>
          <w:i/>
          <w:iCs/>
          <w:sz w:val="20"/>
          <w:szCs w:val="24"/>
        </w:rPr>
        <w:t xml:space="preserve"> </w:t>
      </w:r>
      <w:r w:rsidRPr="00B50569">
        <w:rPr>
          <w:i/>
          <w:iCs/>
          <w:sz w:val="20"/>
        </w:rPr>
        <w:t xml:space="preserve">product liability claims against the company; </w:t>
      </w:r>
      <w:r w:rsidRPr="00B50569">
        <w:rPr>
          <w:i/>
          <w:iCs/>
          <w:sz w:val="20"/>
          <w:szCs w:val="24"/>
        </w:rPr>
        <w:t xml:space="preserve"> </w:t>
      </w:r>
      <w:r w:rsidRPr="00B50569">
        <w:rPr>
          <w:i/>
          <w:iCs/>
          <w:sz w:val="20"/>
        </w:rPr>
        <w:t>pending or future asbestos-related claims against the company; the potential loss of key personnel; interruption in the proper functioning of the company’s information systems</w:t>
      </w:r>
      <w:r w:rsidRPr="00B50569">
        <w:rPr>
          <w:i/>
          <w:iCs/>
          <w:sz w:val="20"/>
          <w:szCs w:val="24"/>
        </w:rPr>
        <w:t xml:space="preserve"> and </w:t>
      </w:r>
      <w:r w:rsidRPr="00B50569">
        <w:rPr>
          <w:i/>
          <w:iCs/>
          <w:sz w:val="20"/>
        </w:rPr>
        <w:t xml:space="preserve">the occurrence of cyber security incidents; loss of third-party transportation providers; </w:t>
      </w:r>
      <w:r w:rsidRPr="00B50569">
        <w:rPr>
          <w:i/>
          <w:iCs/>
          <w:sz w:val="20"/>
          <w:szCs w:val="24"/>
        </w:rPr>
        <w:t xml:space="preserve"> </w:t>
      </w:r>
      <w:r w:rsidRPr="00B50569">
        <w:rPr>
          <w:i/>
          <w:iCs/>
          <w:sz w:val="20"/>
        </w:rPr>
        <w:t xml:space="preserve">potential inability to obtain necessary capital; </w:t>
      </w:r>
      <w:r w:rsidRPr="00B50569">
        <w:rPr>
          <w:i/>
          <w:iCs/>
          <w:sz w:val="20"/>
          <w:szCs w:val="24"/>
        </w:rPr>
        <w:t xml:space="preserve"> </w:t>
      </w:r>
      <w:r w:rsidRPr="00B50569">
        <w:rPr>
          <w:i/>
          <w:iCs/>
          <w:sz w:val="20"/>
        </w:rPr>
        <w:t xml:space="preserve">risks related to adverse weather events or natural disasters;  impairment of </w:t>
      </w:r>
      <w:r w:rsidRPr="00B50569">
        <w:rPr>
          <w:i/>
          <w:iCs/>
          <w:sz w:val="20"/>
          <w:szCs w:val="24"/>
        </w:rPr>
        <w:t>our</w:t>
      </w:r>
      <w:r w:rsidRPr="00B50569">
        <w:rPr>
          <w:i/>
          <w:iCs/>
          <w:sz w:val="20"/>
        </w:rPr>
        <w:t xml:space="preserve"> goodwill or other intangible assets;</w:t>
      </w:r>
      <w:r w:rsidRPr="00B50569">
        <w:rPr>
          <w:i/>
          <w:iCs/>
          <w:sz w:val="20"/>
          <w:szCs w:val="24"/>
        </w:rPr>
        <w:t xml:space="preserve"> </w:t>
      </w:r>
      <w:r w:rsidRPr="00B50569">
        <w:rPr>
          <w:i/>
          <w:iCs/>
          <w:sz w:val="20"/>
        </w:rPr>
        <w:t xml:space="preserve"> adverse changes in political or economic conditions in the countries in which the company operates</w:t>
      </w:r>
      <w:r w:rsidRPr="00B50569">
        <w:rPr>
          <w:i/>
          <w:iCs/>
          <w:sz w:val="20"/>
          <w:szCs w:val="24"/>
        </w:rPr>
        <w:t xml:space="preserve">;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w:t>
      </w:r>
      <w:r w:rsidRPr="00B50569">
        <w:rPr>
          <w:i/>
          <w:iCs/>
          <w:sz w:val="20"/>
          <w:szCs w:val="24"/>
        </w:rPr>
        <w:lastRenderedPageBreak/>
        <w:t>of the Sarbanes-Oxley Act; risks related to the company’s intention not to pay dividends</w:t>
      </w:r>
      <w:r w:rsidRPr="00B50569">
        <w:rPr>
          <w:i/>
          <w:iCs/>
          <w:sz w:val="20"/>
        </w:rPr>
        <w:t>; and risks arising from compliance with and changes in law in the countries in which we operate, including (among others) changes in tax law, tax rates and interpretation in tax laws. In addition, the Company’s intention to continue to repurchase shares of common stock is also subject to the trading price of the stock being at prices that the Company believes are favorable to stockholders and to the Company’s debt and liquidity levels being at levels the Company deems sufficient to repurchase shares.</w:t>
      </w:r>
    </w:p>
    <w:p w:rsidR="00B50569" w:rsidRPr="00B50569" w:rsidRDefault="00B50569" w:rsidP="00B50569">
      <w:pPr>
        <w:overflowPunct/>
        <w:autoSpaceDE/>
        <w:autoSpaceDN/>
        <w:adjustRightInd/>
        <w:spacing w:before="100" w:beforeAutospacing="1" w:after="100" w:afterAutospacing="1"/>
        <w:jc w:val="both"/>
        <w:rPr>
          <w:sz w:val="24"/>
          <w:szCs w:val="24"/>
        </w:rPr>
      </w:pPr>
      <w:r w:rsidRPr="00B50569">
        <w:rPr>
          <w:i/>
          <w:iCs/>
          <w:sz w:val="20"/>
        </w:rPr>
        <w:t xml:space="preserve">For a discussion of key risk factors, please see the risk factors disclosed in the company’s SEC filings, which are available on the SEC’s website at </w:t>
      </w:r>
      <w:r w:rsidRPr="00B50569">
        <w:rPr>
          <w:i/>
          <w:iCs/>
          <w:sz w:val="20"/>
          <w:u w:val="single"/>
        </w:rPr>
        <w:t>www.sec.gov</w:t>
      </w:r>
      <w:r w:rsidRPr="00B50569">
        <w:rPr>
          <w:i/>
          <w:iCs/>
          <w:sz w:val="20"/>
        </w:rPr>
        <w:t xml:space="preserve"> and on the company’s website, </w:t>
      </w:r>
      <w:r w:rsidRPr="00B50569">
        <w:rPr>
          <w:i/>
          <w:iCs/>
          <w:sz w:val="20"/>
          <w:u w:val="single"/>
        </w:rPr>
        <w:t>www.mrcglobal.com</w:t>
      </w:r>
      <w:r w:rsidRPr="00B50569">
        <w:rPr>
          <w:i/>
          <w:iCs/>
          <w:sz w:val="20"/>
        </w:rPr>
        <w:t xml:space="preserve">. Our filings and other important information are also available on the Investor Relations page of our website at </w:t>
      </w:r>
      <w:r w:rsidRPr="00B50569">
        <w:rPr>
          <w:i/>
          <w:iCs/>
          <w:sz w:val="20"/>
          <w:u w:val="single"/>
        </w:rPr>
        <w:t>www.mrcglobal.com.</w:t>
      </w:r>
    </w:p>
    <w:p w:rsidR="00B50569" w:rsidRPr="00B50569" w:rsidRDefault="00B50569" w:rsidP="00B50569">
      <w:pPr>
        <w:overflowPunct/>
        <w:autoSpaceDE/>
        <w:autoSpaceDN/>
        <w:adjustRightInd/>
        <w:spacing w:before="138"/>
        <w:jc w:val="both"/>
        <w:rPr>
          <w:b/>
          <w:iCs/>
          <w:sz w:val="20"/>
        </w:rPr>
      </w:pPr>
      <w:r w:rsidRPr="00B50569">
        <w:rPr>
          <w:i/>
          <w:iCs/>
          <w:sz w:val="20"/>
        </w:rPr>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w:t>
      </w:r>
      <w:proofErr w:type="gramStart"/>
      <w:r w:rsidRPr="00B50569">
        <w:rPr>
          <w:i/>
          <w:iCs/>
          <w:sz w:val="20"/>
        </w:rPr>
        <w:t>as a result of</w:t>
      </w:r>
      <w:proofErr w:type="gramEnd"/>
      <w:r w:rsidRPr="00B50569">
        <w:rPr>
          <w:i/>
          <w:iCs/>
          <w:sz w:val="20"/>
        </w:rPr>
        <w:t xml:space="preserve"> new information, future events, changed circumstances or otherwise, except to the extent required by law. </w:t>
      </w:r>
    </w:p>
    <w:p w:rsidR="00B50569" w:rsidRPr="00B50569" w:rsidRDefault="00B50569" w:rsidP="00B50569">
      <w:pPr>
        <w:overflowPunct/>
        <w:autoSpaceDE/>
        <w:adjustRightInd/>
        <w:spacing w:after="200" w:line="276" w:lineRule="auto"/>
        <w:textAlignment w:val="baseline"/>
        <w:rPr>
          <w:rFonts w:ascii="Arial" w:hAnsi="Arial" w:cs="Arial"/>
          <w:sz w:val="20"/>
          <w:u w:val="single"/>
        </w:rPr>
      </w:pP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B50569" w:rsidRPr="00B50569" w:rsidTr="007D35A2">
        <w:trPr>
          <w:trHeight w:val="20"/>
        </w:trPr>
        <w:tc>
          <w:tcPr>
            <w:tcW w:w="3656" w:type="dxa"/>
            <w:vAlign w:val="center"/>
          </w:tcPr>
          <w:p w:rsidR="00B50569" w:rsidRPr="00B50569" w:rsidRDefault="00B50569" w:rsidP="00B50569">
            <w:pPr>
              <w:jc w:val="both"/>
              <w:textAlignment w:val="baseline"/>
              <w:rPr>
                <w:rFonts w:ascii="Arial" w:hAnsi="Arial" w:cs="Arial"/>
                <w:sz w:val="22"/>
                <w:szCs w:val="22"/>
              </w:rPr>
            </w:pPr>
          </w:p>
        </w:tc>
      </w:tr>
      <w:tr w:rsidR="00B50569" w:rsidRPr="00B50569" w:rsidTr="007D35A2">
        <w:trPr>
          <w:trHeight w:val="504"/>
        </w:trPr>
        <w:tc>
          <w:tcPr>
            <w:tcW w:w="3656" w:type="dxa"/>
            <w:vAlign w:val="center"/>
            <w:hideMark/>
          </w:tcPr>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Monica Broughton</w:t>
            </w:r>
          </w:p>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Investor Relations</w:t>
            </w:r>
          </w:p>
        </w:tc>
      </w:tr>
      <w:tr w:rsidR="00B50569" w:rsidRPr="00B50569" w:rsidTr="007D35A2">
        <w:trPr>
          <w:trHeight w:val="324"/>
        </w:trPr>
        <w:tc>
          <w:tcPr>
            <w:tcW w:w="3656" w:type="dxa"/>
            <w:vAlign w:val="center"/>
            <w:hideMark/>
          </w:tcPr>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MRC Global Inc.</w:t>
            </w:r>
          </w:p>
        </w:tc>
      </w:tr>
      <w:tr w:rsidR="00B50569" w:rsidRPr="00B50569" w:rsidTr="007D35A2">
        <w:tc>
          <w:tcPr>
            <w:tcW w:w="3656" w:type="dxa"/>
            <w:vAlign w:val="center"/>
            <w:hideMark/>
          </w:tcPr>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Monica.Broughton@mrcglobal.com</w:t>
            </w:r>
          </w:p>
        </w:tc>
      </w:tr>
      <w:tr w:rsidR="00B50569" w:rsidRPr="00B50569" w:rsidTr="007D35A2">
        <w:tc>
          <w:tcPr>
            <w:tcW w:w="3656" w:type="dxa"/>
            <w:vAlign w:val="center"/>
            <w:hideMark/>
          </w:tcPr>
          <w:p w:rsidR="00B50569" w:rsidRPr="00B50569" w:rsidRDefault="00B50569" w:rsidP="00B50569">
            <w:pPr>
              <w:jc w:val="both"/>
              <w:textAlignment w:val="baseline"/>
              <w:rPr>
                <w:rFonts w:ascii="Arial" w:hAnsi="Arial" w:cs="Arial"/>
                <w:sz w:val="22"/>
                <w:szCs w:val="22"/>
              </w:rPr>
            </w:pPr>
            <w:r w:rsidRPr="00B50569">
              <w:rPr>
                <w:rFonts w:ascii="Arial" w:hAnsi="Arial" w:cs="Arial"/>
                <w:sz w:val="22"/>
                <w:szCs w:val="22"/>
              </w:rPr>
              <w:t>832-308-2847</w:t>
            </w:r>
          </w:p>
        </w:tc>
      </w:tr>
    </w:tbl>
    <w:p w:rsidR="00B50569" w:rsidRPr="00B50569" w:rsidRDefault="00B50569" w:rsidP="00B50569">
      <w:pPr>
        <w:textAlignment w:val="baseline"/>
      </w:pPr>
    </w:p>
    <w:p w:rsidR="00B50569" w:rsidRPr="00B50569" w:rsidRDefault="00B50569" w:rsidP="00B50569">
      <w:pPr>
        <w:pageBreakBefore/>
        <w:overflowPunct/>
        <w:autoSpaceDE/>
        <w:autoSpaceDN/>
        <w:adjustRightInd/>
        <w:contextualSpacing/>
        <w:jc w:val="center"/>
        <w:rPr>
          <w:b/>
          <w:iCs/>
          <w:sz w:val="20"/>
        </w:rPr>
      </w:pPr>
      <w:r w:rsidRPr="00B50569">
        <w:rPr>
          <w:b/>
          <w:iCs/>
          <w:sz w:val="20"/>
        </w:rPr>
        <w:lastRenderedPageBreak/>
        <w:t>MRC Global Inc.</w:t>
      </w:r>
    </w:p>
    <w:p w:rsidR="00B50569" w:rsidRPr="00B50569" w:rsidRDefault="00B50569" w:rsidP="00B50569">
      <w:pPr>
        <w:overflowPunct/>
        <w:autoSpaceDE/>
        <w:autoSpaceDN/>
        <w:adjustRightInd/>
        <w:contextualSpacing/>
        <w:jc w:val="center"/>
        <w:rPr>
          <w:b/>
          <w:iCs/>
          <w:sz w:val="20"/>
        </w:rPr>
      </w:pPr>
      <w:r w:rsidRPr="00B50569">
        <w:rPr>
          <w:b/>
          <w:iCs/>
          <w:sz w:val="20"/>
        </w:rPr>
        <w:t>Condensed Consolidated Balance Sheets (Unaudited)</w:t>
      </w:r>
    </w:p>
    <w:p w:rsidR="00B50569" w:rsidRPr="00B50569" w:rsidRDefault="00B50569" w:rsidP="00B50569">
      <w:pPr>
        <w:overflowPunct/>
        <w:autoSpaceDE/>
        <w:autoSpaceDN/>
        <w:adjustRightInd/>
        <w:contextualSpacing/>
        <w:jc w:val="center"/>
        <w:rPr>
          <w:i/>
          <w:iCs/>
          <w:sz w:val="20"/>
        </w:rPr>
      </w:pPr>
      <w:r w:rsidRPr="00B50569">
        <w:rPr>
          <w:i/>
          <w:iCs/>
          <w:sz w:val="20"/>
        </w:rPr>
        <w:t>(in millions)</w:t>
      </w:r>
    </w:p>
    <w:p w:rsidR="00B50569" w:rsidRPr="00B50569" w:rsidRDefault="00B50569" w:rsidP="00B50569">
      <w:pPr>
        <w:overflowPunct/>
        <w:autoSpaceDE/>
        <w:autoSpaceDN/>
        <w:adjustRightInd/>
        <w:jc w:val="both"/>
        <w:rPr>
          <w:i/>
          <w:iCs/>
          <w:sz w:val="2"/>
        </w:rPr>
      </w:pPr>
    </w:p>
    <w:p w:rsidR="00B50569" w:rsidRPr="00B50569" w:rsidRDefault="00B50569" w:rsidP="00B50569">
      <w:pPr>
        <w:textAlignment w:val="baseline"/>
        <w:rPr>
          <w:sz w:val="2"/>
        </w:rPr>
      </w:pPr>
    </w:p>
    <w:p w:rsidR="00B50569" w:rsidRPr="00B50569" w:rsidRDefault="00B50569" w:rsidP="00B50569">
      <w:pPr>
        <w:textAlignment w:val="baseline"/>
        <w:rPr>
          <w:sz w:val="2"/>
        </w:rPr>
      </w:pPr>
    </w:p>
    <w:p w:rsidR="00B50569" w:rsidRPr="00B50569" w:rsidRDefault="00B50569" w:rsidP="00B50569">
      <w:pPr>
        <w:textAlignment w:val="baseline"/>
        <w:rPr>
          <w:sz w:val="2"/>
        </w:rPr>
      </w:pPr>
    </w:p>
    <w:p w:rsidR="00B50569" w:rsidRPr="00B50569" w:rsidRDefault="00B50569" w:rsidP="00B50569">
      <w:pPr>
        <w:textAlignment w:val="baseline"/>
        <w:rPr>
          <w:sz w:val="2"/>
        </w:rPr>
      </w:pPr>
    </w:p>
    <w:p w:rsidR="00B50569" w:rsidRPr="00B50569" w:rsidRDefault="00B50569" w:rsidP="00B50569">
      <w:pPr>
        <w:textAlignment w:val="baseline"/>
      </w:pPr>
    </w:p>
    <w:p w:rsidR="00B50569" w:rsidRPr="00B50569" w:rsidRDefault="00B50569" w:rsidP="00B50569">
      <w:pPr>
        <w:textAlignment w:val="baseline"/>
      </w:pP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contextualSpacing/>
        <w:jc w:val="center"/>
        <w:rPr>
          <w:b/>
          <w:iCs/>
          <w:sz w:val="2"/>
        </w:rPr>
      </w:pPr>
      <w:r w:rsidRPr="00B50569">
        <w:rPr>
          <w:b/>
          <w:iCs/>
          <w:sz w:val="2"/>
        </w:rPr>
        <w:t>0</w:t>
      </w:r>
    </w:p>
    <w:tbl>
      <w:tblPr>
        <w:tblW w:w="5000" w:type="pct"/>
        <w:tblCellMar>
          <w:left w:w="0" w:type="dxa"/>
          <w:right w:w="0" w:type="dxa"/>
        </w:tblCellMar>
        <w:tblLook w:val="04A0" w:firstRow="1" w:lastRow="0" w:firstColumn="1" w:lastColumn="0" w:noHBand="0" w:noVBand="1"/>
      </w:tblPr>
      <w:tblGrid>
        <w:gridCol w:w="6913"/>
        <w:gridCol w:w="289"/>
        <w:gridCol w:w="1458"/>
        <w:gridCol w:w="395"/>
        <w:gridCol w:w="289"/>
        <w:gridCol w:w="1456"/>
      </w:tblGrid>
      <w:tr w:rsidR="00B50569" w:rsidRPr="00B50569" w:rsidTr="007D35A2">
        <w:trPr>
          <w:trHeight w:hRule="exact" w:val="20"/>
        </w:trPr>
        <w:tc>
          <w:tcPr>
            <w:tcW w:w="3200"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3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67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83"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3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67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r>
      <w:tr w:rsidR="00B50569" w:rsidRPr="00B50569" w:rsidTr="007D35A2">
        <w:trPr>
          <w:trHeight w:hRule="exact" w:val="315"/>
        </w:trPr>
        <w:tc>
          <w:tcPr>
            <w:tcW w:w="3200"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December 31, </w:t>
            </w:r>
          </w:p>
        </w:tc>
      </w:tr>
      <w:tr w:rsidR="00B50569" w:rsidRPr="00B50569" w:rsidTr="007D35A2">
        <w:trPr>
          <w:trHeight w:hRule="exact" w:val="315"/>
        </w:trPr>
        <w:tc>
          <w:tcPr>
            <w:tcW w:w="3200"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2018</w:t>
            </w:r>
          </w:p>
        </w:tc>
        <w:tc>
          <w:tcPr>
            <w:tcW w:w="183"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 2017</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Assets</w:t>
            </w:r>
          </w:p>
        </w:tc>
        <w:tc>
          <w:tcPr>
            <w:tcW w:w="134"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Current assets: </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 xml:space="preserve">Cash </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43</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48</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Accounts receivable, net</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587</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522</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Inventories, net</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797</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701</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Other current assets</w:t>
            </w:r>
          </w:p>
        </w:tc>
        <w:tc>
          <w:tcPr>
            <w:tcW w:w="13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38</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47</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Total current assets</w:t>
            </w:r>
          </w:p>
        </w:tc>
        <w:tc>
          <w:tcPr>
            <w:tcW w:w="134"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1,465</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1,318</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Other assets</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23</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21</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Property, plant and equipment, net</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140</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147</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 xml:space="preserve">Intangible assets: </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Goodwill, net</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484</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486</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Other intangible assets, net</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322</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368</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p>
        </w:tc>
        <w:tc>
          <w:tcPr>
            <w:tcW w:w="13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300"/>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675"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2,434</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674"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2,340</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Liabilities and stockholders' equity</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Current liabilities: </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Trade accounts payable</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435</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415</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Accrued expenses and other current liabilities</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130</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143</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Current portion of long-term debt</w:t>
            </w:r>
          </w:p>
        </w:tc>
        <w:tc>
          <w:tcPr>
            <w:tcW w:w="134"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4</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Total current liabilities</w:t>
            </w:r>
          </w:p>
        </w:tc>
        <w:tc>
          <w:tcPr>
            <w:tcW w:w="134"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single" w:sz="0" w:space="0" w:color="000000"/>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569</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562</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Long-term obligations: </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Long-term debt, net</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680</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522</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Deferred income taxes</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98</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106</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Other liabilities</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40</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36</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Commitments and contingencies</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6.5% Series A Convertible Perpetual Preferred Stock, $0.01 par value; authorized</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363,000 shares; 363,000 shares issued and outstanding</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355</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355</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 xml:space="preserve">Stockholders' equity: </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 xml:space="preserve">Common stock, $0.01 par value per share: 500 million shares authorized, </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104,953,693 and 103,099,692 issued, respectively</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Additional paid-in capital</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1,721</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1,691</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Retained deficit</w:t>
            </w: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(498)</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(548)</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color w:val="000000"/>
                <w:sz w:val="20"/>
              </w:rPr>
            </w:pPr>
            <w:r w:rsidRPr="00B50569">
              <w:rPr>
                <w:color w:val="000000"/>
                <w:sz w:val="20"/>
              </w:rPr>
              <w:t>Treasury stock at cost: 19,347,839 and 11,751,726 shares, respectively</w:t>
            </w: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(300)</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(175)</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ind w:left="120"/>
              <w:textAlignment w:val="baseline"/>
              <w:rPr>
                <w:color w:val="000000"/>
                <w:sz w:val="20"/>
              </w:rPr>
            </w:pPr>
            <w:r w:rsidRPr="00B50569">
              <w:rPr>
                <w:color w:val="000000"/>
                <w:sz w:val="20"/>
              </w:rPr>
              <w:t>Accumulated other comprehensive loss</w:t>
            </w:r>
          </w:p>
        </w:tc>
        <w:tc>
          <w:tcPr>
            <w:tcW w:w="13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675" w:type="pct"/>
            <w:tcBorders>
              <w:top w:val="nil"/>
              <w:left w:val="nil"/>
              <w:bottom w:val="single" w:sz="12" w:space="0" w:color="000000"/>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(232)</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000000"/>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(210)</w:t>
            </w:r>
          </w:p>
        </w:tc>
      </w:tr>
      <w:tr w:rsidR="00B50569" w:rsidRPr="00B50569" w:rsidTr="007D35A2">
        <w:trPr>
          <w:trHeight w:hRule="exact" w:val="255"/>
        </w:trPr>
        <w:tc>
          <w:tcPr>
            <w:tcW w:w="3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5"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692</w:t>
            </w:r>
          </w:p>
        </w:tc>
        <w:tc>
          <w:tcPr>
            <w:tcW w:w="18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759</w:t>
            </w:r>
          </w:p>
        </w:tc>
      </w:tr>
      <w:tr w:rsidR="00B50569" w:rsidRPr="00B50569" w:rsidTr="007D35A2">
        <w:trPr>
          <w:trHeight w:hRule="exact" w:val="255"/>
        </w:trPr>
        <w:tc>
          <w:tcPr>
            <w:tcW w:w="320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textAlignment w:val="baseline"/>
              <w:rPr>
                <w:b/>
                <w:color w:val="000000"/>
                <w:sz w:val="20"/>
              </w:rPr>
            </w:pPr>
            <w:r w:rsidRPr="00B50569">
              <w:rPr>
                <w:b/>
                <w:color w:val="000000"/>
                <w:sz w:val="20"/>
              </w:rPr>
              <w:t>$</w:t>
            </w:r>
          </w:p>
        </w:tc>
        <w:tc>
          <w:tcPr>
            <w:tcW w:w="675"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2,434</w:t>
            </w:r>
          </w:p>
        </w:tc>
        <w:tc>
          <w:tcPr>
            <w:tcW w:w="18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34"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w:t>
            </w:r>
          </w:p>
        </w:tc>
        <w:tc>
          <w:tcPr>
            <w:tcW w:w="674"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2,340</w:t>
            </w:r>
          </w:p>
        </w:tc>
      </w:tr>
    </w:tbl>
    <w:p w:rsidR="00B50569" w:rsidRPr="00B50569" w:rsidRDefault="00B50569" w:rsidP="00B50569">
      <w:pPr>
        <w:textAlignment w:val="baseline"/>
      </w:pP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contextualSpacing/>
        <w:jc w:val="center"/>
        <w:rPr>
          <w:b/>
          <w:iCs/>
          <w:sz w:val="20"/>
        </w:rPr>
      </w:pPr>
      <w:r w:rsidRPr="00B50569">
        <w:rPr>
          <w:b/>
          <w:iCs/>
          <w:sz w:val="20"/>
        </w:rPr>
        <w:lastRenderedPageBreak/>
        <w:t>MRC Global Inc.</w:t>
      </w:r>
    </w:p>
    <w:p w:rsidR="00B50569" w:rsidRPr="00B50569" w:rsidRDefault="00B50569" w:rsidP="00B50569">
      <w:pPr>
        <w:overflowPunct/>
        <w:autoSpaceDE/>
        <w:autoSpaceDN/>
        <w:adjustRightInd/>
        <w:contextualSpacing/>
        <w:jc w:val="center"/>
        <w:rPr>
          <w:b/>
          <w:iCs/>
          <w:sz w:val="20"/>
        </w:rPr>
      </w:pPr>
      <w:r w:rsidRPr="00B50569">
        <w:rPr>
          <w:b/>
          <w:iCs/>
          <w:sz w:val="20"/>
        </w:rPr>
        <w:t>Condensed Consolidated Statements of Operations (Unaudited)</w:t>
      </w:r>
    </w:p>
    <w:p w:rsidR="00B50569" w:rsidRPr="00B50569" w:rsidRDefault="00B50569" w:rsidP="00B50569">
      <w:pPr>
        <w:overflowPunct/>
        <w:autoSpaceDE/>
        <w:autoSpaceDN/>
        <w:adjustRightInd/>
        <w:contextualSpacing/>
        <w:jc w:val="center"/>
        <w:rPr>
          <w:i/>
          <w:iCs/>
          <w:sz w:val="20"/>
        </w:rPr>
      </w:pPr>
      <w:r w:rsidRPr="00B50569">
        <w:rPr>
          <w:i/>
          <w:iCs/>
          <w:sz w:val="20"/>
        </w:rPr>
        <w:t>(in millions, except per share amounts)</w:t>
      </w:r>
    </w:p>
    <w:p w:rsidR="00B50569" w:rsidRPr="00B50569" w:rsidRDefault="00B50569" w:rsidP="00B50569">
      <w:pPr>
        <w:textAlignment w:val="baseline"/>
      </w:pPr>
    </w:p>
    <w:p w:rsidR="00B50569" w:rsidRPr="00B50569" w:rsidRDefault="00B50569" w:rsidP="00B50569">
      <w:pPr>
        <w:textAlignment w:val="baseline"/>
        <w:rPr>
          <w:sz w:val="2"/>
        </w:rPr>
      </w:pPr>
    </w:p>
    <w:p w:rsidR="00B50569" w:rsidRPr="00B50569" w:rsidRDefault="00B50569" w:rsidP="00B50569">
      <w:pPr>
        <w:textAlignment w:val="baseline"/>
      </w:pPr>
    </w:p>
    <w:p w:rsidR="00B50569" w:rsidRPr="00B50569" w:rsidRDefault="00B50569" w:rsidP="00B50569">
      <w:pPr>
        <w:textAlignment w:val="baseline"/>
        <w:rPr>
          <w:sz w:val="2"/>
        </w:rPr>
      </w:pPr>
    </w:p>
    <w:p w:rsidR="00B50569" w:rsidRPr="00B50569" w:rsidRDefault="00B50569" w:rsidP="00B50569">
      <w:pPr>
        <w:textAlignment w:val="baseline"/>
      </w:pPr>
    </w:p>
    <w:p w:rsidR="00B50569" w:rsidRPr="00B50569" w:rsidRDefault="00B50569" w:rsidP="00B50569">
      <w:pPr>
        <w:textAlignment w:val="baseline"/>
        <w:rPr>
          <w:sz w:val="2"/>
        </w:rPr>
      </w:pPr>
      <w:r w:rsidRPr="00B50569">
        <w:rPr>
          <w:sz w:val="2"/>
        </w:rPr>
        <w:t>0</w:t>
      </w:r>
    </w:p>
    <w:tbl>
      <w:tblPr>
        <w:tblW w:w="5000" w:type="pct"/>
        <w:tblCellMar>
          <w:left w:w="0" w:type="dxa"/>
          <w:right w:w="0" w:type="dxa"/>
        </w:tblCellMar>
        <w:tblLook w:val="04A0" w:firstRow="1" w:lastRow="0" w:firstColumn="1" w:lastColumn="0" w:noHBand="0" w:noVBand="1"/>
      </w:tblPr>
      <w:tblGrid>
        <w:gridCol w:w="3967"/>
        <w:gridCol w:w="253"/>
        <w:gridCol w:w="1128"/>
        <w:gridCol w:w="438"/>
        <w:gridCol w:w="253"/>
        <w:gridCol w:w="1128"/>
        <w:gridCol w:w="438"/>
        <w:gridCol w:w="253"/>
        <w:gridCol w:w="1128"/>
        <w:gridCol w:w="438"/>
        <w:gridCol w:w="253"/>
        <w:gridCol w:w="1123"/>
      </w:tblGrid>
      <w:tr w:rsidR="00B50569" w:rsidRPr="00B50569" w:rsidTr="007D35A2">
        <w:trPr>
          <w:trHeight w:hRule="exact" w:val="20"/>
        </w:trPr>
        <w:tc>
          <w:tcPr>
            <w:tcW w:w="183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522"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203"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522"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203"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522"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203"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520"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r>
      <w:tr w:rsidR="00B50569" w:rsidRPr="00B50569" w:rsidTr="007D35A2">
        <w:trPr>
          <w:trHeight w:hRule="exact" w:val="315"/>
        </w:trPr>
        <w:tc>
          <w:tcPr>
            <w:tcW w:w="1837"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Three Months Ended</w:t>
            </w:r>
          </w:p>
        </w:tc>
        <w:tc>
          <w:tcPr>
            <w:tcW w:w="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Year Ended</w:t>
            </w:r>
          </w:p>
        </w:tc>
      </w:tr>
      <w:tr w:rsidR="00B50569" w:rsidRPr="00B50569" w:rsidTr="007D35A2">
        <w:trPr>
          <w:trHeight w:hRule="exact" w:val="315"/>
        </w:trPr>
        <w:tc>
          <w:tcPr>
            <w:tcW w:w="1837"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i/>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December 31,</w:t>
            </w:r>
          </w:p>
        </w:tc>
        <w:tc>
          <w:tcPr>
            <w:tcW w:w="203"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December 31,</w:t>
            </w:r>
          </w:p>
        </w:tc>
        <w:tc>
          <w:tcPr>
            <w:tcW w:w="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December 31,</w:t>
            </w:r>
          </w:p>
        </w:tc>
        <w:tc>
          <w:tcPr>
            <w:tcW w:w="203"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December 31,</w:t>
            </w:r>
          </w:p>
        </w:tc>
      </w:tr>
      <w:tr w:rsidR="00B50569" w:rsidRPr="00B50569" w:rsidTr="007D35A2">
        <w:trPr>
          <w:trHeight w:hRule="exact" w:val="315"/>
        </w:trPr>
        <w:tc>
          <w:tcPr>
            <w:tcW w:w="1837"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2018</w:t>
            </w:r>
          </w:p>
        </w:tc>
        <w:tc>
          <w:tcPr>
            <w:tcW w:w="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 2017</w:t>
            </w:r>
          </w:p>
        </w:tc>
        <w:tc>
          <w:tcPr>
            <w:tcW w:w="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2018</w:t>
            </w:r>
          </w:p>
        </w:tc>
        <w:tc>
          <w:tcPr>
            <w:tcW w:w="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 2017</w:t>
            </w:r>
          </w:p>
        </w:tc>
      </w:tr>
      <w:tr w:rsidR="00B50569" w:rsidRPr="00B50569" w:rsidTr="007D35A2">
        <w:trPr>
          <w:trHeight w:hRule="exact" w:val="60"/>
        </w:trPr>
        <w:tc>
          <w:tcPr>
            <w:tcW w:w="1837"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522"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p>
        </w:tc>
        <w:tc>
          <w:tcPr>
            <w:tcW w:w="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522"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p>
        </w:tc>
        <w:tc>
          <w:tcPr>
            <w:tcW w:w="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522"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p>
        </w:tc>
        <w:tc>
          <w:tcPr>
            <w:tcW w:w="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52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Sales</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1,009</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903</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4,172</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520"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3,646</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Cost of sales </w:t>
            </w: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838</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762</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3,483</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3,064</w:t>
            </w: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Gross profit</w:t>
            </w:r>
          </w:p>
        </w:tc>
        <w:tc>
          <w:tcPr>
            <w:tcW w:w="117"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171</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141</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689</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0"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582</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Selling, general and administrative expenses</w:t>
            </w: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148</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148</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562</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0"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536</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Operating income (loss) </w:t>
            </w:r>
          </w:p>
        </w:tc>
        <w:tc>
          <w:tcPr>
            <w:tcW w:w="117"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single" w:sz="0" w:space="0" w:color="000000"/>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23</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single" w:sz="0" w:space="0" w:color="000000"/>
              <w:left w:val="nil"/>
              <w:bottom w:val="nil"/>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(7)</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single" w:sz="0" w:space="0" w:color="000000"/>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127</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single" w:sz="0" w:space="0" w:color="000000"/>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46</w:t>
            </w: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Other (expense) income:</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 xml:space="preserve">   Interest expense</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(10)</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(7)</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(38)</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(31)</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   Write </w:t>
            </w:r>
            <w:proofErr w:type="gramStart"/>
            <w:r w:rsidRPr="00B50569">
              <w:rPr>
                <w:color w:val="000000"/>
                <w:sz w:val="20"/>
              </w:rPr>
              <w:t>off of</w:t>
            </w:r>
            <w:proofErr w:type="gramEnd"/>
            <w:r w:rsidRPr="00B50569">
              <w:rPr>
                <w:color w:val="000000"/>
                <w:sz w:val="20"/>
              </w:rPr>
              <w:t xml:space="preserve"> debt issuance costs</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(1)</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(8)</w:t>
            </w: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 xml:space="preserve">   Other, net</w:t>
            </w: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3</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7</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0"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Income (loss) before income taxes</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16</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(14)</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95</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7</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Income tax expense (benefit) </w:t>
            </w: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6</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(49)</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21</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nil"/>
              <w:left w:val="nil"/>
              <w:bottom w:val="single" w:sz="12" w:space="0" w:color="000000"/>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(43)</w:t>
            </w: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 xml:space="preserve">Net income </w:t>
            </w:r>
          </w:p>
        </w:tc>
        <w:tc>
          <w:tcPr>
            <w:tcW w:w="117"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10</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35</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522"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74</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0"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50</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Series A preferred stock dividends</w:t>
            </w: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6</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6</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color w:val="000000"/>
                <w:sz w:val="20"/>
              </w:rPr>
            </w:pPr>
          </w:p>
        </w:tc>
        <w:tc>
          <w:tcPr>
            <w:tcW w:w="522"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24</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24</w:t>
            </w: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Net income attributable to common stockholders</w:t>
            </w:r>
          </w:p>
        </w:tc>
        <w:tc>
          <w:tcPr>
            <w:tcW w:w="117"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522"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522"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29</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522"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50</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52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26</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Basic earnings per common share</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0.05</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0.31</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w:t>
            </w: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0.55</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t>
            </w:r>
          </w:p>
        </w:tc>
        <w:tc>
          <w:tcPr>
            <w:tcW w:w="520"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0.28</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Diluted earnings per common share</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r w:rsidRPr="00B50569">
              <w:rPr>
                <w:b/>
                <w:color w:val="000000"/>
                <w:sz w:val="20"/>
              </w:rPr>
              <w:t>$</w:t>
            </w:r>
          </w:p>
        </w:tc>
        <w:tc>
          <w:tcPr>
            <w:tcW w:w="522"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0.04</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w:t>
            </w:r>
          </w:p>
        </w:tc>
        <w:tc>
          <w:tcPr>
            <w:tcW w:w="522"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0.30</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(1)</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r w:rsidRPr="00B50569">
              <w:rPr>
                <w:b/>
                <w:color w:val="000000"/>
                <w:sz w:val="20"/>
              </w:rPr>
              <w:t>$</w:t>
            </w:r>
          </w:p>
        </w:tc>
        <w:tc>
          <w:tcPr>
            <w:tcW w:w="522"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0.54</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w:t>
            </w:r>
          </w:p>
        </w:tc>
        <w:tc>
          <w:tcPr>
            <w:tcW w:w="520"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0.27</w:t>
            </w:r>
          </w:p>
        </w:tc>
      </w:tr>
      <w:tr w:rsidR="00B50569" w:rsidRPr="00B50569" w:rsidTr="007D35A2">
        <w:trPr>
          <w:trHeight w:hRule="exact" w:val="255"/>
        </w:trPr>
        <w:tc>
          <w:tcPr>
            <w:tcW w:w="183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Weighted-average common shares, basic</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88.6</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93.4</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90.1</w:t>
            </w:r>
          </w:p>
        </w:tc>
        <w:tc>
          <w:tcPr>
            <w:tcW w:w="20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94.3</w:t>
            </w:r>
          </w:p>
        </w:tc>
      </w:tr>
      <w:tr w:rsidR="00B50569" w:rsidRPr="00B50569" w:rsidTr="007D35A2">
        <w:trPr>
          <w:trHeight w:hRule="exact" w:val="255"/>
        </w:trPr>
        <w:tc>
          <w:tcPr>
            <w:tcW w:w="183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Weighted-average common shares, diluted</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89.9</w:t>
            </w:r>
          </w:p>
        </w:tc>
        <w:tc>
          <w:tcPr>
            <w:tcW w:w="203" w:type="pct"/>
            <w:tcBorders>
              <w:top w:val="nil"/>
              <w:left w:val="nil"/>
              <w:bottom w:val="nil"/>
              <w:right w:val="nil"/>
              <w:tl2br w:val="nil"/>
              <w:tr2bl w:val="nil"/>
            </w:tcBorders>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94.8</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(1)</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2"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91.8</w:t>
            </w:r>
          </w:p>
        </w:tc>
        <w:tc>
          <w:tcPr>
            <w:tcW w:w="203"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520"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95.6</w:t>
            </w:r>
          </w:p>
        </w:tc>
      </w:tr>
    </w:tbl>
    <w:p w:rsidR="00B50569" w:rsidRPr="00B50569" w:rsidRDefault="00B50569" w:rsidP="00B50569">
      <w:pPr>
        <w:textAlignment w:val="baseline"/>
      </w:pPr>
    </w:p>
    <w:p w:rsidR="00B50569" w:rsidRPr="00B50569" w:rsidRDefault="00B50569" w:rsidP="00B50569">
      <w:pPr>
        <w:textAlignment w:val="baseline"/>
        <w:rPr>
          <w:sz w:val="2"/>
        </w:rPr>
      </w:pP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contextualSpacing/>
        <w:rPr>
          <w:b/>
          <w:iCs/>
          <w:sz w:val="20"/>
          <w:u w:val="single"/>
        </w:rPr>
      </w:pPr>
      <w:r w:rsidRPr="00B50569">
        <w:rPr>
          <w:b/>
          <w:iCs/>
          <w:sz w:val="20"/>
          <w:u w:val="single"/>
        </w:rPr>
        <w:t>Notes to above:</w:t>
      </w:r>
    </w:p>
    <w:p w:rsidR="00B50569" w:rsidRPr="00B50569" w:rsidRDefault="00B50569" w:rsidP="00B50569">
      <w:pPr>
        <w:overflowPunct/>
        <w:autoSpaceDE/>
        <w:autoSpaceDN/>
        <w:adjustRightInd/>
        <w:contextualSpacing/>
        <w:rPr>
          <w:b/>
          <w:iCs/>
          <w:sz w:val="20"/>
        </w:rPr>
      </w:pPr>
    </w:p>
    <w:p w:rsidR="00B50569" w:rsidRPr="00B50569" w:rsidRDefault="00B50569" w:rsidP="00B50569">
      <w:pPr>
        <w:numPr>
          <w:ilvl w:val="0"/>
          <w:numId w:val="21"/>
        </w:numPr>
        <w:overflowPunct/>
        <w:autoSpaceDE/>
        <w:autoSpaceDN/>
        <w:adjustRightInd/>
        <w:contextualSpacing/>
        <w:textAlignment w:val="baseline"/>
        <w:rPr>
          <w:iCs/>
          <w:sz w:val="20"/>
        </w:rPr>
      </w:pPr>
      <w:r w:rsidRPr="00B50569">
        <w:rPr>
          <w:iCs/>
          <w:sz w:val="20"/>
        </w:rPr>
        <w:t>The preferred stock shares (20.3 million shares) were dilutive in the fourth quarter of 2017 only.  The diluted earnings per common share calculation is calculated as net income of $35 million divided by 115.1 million shares.</w:t>
      </w: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contextualSpacing/>
        <w:jc w:val="center"/>
        <w:rPr>
          <w:b/>
          <w:iCs/>
          <w:sz w:val="20"/>
        </w:rPr>
      </w:pPr>
    </w:p>
    <w:p w:rsidR="00B50569" w:rsidRPr="00B50569" w:rsidRDefault="00B50569" w:rsidP="00B50569">
      <w:pPr>
        <w:overflowPunct/>
        <w:autoSpaceDE/>
        <w:autoSpaceDN/>
        <w:adjustRightInd/>
        <w:spacing w:after="200" w:line="276" w:lineRule="auto"/>
        <w:rPr>
          <w:b/>
          <w:iCs/>
          <w:sz w:val="20"/>
        </w:rPr>
      </w:pPr>
      <w:r w:rsidRPr="00B50569">
        <w:rPr>
          <w:b/>
          <w:iCs/>
          <w:sz w:val="20"/>
        </w:rPr>
        <w:br w:type="page"/>
      </w:r>
    </w:p>
    <w:p w:rsidR="00B50569" w:rsidRPr="00B50569" w:rsidRDefault="00B50569" w:rsidP="00B50569">
      <w:pPr>
        <w:keepNext/>
        <w:overflowPunct/>
        <w:autoSpaceDE/>
        <w:autoSpaceDN/>
        <w:adjustRightInd/>
        <w:contextualSpacing/>
        <w:jc w:val="center"/>
        <w:rPr>
          <w:b/>
          <w:iCs/>
          <w:sz w:val="20"/>
        </w:rPr>
      </w:pPr>
      <w:r w:rsidRPr="00B50569">
        <w:rPr>
          <w:b/>
          <w:iCs/>
          <w:sz w:val="20"/>
        </w:rPr>
        <w:lastRenderedPageBreak/>
        <w:t>MRC Global Inc.</w:t>
      </w:r>
    </w:p>
    <w:p w:rsidR="00B50569" w:rsidRPr="00B50569" w:rsidRDefault="00B50569" w:rsidP="00B50569">
      <w:pPr>
        <w:keepNext/>
        <w:overflowPunct/>
        <w:autoSpaceDE/>
        <w:autoSpaceDN/>
        <w:adjustRightInd/>
        <w:contextualSpacing/>
        <w:jc w:val="center"/>
        <w:rPr>
          <w:b/>
          <w:iCs/>
          <w:sz w:val="20"/>
        </w:rPr>
      </w:pPr>
      <w:r w:rsidRPr="00B50569">
        <w:rPr>
          <w:b/>
          <w:iCs/>
          <w:sz w:val="20"/>
        </w:rPr>
        <w:t>Condensed Consolidated Statements of Cash Flows (Unaudited)</w:t>
      </w:r>
    </w:p>
    <w:p w:rsidR="00B50569" w:rsidRPr="00B50569" w:rsidRDefault="00B50569" w:rsidP="00B50569">
      <w:pPr>
        <w:keepNext/>
        <w:overflowPunct/>
        <w:autoSpaceDE/>
        <w:autoSpaceDN/>
        <w:adjustRightInd/>
        <w:contextualSpacing/>
        <w:jc w:val="center"/>
        <w:rPr>
          <w:i/>
          <w:iCs/>
          <w:sz w:val="20"/>
        </w:rPr>
      </w:pPr>
      <w:r w:rsidRPr="00B50569">
        <w:rPr>
          <w:i/>
          <w:iCs/>
          <w:sz w:val="20"/>
        </w:rPr>
        <w:t>(in millions)</w:t>
      </w:r>
    </w:p>
    <w:p w:rsidR="00B50569" w:rsidRPr="00B50569" w:rsidRDefault="00B50569" w:rsidP="00B50569">
      <w:pPr>
        <w:textAlignment w:val="baseline"/>
        <w:rPr>
          <w:sz w:val="2"/>
        </w:rPr>
      </w:pPr>
    </w:p>
    <w:p w:rsidR="00B50569" w:rsidRPr="00B50569" w:rsidRDefault="00B50569" w:rsidP="00B50569">
      <w:pPr>
        <w:overflowPunct/>
        <w:autoSpaceDE/>
        <w:autoSpaceDN/>
        <w:adjustRightInd/>
        <w:contextualSpacing/>
        <w:jc w:val="center"/>
        <w:rPr>
          <w:b/>
          <w:iCs/>
          <w:sz w:val="2"/>
        </w:rPr>
      </w:pPr>
    </w:p>
    <w:p w:rsidR="00B50569" w:rsidRPr="00B50569" w:rsidRDefault="00B50569" w:rsidP="00B50569">
      <w:pPr>
        <w:overflowPunct/>
        <w:autoSpaceDE/>
        <w:autoSpaceDN/>
        <w:adjustRightInd/>
        <w:contextualSpacing/>
        <w:jc w:val="center"/>
        <w:rPr>
          <w:b/>
          <w:iCs/>
          <w:sz w:val="2"/>
        </w:rPr>
      </w:pPr>
    </w:p>
    <w:p w:rsidR="00B50569" w:rsidRPr="00B50569" w:rsidRDefault="00B50569" w:rsidP="00B50569">
      <w:pPr>
        <w:textAlignment w:val="baseline"/>
        <w:rPr>
          <w:sz w:val="2"/>
        </w:rPr>
      </w:pPr>
    </w:p>
    <w:p w:rsidR="00B50569" w:rsidRPr="00B50569" w:rsidRDefault="00B50569" w:rsidP="00B50569">
      <w:pPr>
        <w:overflowPunct/>
        <w:autoSpaceDE/>
        <w:autoSpaceDN/>
        <w:adjustRightInd/>
        <w:contextualSpacing/>
        <w:jc w:val="center"/>
        <w:rPr>
          <w:b/>
          <w:iCs/>
          <w:sz w:val="2"/>
        </w:rPr>
      </w:pPr>
    </w:p>
    <w:p w:rsidR="00B50569" w:rsidRPr="00B50569" w:rsidRDefault="00B50569" w:rsidP="00B50569">
      <w:pPr>
        <w:textAlignment w:val="baseline"/>
      </w:pPr>
    </w:p>
    <w:p w:rsidR="00B50569" w:rsidRPr="00B50569" w:rsidRDefault="00B50569" w:rsidP="00B50569">
      <w:pPr>
        <w:textAlignment w:val="baseline"/>
        <w:rPr>
          <w:sz w:val="2"/>
        </w:rPr>
      </w:pPr>
    </w:p>
    <w:tbl>
      <w:tblPr>
        <w:tblW w:w="5000" w:type="pct"/>
        <w:tblCellMar>
          <w:left w:w="0" w:type="dxa"/>
          <w:right w:w="0" w:type="dxa"/>
        </w:tblCellMar>
        <w:tblLook w:val="04A0" w:firstRow="1" w:lastRow="0" w:firstColumn="1" w:lastColumn="0" w:noHBand="0" w:noVBand="1"/>
      </w:tblPr>
      <w:tblGrid>
        <w:gridCol w:w="7146"/>
        <w:gridCol w:w="261"/>
        <w:gridCol w:w="1456"/>
        <w:gridCol w:w="220"/>
        <w:gridCol w:w="261"/>
        <w:gridCol w:w="1456"/>
      </w:tblGrid>
      <w:tr w:rsidR="00B50569" w:rsidRPr="00B50569" w:rsidTr="007D35A2">
        <w:trPr>
          <w:trHeight w:hRule="exact" w:val="20"/>
        </w:trPr>
        <w:tc>
          <w:tcPr>
            <w:tcW w:w="3308"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21"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67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02"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21"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67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r>
      <w:tr w:rsidR="00B50569" w:rsidRPr="00B50569" w:rsidTr="007D35A2">
        <w:trPr>
          <w:trHeight w:hRule="exact" w:val="255"/>
        </w:trPr>
        <w:tc>
          <w:tcPr>
            <w:tcW w:w="3308"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Year Ended December 31,</w:t>
            </w:r>
          </w:p>
        </w:tc>
      </w:tr>
      <w:tr w:rsidR="00B50569" w:rsidRPr="00B50569" w:rsidTr="007D35A2">
        <w:trPr>
          <w:trHeight w:hRule="exact" w:val="255"/>
        </w:trPr>
        <w:tc>
          <w:tcPr>
            <w:tcW w:w="3308"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2018</w:t>
            </w:r>
          </w:p>
        </w:tc>
        <w:tc>
          <w:tcPr>
            <w:tcW w:w="102"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 2017</w:t>
            </w:r>
          </w:p>
        </w:tc>
      </w:tr>
      <w:tr w:rsidR="00B50569" w:rsidRPr="00B50569" w:rsidTr="007D35A2">
        <w:trPr>
          <w:trHeight w:hRule="exact" w:val="255"/>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Operating activities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i/>
                <w:color w:val="000000"/>
                <w:sz w:val="20"/>
              </w:rPr>
            </w:pP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i/>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i/>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i/>
                <w:color w:val="000000"/>
                <w:sz w:val="20"/>
              </w:rPr>
            </w:pPr>
          </w:p>
        </w:tc>
      </w:tr>
      <w:tr w:rsidR="00B50569" w:rsidRPr="00B50569" w:rsidTr="007D35A2">
        <w:trPr>
          <w:trHeight w:hRule="exact" w:val="255"/>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Net income </w:t>
            </w: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w:t>
            </w:r>
          </w:p>
        </w:tc>
        <w:tc>
          <w:tcPr>
            <w:tcW w:w="674"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74</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w:t>
            </w: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50</w:t>
            </w:r>
          </w:p>
        </w:tc>
      </w:tr>
      <w:tr w:rsidR="00B50569" w:rsidRPr="00B50569" w:rsidTr="007D35A2">
        <w:trPr>
          <w:trHeight w:hRule="exact" w:val="225"/>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Adjustments to reconcile net income to net cash used in operations: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r w:rsidRPr="00B50569">
              <w:rPr>
                <w:color w:val="000000"/>
                <w:sz w:val="20"/>
              </w:rPr>
              <w:t>Depreciation and amortization</w:t>
            </w: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23</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22</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r w:rsidRPr="00B50569">
              <w:rPr>
                <w:color w:val="000000"/>
                <w:sz w:val="20"/>
              </w:rPr>
              <w:t>Amortization of intangibles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45</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45</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r w:rsidRPr="00B50569">
              <w:rPr>
                <w:color w:val="000000"/>
                <w:sz w:val="20"/>
              </w:rPr>
              <w:t>Equity-based compensation expense</w:t>
            </w: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14</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16</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r w:rsidRPr="00B50569">
              <w:rPr>
                <w:color w:val="000000"/>
                <w:sz w:val="20"/>
              </w:rPr>
              <w:t>Deferred income tax benefit</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(9)</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(78)</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r w:rsidRPr="00B50569">
              <w:rPr>
                <w:color w:val="000000"/>
                <w:sz w:val="20"/>
              </w:rPr>
              <w:t>Amortization of debt issuance costs</w:t>
            </w: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r w:rsidRPr="00B50569">
              <w:rPr>
                <w:color w:val="000000"/>
                <w:sz w:val="20"/>
              </w:rPr>
              <w:t>Inventory-related charges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6</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r w:rsidRPr="00B50569">
              <w:rPr>
                <w:color w:val="000000"/>
                <w:sz w:val="20"/>
              </w:rPr>
              <w:t xml:space="preserve">Write </w:t>
            </w:r>
            <w:proofErr w:type="gramStart"/>
            <w:r w:rsidRPr="00B50569">
              <w:rPr>
                <w:color w:val="000000"/>
                <w:sz w:val="20"/>
              </w:rPr>
              <w:t>off of</w:t>
            </w:r>
            <w:proofErr w:type="gramEnd"/>
            <w:r w:rsidRPr="00B50569">
              <w:rPr>
                <w:color w:val="000000"/>
                <w:sz w:val="20"/>
              </w:rPr>
              <w:t xml:space="preserve"> debt issuance costs</w:t>
            </w: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8</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r w:rsidRPr="00B50569">
              <w:rPr>
                <w:color w:val="000000"/>
                <w:sz w:val="20"/>
              </w:rPr>
              <w:t>Increase in LIFO reserve</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62</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28</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r w:rsidRPr="00B50569">
              <w:rPr>
                <w:color w:val="000000"/>
                <w:sz w:val="20"/>
              </w:rPr>
              <w:t>Change in fair value of derivative instruments</w:t>
            </w: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(1)</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r w:rsidRPr="00B50569">
              <w:rPr>
                <w:color w:val="000000"/>
                <w:sz w:val="20"/>
              </w:rPr>
              <w:t>Provision for uncollectible accounts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r w:rsidRPr="00B50569">
              <w:rPr>
                <w:color w:val="000000"/>
                <w:sz w:val="20"/>
              </w:rPr>
              <w:t>Other non-cash items</w:t>
            </w: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9</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2</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r w:rsidRPr="00B50569">
              <w:rPr>
                <w:color w:val="000000"/>
                <w:sz w:val="20"/>
              </w:rPr>
              <w:t>Changes in operating assets and liabilities: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24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480"/>
              <w:textAlignment w:val="baseline"/>
              <w:rPr>
                <w:color w:val="000000"/>
                <w:sz w:val="20"/>
              </w:rPr>
            </w:pPr>
            <w:r w:rsidRPr="00B50569">
              <w:rPr>
                <w:color w:val="000000"/>
                <w:sz w:val="20"/>
              </w:rPr>
              <w:t>Accounts receivable</w:t>
            </w:r>
          </w:p>
        </w:tc>
        <w:tc>
          <w:tcPr>
            <w:tcW w:w="121" w:type="pct"/>
            <w:tcBorders>
              <w:top w:val="nil"/>
              <w:left w:val="nil"/>
              <w:bottom w:val="nil"/>
              <w:right w:val="nil"/>
              <w:tl2br w:val="nil"/>
              <w:tr2bl w:val="nil"/>
            </w:tcBorders>
            <w:vAlign w:val="bottom"/>
          </w:tcPr>
          <w:p w:rsidR="00B50569" w:rsidRPr="00B50569" w:rsidRDefault="00B50569" w:rsidP="00B50569">
            <w:pPr>
              <w:ind w:left="48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(74)</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ind w:left="48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(118)</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ind w:left="480"/>
              <w:textAlignment w:val="baseline"/>
              <w:rPr>
                <w:color w:val="000000"/>
                <w:sz w:val="20"/>
              </w:rPr>
            </w:pPr>
            <w:r w:rsidRPr="00B50569">
              <w:rPr>
                <w:color w:val="000000"/>
                <w:sz w:val="20"/>
              </w:rPr>
              <w:t>Inventories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48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(175)</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48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(168)</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480"/>
              <w:textAlignment w:val="baseline"/>
              <w:rPr>
                <w:color w:val="000000"/>
                <w:sz w:val="20"/>
              </w:rPr>
            </w:pPr>
            <w:r w:rsidRPr="00B50569">
              <w:rPr>
                <w:color w:val="000000"/>
                <w:sz w:val="20"/>
              </w:rPr>
              <w:t>Other current assets</w:t>
            </w:r>
          </w:p>
        </w:tc>
        <w:tc>
          <w:tcPr>
            <w:tcW w:w="121" w:type="pct"/>
            <w:tcBorders>
              <w:top w:val="nil"/>
              <w:left w:val="nil"/>
              <w:bottom w:val="nil"/>
              <w:right w:val="nil"/>
              <w:tl2br w:val="nil"/>
              <w:tr2bl w:val="nil"/>
            </w:tcBorders>
            <w:vAlign w:val="bottom"/>
          </w:tcPr>
          <w:p w:rsidR="00B50569" w:rsidRPr="00B50569" w:rsidRDefault="00B50569" w:rsidP="00B50569">
            <w:pPr>
              <w:ind w:left="48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8</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ind w:left="480"/>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8</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ind w:left="480"/>
              <w:textAlignment w:val="baseline"/>
              <w:rPr>
                <w:color w:val="000000"/>
                <w:sz w:val="20"/>
              </w:rPr>
            </w:pPr>
            <w:r w:rsidRPr="00B50569">
              <w:rPr>
                <w:color w:val="000000"/>
                <w:sz w:val="20"/>
              </w:rPr>
              <w:t>Accounts payable</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48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27</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ind w:left="480"/>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93</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ind w:left="480"/>
              <w:textAlignment w:val="baseline"/>
              <w:rPr>
                <w:color w:val="000000"/>
                <w:sz w:val="20"/>
              </w:rPr>
            </w:pPr>
            <w:r w:rsidRPr="00B50569">
              <w:rPr>
                <w:color w:val="000000"/>
                <w:sz w:val="20"/>
              </w:rPr>
              <w:t>Accrued expenses and other current liabilities</w:t>
            </w:r>
          </w:p>
        </w:tc>
        <w:tc>
          <w:tcPr>
            <w:tcW w:w="121" w:type="pct"/>
            <w:tcBorders>
              <w:top w:val="nil"/>
              <w:left w:val="nil"/>
              <w:bottom w:val="single" w:sz="12" w:space="0" w:color="000000"/>
              <w:right w:val="nil"/>
              <w:tl2br w:val="nil"/>
              <w:tr2bl w:val="nil"/>
            </w:tcBorders>
            <w:vAlign w:val="bottom"/>
          </w:tcPr>
          <w:p w:rsidR="00B50569" w:rsidRPr="00B50569" w:rsidRDefault="00B50569" w:rsidP="00B50569">
            <w:pPr>
              <w:ind w:left="480"/>
              <w:textAlignment w:val="baseline"/>
              <w:rPr>
                <w:color w:val="000000"/>
                <w:sz w:val="20"/>
              </w:rPr>
            </w:pPr>
          </w:p>
        </w:tc>
        <w:tc>
          <w:tcPr>
            <w:tcW w:w="674" w:type="pct"/>
            <w:tcBorders>
              <w:top w:val="nil"/>
              <w:left w:val="nil"/>
              <w:bottom w:val="single" w:sz="12" w:space="0" w:color="000000"/>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(17)</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single" w:sz="12" w:space="0" w:color="000000"/>
              <w:right w:val="nil"/>
              <w:tl2br w:val="nil"/>
              <w:tr2bl w:val="nil"/>
            </w:tcBorders>
            <w:vAlign w:val="bottom"/>
          </w:tcPr>
          <w:p w:rsidR="00B50569" w:rsidRPr="00B50569" w:rsidRDefault="00B50569" w:rsidP="00B50569">
            <w:pPr>
              <w:ind w:left="480"/>
              <w:textAlignment w:val="baseline"/>
              <w:rPr>
                <w:color w:val="000000"/>
                <w:sz w:val="20"/>
              </w:rPr>
            </w:pPr>
          </w:p>
        </w:tc>
        <w:tc>
          <w:tcPr>
            <w:tcW w:w="674"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33</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Net cash used in operations</w:t>
            </w:r>
          </w:p>
        </w:tc>
        <w:tc>
          <w:tcPr>
            <w:tcW w:w="121"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(11)</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(48)</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r w:rsidRPr="00B50569">
              <w:rPr>
                <w:b/>
                <w:color w:val="000000"/>
                <w:sz w:val="20"/>
              </w:rPr>
              <w:t>Investing activities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Purchases of property, plant and equipment</w:t>
            </w: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(20)</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(30)</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Proceeds from the disposition of property, plant and equipment</w:t>
            </w:r>
          </w:p>
        </w:tc>
        <w:tc>
          <w:tcPr>
            <w:tcW w:w="121"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auto"/>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6</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auto"/>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3</w:t>
            </w:r>
          </w:p>
        </w:tc>
      </w:tr>
      <w:tr w:rsidR="00B50569" w:rsidRPr="00B50569" w:rsidTr="007D35A2">
        <w:trPr>
          <w:trHeight w:hRule="exact" w:val="255"/>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Net cash used in investing activities</w:t>
            </w:r>
          </w:p>
        </w:tc>
        <w:tc>
          <w:tcPr>
            <w:tcW w:w="121" w:type="pct"/>
            <w:tcBorders>
              <w:top w:val="single" w:sz="0" w:space="0" w:color="000000"/>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single" w:sz="12" w:space="0" w:color="auto"/>
              <w:left w:val="nil"/>
              <w:bottom w:val="single" w:sz="12" w:space="0" w:color="000000"/>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(14)</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single" w:sz="12" w:space="0" w:color="auto"/>
              <w:left w:val="nil"/>
              <w:bottom w:val="single" w:sz="12" w:space="0" w:color="000000"/>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(27)</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color w:val="000000"/>
                <w:sz w:val="20"/>
              </w:rPr>
            </w:pP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r w:rsidRPr="00B50569">
              <w:rPr>
                <w:b/>
                <w:color w:val="000000"/>
                <w:sz w:val="20"/>
              </w:rPr>
              <w:t>Financing activities</w:t>
            </w: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Payments on revolving credit facilities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(1,118)</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(696)</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Proceeds from revolving credit facilities</w:t>
            </w: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1,280</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825</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Payments on long-term obligations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(4)</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(18)</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Debt issuance costs paid</w:t>
            </w: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(1)</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(8)</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Purchases of common stock</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(125)</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(68)</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Dividends paid on preferred stock</w:t>
            </w: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(24)</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(24)</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Proceeds from exercise of stock options</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21</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Repurchase of shares to satisfy tax withholdings</w:t>
            </w:r>
          </w:p>
        </w:tc>
        <w:tc>
          <w:tcPr>
            <w:tcW w:w="121"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000000"/>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(5)</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000000"/>
              <w:right w:val="nil"/>
              <w:tl2br w:val="nil"/>
              <w:tr2bl w:val="nil"/>
            </w:tcBorders>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(3)</w:t>
            </w:r>
          </w:p>
        </w:tc>
      </w:tr>
      <w:tr w:rsidR="00B50569" w:rsidRPr="00B50569" w:rsidTr="007D35A2">
        <w:trPr>
          <w:trHeight w:hRule="exact" w:val="255"/>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Net cash provided by financing activities</w:t>
            </w:r>
          </w:p>
        </w:tc>
        <w:tc>
          <w:tcPr>
            <w:tcW w:w="121"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24</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9</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sing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Decrease in cash</w:t>
            </w: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color w:val="000000"/>
                <w:sz w:val="20"/>
              </w:rPr>
            </w:pPr>
            <w:r w:rsidRPr="00B50569">
              <w:rPr>
                <w:b/>
                <w:color w:val="000000"/>
                <w:sz w:val="20"/>
              </w:rPr>
              <w:t xml:space="preserve"> (1)</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shd w:val="clear" w:color="auto" w:fill="CCEEFF"/>
            <w:vAlign w:val="bottom"/>
          </w:tcPr>
          <w:p w:rsidR="00B50569" w:rsidRPr="00B50569" w:rsidRDefault="00B50569" w:rsidP="00B50569">
            <w:pPr>
              <w:ind w:right="3"/>
              <w:jc w:val="right"/>
              <w:textAlignment w:val="baseline"/>
              <w:rPr>
                <w:color w:val="000000"/>
                <w:sz w:val="20"/>
              </w:rPr>
            </w:pPr>
            <w:r w:rsidRPr="00B50569">
              <w:rPr>
                <w:color w:val="000000"/>
                <w:sz w:val="20"/>
              </w:rPr>
              <w:t xml:space="preserve"> (66)</w:t>
            </w:r>
          </w:p>
        </w:tc>
      </w:tr>
      <w:tr w:rsidR="00B50569" w:rsidRPr="00B50569" w:rsidTr="007D35A2">
        <w:trPr>
          <w:trHeight w:hRule="exact" w:val="24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Effect of foreign exchange rate on cash</w:t>
            </w: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jc w:val="right"/>
              <w:textAlignment w:val="baseline"/>
              <w:rPr>
                <w:b/>
                <w:color w:val="000000"/>
                <w:sz w:val="20"/>
              </w:rPr>
            </w:pPr>
            <w:r w:rsidRPr="00B50569">
              <w:rPr>
                <w:b/>
                <w:color w:val="000000"/>
                <w:sz w:val="20"/>
              </w:rPr>
              <w:t xml:space="preserve"> (4)</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5</w:t>
            </w:r>
          </w:p>
        </w:tc>
      </w:tr>
      <w:tr w:rsidR="00B50569" w:rsidRPr="00B50569" w:rsidTr="007D35A2">
        <w:trPr>
          <w:trHeight w:hRule="exact" w:val="240"/>
        </w:trPr>
        <w:tc>
          <w:tcPr>
            <w:tcW w:w="3308"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r w:rsidRPr="00B50569">
              <w:rPr>
                <w:color w:val="000000"/>
                <w:sz w:val="20"/>
              </w:rPr>
              <w:t>Cash beginning of year</w:t>
            </w:r>
          </w:p>
        </w:tc>
        <w:tc>
          <w:tcPr>
            <w:tcW w:w="121"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48</w:t>
            </w:r>
          </w:p>
        </w:tc>
        <w:tc>
          <w:tcPr>
            <w:tcW w:w="102"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121"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color w:val="000000"/>
                <w:sz w:val="20"/>
              </w:rPr>
            </w:pPr>
          </w:p>
        </w:tc>
        <w:tc>
          <w:tcPr>
            <w:tcW w:w="674"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109</w:t>
            </w:r>
          </w:p>
        </w:tc>
      </w:tr>
      <w:tr w:rsidR="00B50569" w:rsidRPr="00B50569" w:rsidTr="007D35A2">
        <w:trPr>
          <w:trHeight w:hRule="exact" w:val="300"/>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Cash end of year</w:t>
            </w:r>
          </w:p>
        </w:tc>
        <w:tc>
          <w:tcPr>
            <w:tcW w:w="121"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w:t>
            </w:r>
          </w:p>
        </w:tc>
        <w:tc>
          <w:tcPr>
            <w:tcW w:w="674"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3"/>
              <w:jc w:val="right"/>
              <w:textAlignment w:val="baseline"/>
              <w:rPr>
                <w:b/>
                <w:color w:val="000000"/>
                <w:sz w:val="20"/>
              </w:rPr>
            </w:pPr>
            <w:r w:rsidRPr="00B50569">
              <w:rPr>
                <w:b/>
                <w:color w:val="000000"/>
                <w:sz w:val="20"/>
              </w:rPr>
              <w:t xml:space="preserve"> 43</w:t>
            </w: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w:t>
            </w:r>
          </w:p>
        </w:tc>
        <w:tc>
          <w:tcPr>
            <w:tcW w:w="674"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color w:val="000000"/>
                <w:sz w:val="20"/>
              </w:rPr>
            </w:pPr>
            <w:r w:rsidRPr="00B50569">
              <w:rPr>
                <w:color w:val="000000"/>
                <w:sz w:val="20"/>
              </w:rPr>
              <w:t xml:space="preserve"> 48</w:t>
            </w:r>
          </w:p>
        </w:tc>
      </w:tr>
      <w:tr w:rsidR="00B50569" w:rsidRPr="00B50569" w:rsidTr="007D35A2">
        <w:trPr>
          <w:trHeight w:hRule="exact" w:val="135"/>
        </w:trPr>
        <w:tc>
          <w:tcPr>
            <w:tcW w:w="3308"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r w:rsidRPr="00B50569">
              <w:rPr>
                <w:color w:val="000000"/>
                <w:sz w:val="20"/>
              </w:rPr>
              <w:t xml:space="preserve"> </w:t>
            </w:r>
          </w:p>
        </w:tc>
        <w:tc>
          <w:tcPr>
            <w:tcW w:w="121"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b/>
                <w:color w:val="000000"/>
                <w:sz w:val="20"/>
              </w:rPr>
            </w:pPr>
          </w:p>
        </w:tc>
        <w:tc>
          <w:tcPr>
            <w:tcW w:w="102" w:type="pct"/>
            <w:tcBorders>
              <w:top w:val="nil"/>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121"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c>
          <w:tcPr>
            <w:tcW w:w="674"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color w:val="000000"/>
                <w:sz w:val="20"/>
              </w:rPr>
            </w:pPr>
          </w:p>
        </w:tc>
      </w:tr>
    </w:tbl>
    <w:p w:rsidR="00B50569" w:rsidRPr="00B50569" w:rsidRDefault="00B50569" w:rsidP="00B50569">
      <w:pPr>
        <w:textAlignment w:val="baseline"/>
      </w:pPr>
    </w:p>
    <w:p w:rsidR="00B50569" w:rsidRPr="00B50569" w:rsidRDefault="00B50569" w:rsidP="00B50569">
      <w:pPr>
        <w:overflowPunct/>
        <w:autoSpaceDE/>
        <w:autoSpaceDN/>
        <w:adjustRightInd/>
        <w:spacing w:line="276" w:lineRule="auto"/>
        <w:rPr>
          <w:b/>
          <w:iCs/>
          <w:sz w:val="2"/>
        </w:rPr>
      </w:pPr>
    </w:p>
    <w:p w:rsidR="00B50569" w:rsidRPr="00B50569" w:rsidRDefault="00B50569" w:rsidP="00B50569">
      <w:pPr>
        <w:overflowPunct/>
        <w:autoSpaceDE/>
        <w:autoSpaceDN/>
        <w:adjustRightInd/>
        <w:spacing w:line="276" w:lineRule="auto"/>
        <w:rPr>
          <w:b/>
          <w:iCs/>
          <w:sz w:val="2"/>
        </w:rPr>
      </w:pPr>
      <w:r w:rsidRPr="00B50569">
        <w:rPr>
          <w:b/>
          <w:iCs/>
          <w:sz w:val="2"/>
        </w:rPr>
        <w:br w:type="page"/>
      </w:r>
    </w:p>
    <w:p w:rsidR="00B50569" w:rsidRPr="00B50569" w:rsidRDefault="00B50569" w:rsidP="00B50569">
      <w:pPr>
        <w:pageBreakBefore/>
        <w:overflowPunct/>
        <w:autoSpaceDE/>
        <w:autoSpaceDN/>
        <w:adjustRightInd/>
        <w:contextualSpacing/>
        <w:jc w:val="center"/>
        <w:rPr>
          <w:b/>
          <w:iCs/>
          <w:sz w:val="20"/>
        </w:rPr>
      </w:pPr>
      <w:r w:rsidRPr="00B50569">
        <w:rPr>
          <w:b/>
          <w:iCs/>
          <w:sz w:val="20"/>
        </w:rPr>
        <w:lastRenderedPageBreak/>
        <w:t>MRC Global Inc.</w:t>
      </w:r>
    </w:p>
    <w:p w:rsidR="00B50569" w:rsidRPr="00B50569" w:rsidRDefault="00B50569" w:rsidP="00B50569">
      <w:pPr>
        <w:overflowPunct/>
        <w:autoSpaceDE/>
        <w:autoSpaceDN/>
        <w:adjustRightInd/>
        <w:contextualSpacing/>
        <w:jc w:val="center"/>
        <w:rPr>
          <w:b/>
          <w:iCs/>
          <w:sz w:val="20"/>
        </w:rPr>
      </w:pPr>
      <w:r w:rsidRPr="00B50569">
        <w:rPr>
          <w:b/>
          <w:iCs/>
          <w:sz w:val="20"/>
        </w:rPr>
        <w:t>Supplemental Information (Unaudited)</w:t>
      </w:r>
    </w:p>
    <w:p w:rsidR="00B50569" w:rsidRPr="00B50569" w:rsidRDefault="00B50569" w:rsidP="00B50569">
      <w:pPr>
        <w:overflowPunct/>
        <w:autoSpaceDE/>
        <w:autoSpaceDN/>
        <w:adjustRightInd/>
        <w:contextualSpacing/>
        <w:jc w:val="center"/>
        <w:rPr>
          <w:b/>
          <w:iCs/>
          <w:sz w:val="20"/>
        </w:rPr>
      </w:pPr>
      <w:r w:rsidRPr="00B50569">
        <w:rPr>
          <w:b/>
          <w:iCs/>
          <w:sz w:val="20"/>
        </w:rPr>
        <w:t>Reconciliation of Net Income to Adjusted EBITDA (a non-GAAP measure)</w:t>
      </w:r>
    </w:p>
    <w:p w:rsidR="00B50569" w:rsidRPr="00B50569" w:rsidRDefault="00B50569" w:rsidP="00B50569">
      <w:pPr>
        <w:overflowPunct/>
        <w:autoSpaceDE/>
        <w:autoSpaceDN/>
        <w:adjustRightInd/>
        <w:contextualSpacing/>
        <w:jc w:val="center"/>
        <w:rPr>
          <w:i/>
          <w:iCs/>
          <w:sz w:val="20"/>
        </w:rPr>
      </w:pPr>
      <w:r w:rsidRPr="00B50569">
        <w:rPr>
          <w:i/>
          <w:iCs/>
          <w:sz w:val="20"/>
        </w:rPr>
        <w:t xml:space="preserve"> (in millions)</w:t>
      </w:r>
    </w:p>
    <w:p w:rsidR="00B50569" w:rsidRPr="00B50569" w:rsidRDefault="00B50569" w:rsidP="00B50569">
      <w:pPr>
        <w:overflowPunct/>
        <w:autoSpaceDE/>
        <w:autoSpaceDN/>
        <w:adjustRightInd/>
        <w:contextualSpacing/>
        <w:rPr>
          <w:i/>
          <w:iCs/>
          <w:sz w:val="2"/>
        </w:rPr>
      </w:pPr>
    </w:p>
    <w:p w:rsidR="00B50569" w:rsidRPr="00B50569" w:rsidRDefault="00B50569" w:rsidP="00B50569">
      <w:pPr>
        <w:textAlignment w:val="baseline"/>
        <w:rPr>
          <w:sz w:val="2"/>
        </w:rPr>
      </w:pPr>
    </w:p>
    <w:p w:rsidR="00B50569" w:rsidRPr="00B50569" w:rsidRDefault="00B50569" w:rsidP="00B50569">
      <w:pPr>
        <w:textAlignment w:val="baseline"/>
        <w:rPr>
          <w:sz w:val="2"/>
        </w:rPr>
      </w:pPr>
    </w:p>
    <w:p w:rsidR="00B50569" w:rsidRPr="00B50569" w:rsidRDefault="00B50569" w:rsidP="00B50569">
      <w:pPr>
        <w:textAlignment w:val="baseline"/>
      </w:pPr>
    </w:p>
    <w:p w:rsidR="00B50569" w:rsidRPr="00B50569" w:rsidRDefault="00B50569" w:rsidP="00B50569">
      <w:pPr>
        <w:textAlignment w:val="baseline"/>
        <w:rPr>
          <w:sz w:val="2"/>
        </w:rPr>
      </w:pPr>
    </w:p>
    <w:p w:rsidR="00B50569" w:rsidRPr="00B50569" w:rsidRDefault="00B50569" w:rsidP="00B50569">
      <w:pPr>
        <w:textAlignment w:val="baseline"/>
      </w:pPr>
    </w:p>
    <w:p w:rsidR="00B50569" w:rsidRPr="00B50569" w:rsidRDefault="00B50569" w:rsidP="00B50569">
      <w:pPr>
        <w:textAlignment w:val="baseline"/>
        <w:rPr>
          <w:sz w:val="2"/>
        </w:rPr>
      </w:pPr>
    </w:p>
    <w:tbl>
      <w:tblPr>
        <w:tblW w:w="5000" w:type="pct"/>
        <w:tblCellMar>
          <w:left w:w="0" w:type="dxa"/>
          <w:right w:w="0" w:type="dxa"/>
        </w:tblCellMar>
        <w:tblLook w:val="04A0" w:firstRow="1" w:lastRow="0" w:firstColumn="1" w:lastColumn="0" w:noHBand="0" w:noVBand="1"/>
      </w:tblPr>
      <w:tblGrid>
        <w:gridCol w:w="4868"/>
        <w:gridCol w:w="252"/>
        <w:gridCol w:w="1047"/>
        <w:gridCol w:w="252"/>
        <w:gridCol w:w="253"/>
        <w:gridCol w:w="1048"/>
        <w:gridCol w:w="253"/>
        <w:gridCol w:w="253"/>
        <w:gridCol w:w="1048"/>
        <w:gridCol w:w="225"/>
        <w:gridCol w:w="253"/>
        <w:gridCol w:w="1048"/>
      </w:tblGrid>
      <w:tr w:rsidR="00B50569" w:rsidRPr="00B50569" w:rsidTr="007D35A2">
        <w:trPr>
          <w:trHeight w:hRule="exact" w:val="20"/>
        </w:trPr>
        <w:tc>
          <w:tcPr>
            <w:tcW w:w="225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48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48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48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0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48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r>
      <w:tr w:rsidR="00B50569" w:rsidRPr="00B50569" w:rsidTr="007D35A2">
        <w:trPr>
          <w:trHeight w:hRule="exact" w:val="300"/>
        </w:trPr>
        <w:tc>
          <w:tcPr>
            <w:tcW w:w="2254"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Three Months Ended</w:t>
            </w:r>
          </w:p>
        </w:tc>
        <w:tc>
          <w:tcPr>
            <w:tcW w:w="117"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Year Ended</w:t>
            </w:r>
          </w:p>
        </w:tc>
      </w:tr>
      <w:tr w:rsidR="00B50569" w:rsidRPr="00B50569" w:rsidTr="007D35A2">
        <w:trPr>
          <w:trHeight w:hRule="exact" w:val="300"/>
        </w:trPr>
        <w:tc>
          <w:tcPr>
            <w:tcW w:w="2254"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December 31, </w:t>
            </w: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December 31, </w:t>
            </w:r>
          </w:p>
        </w:tc>
        <w:tc>
          <w:tcPr>
            <w:tcW w:w="117"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rFonts w:ascii="Calibri" w:eastAsia="Calibri" w:hAnsi="Calibri" w:cs="Calibri"/>
                <w:sz w:val="22"/>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December 31, </w:t>
            </w:r>
          </w:p>
        </w:tc>
        <w:tc>
          <w:tcPr>
            <w:tcW w:w="104"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December 31, </w:t>
            </w:r>
          </w:p>
        </w:tc>
      </w:tr>
      <w:tr w:rsidR="00B50569" w:rsidRPr="00B50569" w:rsidTr="007D35A2">
        <w:trPr>
          <w:trHeight w:hRule="exact" w:val="300"/>
        </w:trPr>
        <w:tc>
          <w:tcPr>
            <w:tcW w:w="2254"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2018</w:t>
            </w:r>
          </w:p>
        </w:tc>
        <w:tc>
          <w:tcPr>
            <w:tcW w:w="117"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color w:val="000000"/>
                <w:sz w:val="20"/>
              </w:rPr>
            </w:pPr>
            <w:r w:rsidRPr="00B50569">
              <w:rPr>
                <w:b/>
                <w:color w:val="000000"/>
                <w:sz w:val="20"/>
              </w:rPr>
              <w:t xml:space="preserve"> 2017</w:t>
            </w:r>
          </w:p>
        </w:tc>
        <w:tc>
          <w:tcPr>
            <w:tcW w:w="117"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2018</w:t>
            </w:r>
          </w:p>
        </w:tc>
        <w:tc>
          <w:tcPr>
            <w:tcW w:w="104"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 2017</w:t>
            </w:r>
          </w:p>
        </w:tc>
      </w:tr>
      <w:tr w:rsidR="00B50569" w:rsidRPr="00B50569" w:rsidTr="007D35A2">
        <w:trPr>
          <w:trHeight w:hRule="exact" w:val="60"/>
        </w:trPr>
        <w:tc>
          <w:tcPr>
            <w:tcW w:w="2254"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b/>
                <w:sz w:val="20"/>
              </w:rPr>
            </w:pPr>
          </w:p>
        </w:tc>
        <w:tc>
          <w:tcPr>
            <w:tcW w:w="48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7"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48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7"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rFonts w:ascii="Calibri" w:eastAsia="Calibri" w:hAnsi="Calibri" w:cs="Calibri"/>
                <w:sz w:val="22"/>
              </w:rPr>
            </w:pP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48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4"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48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r>
      <w:tr w:rsidR="00B50569" w:rsidRPr="00B50569" w:rsidTr="007D35A2">
        <w:trPr>
          <w:trHeight w:hRule="exact" w:val="300"/>
        </w:trPr>
        <w:tc>
          <w:tcPr>
            <w:tcW w:w="225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 xml:space="preserve">Net income </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10</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35</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74</w:t>
            </w:r>
          </w:p>
        </w:tc>
        <w:tc>
          <w:tcPr>
            <w:tcW w:w="10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50</w:t>
            </w:r>
          </w:p>
        </w:tc>
      </w:tr>
      <w:tr w:rsidR="00B50569" w:rsidRPr="00B50569" w:rsidTr="007D35A2">
        <w:trPr>
          <w:trHeight w:hRule="exact" w:val="300"/>
        </w:trPr>
        <w:tc>
          <w:tcPr>
            <w:tcW w:w="2254"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Income tax expense (benefit) (1)</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6</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sz w:val="20"/>
              </w:rPr>
            </w:pPr>
            <w:r w:rsidRPr="00B50569">
              <w:rPr>
                <w:sz w:val="20"/>
              </w:rPr>
              <w:t xml:space="preserve"> (49)</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21</w:t>
            </w:r>
          </w:p>
        </w:tc>
        <w:tc>
          <w:tcPr>
            <w:tcW w:w="10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sz w:val="20"/>
              </w:rPr>
            </w:pPr>
            <w:r w:rsidRPr="00B50569">
              <w:rPr>
                <w:sz w:val="20"/>
              </w:rPr>
              <w:t xml:space="preserve"> (43)</w:t>
            </w:r>
          </w:p>
        </w:tc>
      </w:tr>
      <w:tr w:rsidR="00B50569" w:rsidRPr="00B50569" w:rsidTr="007D35A2">
        <w:trPr>
          <w:trHeight w:hRule="exact" w:val="300"/>
        </w:trPr>
        <w:tc>
          <w:tcPr>
            <w:tcW w:w="225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Interest expense</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10</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7</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38</w:t>
            </w:r>
          </w:p>
        </w:tc>
        <w:tc>
          <w:tcPr>
            <w:tcW w:w="10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31</w:t>
            </w:r>
          </w:p>
        </w:tc>
      </w:tr>
      <w:tr w:rsidR="00B50569" w:rsidRPr="00B50569" w:rsidTr="007D35A2">
        <w:trPr>
          <w:trHeight w:hRule="exact" w:val="300"/>
        </w:trPr>
        <w:tc>
          <w:tcPr>
            <w:tcW w:w="2254"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Depreciation and amortization</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6</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6</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23</w:t>
            </w:r>
          </w:p>
        </w:tc>
        <w:tc>
          <w:tcPr>
            <w:tcW w:w="10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22</w:t>
            </w:r>
          </w:p>
        </w:tc>
      </w:tr>
      <w:tr w:rsidR="00B50569" w:rsidRPr="00B50569" w:rsidTr="007D35A2">
        <w:trPr>
          <w:trHeight w:hRule="exact" w:val="300"/>
        </w:trPr>
        <w:tc>
          <w:tcPr>
            <w:tcW w:w="225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 xml:space="preserve">Amortization of intangibles </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11</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11</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45</w:t>
            </w:r>
          </w:p>
        </w:tc>
        <w:tc>
          <w:tcPr>
            <w:tcW w:w="10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45</w:t>
            </w:r>
          </w:p>
        </w:tc>
      </w:tr>
      <w:tr w:rsidR="00B50569" w:rsidRPr="00B50569" w:rsidTr="007D35A2">
        <w:trPr>
          <w:trHeight w:hRule="exact" w:val="300"/>
        </w:trPr>
        <w:tc>
          <w:tcPr>
            <w:tcW w:w="2254"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Increase in LIFO reserve</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14</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9</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62</w:t>
            </w:r>
          </w:p>
        </w:tc>
        <w:tc>
          <w:tcPr>
            <w:tcW w:w="10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28</w:t>
            </w:r>
          </w:p>
        </w:tc>
      </w:tr>
      <w:tr w:rsidR="00B50569" w:rsidRPr="00B50569" w:rsidTr="007D35A2">
        <w:trPr>
          <w:trHeight w:hRule="exact" w:val="300"/>
        </w:trPr>
        <w:tc>
          <w:tcPr>
            <w:tcW w:w="225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Inventory-related charges (2)</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6</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w:t>
            </w:r>
          </w:p>
        </w:tc>
        <w:tc>
          <w:tcPr>
            <w:tcW w:w="10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6</w:t>
            </w:r>
          </w:p>
        </w:tc>
      </w:tr>
      <w:tr w:rsidR="00B50569" w:rsidRPr="00B50569" w:rsidTr="007D35A2">
        <w:trPr>
          <w:trHeight w:hRule="exact" w:val="300"/>
        </w:trPr>
        <w:tc>
          <w:tcPr>
            <w:tcW w:w="2254"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Equity-based compensation expense (3)</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3</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4</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14</w:t>
            </w:r>
          </w:p>
        </w:tc>
        <w:tc>
          <w:tcPr>
            <w:tcW w:w="10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16</w:t>
            </w:r>
          </w:p>
        </w:tc>
      </w:tr>
      <w:tr w:rsidR="00B50569" w:rsidRPr="00B50569" w:rsidTr="007D35A2">
        <w:trPr>
          <w:trHeight w:hRule="exact" w:val="300"/>
        </w:trPr>
        <w:tc>
          <w:tcPr>
            <w:tcW w:w="225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Severance and restructuring charges (4)</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14</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w:t>
            </w:r>
          </w:p>
        </w:tc>
        <w:tc>
          <w:tcPr>
            <w:tcW w:w="10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14</w:t>
            </w:r>
          </w:p>
        </w:tc>
      </w:tr>
      <w:tr w:rsidR="00B50569" w:rsidRPr="00B50569" w:rsidTr="007D35A2">
        <w:trPr>
          <w:trHeight w:hRule="exact" w:val="300"/>
        </w:trPr>
        <w:tc>
          <w:tcPr>
            <w:tcW w:w="2254"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 xml:space="preserve">Foreign currency losses (gains) </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 xml:space="preserve"> (1)</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 xml:space="preserve"> (1)</w:t>
            </w:r>
          </w:p>
        </w:tc>
        <w:tc>
          <w:tcPr>
            <w:tcW w:w="10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3"/>
              <w:jc w:val="right"/>
              <w:textAlignment w:val="baseline"/>
              <w:rPr>
                <w:sz w:val="20"/>
              </w:rPr>
            </w:pPr>
            <w:r w:rsidRPr="00B50569">
              <w:rPr>
                <w:sz w:val="20"/>
              </w:rPr>
              <w:t xml:space="preserve"> (2)</w:t>
            </w:r>
          </w:p>
        </w:tc>
      </w:tr>
      <w:tr w:rsidR="00B50569" w:rsidRPr="00B50569" w:rsidTr="007D35A2">
        <w:trPr>
          <w:trHeight w:hRule="exact" w:val="300"/>
        </w:trPr>
        <w:tc>
          <w:tcPr>
            <w:tcW w:w="225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 xml:space="preserve">Write </w:t>
            </w:r>
            <w:proofErr w:type="gramStart"/>
            <w:r w:rsidRPr="00B50569">
              <w:rPr>
                <w:sz w:val="20"/>
              </w:rPr>
              <w:t>off of</w:t>
            </w:r>
            <w:proofErr w:type="gramEnd"/>
            <w:r w:rsidRPr="00B50569">
              <w:rPr>
                <w:sz w:val="20"/>
              </w:rPr>
              <w:t xml:space="preserve"> debt issuance costs (5)</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w:t>
            </w:r>
          </w:p>
        </w:tc>
        <w:tc>
          <w:tcPr>
            <w:tcW w:w="10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8</w:t>
            </w:r>
          </w:p>
        </w:tc>
      </w:tr>
      <w:tr w:rsidR="00B50569" w:rsidRPr="00B50569" w:rsidTr="007D35A2">
        <w:trPr>
          <w:trHeight w:hRule="exact" w:val="300"/>
        </w:trPr>
        <w:tc>
          <w:tcPr>
            <w:tcW w:w="2254"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Litigation matter (6)</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w:t>
            </w:r>
          </w:p>
        </w:tc>
        <w:tc>
          <w:tcPr>
            <w:tcW w:w="10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5"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3</w:t>
            </w:r>
          </w:p>
        </w:tc>
      </w:tr>
      <w:tr w:rsidR="00B50569" w:rsidRPr="00B50569" w:rsidTr="007D35A2">
        <w:trPr>
          <w:trHeight w:hRule="exact" w:val="300"/>
        </w:trPr>
        <w:tc>
          <w:tcPr>
            <w:tcW w:w="225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Change in fair value of derivative instruments</w:t>
            </w: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w:t>
            </w:r>
          </w:p>
        </w:tc>
        <w:tc>
          <w:tcPr>
            <w:tcW w:w="117"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rFonts w:ascii="Calibri" w:eastAsia="Calibri" w:hAnsi="Calibri" w:cs="Calibri"/>
                <w:sz w:val="22"/>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5"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 xml:space="preserve"> (1)</w:t>
            </w:r>
          </w:p>
        </w:tc>
        <w:tc>
          <w:tcPr>
            <w:tcW w:w="10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1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485"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w:t>
            </w:r>
          </w:p>
        </w:tc>
      </w:tr>
      <w:tr w:rsidR="00B50569" w:rsidRPr="00B50569" w:rsidTr="007D35A2">
        <w:trPr>
          <w:trHeight w:hRule="exact" w:val="300"/>
        </w:trPr>
        <w:tc>
          <w:tcPr>
            <w:tcW w:w="2254"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Adjusted EBITDA</w:t>
            </w:r>
          </w:p>
        </w:tc>
        <w:tc>
          <w:tcPr>
            <w:tcW w:w="117"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textAlignment w:val="baseline"/>
              <w:rPr>
                <w:b/>
                <w:sz w:val="20"/>
              </w:rPr>
            </w:pPr>
            <w:r w:rsidRPr="00B50569">
              <w:rPr>
                <w:b/>
                <w:sz w:val="20"/>
              </w:rPr>
              <w:t>$</w:t>
            </w:r>
          </w:p>
        </w:tc>
        <w:tc>
          <w:tcPr>
            <w:tcW w:w="485"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63</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textAlignment w:val="baseline"/>
              <w:rPr>
                <w:sz w:val="20"/>
              </w:rPr>
            </w:pPr>
            <w:r w:rsidRPr="00B50569">
              <w:rPr>
                <w:sz w:val="20"/>
              </w:rPr>
              <w:t>$</w:t>
            </w:r>
          </w:p>
        </w:tc>
        <w:tc>
          <w:tcPr>
            <w:tcW w:w="485"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43</w:t>
            </w:r>
          </w:p>
        </w:tc>
        <w:tc>
          <w:tcPr>
            <w:tcW w:w="117" w:type="pct"/>
            <w:tcBorders>
              <w:top w:val="nil"/>
              <w:left w:val="nil"/>
              <w:bottom w:val="nil"/>
              <w:right w:val="nil"/>
              <w:tl2br w:val="nil"/>
              <w:tr2bl w:val="nil"/>
            </w:tcBorders>
            <w:vAlign w:val="bottom"/>
          </w:tcPr>
          <w:p w:rsidR="00B50569" w:rsidRPr="00B50569" w:rsidRDefault="00B50569" w:rsidP="00B50569">
            <w:pPr>
              <w:textAlignment w:val="baseline"/>
              <w:rPr>
                <w:rFonts w:ascii="Calibri" w:eastAsia="Calibri" w:hAnsi="Calibri" w:cs="Calibri"/>
                <w:sz w:val="22"/>
              </w:rPr>
            </w:pPr>
          </w:p>
        </w:tc>
        <w:tc>
          <w:tcPr>
            <w:tcW w:w="117"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textAlignment w:val="baseline"/>
              <w:rPr>
                <w:b/>
                <w:sz w:val="20"/>
              </w:rPr>
            </w:pPr>
            <w:r w:rsidRPr="00B50569">
              <w:rPr>
                <w:b/>
                <w:sz w:val="20"/>
              </w:rPr>
              <w:t>$</w:t>
            </w:r>
          </w:p>
        </w:tc>
        <w:tc>
          <w:tcPr>
            <w:tcW w:w="485"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280</w:t>
            </w:r>
          </w:p>
        </w:tc>
        <w:tc>
          <w:tcPr>
            <w:tcW w:w="10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17"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textAlignment w:val="baseline"/>
              <w:rPr>
                <w:sz w:val="20"/>
              </w:rPr>
            </w:pPr>
            <w:r w:rsidRPr="00B50569">
              <w:rPr>
                <w:sz w:val="20"/>
              </w:rPr>
              <w:t>$</w:t>
            </w:r>
          </w:p>
        </w:tc>
        <w:tc>
          <w:tcPr>
            <w:tcW w:w="485"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179</w:t>
            </w:r>
          </w:p>
        </w:tc>
      </w:tr>
    </w:tbl>
    <w:p w:rsidR="00B50569" w:rsidRPr="00B50569" w:rsidRDefault="00B50569" w:rsidP="00B50569">
      <w:pPr>
        <w:textAlignment w:val="baseline"/>
      </w:pPr>
    </w:p>
    <w:p w:rsidR="00B50569" w:rsidRPr="00B50569" w:rsidRDefault="00B50569" w:rsidP="00B50569">
      <w:pPr>
        <w:keepNext/>
        <w:shd w:val="clear" w:color="auto" w:fill="FFFFFF" w:themeFill="background1"/>
        <w:overflowPunct/>
        <w:rPr>
          <w:rFonts w:eastAsiaTheme="minorEastAsia"/>
          <w:b/>
          <w:bCs/>
          <w:sz w:val="18"/>
          <w:szCs w:val="18"/>
          <w:u w:val="single"/>
        </w:rPr>
      </w:pPr>
      <w:r w:rsidRPr="00B50569">
        <w:rPr>
          <w:rFonts w:eastAsiaTheme="minorEastAsia"/>
          <w:b/>
          <w:bCs/>
          <w:sz w:val="18"/>
          <w:szCs w:val="18"/>
          <w:u w:val="single"/>
        </w:rPr>
        <w:t>Notes to above:</w:t>
      </w:r>
    </w:p>
    <w:p w:rsidR="00B50569" w:rsidRPr="00B50569" w:rsidRDefault="00B50569" w:rsidP="00B50569">
      <w:pPr>
        <w:numPr>
          <w:ilvl w:val="0"/>
          <w:numId w:val="17"/>
        </w:numPr>
        <w:overflowPunct/>
        <w:autoSpaceDE/>
        <w:autoSpaceDN/>
        <w:adjustRightInd/>
        <w:spacing w:before="100" w:beforeAutospacing="1" w:after="100" w:afterAutospacing="1"/>
        <w:contextualSpacing/>
        <w:textAlignment w:val="baseline"/>
        <w:rPr>
          <w:sz w:val="18"/>
          <w:szCs w:val="18"/>
        </w:rPr>
      </w:pPr>
      <w:r w:rsidRPr="00B50569">
        <w:rPr>
          <w:sz w:val="18"/>
          <w:szCs w:val="18"/>
        </w:rPr>
        <w:t xml:space="preserve">Amounts in 2017 include a provisional tax benefit of $50 million related to the accounting for United States tax reform. </w:t>
      </w:r>
    </w:p>
    <w:p w:rsidR="00B50569" w:rsidRPr="00B50569" w:rsidRDefault="00B50569" w:rsidP="00B50569">
      <w:pPr>
        <w:numPr>
          <w:ilvl w:val="0"/>
          <w:numId w:val="17"/>
        </w:numPr>
        <w:overflowPunct/>
        <w:autoSpaceDE/>
        <w:autoSpaceDN/>
        <w:adjustRightInd/>
        <w:spacing w:before="100" w:beforeAutospacing="1" w:after="100" w:afterAutospacing="1"/>
        <w:contextualSpacing/>
        <w:textAlignment w:val="baseline"/>
        <w:rPr>
          <w:sz w:val="18"/>
          <w:szCs w:val="18"/>
        </w:rPr>
      </w:pPr>
      <w:r w:rsidRPr="00B50569">
        <w:rPr>
          <w:sz w:val="18"/>
          <w:szCs w:val="18"/>
        </w:rPr>
        <w:t xml:space="preserve">Non-cash charges (pre-tax) recorded in cost of goods sold. Charges in 2017, recorded in the international segment, are related to reducing our local presence in Iraq.   </w:t>
      </w:r>
    </w:p>
    <w:p w:rsidR="00B50569" w:rsidRPr="00B50569" w:rsidRDefault="00B50569" w:rsidP="00B50569">
      <w:pPr>
        <w:numPr>
          <w:ilvl w:val="0"/>
          <w:numId w:val="17"/>
        </w:numPr>
        <w:overflowPunct/>
        <w:autoSpaceDE/>
        <w:autoSpaceDN/>
        <w:adjustRightInd/>
        <w:spacing w:before="100" w:beforeAutospacing="1" w:after="100" w:afterAutospacing="1"/>
        <w:contextualSpacing/>
        <w:textAlignment w:val="baseline"/>
        <w:rPr>
          <w:sz w:val="18"/>
          <w:szCs w:val="18"/>
        </w:rPr>
      </w:pPr>
      <w:r w:rsidRPr="00B50569">
        <w:rPr>
          <w:sz w:val="18"/>
          <w:szCs w:val="18"/>
        </w:rPr>
        <w:t xml:space="preserve">Recorded in SG&amp;A </w:t>
      </w:r>
    </w:p>
    <w:p w:rsidR="00B50569" w:rsidRPr="00B50569" w:rsidRDefault="00B50569" w:rsidP="00B50569">
      <w:pPr>
        <w:numPr>
          <w:ilvl w:val="0"/>
          <w:numId w:val="17"/>
        </w:numPr>
        <w:overflowPunct/>
        <w:autoSpaceDE/>
        <w:autoSpaceDN/>
        <w:adjustRightInd/>
        <w:spacing w:before="100" w:beforeAutospacing="1" w:after="100" w:afterAutospacing="1"/>
        <w:contextualSpacing/>
        <w:textAlignment w:val="baseline"/>
        <w:rPr>
          <w:sz w:val="18"/>
          <w:szCs w:val="18"/>
        </w:rPr>
      </w:pPr>
      <w:r w:rsidRPr="00B50569">
        <w:rPr>
          <w:sz w:val="18"/>
          <w:szCs w:val="18"/>
        </w:rPr>
        <w:t xml:space="preserve">Charges (pre-tax) related to employee severance and restructuring charges recorded in SG&amp;A. 2018 charges relate to the partial closure and relocation of a corporate office and the termination of an executive’s employment. The 2017 charges relate to cost reduction initiatives to improve profitability in our international segment. </w:t>
      </w:r>
    </w:p>
    <w:p w:rsidR="00B50569" w:rsidRPr="00B50569" w:rsidRDefault="00B50569" w:rsidP="00B50569">
      <w:pPr>
        <w:numPr>
          <w:ilvl w:val="0"/>
          <w:numId w:val="17"/>
        </w:numPr>
        <w:overflowPunct/>
        <w:autoSpaceDE/>
        <w:autoSpaceDN/>
        <w:adjustRightInd/>
        <w:spacing w:before="100" w:beforeAutospacing="1" w:after="100" w:afterAutospacing="1"/>
        <w:contextualSpacing/>
        <w:textAlignment w:val="baseline"/>
        <w:rPr>
          <w:sz w:val="18"/>
          <w:szCs w:val="18"/>
        </w:rPr>
      </w:pPr>
      <w:r w:rsidRPr="00B50569">
        <w:rPr>
          <w:sz w:val="18"/>
          <w:szCs w:val="18"/>
        </w:rPr>
        <w:t xml:space="preserve">Charge (pre-tax) related to the write </w:t>
      </w:r>
      <w:proofErr w:type="gramStart"/>
      <w:r w:rsidRPr="00B50569">
        <w:rPr>
          <w:sz w:val="18"/>
          <w:szCs w:val="18"/>
        </w:rPr>
        <w:t>off of</w:t>
      </w:r>
      <w:proofErr w:type="gramEnd"/>
      <w:r w:rsidRPr="00B50569">
        <w:rPr>
          <w:sz w:val="18"/>
          <w:szCs w:val="18"/>
        </w:rPr>
        <w:t xml:space="preserve"> debt issuance costs related to the refinancing of our senior secured Term Loan in 2018. Charge (pre-tax) related to the refinancing of our senior secured term loan and our </w:t>
      </w:r>
      <w:proofErr w:type="gramStart"/>
      <w:r w:rsidRPr="00B50569">
        <w:rPr>
          <w:sz w:val="18"/>
          <w:szCs w:val="18"/>
        </w:rPr>
        <w:t>asset based</w:t>
      </w:r>
      <w:proofErr w:type="gramEnd"/>
      <w:r w:rsidRPr="00B50569">
        <w:rPr>
          <w:sz w:val="18"/>
          <w:szCs w:val="18"/>
        </w:rPr>
        <w:t xml:space="preserve"> lending facility in 2017.</w:t>
      </w:r>
    </w:p>
    <w:p w:rsidR="00B50569" w:rsidRPr="00B50569" w:rsidRDefault="00B50569" w:rsidP="00B50569">
      <w:pPr>
        <w:numPr>
          <w:ilvl w:val="0"/>
          <w:numId w:val="17"/>
        </w:numPr>
        <w:overflowPunct/>
        <w:autoSpaceDE/>
        <w:autoSpaceDN/>
        <w:adjustRightInd/>
        <w:spacing w:before="120" w:after="120"/>
        <w:contextualSpacing/>
        <w:textAlignment w:val="baseline"/>
        <w:rPr>
          <w:sz w:val="18"/>
          <w:szCs w:val="18"/>
        </w:rPr>
      </w:pPr>
      <w:r w:rsidRPr="00B50569">
        <w:rPr>
          <w:sz w:val="18"/>
          <w:szCs w:val="18"/>
        </w:rPr>
        <w:t>Charge (pre-tax) related to the settlement of litigation with Weatherford Canada Partnership in the second quarter 2017 recorded in Other, net.  The company previously recognized a charge of $3 million associated with this matter in the fourth quarter of 2015.</w:t>
      </w:r>
    </w:p>
    <w:p w:rsidR="00B50569" w:rsidRPr="00B50569" w:rsidRDefault="00B50569" w:rsidP="00B50569">
      <w:pPr>
        <w:overflowPunct/>
        <w:autoSpaceDE/>
        <w:autoSpaceDN/>
        <w:adjustRightInd/>
        <w:spacing w:before="120" w:after="120"/>
        <w:ind w:left="360"/>
        <w:contextualSpacing/>
        <w:rPr>
          <w:sz w:val="18"/>
          <w:szCs w:val="18"/>
        </w:rPr>
      </w:pPr>
    </w:p>
    <w:p w:rsidR="00B50569" w:rsidRPr="00B50569" w:rsidRDefault="00B50569" w:rsidP="00B50569">
      <w:pPr>
        <w:overflowPunct/>
        <w:autoSpaceDE/>
        <w:autoSpaceDN/>
        <w:adjustRightInd/>
        <w:contextualSpacing/>
        <w:jc w:val="both"/>
        <w:rPr>
          <w:rFonts w:ascii="Arial" w:hAnsi="Arial" w:cs="Arial"/>
          <w:iCs/>
          <w:sz w:val="18"/>
          <w:szCs w:val="18"/>
        </w:rPr>
      </w:pPr>
      <w:r w:rsidRPr="00B50569">
        <w:rPr>
          <w:sz w:val="18"/>
          <w:szCs w:val="18"/>
        </w:rPr>
        <w:t xml:space="preserve">The company defines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its LIFO inventory costing methodology.  The company presents Adjusted EBITDA because the company believes Adjusted EBITDA is a useful indicator of the company’s operating performance. Among other things, Adjusted EBITDA measures the company’s operating performance without regard to certain non-recurring, non-cash or transaction-related expenses.  Adjusted EBITDA, however, does not represent and should not be considered as an alternative to net income, cash flow from operations or any other measure of financial performance calculated and presented in accordance with GAAP. Because Adjusted EBITDA does not account for certain expenses, its utility as a measure of the company’s operating performance has material limitations. Because of these limitations, the company does not view Adjusted EBITDA in isolation or as a primary performance measure </w:t>
      </w:r>
      <w:proofErr w:type="gramStart"/>
      <w:r w:rsidRPr="00B50569">
        <w:rPr>
          <w:sz w:val="18"/>
          <w:szCs w:val="18"/>
        </w:rPr>
        <w:t>and also</w:t>
      </w:r>
      <w:proofErr w:type="gramEnd"/>
      <w:r w:rsidRPr="00B50569">
        <w:rPr>
          <w:sz w:val="18"/>
          <w:szCs w:val="18"/>
        </w:rPr>
        <w:t xml:space="preserve"> uses other measures, such as net income and sales, to measure operating performance.  See the Company's Annual Report filed on Form 10-K for a more thorough discussion of the use of Adjusted EBITDA.</w:t>
      </w:r>
    </w:p>
    <w:p w:rsidR="00B50569" w:rsidRPr="00B50569" w:rsidRDefault="00B50569" w:rsidP="00B50569">
      <w:pPr>
        <w:pageBreakBefore/>
        <w:overflowPunct/>
        <w:autoSpaceDE/>
        <w:autoSpaceDN/>
        <w:adjustRightInd/>
        <w:contextualSpacing/>
        <w:jc w:val="center"/>
        <w:rPr>
          <w:b/>
          <w:iCs/>
          <w:sz w:val="20"/>
        </w:rPr>
      </w:pPr>
      <w:r w:rsidRPr="00B50569">
        <w:rPr>
          <w:b/>
          <w:iCs/>
          <w:sz w:val="20"/>
        </w:rPr>
        <w:lastRenderedPageBreak/>
        <w:t>MRC Global Inc.</w:t>
      </w:r>
    </w:p>
    <w:p w:rsidR="00B50569" w:rsidRPr="00B50569" w:rsidRDefault="00B50569" w:rsidP="00B50569">
      <w:pPr>
        <w:overflowPunct/>
        <w:autoSpaceDE/>
        <w:autoSpaceDN/>
        <w:adjustRightInd/>
        <w:contextualSpacing/>
        <w:jc w:val="center"/>
        <w:rPr>
          <w:b/>
          <w:iCs/>
          <w:sz w:val="20"/>
        </w:rPr>
      </w:pPr>
      <w:r w:rsidRPr="00B50569">
        <w:rPr>
          <w:b/>
          <w:iCs/>
          <w:sz w:val="20"/>
        </w:rPr>
        <w:t>Supplemental Information (Unaudited)</w:t>
      </w:r>
    </w:p>
    <w:p w:rsidR="00B50569" w:rsidRPr="00B50569" w:rsidRDefault="00B50569" w:rsidP="00B50569">
      <w:pPr>
        <w:overflowPunct/>
        <w:autoSpaceDE/>
        <w:autoSpaceDN/>
        <w:adjustRightInd/>
        <w:contextualSpacing/>
        <w:jc w:val="center"/>
        <w:rPr>
          <w:b/>
          <w:iCs/>
          <w:sz w:val="20"/>
        </w:rPr>
      </w:pPr>
      <w:r w:rsidRPr="00B50569">
        <w:rPr>
          <w:b/>
          <w:iCs/>
          <w:sz w:val="20"/>
        </w:rPr>
        <w:t>Reconciliation of Gross Profit to Adjusted Gross Profit (a non-GAAP measure)</w:t>
      </w:r>
    </w:p>
    <w:p w:rsidR="00B50569" w:rsidRPr="00B50569" w:rsidRDefault="00B50569" w:rsidP="00B50569">
      <w:pPr>
        <w:overflowPunct/>
        <w:autoSpaceDE/>
        <w:autoSpaceDN/>
        <w:adjustRightInd/>
        <w:contextualSpacing/>
        <w:jc w:val="center"/>
        <w:rPr>
          <w:i/>
          <w:iCs/>
          <w:sz w:val="20"/>
        </w:rPr>
      </w:pPr>
      <w:r w:rsidRPr="00B50569">
        <w:rPr>
          <w:i/>
          <w:iCs/>
          <w:sz w:val="20"/>
        </w:rPr>
        <w:t>(in millions)</w:t>
      </w:r>
    </w:p>
    <w:p w:rsidR="00B50569" w:rsidRPr="00B50569" w:rsidRDefault="00B50569" w:rsidP="00B50569">
      <w:pPr>
        <w:overflowPunct/>
        <w:autoSpaceDE/>
        <w:autoSpaceDN/>
        <w:adjustRightInd/>
        <w:contextualSpacing/>
        <w:jc w:val="both"/>
        <w:rPr>
          <w:rFonts w:ascii="Arial" w:hAnsi="Arial" w:cs="Arial"/>
          <w:iCs/>
          <w:sz w:val="2"/>
          <w:szCs w:val="24"/>
        </w:rPr>
      </w:pPr>
    </w:p>
    <w:p w:rsidR="00B50569" w:rsidRPr="00B50569" w:rsidRDefault="00B50569" w:rsidP="00B50569">
      <w:pPr>
        <w:overflowPunct/>
        <w:autoSpaceDE/>
        <w:autoSpaceDN/>
        <w:adjustRightInd/>
        <w:contextualSpacing/>
        <w:jc w:val="both"/>
        <w:rPr>
          <w:rFonts w:ascii="Arial" w:hAnsi="Arial" w:cs="Arial"/>
          <w:iCs/>
          <w:sz w:val="2"/>
          <w:szCs w:val="24"/>
        </w:rPr>
      </w:pPr>
    </w:p>
    <w:p w:rsidR="00B50569" w:rsidRPr="00B50569" w:rsidRDefault="00B50569" w:rsidP="00B50569">
      <w:pPr>
        <w:overflowPunct/>
        <w:autoSpaceDE/>
        <w:autoSpaceDN/>
        <w:adjustRightInd/>
        <w:contextualSpacing/>
        <w:jc w:val="both"/>
        <w:rPr>
          <w:rFonts w:ascii="Arial" w:hAnsi="Arial" w:cs="Arial"/>
          <w:iCs/>
          <w:sz w:val="2"/>
          <w:szCs w:val="24"/>
        </w:rPr>
      </w:pPr>
    </w:p>
    <w:p w:rsidR="00B50569" w:rsidRPr="00B50569" w:rsidRDefault="00B50569" w:rsidP="00B50569">
      <w:pPr>
        <w:overflowPunct/>
        <w:autoSpaceDE/>
        <w:autoSpaceDN/>
        <w:adjustRightInd/>
        <w:contextualSpacing/>
        <w:jc w:val="both"/>
        <w:rPr>
          <w:rFonts w:ascii="Arial" w:hAnsi="Arial" w:cs="Arial"/>
          <w:iCs/>
          <w:sz w:val="2"/>
          <w:szCs w:val="24"/>
        </w:rPr>
      </w:pPr>
    </w:p>
    <w:p w:rsidR="00B50569" w:rsidRPr="00B50569" w:rsidRDefault="00B50569" w:rsidP="00B50569">
      <w:pPr>
        <w:textAlignment w:val="baseline"/>
      </w:pPr>
    </w:p>
    <w:p w:rsidR="00B50569" w:rsidRPr="00B50569" w:rsidRDefault="00B50569" w:rsidP="00B50569">
      <w:pPr>
        <w:textAlignment w:val="baseline"/>
        <w:rPr>
          <w:sz w:val="2"/>
        </w:rPr>
      </w:pPr>
    </w:p>
    <w:p w:rsidR="00B50569" w:rsidRPr="00B50569" w:rsidRDefault="00B50569" w:rsidP="00B50569">
      <w:pPr>
        <w:textAlignment w:val="baseline"/>
      </w:pPr>
    </w:p>
    <w:p w:rsidR="00B50569" w:rsidRPr="00B50569" w:rsidRDefault="00B50569" w:rsidP="00B50569">
      <w:pPr>
        <w:textAlignment w:val="baseline"/>
        <w:rPr>
          <w:sz w:val="2"/>
        </w:rPr>
      </w:pPr>
    </w:p>
    <w:tbl>
      <w:tblPr>
        <w:tblW w:w="5000" w:type="pct"/>
        <w:tblCellMar>
          <w:left w:w="0" w:type="dxa"/>
          <w:right w:w="0" w:type="dxa"/>
        </w:tblCellMar>
        <w:tblLook w:val="04A0" w:firstRow="1" w:lastRow="0" w:firstColumn="1" w:lastColumn="0" w:noHBand="0" w:noVBand="1"/>
      </w:tblPr>
      <w:tblGrid>
        <w:gridCol w:w="3701"/>
        <w:gridCol w:w="354"/>
        <w:gridCol w:w="1356"/>
        <w:gridCol w:w="335"/>
        <w:gridCol w:w="1339"/>
        <w:gridCol w:w="335"/>
        <w:gridCol w:w="354"/>
        <w:gridCol w:w="1356"/>
        <w:gridCol w:w="335"/>
        <w:gridCol w:w="1335"/>
      </w:tblGrid>
      <w:tr w:rsidR="00B50569" w:rsidRPr="00B50569" w:rsidTr="007D35A2">
        <w:trPr>
          <w:trHeight w:hRule="exact" w:val="20"/>
        </w:trPr>
        <w:tc>
          <w:tcPr>
            <w:tcW w:w="1713"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6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628"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5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620"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5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64"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628"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5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618"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r>
      <w:tr w:rsidR="00B50569" w:rsidRPr="00B50569" w:rsidTr="007D35A2">
        <w:trPr>
          <w:trHeight w:hRule="exact" w:val="300"/>
        </w:trPr>
        <w:tc>
          <w:tcPr>
            <w:tcW w:w="171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9"/>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Three Months Ended</w:t>
            </w:r>
          </w:p>
        </w:tc>
      </w:tr>
      <w:tr w:rsidR="00B50569" w:rsidRPr="00B50569" w:rsidTr="007D35A2">
        <w:trPr>
          <w:trHeight w:hRule="exact" w:val="300"/>
        </w:trPr>
        <w:tc>
          <w:tcPr>
            <w:tcW w:w="171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December 31, </w:t>
            </w:r>
          </w:p>
        </w:tc>
        <w:tc>
          <w:tcPr>
            <w:tcW w:w="15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62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Percentage </w:t>
            </w:r>
          </w:p>
        </w:tc>
        <w:tc>
          <w:tcPr>
            <w:tcW w:w="15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December 31, </w:t>
            </w:r>
          </w:p>
        </w:tc>
        <w:tc>
          <w:tcPr>
            <w:tcW w:w="15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61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Percentage </w:t>
            </w:r>
          </w:p>
        </w:tc>
      </w:tr>
      <w:tr w:rsidR="00B50569" w:rsidRPr="00B50569" w:rsidTr="007D35A2">
        <w:trPr>
          <w:trHeight w:hRule="exact" w:val="300"/>
        </w:trPr>
        <w:tc>
          <w:tcPr>
            <w:tcW w:w="171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2018</w:t>
            </w:r>
          </w:p>
        </w:tc>
        <w:tc>
          <w:tcPr>
            <w:tcW w:w="15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620" w:type="pct"/>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of Revenue</w:t>
            </w:r>
          </w:p>
        </w:tc>
        <w:tc>
          <w:tcPr>
            <w:tcW w:w="15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 2017</w:t>
            </w:r>
          </w:p>
        </w:tc>
        <w:tc>
          <w:tcPr>
            <w:tcW w:w="15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618" w:type="pct"/>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of Revenue</w:t>
            </w:r>
          </w:p>
        </w:tc>
      </w:tr>
      <w:tr w:rsidR="00B50569" w:rsidRPr="00B50569" w:rsidTr="007D35A2">
        <w:trPr>
          <w:trHeight w:hRule="exact" w:val="75"/>
        </w:trPr>
        <w:tc>
          <w:tcPr>
            <w:tcW w:w="171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64"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62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5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62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5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64"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62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5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61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r>
      <w:tr w:rsidR="00B50569" w:rsidRPr="00B50569" w:rsidTr="007D35A2">
        <w:trPr>
          <w:trHeight w:hRule="exact" w:val="300"/>
        </w:trPr>
        <w:tc>
          <w:tcPr>
            <w:tcW w:w="171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Gross profit, as reported</w:t>
            </w:r>
          </w:p>
        </w:tc>
        <w:tc>
          <w:tcPr>
            <w:tcW w:w="16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62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171</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jc w:val="center"/>
              <w:textAlignment w:val="baseline"/>
              <w:rPr>
                <w:b/>
                <w:sz w:val="20"/>
              </w:rPr>
            </w:pPr>
          </w:p>
        </w:tc>
        <w:tc>
          <w:tcPr>
            <w:tcW w:w="620"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16.9%</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6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62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141</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jc w:val="center"/>
              <w:textAlignment w:val="baseline"/>
              <w:rPr>
                <w:b/>
                <w:sz w:val="20"/>
              </w:rPr>
            </w:pPr>
            <w:r w:rsidRPr="00B50569">
              <w:rPr>
                <w:b/>
                <w:sz w:val="20"/>
              </w:rPr>
              <w:t>(1)</w:t>
            </w:r>
          </w:p>
        </w:tc>
        <w:tc>
          <w:tcPr>
            <w:tcW w:w="61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15.6%</w:t>
            </w:r>
          </w:p>
        </w:tc>
      </w:tr>
      <w:tr w:rsidR="00B50569" w:rsidRPr="00B50569" w:rsidTr="007D35A2">
        <w:trPr>
          <w:trHeight w:hRule="exact" w:val="300"/>
        </w:trPr>
        <w:tc>
          <w:tcPr>
            <w:tcW w:w="1713"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Depreciation and amortization</w:t>
            </w:r>
          </w:p>
        </w:tc>
        <w:tc>
          <w:tcPr>
            <w:tcW w:w="164"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628"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6</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620"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0.6%</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6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62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6</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61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0.7%</w:t>
            </w:r>
          </w:p>
        </w:tc>
      </w:tr>
      <w:tr w:rsidR="00B50569" w:rsidRPr="00B50569" w:rsidTr="007D35A2">
        <w:trPr>
          <w:trHeight w:hRule="exact" w:val="300"/>
        </w:trPr>
        <w:tc>
          <w:tcPr>
            <w:tcW w:w="171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Amortization of intangibles</w:t>
            </w:r>
          </w:p>
        </w:tc>
        <w:tc>
          <w:tcPr>
            <w:tcW w:w="16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62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11</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620"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1.1%</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6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62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11</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61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1.2%</w:t>
            </w:r>
          </w:p>
        </w:tc>
      </w:tr>
      <w:tr w:rsidR="00B50569" w:rsidRPr="00B50569" w:rsidTr="007D35A2">
        <w:trPr>
          <w:trHeight w:hRule="exact" w:val="300"/>
        </w:trPr>
        <w:tc>
          <w:tcPr>
            <w:tcW w:w="1713"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Increase in LIFO reserve</w:t>
            </w:r>
          </w:p>
        </w:tc>
        <w:tc>
          <w:tcPr>
            <w:tcW w:w="16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628"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14</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620"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1.4%</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6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sz w:val="20"/>
              </w:rPr>
            </w:pPr>
          </w:p>
        </w:tc>
        <w:tc>
          <w:tcPr>
            <w:tcW w:w="628"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9</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618"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1.0%</w:t>
            </w:r>
          </w:p>
        </w:tc>
      </w:tr>
      <w:tr w:rsidR="00B50569" w:rsidRPr="00B50569" w:rsidTr="007D35A2">
        <w:trPr>
          <w:trHeight w:hRule="exact" w:val="300"/>
        </w:trPr>
        <w:tc>
          <w:tcPr>
            <w:tcW w:w="171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Adjusted Gross Profit</w:t>
            </w:r>
          </w:p>
        </w:tc>
        <w:tc>
          <w:tcPr>
            <w:tcW w:w="164"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62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202</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jc w:val="center"/>
              <w:textAlignment w:val="baseline"/>
              <w:rPr>
                <w:b/>
                <w:sz w:val="20"/>
              </w:rPr>
            </w:pPr>
          </w:p>
        </w:tc>
        <w:tc>
          <w:tcPr>
            <w:tcW w:w="62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20.0%</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64"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62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167</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jc w:val="center"/>
              <w:textAlignment w:val="baseline"/>
              <w:rPr>
                <w:b/>
                <w:sz w:val="20"/>
              </w:rPr>
            </w:pPr>
            <w:r w:rsidRPr="00B50569">
              <w:rPr>
                <w:b/>
                <w:sz w:val="20"/>
              </w:rPr>
              <w:t>(1)</w:t>
            </w:r>
          </w:p>
        </w:tc>
        <w:tc>
          <w:tcPr>
            <w:tcW w:w="61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18.5%</w:t>
            </w:r>
          </w:p>
        </w:tc>
      </w:tr>
      <w:tr w:rsidR="00B50569" w:rsidRPr="00B50569" w:rsidTr="007D35A2">
        <w:trPr>
          <w:trHeight w:hRule="exact" w:val="300"/>
        </w:trPr>
        <w:tc>
          <w:tcPr>
            <w:tcW w:w="1713"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64"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sz w:val="20"/>
              </w:rPr>
            </w:pPr>
          </w:p>
        </w:tc>
        <w:tc>
          <w:tcPr>
            <w:tcW w:w="628"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sz w:val="20"/>
              </w:rPr>
            </w:pP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620"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sz w:val="20"/>
              </w:rPr>
            </w:pP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64"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sz w:val="20"/>
              </w:rPr>
            </w:pPr>
          </w:p>
        </w:tc>
        <w:tc>
          <w:tcPr>
            <w:tcW w:w="628"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sz w:val="20"/>
              </w:rPr>
            </w:pP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618" w:type="pct"/>
            <w:tcBorders>
              <w:top w:val="double" w:sz="0" w:space="0" w:color="000000"/>
              <w:left w:val="nil"/>
              <w:bottom w:val="nil"/>
              <w:right w:val="nil"/>
              <w:tl2br w:val="nil"/>
              <w:tr2bl w:val="nil"/>
            </w:tcBorders>
            <w:vAlign w:val="bottom"/>
          </w:tcPr>
          <w:p w:rsidR="00B50569" w:rsidRPr="00B50569" w:rsidRDefault="00B50569" w:rsidP="00B50569">
            <w:pPr>
              <w:textAlignment w:val="baseline"/>
              <w:rPr>
                <w:sz w:val="20"/>
              </w:rPr>
            </w:pPr>
          </w:p>
        </w:tc>
      </w:tr>
      <w:tr w:rsidR="00B50569" w:rsidRPr="00B50569" w:rsidTr="007D35A2">
        <w:trPr>
          <w:trHeight w:hRule="exact" w:val="300"/>
        </w:trPr>
        <w:tc>
          <w:tcPr>
            <w:tcW w:w="1713"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 w:type="pct"/>
            <w:gridSpan w:val="9"/>
            <w:tcBorders>
              <w:top w:val="nil"/>
              <w:left w:val="nil"/>
              <w:bottom w:val="single" w:sz="12" w:space="0" w:color="000000"/>
              <w:right w:val="nil"/>
              <w:tl2br w:val="nil"/>
              <w:tr2bl w:val="nil"/>
            </w:tcBorders>
            <w:vAlign w:val="bottom"/>
          </w:tcPr>
          <w:p w:rsidR="00B50569" w:rsidRPr="00B50569" w:rsidRDefault="00B50569" w:rsidP="00B50569">
            <w:pPr>
              <w:jc w:val="center"/>
              <w:textAlignment w:val="baseline"/>
              <w:rPr>
                <w:b/>
                <w:sz w:val="20"/>
              </w:rPr>
            </w:pPr>
            <w:r w:rsidRPr="00B50569">
              <w:rPr>
                <w:b/>
                <w:sz w:val="20"/>
              </w:rPr>
              <w:t>Year Ended</w:t>
            </w:r>
          </w:p>
        </w:tc>
      </w:tr>
      <w:tr w:rsidR="00B50569" w:rsidRPr="00B50569" w:rsidTr="007D35A2">
        <w:trPr>
          <w:trHeight w:hRule="exact" w:val="300"/>
        </w:trPr>
        <w:tc>
          <w:tcPr>
            <w:tcW w:w="1713" w:type="pct"/>
            <w:tcBorders>
              <w:top w:val="nil"/>
              <w:left w:val="nil"/>
              <w:bottom w:val="nil"/>
              <w:right w:val="nil"/>
              <w:tl2br w:val="nil"/>
              <w:tr2bl w:val="nil"/>
            </w:tcBorders>
            <w:vAlign w:val="bottom"/>
          </w:tcPr>
          <w:p w:rsidR="00B50569" w:rsidRPr="00B50569" w:rsidRDefault="00B50569" w:rsidP="00B50569">
            <w:pPr>
              <w:jc w:val="center"/>
              <w:textAlignment w:val="baseline"/>
              <w:rPr>
                <w:sz w:val="20"/>
              </w:rPr>
            </w:pPr>
          </w:p>
        </w:tc>
        <w:tc>
          <w:tcPr>
            <w:tcW w:w="1" w:type="pct"/>
            <w:gridSpan w:val="2"/>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r w:rsidRPr="00B50569">
              <w:rPr>
                <w:b/>
                <w:sz w:val="20"/>
              </w:rPr>
              <w:t xml:space="preserve">December 31, </w:t>
            </w:r>
          </w:p>
        </w:tc>
        <w:tc>
          <w:tcPr>
            <w:tcW w:w="155"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620"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r w:rsidRPr="00B50569">
              <w:rPr>
                <w:b/>
                <w:sz w:val="20"/>
              </w:rPr>
              <w:t xml:space="preserve">Percentage </w:t>
            </w:r>
          </w:p>
        </w:tc>
        <w:tc>
          <w:tcPr>
            <w:tcW w:w="155"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1" w:type="pct"/>
            <w:gridSpan w:val="2"/>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r w:rsidRPr="00B50569">
              <w:rPr>
                <w:b/>
                <w:sz w:val="20"/>
              </w:rPr>
              <w:t xml:space="preserve">December 31, </w:t>
            </w:r>
          </w:p>
        </w:tc>
        <w:tc>
          <w:tcPr>
            <w:tcW w:w="155"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618"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r w:rsidRPr="00B50569">
              <w:rPr>
                <w:b/>
                <w:sz w:val="20"/>
              </w:rPr>
              <w:t xml:space="preserve">Percentage </w:t>
            </w:r>
          </w:p>
        </w:tc>
      </w:tr>
      <w:tr w:rsidR="00B50569" w:rsidRPr="00B50569" w:rsidTr="007D35A2">
        <w:trPr>
          <w:trHeight w:hRule="exact" w:val="300"/>
        </w:trPr>
        <w:tc>
          <w:tcPr>
            <w:tcW w:w="1713" w:type="pct"/>
            <w:tcBorders>
              <w:top w:val="nil"/>
              <w:left w:val="nil"/>
              <w:bottom w:val="nil"/>
              <w:right w:val="nil"/>
              <w:tl2br w:val="nil"/>
              <w:tr2bl w:val="nil"/>
            </w:tcBorders>
            <w:vAlign w:val="bottom"/>
          </w:tcPr>
          <w:p w:rsidR="00B50569" w:rsidRPr="00B50569" w:rsidRDefault="00B50569" w:rsidP="00B50569">
            <w:pPr>
              <w:jc w:val="center"/>
              <w:textAlignment w:val="baseline"/>
              <w:rPr>
                <w:sz w:val="20"/>
              </w:rPr>
            </w:pPr>
          </w:p>
        </w:tc>
        <w:tc>
          <w:tcPr>
            <w:tcW w:w="1" w:type="pct"/>
            <w:gridSpan w:val="2"/>
            <w:tcBorders>
              <w:top w:val="nil"/>
              <w:left w:val="nil"/>
              <w:bottom w:val="single" w:sz="12" w:space="0" w:color="000000"/>
              <w:right w:val="nil"/>
              <w:tl2br w:val="nil"/>
              <w:tr2bl w:val="nil"/>
            </w:tcBorders>
            <w:vAlign w:val="bottom"/>
          </w:tcPr>
          <w:p w:rsidR="00B50569" w:rsidRPr="00B50569" w:rsidRDefault="00B50569" w:rsidP="00B50569">
            <w:pPr>
              <w:jc w:val="center"/>
              <w:textAlignment w:val="baseline"/>
              <w:rPr>
                <w:b/>
                <w:sz w:val="20"/>
              </w:rPr>
            </w:pPr>
            <w:r w:rsidRPr="00B50569">
              <w:rPr>
                <w:b/>
                <w:sz w:val="20"/>
              </w:rPr>
              <w:t>2018</w:t>
            </w:r>
          </w:p>
        </w:tc>
        <w:tc>
          <w:tcPr>
            <w:tcW w:w="155" w:type="pct"/>
            <w:tcBorders>
              <w:top w:val="nil"/>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620" w:type="pct"/>
            <w:tcBorders>
              <w:top w:val="nil"/>
              <w:left w:val="nil"/>
              <w:bottom w:val="single" w:sz="12" w:space="0" w:color="000000"/>
              <w:right w:val="nil"/>
              <w:tl2br w:val="nil"/>
              <w:tr2bl w:val="nil"/>
            </w:tcBorders>
            <w:vAlign w:val="bottom"/>
          </w:tcPr>
          <w:p w:rsidR="00B50569" w:rsidRPr="00B50569" w:rsidRDefault="00B50569" w:rsidP="00B50569">
            <w:pPr>
              <w:jc w:val="center"/>
              <w:textAlignment w:val="baseline"/>
              <w:rPr>
                <w:b/>
                <w:sz w:val="20"/>
              </w:rPr>
            </w:pPr>
            <w:r w:rsidRPr="00B50569">
              <w:rPr>
                <w:b/>
                <w:sz w:val="20"/>
              </w:rPr>
              <w:t>of Revenue*</w:t>
            </w:r>
          </w:p>
        </w:tc>
        <w:tc>
          <w:tcPr>
            <w:tcW w:w="155" w:type="pct"/>
            <w:tcBorders>
              <w:top w:val="nil"/>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vAlign w:val="bottom"/>
          </w:tcPr>
          <w:p w:rsidR="00B50569" w:rsidRPr="00B50569" w:rsidRDefault="00B50569" w:rsidP="00B50569">
            <w:pPr>
              <w:jc w:val="center"/>
              <w:textAlignment w:val="baseline"/>
              <w:rPr>
                <w:b/>
                <w:sz w:val="20"/>
              </w:rPr>
            </w:pPr>
            <w:r w:rsidRPr="00B50569">
              <w:rPr>
                <w:b/>
                <w:sz w:val="20"/>
              </w:rPr>
              <w:t xml:space="preserve"> 2017</w:t>
            </w:r>
          </w:p>
        </w:tc>
        <w:tc>
          <w:tcPr>
            <w:tcW w:w="155" w:type="pct"/>
            <w:tcBorders>
              <w:top w:val="nil"/>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618" w:type="pct"/>
            <w:tcBorders>
              <w:top w:val="nil"/>
              <w:left w:val="nil"/>
              <w:bottom w:val="single" w:sz="12" w:space="0" w:color="000000"/>
              <w:right w:val="nil"/>
              <w:tl2br w:val="nil"/>
              <w:tr2bl w:val="nil"/>
            </w:tcBorders>
            <w:vAlign w:val="bottom"/>
          </w:tcPr>
          <w:p w:rsidR="00B50569" w:rsidRPr="00B50569" w:rsidRDefault="00B50569" w:rsidP="00B50569">
            <w:pPr>
              <w:jc w:val="center"/>
              <w:textAlignment w:val="baseline"/>
              <w:rPr>
                <w:b/>
                <w:sz w:val="20"/>
              </w:rPr>
            </w:pPr>
            <w:r w:rsidRPr="00B50569">
              <w:rPr>
                <w:b/>
                <w:sz w:val="20"/>
              </w:rPr>
              <w:t>of Revenue</w:t>
            </w:r>
          </w:p>
        </w:tc>
      </w:tr>
      <w:tr w:rsidR="00B50569" w:rsidRPr="00B50569" w:rsidTr="007D35A2">
        <w:trPr>
          <w:trHeight w:hRule="exact" w:val="45"/>
        </w:trPr>
        <w:tc>
          <w:tcPr>
            <w:tcW w:w="1713" w:type="pct"/>
            <w:tcBorders>
              <w:top w:val="nil"/>
              <w:left w:val="nil"/>
              <w:bottom w:val="nil"/>
              <w:right w:val="nil"/>
              <w:tl2br w:val="nil"/>
              <w:tr2bl w:val="nil"/>
            </w:tcBorders>
            <w:vAlign w:val="bottom"/>
          </w:tcPr>
          <w:p w:rsidR="00B50569" w:rsidRPr="00B50569" w:rsidRDefault="00B50569" w:rsidP="00B50569">
            <w:pPr>
              <w:jc w:val="center"/>
              <w:textAlignment w:val="baseline"/>
              <w:rPr>
                <w:sz w:val="20"/>
              </w:rPr>
            </w:pPr>
          </w:p>
        </w:tc>
        <w:tc>
          <w:tcPr>
            <w:tcW w:w="164"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sz w:val="20"/>
              </w:rPr>
            </w:pPr>
          </w:p>
        </w:tc>
        <w:tc>
          <w:tcPr>
            <w:tcW w:w="628"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155" w:type="pct"/>
            <w:tcBorders>
              <w:top w:val="nil"/>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620"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155" w:type="pct"/>
            <w:tcBorders>
              <w:top w:val="nil"/>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164"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628"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155" w:type="pct"/>
            <w:tcBorders>
              <w:top w:val="nil"/>
              <w:left w:val="nil"/>
              <w:bottom w:val="nil"/>
              <w:right w:val="nil"/>
              <w:tl2br w:val="nil"/>
              <w:tr2bl w:val="nil"/>
            </w:tcBorders>
            <w:vAlign w:val="bottom"/>
          </w:tcPr>
          <w:p w:rsidR="00B50569" w:rsidRPr="00B50569" w:rsidRDefault="00B50569" w:rsidP="00B50569">
            <w:pPr>
              <w:jc w:val="center"/>
              <w:textAlignment w:val="baseline"/>
              <w:rPr>
                <w:b/>
                <w:sz w:val="20"/>
              </w:rPr>
            </w:pPr>
          </w:p>
        </w:tc>
        <w:tc>
          <w:tcPr>
            <w:tcW w:w="618" w:type="pct"/>
            <w:tcBorders>
              <w:top w:val="single" w:sz="0" w:space="0" w:color="000000"/>
              <w:left w:val="nil"/>
              <w:bottom w:val="nil"/>
              <w:right w:val="nil"/>
              <w:tl2br w:val="nil"/>
              <w:tr2bl w:val="nil"/>
            </w:tcBorders>
            <w:vAlign w:val="bottom"/>
          </w:tcPr>
          <w:p w:rsidR="00B50569" w:rsidRPr="00B50569" w:rsidRDefault="00B50569" w:rsidP="00B50569">
            <w:pPr>
              <w:jc w:val="center"/>
              <w:textAlignment w:val="baseline"/>
              <w:rPr>
                <w:b/>
                <w:sz w:val="20"/>
              </w:rPr>
            </w:pPr>
          </w:p>
        </w:tc>
      </w:tr>
      <w:tr w:rsidR="00B50569" w:rsidRPr="00B50569" w:rsidTr="007D35A2">
        <w:trPr>
          <w:trHeight w:hRule="exact" w:val="300"/>
        </w:trPr>
        <w:tc>
          <w:tcPr>
            <w:tcW w:w="171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Gross profit, as reported</w:t>
            </w:r>
          </w:p>
        </w:tc>
        <w:tc>
          <w:tcPr>
            <w:tcW w:w="16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62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689</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jc w:val="center"/>
              <w:textAlignment w:val="baseline"/>
              <w:rPr>
                <w:b/>
                <w:sz w:val="20"/>
              </w:rPr>
            </w:pPr>
          </w:p>
        </w:tc>
        <w:tc>
          <w:tcPr>
            <w:tcW w:w="620"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16.5%</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6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62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582</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jc w:val="center"/>
              <w:textAlignment w:val="baseline"/>
              <w:rPr>
                <w:b/>
                <w:sz w:val="20"/>
              </w:rPr>
            </w:pPr>
            <w:r w:rsidRPr="00B50569">
              <w:rPr>
                <w:b/>
                <w:sz w:val="20"/>
              </w:rPr>
              <w:t>(1)</w:t>
            </w:r>
          </w:p>
        </w:tc>
        <w:tc>
          <w:tcPr>
            <w:tcW w:w="61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16.0%</w:t>
            </w:r>
          </w:p>
        </w:tc>
      </w:tr>
      <w:tr w:rsidR="00B50569" w:rsidRPr="00B50569" w:rsidTr="007D35A2">
        <w:trPr>
          <w:trHeight w:hRule="exact" w:val="300"/>
        </w:trPr>
        <w:tc>
          <w:tcPr>
            <w:tcW w:w="1713"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Depreciation and amortization</w:t>
            </w:r>
          </w:p>
        </w:tc>
        <w:tc>
          <w:tcPr>
            <w:tcW w:w="164"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628"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23</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620"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0.6%</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6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62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22</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61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0.6%</w:t>
            </w:r>
          </w:p>
        </w:tc>
      </w:tr>
      <w:tr w:rsidR="00B50569" w:rsidRPr="00B50569" w:rsidTr="007D35A2">
        <w:trPr>
          <w:trHeight w:hRule="exact" w:val="300"/>
        </w:trPr>
        <w:tc>
          <w:tcPr>
            <w:tcW w:w="171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Amortization of intangibles</w:t>
            </w:r>
          </w:p>
        </w:tc>
        <w:tc>
          <w:tcPr>
            <w:tcW w:w="16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62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45</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620"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1.1%</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6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62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45</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61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1.2%</w:t>
            </w:r>
          </w:p>
        </w:tc>
      </w:tr>
      <w:tr w:rsidR="00B50569" w:rsidRPr="00B50569" w:rsidTr="007D35A2">
        <w:trPr>
          <w:trHeight w:hRule="exact" w:val="300"/>
        </w:trPr>
        <w:tc>
          <w:tcPr>
            <w:tcW w:w="1713"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Increase in LIFO reserve</w:t>
            </w:r>
          </w:p>
        </w:tc>
        <w:tc>
          <w:tcPr>
            <w:tcW w:w="16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628"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62</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620"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1.5%</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64"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sz w:val="20"/>
              </w:rPr>
            </w:pPr>
          </w:p>
        </w:tc>
        <w:tc>
          <w:tcPr>
            <w:tcW w:w="628"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28</w:t>
            </w:r>
          </w:p>
        </w:tc>
        <w:tc>
          <w:tcPr>
            <w:tcW w:w="155"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618"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0.8%</w:t>
            </w:r>
          </w:p>
        </w:tc>
      </w:tr>
      <w:tr w:rsidR="00B50569" w:rsidRPr="00B50569" w:rsidTr="007D35A2">
        <w:trPr>
          <w:trHeight w:hRule="exact" w:val="300"/>
        </w:trPr>
        <w:tc>
          <w:tcPr>
            <w:tcW w:w="171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Adjusted Gross Profit</w:t>
            </w:r>
          </w:p>
        </w:tc>
        <w:tc>
          <w:tcPr>
            <w:tcW w:w="164"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62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819</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jc w:val="center"/>
              <w:textAlignment w:val="baseline"/>
              <w:rPr>
                <w:b/>
                <w:sz w:val="20"/>
              </w:rPr>
            </w:pPr>
          </w:p>
        </w:tc>
        <w:tc>
          <w:tcPr>
            <w:tcW w:w="62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19.6%</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64"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62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677</w:t>
            </w:r>
          </w:p>
        </w:tc>
        <w:tc>
          <w:tcPr>
            <w:tcW w:w="155" w:type="pct"/>
            <w:tcBorders>
              <w:top w:val="nil"/>
              <w:left w:val="nil"/>
              <w:bottom w:val="nil"/>
              <w:right w:val="nil"/>
              <w:tl2br w:val="nil"/>
              <w:tr2bl w:val="nil"/>
            </w:tcBorders>
            <w:shd w:val="clear" w:color="auto" w:fill="CCEEFF"/>
            <w:vAlign w:val="bottom"/>
          </w:tcPr>
          <w:p w:rsidR="00B50569" w:rsidRPr="00B50569" w:rsidRDefault="00B50569" w:rsidP="00B50569">
            <w:pPr>
              <w:jc w:val="center"/>
              <w:textAlignment w:val="baseline"/>
              <w:rPr>
                <w:b/>
                <w:sz w:val="20"/>
              </w:rPr>
            </w:pPr>
            <w:r w:rsidRPr="00B50569">
              <w:rPr>
                <w:b/>
                <w:sz w:val="20"/>
              </w:rPr>
              <w:t>(1)</w:t>
            </w:r>
          </w:p>
        </w:tc>
        <w:tc>
          <w:tcPr>
            <w:tcW w:w="61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18.6%</w:t>
            </w:r>
          </w:p>
        </w:tc>
      </w:tr>
    </w:tbl>
    <w:p w:rsidR="00B50569" w:rsidRPr="00B50569" w:rsidRDefault="00B50569" w:rsidP="00B50569">
      <w:pPr>
        <w:textAlignment w:val="baseline"/>
      </w:pPr>
    </w:p>
    <w:p w:rsidR="00B50569" w:rsidRPr="00B50569" w:rsidRDefault="00B50569" w:rsidP="00B50569">
      <w:pPr>
        <w:overflowPunct/>
        <w:autoSpaceDE/>
        <w:autoSpaceDN/>
        <w:adjustRightInd/>
        <w:contextualSpacing/>
        <w:jc w:val="both"/>
        <w:rPr>
          <w:sz w:val="18"/>
          <w:szCs w:val="18"/>
        </w:rPr>
      </w:pPr>
    </w:p>
    <w:p w:rsidR="00B50569" w:rsidRPr="00B50569" w:rsidRDefault="00B50569" w:rsidP="00B50569">
      <w:pPr>
        <w:keepNext/>
        <w:shd w:val="clear" w:color="auto" w:fill="FFFFFF" w:themeFill="background1"/>
        <w:overflowPunct/>
        <w:rPr>
          <w:rFonts w:eastAsiaTheme="minorEastAsia"/>
          <w:b/>
          <w:bCs/>
          <w:sz w:val="18"/>
          <w:szCs w:val="18"/>
          <w:u w:val="single"/>
        </w:rPr>
      </w:pPr>
      <w:r w:rsidRPr="00B50569">
        <w:rPr>
          <w:rFonts w:eastAsiaTheme="minorEastAsia"/>
          <w:b/>
          <w:bCs/>
          <w:sz w:val="18"/>
          <w:szCs w:val="18"/>
          <w:u w:val="single"/>
        </w:rPr>
        <w:t>Notes to above:</w:t>
      </w:r>
    </w:p>
    <w:p w:rsidR="00B50569" w:rsidRPr="00B50569" w:rsidRDefault="00B50569" w:rsidP="00B50569">
      <w:pPr>
        <w:keepNext/>
        <w:numPr>
          <w:ilvl w:val="0"/>
          <w:numId w:val="22"/>
        </w:numPr>
        <w:shd w:val="clear" w:color="auto" w:fill="FFFFFF" w:themeFill="background1"/>
        <w:overflowPunct/>
        <w:textAlignment w:val="baseline"/>
        <w:rPr>
          <w:rFonts w:eastAsiaTheme="minorEastAsia"/>
          <w:bCs/>
          <w:sz w:val="18"/>
          <w:szCs w:val="18"/>
        </w:rPr>
      </w:pPr>
      <w:r w:rsidRPr="00B50569">
        <w:rPr>
          <w:rFonts w:eastAsiaTheme="minorEastAsia"/>
          <w:bCs/>
          <w:sz w:val="18"/>
          <w:szCs w:val="18"/>
        </w:rPr>
        <w:t>Column does not foot due to rounding.</w:t>
      </w:r>
    </w:p>
    <w:p w:rsidR="00B50569" w:rsidRPr="00B50569" w:rsidRDefault="00B50569" w:rsidP="00B50569">
      <w:pPr>
        <w:numPr>
          <w:ilvl w:val="0"/>
          <w:numId w:val="18"/>
        </w:numPr>
        <w:shd w:val="clear" w:color="auto" w:fill="FFFFFF" w:themeFill="background1"/>
        <w:overflowPunct/>
        <w:autoSpaceDE/>
        <w:autoSpaceDN/>
        <w:adjustRightInd/>
        <w:spacing w:before="100" w:beforeAutospacing="1" w:after="100" w:afterAutospacing="1"/>
        <w:contextualSpacing/>
        <w:jc w:val="both"/>
        <w:textAlignment w:val="baseline"/>
        <w:rPr>
          <w:sz w:val="18"/>
          <w:szCs w:val="18"/>
        </w:rPr>
      </w:pPr>
      <w:r w:rsidRPr="00B50569">
        <w:rPr>
          <w:sz w:val="18"/>
          <w:szCs w:val="18"/>
        </w:rPr>
        <w:t xml:space="preserve">Includes $6 million of non-cash charges (pre-tax) recorded in cost of goods sold in our international segment are related to reducing our local presence in Iraq, for each of the three months and year ended December 31, 2017. </w:t>
      </w:r>
    </w:p>
    <w:p w:rsidR="00B50569" w:rsidRPr="00B50569" w:rsidRDefault="00B50569" w:rsidP="00B50569">
      <w:pPr>
        <w:shd w:val="clear" w:color="auto" w:fill="FFFFFF" w:themeFill="background1"/>
        <w:overflowPunct/>
        <w:autoSpaceDE/>
        <w:autoSpaceDN/>
        <w:adjustRightInd/>
        <w:ind w:left="360"/>
        <w:contextualSpacing/>
        <w:jc w:val="both"/>
        <w:rPr>
          <w:sz w:val="18"/>
          <w:szCs w:val="18"/>
        </w:rPr>
      </w:pPr>
      <w:r w:rsidRPr="00B50569">
        <w:rPr>
          <w:sz w:val="18"/>
          <w:szCs w:val="18"/>
        </w:rPr>
        <w:t xml:space="preserve">Excluding these charges for the three months ended December 31, 2017 gross profit, as reported would be $147 million (16.3%) and adjusted gross profit would be $173 million (19.2%). Excluding these charges for the year ended December 31, 2017 gross profit, as reported would be $588 million (16.1%) and adjusted gross profit would be $683 million (18.7%). </w:t>
      </w:r>
    </w:p>
    <w:p w:rsidR="00B50569" w:rsidRPr="00B50569" w:rsidRDefault="00B50569" w:rsidP="00B50569">
      <w:pPr>
        <w:textAlignment w:val="baseline"/>
        <w:rPr>
          <w:sz w:val="18"/>
          <w:szCs w:val="18"/>
        </w:rPr>
      </w:pPr>
    </w:p>
    <w:p w:rsidR="00B50569" w:rsidRPr="00B50569" w:rsidRDefault="00B50569" w:rsidP="00B50569">
      <w:pPr>
        <w:overflowPunct/>
        <w:autoSpaceDE/>
        <w:autoSpaceDN/>
        <w:adjustRightInd/>
        <w:contextualSpacing/>
        <w:jc w:val="both"/>
        <w:rPr>
          <w:rFonts w:ascii="Arial" w:hAnsi="Arial" w:cs="Arial"/>
          <w:iCs/>
          <w:sz w:val="18"/>
          <w:szCs w:val="18"/>
        </w:rPr>
      </w:pPr>
      <w:r w:rsidRPr="00B50569">
        <w:rPr>
          <w:sz w:val="18"/>
          <w:szCs w:val="18"/>
        </w:rPr>
        <w:t>The company defines Adjusted Gross Profit as sales, less cost of sales, plus depreciation and amortization, plus amortization of intangibles, and plus or minus the impact of its LIFO 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of the LIFO 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rsidR="00B50569" w:rsidRPr="00B50569" w:rsidRDefault="00B50569" w:rsidP="00B50569">
      <w:pPr>
        <w:overflowPunct/>
        <w:autoSpaceDE/>
        <w:autoSpaceDN/>
        <w:adjustRightInd/>
        <w:contextualSpacing/>
        <w:jc w:val="both"/>
        <w:rPr>
          <w:rFonts w:ascii="Arial" w:hAnsi="Arial" w:cs="Arial"/>
          <w:iCs/>
          <w:sz w:val="18"/>
          <w:szCs w:val="18"/>
        </w:rPr>
      </w:pPr>
    </w:p>
    <w:p w:rsidR="00B50569" w:rsidRPr="00B50569" w:rsidRDefault="00B50569" w:rsidP="00B50569">
      <w:pPr>
        <w:overflowPunct/>
        <w:autoSpaceDE/>
        <w:autoSpaceDN/>
        <w:adjustRightInd/>
        <w:contextualSpacing/>
        <w:jc w:val="both"/>
        <w:rPr>
          <w:rFonts w:ascii="Arial" w:hAnsi="Arial" w:cs="Arial"/>
          <w:iCs/>
          <w:sz w:val="18"/>
          <w:szCs w:val="18"/>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pageBreakBefore/>
        <w:overflowPunct/>
        <w:autoSpaceDE/>
        <w:autoSpaceDN/>
        <w:adjustRightInd/>
        <w:contextualSpacing/>
        <w:jc w:val="center"/>
        <w:rPr>
          <w:b/>
          <w:iCs/>
          <w:sz w:val="20"/>
        </w:rPr>
      </w:pPr>
      <w:r w:rsidRPr="00B50569">
        <w:rPr>
          <w:b/>
          <w:iCs/>
          <w:sz w:val="20"/>
        </w:rPr>
        <w:lastRenderedPageBreak/>
        <w:t>MRC Global Inc.</w:t>
      </w:r>
    </w:p>
    <w:p w:rsidR="00B50569" w:rsidRPr="00B50569" w:rsidRDefault="00B50569" w:rsidP="00B50569">
      <w:pPr>
        <w:jc w:val="center"/>
        <w:textAlignment w:val="baseline"/>
        <w:rPr>
          <w:b/>
          <w:sz w:val="20"/>
        </w:rPr>
      </w:pPr>
      <w:r w:rsidRPr="00B50569">
        <w:rPr>
          <w:b/>
          <w:sz w:val="20"/>
        </w:rPr>
        <w:t xml:space="preserve">Supplemental Sales Information </w:t>
      </w:r>
      <w:r w:rsidRPr="00B50569">
        <w:rPr>
          <w:b/>
          <w:iCs/>
          <w:sz w:val="20"/>
        </w:rPr>
        <w:t>(Unaudited)</w:t>
      </w:r>
    </w:p>
    <w:p w:rsidR="00B50569" w:rsidRPr="00B50569" w:rsidRDefault="00B50569" w:rsidP="00B50569">
      <w:pPr>
        <w:jc w:val="center"/>
        <w:textAlignment w:val="baseline"/>
        <w:rPr>
          <w:i/>
          <w:sz w:val="20"/>
        </w:rPr>
      </w:pPr>
      <w:r w:rsidRPr="00B50569">
        <w:rPr>
          <w:i/>
          <w:sz w:val="20"/>
        </w:rPr>
        <w:t>(in millions)</w:t>
      </w:r>
    </w:p>
    <w:p w:rsidR="00B50569" w:rsidRPr="00B50569" w:rsidRDefault="00B50569" w:rsidP="00B50569">
      <w:pPr>
        <w:jc w:val="both"/>
        <w:textAlignment w:val="baseline"/>
        <w:rPr>
          <w:rFonts w:ascii="Arial" w:hAnsi="Arial" w:cs="Arial"/>
          <w:b/>
          <w:sz w:val="22"/>
          <w:szCs w:val="22"/>
        </w:rPr>
      </w:pPr>
    </w:p>
    <w:p w:rsidR="00B50569" w:rsidRPr="00B50569" w:rsidRDefault="00B50569" w:rsidP="00B50569">
      <w:pPr>
        <w:jc w:val="center"/>
        <w:textAlignment w:val="baseline"/>
        <w:rPr>
          <w:b/>
          <w:sz w:val="20"/>
        </w:rPr>
      </w:pPr>
      <w:r w:rsidRPr="00B50569">
        <w:rPr>
          <w:b/>
          <w:sz w:val="20"/>
        </w:rPr>
        <w:t xml:space="preserve"> Disaggregated Sales by Segment</w:t>
      </w:r>
    </w:p>
    <w:p w:rsidR="00B50569" w:rsidRPr="00B50569" w:rsidRDefault="00B50569" w:rsidP="00B50569">
      <w:pPr>
        <w:textAlignment w:val="baseline"/>
        <w:rPr>
          <w:sz w:val="2"/>
        </w:rPr>
      </w:pPr>
    </w:p>
    <w:tbl>
      <w:tblPr>
        <w:tblW w:w="5000" w:type="pct"/>
        <w:tblCellMar>
          <w:left w:w="0" w:type="dxa"/>
          <w:right w:w="0" w:type="dxa"/>
        </w:tblCellMar>
        <w:tblLook w:val="04A0" w:firstRow="1" w:lastRow="0" w:firstColumn="1" w:lastColumn="0" w:noHBand="0" w:noVBand="1"/>
      </w:tblPr>
      <w:tblGrid>
        <w:gridCol w:w="2593"/>
        <w:gridCol w:w="230"/>
        <w:gridCol w:w="1637"/>
        <w:gridCol w:w="248"/>
        <w:gridCol w:w="229"/>
        <w:gridCol w:w="1637"/>
        <w:gridCol w:w="248"/>
        <w:gridCol w:w="229"/>
        <w:gridCol w:w="1637"/>
        <w:gridCol w:w="248"/>
        <w:gridCol w:w="229"/>
        <w:gridCol w:w="1635"/>
      </w:tblGrid>
      <w:tr w:rsidR="00B50569" w:rsidRPr="00B50569" w:rsidTr="007D35A2">
        <w:trPr>
          <w:trHeight w:hRule="exact" w:val="20"/>
        </w:trPr>
        <w:tc>
          <w:tcPr>
            <w:tcW w:w="1200"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06"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758"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15"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06"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758"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15"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06"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758"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15"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06"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757"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r>
      <w:tr w:rsidR="00B50569" w:rsidRPr="00B50569" w:rsidTr="007D35A2">
        <w:trPr>
          <w:trHeight w:hRule="exact" w:val="300"/>
        </w:trPr>
        <w:tc>
          <w:tcPr>
            <w:tcW w:w="1" w:type="pct"/>
            <w:gridSpan w:val="12"/>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Three Months Ended</w:t>
            </w:r>
          </w:p>
        </w:tc>
      </w:tr>
      <w:tr w:rsidR="00B50569" w:rsidRPr="00B50569" w:rsidTr="007D35A2">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December 31, </w:t>
            </w:r>
          </w:p>
        </w:tc>
      </w:tr>
      <w:tr w:rsidR="00B50569" w:rsidRPr="00B50569" w:rsidTr="007D35A2">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6"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75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6"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75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6"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75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6"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75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r>
      <w:tr w:rsidR="00B50569" w:rsidRPr="00B50569" w:rsidTr="007D35A2">
        <w:trPr>
          <w:trHeight w:hRule="exact" w:val="300"/>
        </w:trPr>
        <w:tc>
          <w:tcPr>
            <w:tcW w:w="1200"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U.S.</w:t>
            </w:r>
          </w:p>
        </w:tc>
        <w:tc>
          <w:tcPr>
            <w:tcW w:w="11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Canada</w:t>
            </w:r>
          </w:p>
        </w:tc>
        <w:tc>
          <w:tcPr>
            <w:tcW w:w="11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International</w:t>
            </w:r>
          </w:p>
        </w:tc>
        <w:tc>
          <w:tcPr>
            <w:tcW w:w="11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Total</w:t>
            </w: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2018:</w:t>
            </w: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757"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Upstream</w:t>
            </w:r>
          </w:p>
        </w:tc>
        <w:tc>
          <w:tcPr>
            <w:tcW w:w="106"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197</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59</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83</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w:t>
            </w:r>
          </w:p>
        </w:tc>
        <w:tc>
          <w:tcPr>
            <w:tcW w:w="757"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339</w:t>
            </w: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Midstream</w:t>
            </w: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355</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15</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3</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757"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373</w:t>
            </w: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 xml:space="preserve">Downstream </w:t>
            </w:r>
          </w:p>
        </w:tc>
        <w:tc>
          <w:tcPr>
            <w:tcW w:w="106"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758"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226</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758"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5</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758"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66</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757"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297</w:t>
            </w: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778</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79</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152</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1,009</w:t>
            </w: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r w:rsidRPr="00B50569">
              <w:rPr>
                <w:b/>
                <w:sz w:val="20"/>
              </w:rPr>
              <w:t>2017:</w:t>
            </w: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7"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Upstream</w:t>
            </w: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r w:rsidRPr="00B50569">
              <w:rPr>
                <w:sz w:val="20"/>
              </w:rPr>
              <w:t>$</w:t>
            </w: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160</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r w:rsidRPr="00B50569">
              <w:rPr>
                <w:sz w:val="20"/>
              </w:rPr>
              <w:t>$</w:t>
            </w: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53</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r w:rsidRPr="00B50569">
              <w:rPr>
                <w:sz w:val="20"/>
              </w:rPr>
              <w:t>$</w:t>
            </w: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64</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r w:rsidRPr="00B50569">
              <w:rPr>
                <w:sz w:val="20"/>
              </w:rPr>
              <w:t>$</w:t>
            </w:r>
          </w:p>
        </w:tc>
        <w:tc>
          <w:tcPr>
            <w:tcW w:w="757"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277</w:t>
            </w: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Midstream</w:t>
            </w: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362</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11</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2</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7"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375</w:t>
            </w: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193</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7</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51</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75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251</w:t>
            </w: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06"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jc w:val="right"/>
              <w:textAlignment w:val="baseline"/>
              <w:rPr>
                <w:sz w:val="20"/>
              </w:rPr>
            </w:pPr>
            <w:r w:rsidRPr="00B50569">
              <w:rPr>
                <w:sz w:val="20"/>
              </w:rPr>
              <w:t>$</w:t>
            </w:r>
          </w:p>
        </w:tc>
        <w:tc>
          <w:tcPr>
            <w:tcW w:w="758"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715</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jc w:val="right"/>
              <w:textAlignment w:val="baseline"/>
              <w:rPr>
                <w:sz w:val="20"/>
              </w:rPr>
            </w:pPr>
            <w:r w:rsidRPr="00B50569">
              <w:rPr>
                <w:sz w:val="20"/>
              </w:rPr>
              <w:t>$</w:t>
            </w:r>
          </w:p>
        </w:tc>
        <w:tc>
          <w:tcPr>
            <w:tcW w:w="758"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71</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jc w:val="right"/>
              <w:textAlignment w:val="baseline"/>
              <w:rPr>
                <w:sz w:val="20"/>
              </w:rPr>
            </w:pPr>
            <w:r w:rsidRPr="00B50569">
              <w:rPr>
                <w:sz w:val="20"/>
              </w:rPr>
              <w:t>$</w:t>
            </w:r>
          </w:p>
        </w:tc>
        <w:tc>
          <w:tcPr>
            <w:tcW w:w="758"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117</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jc w:val="right"/>
              <w:textAlignment w:val="baseline"/>
              <w:rPr>
                <w:sz w:val="20"/>
              </w:rPr>
            </w:pPr>
            <w:r w:rsidRPr="00B50569">
              <w:rPr>
                <w:sz w:val="20"/>
              </w:rPr>
              <w:t>$</w:t>
            </w:r>
          </w:p>
        </w:tc>
        <w:tc>
          <w:tcPr>
            <w:tcW w:w="757"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903</w:t>
            </w:r>
          </w:p>
        </w:tc>
      </w:tr>
    </w:tbl>
    <w:p w:rsidR="00B50569" w:rsidRPr="00B50569" w:rsidRDefault="00B50569" w:rsidP="00B50569">
      <w:pPr>
        <w:textAlignment w:val="baseline"/>
      </w:pPr>
    </w:p>
    <w:p w:rsidR="00B50569" w:rsidRPr="00B50569" w:rsidRDefault="00B50569" w:rsidP="00B50569">
      <w:pPr>
        <w:jc w:val="center"/>
        <w:textAlignment w:val="baseline"/>
        <w:rPr>
          <w:b/>
          <w:sz w:val="2"/>
        </w:rPr>
      </w:pPr>
    </w:p>
    <w:tbl>
      <w:tblPr>
        <w:tblW w:w="5000" w:type="pct"/>
        <w:tblCellMar>
          <w:left w:w="0" w:type="dxa"/>
          <w:right w:w="0" w:type="dxa"/>
        </w:tblCellMar>
        <w:tblLook w:val="04A0" w:firstRow="1" w:lastRow="0" w:firstColumn="1" w:lastColumn="0" w:noHBand="0" w:noVBand="1"/>
      </w:tblPr>
      <w:tblGrid>
        <w:gridCol w:w="2593"/>
        <w:gridCol w:w="230"/>
        <w:gridCol w:w="1637"/>
        <w:gridCol w:w="248"/>
        <w:gridCol w:w="229"/>
        <w:gridCol w:w="1637"/>
        <w:gridCol w:w="248"/>
        <w:gridCol w:w="229"/>
        <w:gridCol w:w="1637"/>
        <w:gridCol w:w="248"/>
        <w:gridCol w:w="229"/>
        <w:gridCol w:w="1635"/>
      </w:tblGrid>
      <w:tr w:rsidR="00B50569" w:rsidRPr="00B50569" w:rsidTr="007D35A2">
        <w:trPr>
          <w:trHeight w:hRule="exact" w:val="20"/>
        </w:trPr>
        <w:tc>
          <w:tcPr>
            <w:tcW w:w="1200"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06"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758"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06"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758"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06"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758"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15"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106"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c>
          <w:tcPr>
            <w:tcW w:w="757" w:type="pct"/>
            <w:tcBorders>
              <w:top w:val="nil"/>
              <w:left w:val="nil"/>
              <w:bottom w:val="nil"/>
              <w:right w:val="nil"/>
            </w:tcBorders>
            <w:shd w:val="clear" w:color="auto" w:fill="auto"/>
            <w:vAlign w:val="bottom"/>
          </w:tcPr>
          <w:p w:rsidR="00B50569" w:rsidRPr="00B50569" w:rsidRDefault="00B50569" w:rsidP="00B50569">
            <w:pPr>
              <w:textAlignment w:val="baseline"/>
              <w:rPr>
                <w:sz w:val="2"/>
              </w:rPr>
            </w:pPr>
          </w:p>
        </w:tc>
      </w:tr>
      <w:tr w:rsidR="00B50569" w:rsidRPr="00B50569" w:rsidTr="007D35A2">
        <w:trPr>
          <w:trHeight w:hRule="exact" w:val="300"/>
        </w:trPr>
        <w:tc>
          <w:tcPr>
            <w:tcW w:w="1" w:type="pct"/>
            <w:gridSpan w:val="12"/>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Year Ended </w:t>
            </w:r>
          </w:p>
        </w:tc>
      </w:tr>
      <w:tr w:rsidR="00B50569" w:rsidRPr="00B50569" w:rsidTr="007D35A2">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 xml:space="preserve">December 31, </w:t>
            </w:r>
          </w:p>
        </w:tc>
      </w:tr>
      <w:tr w:rsidR="00B50569" w:rsidRPr="00B50569" w:rsidTr="007D35A2">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6"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75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6"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75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6"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75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15"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06"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757"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r>
      <w:tr w:rsidR="00B50569" w:rsidRPr="00B50569" w:rsidTr="007D35A2">
        <w:trPr>
          <w:trHeight w:hRule="exact" w:val="300"/>
        </w:trPr>
        <w:tc>
          <w:tcPr>
            <w:tcW w:w="1200"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U.S.</w:t>
            </w:r>
          </w:p>
        </w:tc>
        <w:tc>
          <w:tcPr>
            <w:tcW w:w="11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Canada</w:t>
            </w:r>
          </w:p>
        </w:tc>
        <w:tc>
          <w:tcPr>
            <w:tcW w:w="11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International</w:t>
            </w:r>
          </w:p>
        </w:tc>
        <w:tc>
          <w:tcPr>
            <w:tcW w:w="115"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Total</w:t>
            </w: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2018:</w:t>
            </w: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757"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Upstream</w:t>
            </w:r>
          </w:p>
        </w:tc>
        <w:tc>
          <w:tcPr>
            <w:tcW w:w="106"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777</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239</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270</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r w:rsidRPr="00B50569">
              <w:rPr>
                <w:b/>
                <w:sz w:val="20"/>
              </w:rPr>
              <w:t>$</w:t>
            </w:r>
          </w:p>
        </w:tc>
        <w:tc>
          <w:tcPr>
            <w:tcW w:w="757"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1,286</w:t>
            </w: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Midstream</w:t>
            </w: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1,608</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48</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21</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757"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1,677</w:t>
            </w: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 xml:space="preserve">Downstream </w:t>
            </w:r>
          </w:p>
        </w:tc>
        <w:tc>
          <w:tcPr>
            <w:tcW w:w="106"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758"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936</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758"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28</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758"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245</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b/>
                <w:sz w:val="20"/>
              </w:rPr>
            </w:pPr>
          </w:p>
        </w:tc>
        <w:tc>
          <w:tcPr>
            <w:tcW w:w="106"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757"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1,209</w:t>
            </w: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3,321</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315</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536</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jc w:val="right"/>
              <w:textAlignment w:val="baseline"/>
              <w:rPr>
                <w:b/>
                <w:sz w:val="20"/>
              </w:rPr>
            </w:pPr>
            <w:r w:rsidRPr="00B50569">
              <w:rPr>
                <w:b/>
                <w:sz w:val="20"/>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4,172</w:t>
            </w: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r w:rsidRPr="00B50569">
              <w:rPr>
                <w:b/>
                <w:sz w:val="20"/>
              </w:rPr>
              <w:t>2017:</w:t>
            </w: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7"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Upstream</w:t>
            </w: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r w:rsidRPr="00B50569">
              <w:rPr>
                <w:sz w:val="20"/>
              </w:rPr>
              <w:t>$</w:t>
            </w: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623</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r w:rsidRPr="00B50569">
              <w:rPr>
                <w:sz w:val="20"/>
              </w:rPr>
              <w:t>$</w:t>
            </w: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222</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r w:rsidRPr="00B50569">
              <w:rPr>
                <w:sz w:val="20"/>
              </w:rPr>
              <w:t>$</w:t>
            </w:r>
          </w:p>
        </w:tc>
        <w:tc>
          <w:tcPr>
            <w:tcW w:w="758"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204</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r w:rsidRPr="00B50569">
              <w:rPr>
                <w:sz w:val="20"/>
              </w:rPr>
              <w:t>$</w:t>
            </w:r>
          </w:p>
        </w:tc>
        <w:tc>
          <w:tcPr>
            <w:tcW w:w="757"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1,049</w:t>
            </w: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sz w:val="20"/>
              </w:rPr>
            </w:pPr>
            <w:r w:rsidRPr="00B50569">
              <w:rPr>
                <w:sz w:val="20"/>
              </w:rPr>
              <w:t>Midstream</w:t>
            </w: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1,496</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50</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8"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57</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757"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1,603</w:t>
            </w:r>
          </w:p>
        </w:tc>
      </w:tr>
      <w:tr w:rsidR="00B50569" w:rsidRPr="00B50569" w:rsidTr="007D35A2">
        <w:trPr>
          <w:trHeight w:hRule="exact" w:val="255"/>
        </w:trPr>
        <w:tc>
          <w:tcPr>
            <w:tcW w:w="1200"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741</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22</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758"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231</w:t>
            </w:r>
          </w:p>
        </w:tc>
        <w:tc>
          <w:tcPr>
            <w:tcW w:w="115" w:type="pct"/>
            <w:tcBorders>
              <w:top w:val="nil"/>
              <w:left w:val="nil"/>
              <w:bottom w:val="nil"/>
              <w:right w:val="nil"/>
              <w:tl2br w:val="nil"/>
              <w:tr2bl w:val="nil"/>
            </w:tcBorders>
            <w:shd w:val="clear" w:color="auto" w:fill="CCEEFF"/>
            <w:vAlign w:val="bottom"/>
          </w:tcPr>
          <w:p w:rsidR="00B50569" w:rsidRPr="00B50569" w:rsidRDefault="00B50569" w:rsidP="00B50569">
            <w:pPr>
              <w:jc w:val="right"/>
              <w:textAlignment w:val="baseline"/>
              <w:rPr>
                <w:sz w:val="20"/>
              </w:rPr>
            </w:pPr>
          </w:p>
        </w:tc>
        <w:tc>
          <w:tcPr>
            <w:tcW w:w="106"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textAlignment w:val="baseline"/>
              <w:rPr>
                <w:sz w:val="20"/>
              </w:rPr>
            </w:pPr>
          </w:p>
        </w:tc>
        <w:tc>
          <w:tcPr>
            <w:tcW w:w="757" w:type="pct"/>
            <w:tcBorders>
              <w:top w:val="nil"/>
              <w:left w:val="nil"/>
              <w:bottom w:val="single" w:sz="12"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994</w:t>
            </w:r>
          </w:p>
        </w:tc>
      </w:tr>
      <w:tr w:rsidR="00B50569" w:rsidRPr="00B50569" w:rsidTr="007D35A2">
        <w:trPr>
          <w:trHeight w:hRule="exact" w:val="255"/>
        </w:trPr>
        <w:tc>
          <w:tcPr>
            <w:tcW w:w="1200"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06"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jc w:val="right"/>
              <w:textAlignment w:val="baseline"/>
              <w:rPr>
                <w:sz w:val="20"/>
              </w:rPr>
            </w:pPr>
            <w:r w:rsidRPr="00B50569">
              <w:rPr>
                <w:sz w:val="20"/>
              </w:rPr>
              <w:t>$</w:t>
            </w:r>
          </w:p>
        </w:tc>
        <w:tc>
          <w:tcPr>
            <w:tcW w:w="758"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2,860</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jc w:val="right"/>
              <w:textAlignment w:val="baseline"/>
              <w:rPr>
                <w:sz w:val="20"/>
              </w:rPr>
            </w:pPr>
            <w:r w:rsidRPr="00B50569">
              <w:rPr>
                <w:sz w:val="20"/>
              </w:rPr>
              <w:t>$</w:t>
            </w:r>
          </w:p>
        </w:tc>
        <w:tc>
          <w:tcPr>
            <w:tcW w:w="758"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294</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jc w:val="right"/>
              <w:textAlignment w:val="baseline"/>
              <w:rPr>
                <w:sz w:val="20"/>
              </w:rPr>
            </w:pPr>
            <w:r w:rsidRPr="00B50569">
              <w:rPr>
                <w:sz w:val="20"/>
              </w:rPr>
              <w:t>$</w:t>
            </w:r>
          </w:p>
        </w:tc>
        <w:tc>
          <w:tcPr>
            <w:tcW w:w="758"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492</w:t>
            </w:r>
          </w:p>
        </w:tc>
        <w:tc>
          <w:tcPr>
            <w:tcW w:w="115" w:type="pct"/>
            <w:tcBorders>
              <w:top w:val="nil"/>
              <w:left w:val="nil"/>
              <w:bottom w:val="nil"/>
              <w:right w:val="nil"/>
              <w:tl2br w:val="nil"/>
              <w:tr2bl w:val="nil"/>
            </w:tcBorders>
            <w:vAlign w:val="bottom"/>
          </w:tcPr>
          <w:p w:rsidR="00B50569" w:rsidRPr="00B50569" w:rsidRDefault="00B50569" w:rsidP="00B50569">
            <w:pPr>
              <w:jc w:val="right"/>
              <w:textAlignment w:val="baseline"/>
              <w:rPr>
                <w:sz w:val="20"/>
              </w:rPr>
            </w:pPr>
          </w:p>
        </w:tc>
        <w:tc>
          <w:tcPr>
            <w:tcW w:w="106"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jc w:val="right"/>
              <w:textAlignment w:val="baseline"/>
              <w:rPr>
                <w:sz w:val="20"/>
              </w:rPr>
            </w:pPr>
            <w:r w:rsidRPr="00B50569">
              <w:rPr>
                <w:sz w:val="20"/>
              </w:rPr>
              <w:t>$</w:t>
            </w:r>
          </w:p>
        </w:tc>
        <w:tc>
          <w:tcPr>
            <w:tcW w:w="757" w:type="pct"/>
            <w:tcBorders>
              <w:top w:val="single" w:sz="0" w:space="0" w:color="000000"/>
              <w:left w:val="nil"/>
              <w:bottom w:val="double" w:sz="4"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3,646</w:t>
            </w:r>
          </w:p>
        </w:tc>
      </w:tr>
    </w:tbl>
    <w:p w:rsidR="00B50569" w:rsidRPr="00B50569" w:rsidRDefault="00B50569" w:rsidP="00B50569">
      <w:pPr>
        <w:textAlignment w:val="baseline"/>
      </w:pPr>
    </w:p>
    <w:p w:rsidR="00B50569" w:rsidRPr="00B50569" w:rsidRDefault="00B50569" w:rsidP="00B50569">
      <w:pPr>
        <w:jc w:val="center"/>
        <w:textAlignment w:val="baseline"/>
        <w:rPr>
          <w:b/>
          <w:sz w:val="20"/>
        </w:rPr>
      </w:pPr>
    </w:p>
    <w:p w:rsidR="00B50569" w:rsidRPr="00B50569" w:rsidRDefault="00B50569" w:rsidP="00B50569">
      <w:pPr>
        <w:jc w:val="center"/>
        <w:textAlignment w:val="baseline"/>
        <w:rPr>
          <w:b/>
          <w:sz w:val="20"/>
        </w:rPr>
      </w:pPr>
      <w:r w:rsidRPr="00B50569">
        <w:rPr>
          <w:b/>
          <w:sz w:val="20"/>
        </w:rPr>
        <w:t>Sales by Product Line</w:t>
      </w:r>
    </w:p>
    <w:p w:rsidR="00B50569" w:rsidRPr="00B50569" w:rsidRDefault="00B50569" w:rsidP="00B50569">
      <w:pPr>
        <w:jc w:val="both"/>
        <w:textAlignment w:val="baseline"/>
        <w:rPr>
          <w:rFonts w:ascii="Arial" w:hAnsi="Arial" w:cs="Arial"/>
          <w:sz w:val="2"/>
          <w:szCs w:val="22"/>
        </w:rPr>
      </w:pPr>
      <w:r w:rsidRPr="00B50569">
        <w:rPr>
          <w:rFonts w:ascii="Arial" w:hAnsi="Arial" w:cs="Arial"/>
          <w:sz w:val="2"/>
          <w:szCs w:val="22"/>
        </w:rPr>
        <w:t>0</w:t>
      </w:r>
    </w:p>
    <w:tbl>
      <w:tblPr>
        <w:tblW w:w="5000" w:type="pct"/>
        <w:tblCellMar>
          <w:left w:w="0" w:type="dxa"/>
          <w:right w:w="0" w:type="dxa"/>
        </w:tblCellMar>
        <w:tblLook w:val="04A0" w:firstRow="1" w:lastRow="0" w:firstColumn="1" w:lastColumn="0" w:noHBand="0" w:noVBand="1"/>
      </w:tblPr>
      <w:tblGrid>
        <w:gridCol w:w="4759"/>
        <w:gridCol w:w="182"/>
        <w:gridCol w:w="288"/>
        <w:gridCol w:w="1044"/>
        <w:gridCol w:w="181"/>
        <w:gridCol w:w="287"/>
        <w:gridCol w:w="1043"/>
        <w:gridCol w:w="181"/>
        <w:gridCol w:w="287"/>
        <w:gridCol w:w="1043"/>
        <w:gridCol w:w="181"/>
        <w:gridCol w:w="287"/>
        <w:gridCol w:w="1037"/>
      </w:tblGrid>
      <w:tr w:rsidR="00B50569" w:rsidRPr="00B50569" w:rsidTr="007D35A2">
        <w:trPr>
          <w:trHeight w:hRule="exact" w:val="20"/>
        </w:trPr>
        <w:tc>
          <w:tcPr>
            <w:tcW w:w="2203"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84"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33"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483"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84"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33"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483"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84"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33"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483"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84"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133"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c>
          <w:tcPr>
            <w:tcW w:w="480" w:type="pct"/>
            <w:tcBorders>
              <w:top w:val="nil"/>
              <w:left w:val="nil"/>
              <w:bottom w:val="single" w:sz="12" w:space="0" w:color="auto"/>
              <w:right w:val="nil"/>
            </w:tcBorders>
            <w:shd w:val="clear" w:color="auto" w:fill="auto"/>
            <w:vAlign w:val="bottom"/>
          </w:tcPr>
          <w:p w:rsidR="00B50569" w:rsidRPr="00B50569" w:rsidRDefault="00B50569" w:rsidP="00B50569">
            <w:pPr>
              <w:textAlignment w:val="baseline"/>
              <w:rPr>
                <w:sz w:val="2"/>
              </w:rPr>
            </w:pPr>
          </w:p>
        </w:tc>
      </w:tr>
      <w:tr w:rsidR="00B50569" w:rsidRPr="00B50569" w:rsidTr="007D35A2">
        <w:trPr>
          <w:trHeight w:hRule="exact" w:val="315"/>
        </w:trPr>
        <w:tc>
          <w:tcPr>
            <w:tcW w:w="2203" w:type="pct"/>
            <w:tcBorders>
              <w:top w:val="single" w:sz="12" w:space="0" w:color="auto"/>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84" w:type="pct"/>
            <w:tcBorders>
              <w:top w:val="single" w:sz="12" w:space="0" w:color="auto"/>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5"/>
            <w:tcBorders>
              <w:top w:val="single" w:sz="12" w:space="0" w:color="auto"/>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Three Months Ended</w:t>
            </w:r>
          </w:p>
        </w:tc>
        <w:tc>
          <w:tcPr>
            <w:tcW w:w="84" w:type="pct"/>
            <w:tcBorders>
              <w:top w:val="single" w:sz="12" w:space="0" w:color="auto"/>
              <w:left w:val="nil"/>
              <w:bottom w:val="nil"/>
              <w:right w:val="nil"/>
              <w:tl2br w:val="nil"/>
              <w:tr2bl w:val="nil"/>
            </w:tcBorders>
            <w:shd w:val="clear" w:color="auto" w:fill="auto"/>
            <w:vAlign w:val="bottom"/>
          </w:tcPr>
          <w:p w:rsidR="00B50569" w:rsidRPr="00B50569" w:rsidRDefault="00B50569" w:rsidP="00B50569">
            <w:pPr>
              <w:textAlignment w:val="baseline"/>
              <w:rPr>
                <w:b/>
                <w:sz w:val="20"/>
              </w:rPr>
            </w:pPr>
          </w:p>
        </w:tc>
        <w:tc>
          <w:tcPr>
            <w:tcW w:w="1" w:type="pct"/>
            <w:gridSpan w:val="5"/>
            <w:tcBorders>
              <w:top w:val="single" w:sz="12" w:space="0" w:color="auto"/>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Year Ended</w:t>
            </w:r>
          </w:p>
        </w:tc>
      </w:tr>
      <w:tr w:rsidR="00B50569" w:rsidRPr="00B50569" w:rsidTr="007D35A2">
        <w:trPr>
          <w:trHeight w:hRule="exact" w:val="300"/>
        </w:trPr>
        <w:tc>
          <w:tcPr>
            <w:tcW w:w="2203"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84"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December 31,</w:t>
            </w:r>
          </w:p>
        </w:tc>
        <w:tc>
          <w:tcPr>
            <w:tcW w:w="84"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December 31,</w:t>
            </w:r>
          </w:p>
        </w:tc>
        <w:tc>
          <w:tcPr>
            <w:tcW w:w="84"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December 31,</w:t>
            </w:r>
          </w:p>
        </w:tc>
        <w:tc>
          <w:tcPr>
            <w:tcW w:w="84"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single" w:sz="0" w:space="0" w:color="000000"/>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December 31,</w:t>
            </w:r>
          </w:p>
        </w:tc>
      </w:tr>
      <w:tr w:rsidR="00B50569" w:rsidRPr="00B50569" w:rsidTr="007D35A2">
        <w:trPr>
          <w:trHeight w:hRule="exact" w:val="315"/>
        </w:trPr>
        <w:tc>
          <w:tcPr>
            <w:tcW w:w="2203" w:type="pct"/>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textAlignment w:val="baseline"/>
              <w:rPr>
                <w:b/>
                <w:sz w:val="20"/>
              </w:rPr>
            </w:pPr>
            <w:r w:rsidRPr="00B50569">
              <w:rPr>
                <w:b/>
                <w:sz w:val="20"/>
              </w:rPr>
              <w:t>Type</w:t>
            </w:r>
          </w:p>
        </w:tc>
        <w:tc>
          <w:tcPr>
            <w:tcW w:w="84"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2018</w:t>
            </w:r>
          </w:p>
        </w:tc>
        <w:tc>
          <w:tcPr>
            <w:tcW w:w="84" w:type="pct"/>
            <w:tcBorders>
              <w:top w:val="nil"/>
              <w:left w:val="nil"/>
              <w:bottom w:val="nil"/>
              <w:right w:val="nil"/>
              <w:tl2br w:val="nil"/>
              <w:tr2bl w:val="nil"/>
            </w:tcBorders>
            <w:shd w:val="clear" w:color="auto" w:fill="auto"/>
            <w:vAlign w:val="bottom"/>
          </w:tcPr>
          <w:p w:rsidR="00B50569" w:rsidRPr="00B50569" w:rsidRDefault="00B50569" w:rsidP="00B50569">
            <w:pPr>
              <w:jc w:val="cente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2017 (1)</w:t>
            </w:r>
          </w:p>
        </w:tc>
        <w:tc>
          <w:tcPr>
            <w:tcW w:w="84"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2018</w:t>
            </w:r>
          </w:p>
        </w:tc>
        <w:tc>
          <w:tcPr>
            <w:tcW w:w="84" w:type="pct"/>
            <w:tcBorders>
              <w:top w:val="nil"/>
              <w:left w:val="nil"/>
              <w:bottom w:val="nil"/>
              <w:right w:val="nil"/>
              <w:tl2br w:val="nil"/>
              <w:tr2bl w:val="nil"/>
            </w:tcBorders>
            <w:shd w:val="clear" w:color="auto" w:fill="auto"/>
            <w:vAlign w:val="bottom"/>
          </w:tcPr>
          <w:p w:rsidR="00B50569" w:rsidRPr="00B50569" w:rsidRDefault="00B50569" w:rsidP="00B50569">
            <w:pPr>
              <w:textAlignment w:val="baseline"/>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jc w:val="center"/>
              <w:textAlignment w:val="baseline"/>
              <w:rPr>
                <w:b/>
                <w:sz w:val="20"/>
              </w:rPr>
            </w:pPr>
            <w:r w:rsidRPr="00B50569">
              <w:rPr>
                <w:b/>
                <w:sz w:val="20"/>
              </w:rPr>
              <w:t>2017 (1)</w:t>
            </w:r>
          </w:p>
        </w:tc>
      </w:tr>
      <w:tr w:rsidR="00B50569" w:rsidRPr="00B50569" w:rsidTr="007D35A2">
        <w:trPr>
          <w:trHeight w:hRule="exact" w:val="255"/>
        </w:trPr>
        <w:tc>
          <w:tcPr>
            <w:tcW w:w="220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left="120"/>
              <w:textAlignment w:val="baseline"/>
              <w:rPr>
                <w:sz w:val="20"/>
              </w:rPr>
            </w:pPr>
            <w:r w:rsidRPr="00B50569">
              <w:rPr>
                <w:sz w:val="20"/>
              </w:rPr>
              <w:t xml:space="preserve">Line pipe </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48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172</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3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48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168</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48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728</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480"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685</w:t>
            </w:r>
          </w:p>
        </w:tc>
      </w:tr>
      <w:tr w:rsidR="00B50569" w:rsidRPr="00B50569" w:rsidTr="007D35A2">
        <w:trPr>
          <w:trHeight w:hRule="exact" w:val="255"/>
        </w:trPr>
        <w:tc>
          <w:tcPr>
            <w:tcW w:w="2203" w:type="pct"/>
            <w:tcBorders>
              <w:top w:val="nil"/>
              <w:left w:val="nil"/>
              <w:bottom w:val="nil"/>
              <w:right w:val="nil"/>
              <w:tl2br w:val="nil"/>
              <w:tr2bl w:val="nil"/>
            </w:tcBorders>
          </w:tcPr>
          <w:p w:rsidR="00B50569" w:rsidRPr="00B50569" w:rsidRDefault="00B50569" w:rsidP="00B50569">
            <w:pPr>
              <w:ind w:left="120"/>
              <w:textAlignment w:val="baseline"/>
              <w:rPr>
                <w:sz w:val="20"/>
              </w:rPr>
            </w:pPr>
            <w:r w:rsidRPr="00B50569">
              <w:rPr>
                <w:sz w:val="20"/>
              </w:rPr>
              <w:t>Carbon steel fittings and flanges</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483"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152</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33"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sz w:val="20"/>
              </w:rPr>
            </w:pPr>
          </w:p>
        </w:tc>
        <w:tc>
          <w:tcPr>
            <w:tcW w:w="483"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143</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483"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683</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sz w:val="20"/>
              </w:rPr>
            </w:pPr>
          </w:p>
        </w:tc>
        <w:tc>
          <w:tcPr>
            <w:tcW w:w="480"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548</w:t>
            </w:r>
          </w:p>
        </w:tc>
      </w:tr>
      <w:tr w:rsidR="00B50569" w:rsidRPr="00B50569" w:rsidTr="007D35A2">
        <w:trPr>
          <w:trHeight w:hRule="exact" w:val="255"/>
        </w:trPr>
        <w:tc>
          <w:tcPr>
            <w:tcW w:w="2203" w:type="pct"/>
            <w:tcBorders>
              <w:top w:val="nil"/>
              <w:left w:val="nil"/>
              <w:bottom w:val="nil"/>
              <w:right w:val="nil"/>
              <w:tl2br w:val="nil"/>
              <w:tr2bl w:val="nil"/>
            </w:tcBorders>
            <w:shd w:val="clear" w:color="auto" w:fill="CCEEFF"/>
          </w:tcPr>
          <w:p w:rsidR="00B50569" w:rsidRPr="00B50569" w:rsidRDefault="00B50569" w:rsidP="00B50569">
            <w:pPr>
              <w:ind w:left="120"/>
              <w:textAlignment w:val="baseline"/>
              <w:rPr>
                <w:sz w:val="20"/>
              </w:rPr>
            </w:pPr>
            <w:r w:rsidRPr="00B50569">
              <w:rPr>
                <w:sz w:val="20"/>
              </w:rPr>
              <w:t xml:space="preserve">     Total carbon steel pipe, fittings and flanges</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324</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3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311</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1,411</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0" w:type="pct"/>
            <w:tcBorders>
              <w:top w:val="single" w:sz="0" w:space="0" w:color="000000"/>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1,233</w:t>
            </w:r>
          </w:p>
        </w:tc>
      </w:tr>
      <w:tr w:rsidR="00B50569" w:rsidRPr="00B50569" w:rsidTr="007D35A2">
        <w:trPr>
          <w:trHeight w:hRule="exact" w:val="150"/>
        </w:trPr>
        <w:tc>
          <w:tcPr>
            <w:tcW w:w="2203" w:type="pct"/>
            <w:tcBorders>
              <w:top w:val="nil"/>
              <w:left w:val="nil"/>
              <w:bottom w:val="nil"/>
              <w:right w:val="nil"/>
              <w:tl2br w:val="nil"/>
              <w:tr2bl w:val="nil"/>
            </w:tcBorders>
          </w:tcPr>
          <w:p w:rsidR="00B50569" w:rsidRPr="00B50569" w:rsidRDefault="00B50569" w:rsidP="00B50569">
            <w:pPr>
              <w:ind w:left="120"/>
              <w:textAlignment w:val="baseline"/>
              <w:rPr>
                <w:sz w:val="20"/>
              </w:rPr>
            </w:pP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3"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33"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3"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3"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0"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r>
      <w:tr w:rsidR="00B50569" w:rsidRPr="00B50569" w:rsidTr="007D35A2">
        <w:trPr>
          <w:trHeight w:hRule="exact" w:val="255"/>
        </w:trPr>
        <w:tc>
          <w:tcPr>
            <w:tcW w:w="2203"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sz w:val="20"/>
              </w:rPr>
            </w:pPr>
            <w:r w:rsidRPr="00B50569">
              <w:rPr>
                <w:sz w:val="20"/>
              </w:rPr>
              <w:t xml:space="preserve">Valves, automation, measurement and instrumentation </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3"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407</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3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3"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332</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3"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1,553</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0"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1,319</w:t>
            </w:r>
          </w:p>
        </w:tc>
      </w:tr>
      <w:tr w:rsidR="00B50569" w:rsidRPr="00B50569" w:rsidTr="007D35A2">
        <w:trPr>
          <w:trHeight w:hRule="exact" w:val="255"/>
        </w:trPr>
        <w:tc>
          <w:tcPr>
            <w:tcW w:w="2203" w:type="pct"/>
            <w:tcBorders>
              <w:top w:val="nil"/>
              <w:left w:val="nil"/>
              <w:bottom w:val="nil"/>
              <w:right w:val="nil"/>
              <w:tl2br w:val="nil"/>
              <w:tr2bl w:val="nil"/>
            </w:tcBorders>
            <w:vAlign w:val="bottom"/>
          </w:tcPr>
          <w:p w:rsidR="00B50569" w:rsidRPr="00B50569" w:rsidRDefault="00B50569" w:rsidP="00B50569">
            <w:pPr>
              <w:ind w:left="120"/>
              <w:textAlignment w:val="baseline"/>
              <w:rPr>
                <w:sz w:val="20"/>
              </w:rPr>
            </w:pPr>
            <w:r w:rsidRPr="00B50569">
              <w:rPr>
                <w:sz w:val="20"/>
              </w:rPr>
              <w:t>Gas products</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3"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136</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33"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3"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113</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483" w:type="pct"/>
            <w:tcBorders>
              <w:top w:val="nil"/>
              <w:left w:val="nil"/>
              <w:bottom w:val="nil"/>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561</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480" w:type="pct"/>
            <w:tcBorders>
              <w:top w:val="nil"/>
              <w:left w:val="nil"/>
              <w:bottom w:val="nil"/>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485</w:t>
            </w:r>
          </w:p>
        </w:tc>
      </w:tr>
      <w:tr w:rsidR="00B50569" w:rsidRPr="00B50569" w:rsidTr="007D35A2">
        <w:trPr>
          <w:trHeight w:hRule="exact" w:val="255"/>
        </w:trPr>
        <w:tc>
          <w:tcPr>
            <w:tcW w:w="2203"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sz w:val="20"/>
              </w:rPr>
            </w:pPr>
            <w:r w:rsidRPr="00B50569">
              <w:rPr>
                <w:sz w:val="20"/>
              </w:rPr>
              <w:t>Stainless steel alloy pipe and fittings</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3"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46</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3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3"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47</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483" w:type="pct"/>
            <w:tcBorders>
              <w:top w:val="nil"/>
              <w:left w:val="nil"/>
              <w:bottom w:val="nil"/>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196</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480" w:type="pct"/>
            <w:tcBorders>
              <w:top w:val="nil"/>
              <w:left w:val="nil"/>
              <w:bottom w:val="nil"/>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183</w:t>
            </w:r>
          </w:p>
        </w:tc>
      </w:tr>
      <w:tr w:rsidR="00B50569" w:rsidRPr="00B50569" w:rsidTr="007D35A2">
        <w:trPr>
          <w:trHeight w:hRule="exact" w:val="255"/>
        </w:trPr>
        <w:tc>
          <w:tcPr>
            <w:tcW w:w="2203" w:type="pct"/>
            <w:tcBorders>
              <w:top w:val="nil"/>
              <w:left w:val="nil"/>
              <w:bottom w:val="nil"/>
              <w:right w:val="nil"/>
              <w:tl2br w:val="nil"/>
              <w:tr2bl w:val="nil"/>
            </w:tcBorders>
            <w:vAlign w:val="bottom"/>
          </w:tcPr>
          <w:p w:rsidR="00B50569" w:rsidRPr="00B50569" w:rsidRDefault="00B50569" w:rsidP="00B50569">
            <w:pPr>
              <w:ind w:left="120"/>
              <w:textAlignment w:val="baseline"/>
              <w:rPr>
                <w:sz w:val="20"/>
              </w:rPr>
            </w:pPr>
            <w:r w:rsidRPr="00B50569">
              <w:rPr>
                <w:sz w:val="20"/>
              </w:rPr>
              <w:t>General oilfield products</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483"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96</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b/>
                <w:sz w:val="20"/>
              </w:rPr>
            </w:pPr>
          </w:p>
        </w:tc>
        <w:tc>
          <w:tcPr>
            <w:tcW w:w="133"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sz w:val="20"/>
              </w:rPr>
            </w:pPr>
          </w:p>
        </w:tc>
        <w:tc>
          <w:tcPr>
            <w:tcW w:w="483"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100</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b/>
                <w:sz w:val="20"/>
              </w:rPr>
            </w:pPr>
          </w:p>
        </w:tc>
        <w:tc>
          <w:tcPr>
            <w:tcW w:w="483" w:type="pct"/>
            <w:tcBorders>
              <w:top w:val="nil"/>
              <w:left w:val="nil"/>
              <w:bottom w:val="single" w:sz="12" w:space="0" w:color="000000"/>
              <w:right w:val="nil"/>
              <w:tl2br w:val="nil"/>
              <w:tr2bl w:val="nil"/>
            </w:tcBorders>
            <w:vAlign w:val="bottom"/>
          </w:tcPr>
          <w:p w:rsidR="00B50569" w:rsidRPr="00B50569" w:rsidRDefault="00B50569" w:rsidP="00B50569">
            <w:pPr>
              <w:ind w:right="63"/>
              <w:jc w:val="right"/>
              <w:textAlignment w:val="baseline"/>
              <w:rPr>
                <w:b/>
                <w:sz w:val="20"/>
              </w:rPr>
            </w:pPr>
            <w:r w:rsidRPr="00B50569">
              <w:rPr>
                <w:b/>
                <w:sz w:val="20"/>
              </w:rPr>
              <w:t xml:space="preserve"> 451</w:t>
            </w:r>
          </w:p>
        </w:tc>
        <w:tc>
          <w:tcPr>
            <w:tcW w:w="84" w:type="pct"/>
            <w:tcBorders>
              <w:top w:val="nil"/>
              <w:left w:val="nil"/>
              <w:bottom w:val="nil"/>
              <w:right w:val="nil"/>
              <w:tl2br w:val="nil"/>
              <w:tr2bl w:val="nil"/>
            </w:tcBorders>
            <w:vAlign w:val="bottom"/>
          </w:tcPr>
          <w:p w:rsidR="00B50569" w:rsidRPr="00B50569" w:rsidRDefault="00B50569" w:rsidP="00B50569">
            <w:pPr>
              <w:textAlignment w:val="baseline"/>
              <w:rPr>
                <w:sz w:val="20"/>
              </w:rPr>
            </w:pPr>
          </w:p>
        </w:tc>
        <w:tc>
          <w:tcPr>
            <w:tcW w:w="133" w:type="pct"/>
            <w:tcBorders>
              <w:top w:val="nil"/>
              <w:left w:val="nil"/>
              <w:bottom w:val="single" w:sz="12" w:space="0" w:color="000000"/>
              <w:right w:val="nil"/>
              <w:tl2br w:val="nil"/>
              <w:tr2bl w:val="nil"/>
            </w:tcBorders>
            <w:vAlign w:val="bottom"/>
          </w:tcPr>
          <w:p w:rsidR="00B50569" w:rsidRPr="00B50569" w:rsidRDefault="00B50569" w:rsidP="00B50569">
            <w:pPr>
              <w:textAlignment w:val="baseline"/>
              <w:rPr>
                <w:sz w:val="20"/>
              </w:rPr>
            </w:pPr>
          </w:p>
        </w:tc>
        <w:tc>
          <w:tcPr>
            <w:tcW w:w="480" w:type="pct"/>
            <w:tcBorders>
              <w:top w:val="nil"/>
              <w:left w:val="nil"/>
              <w:bottom w:val="single" w:sz="12" w:space="0" w:color="000000"/>
              <w:right w:val="nil"/>
              <w:tl2br w:val="nil"/>
              <w:tr2bl w:val="nil"/>
            </w:tcBorders>
            <w:vAlign w:val="bottom"/>
          </w:tcPr>
          <w:p w:rsidR="00B50569" w:rsidRPr="00B50569" w:rsidRDefault="00B50569" w:rsidP="00B50569">
            <w:pPr>
              <w:ind w:right="65"/>
              <w:jc w:val="right"/>
              <w:textAlignment w:val="baseline"/>
              <w:rPr>
                <w:sz w:val="20"/>
              </w:rPr>
            </w:pPr>
            <w:r w:rsidRPr="00B50569">
              <w:rPr>
                <w:sz w:val="20"/>
              </w:rPr>
              <w:t xml:space="preserve"> 426</w:t>
            </w:r>
          </w:p>
        </w:tc>
      </w:tr>
      <w:tr w:rsidR="00B50569" w:rsidRPr="00B50569" w:rsidTr="007D35A2">
        <w:trPr>
          <w:trHeight w:hRule="exact" w:val="255"/>
        </w:trPr>
        <w:tc>
          <w:tcPr>
            <w:tcW w:w="2203" w:type="pct"/>
            <w:tcBorders>
              <w:top w:val="nil"/>
              <w:left w:val="nil"/>
              <w:bottom w:val="nil"/>
              <w:right w:val="nil"/>
              <w:tl2br w:val="nil"/>
              <w:tr2bl w:val="nil"/>
            </w:tcBorders>
            <w:shd w:val="clear" w:color="auto" w:fill="CCEEFF"/>
            <w:vAlign w:val="bottom"/>
          </w:tcPr>
          <w:p w:rsidR="00B50569" w:rsidRPr="00B50569" w:rsidRDefault="00B50569" w:rsidP="00B50569">
            <w:pPr>
              <w:ind w:left="120"/>
              <w:textAlignment w:val="baseline"/>
              <w:rPr>
                <w:sz w:val="20"/>
              </w:rPr>
            </w:pP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483"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1,009</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b/>
                <w:sz w:val="20"/>
              </w:rPr>
            </w:pPr>
          </w:p>
        </w:tc>
        <w:tc>
          <w:tcPr>
            <w:tcW w:w="133"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483"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903</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b/>
                <w:sz w:val="20"/>
              </w:rPr>
            </w:pPr>
            <w:r w:rsidRPr="00B50569">
              <w:rPr>
                <w:b/>
                <w:sz w:val="20"/>
              </w:rPr>
              <w:t>$</w:t>
            </w:r>
          </w:p>
        </w:tc>
        <w:tc>
          <w:tcPr>
            <w:tcW w:w="483"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3"/>
              <w:jc w:val="right"/>
              <w:textAlignment w:val="baseline"/>
              <w:rPr>
                <w:b/>
                <w:sz w:val="20"/>
              </w:rPr>
            </w:pPr>
            <w:r w:rsidRPr="00B50569">
              <w:rPr>
                <w:b/>
                <w:sz w:val="20"/>
              </w:rPr>
              <w:t xml:space="preserve"> 4,172</w:t>
            </w:r>
          </w:p>
        </w:tc>
        <w:tc>
          <w:tcPr>
            <w:tcW w:w="84" w:type="pct"/>
            <w:tcBorders>
              <w:top w:val="nil"/>
              <w:left w:val="nil"/>
              <w:bottom w:val="nil"/>
              <w:right w:val="nil"/>
              <w:tl2br w:val="nil"/>
              <w:tr2bl w:val="nil"/>
            </w:tcBorders>
            <w:shd w:val="clear" w:color="auto" w:fill="CCEEFF"/>
            <w:vAlign w:val="bottom"/>
          </w:tcPr>
          <w:p w:rsidR="00B50569" w:rsidRPr="00B50569" w:rsidRDefault="00B50569" w:rsidP="00B50569">
            <w:pPr>
              <w:textAlignment w:val="baseline"/>
              <w:rPr>
                <w:sz w:val="20"/>
              </w:rPr>
            </w:pPr>
          </w:p>
        </w:tc>
        <w:tc>
          <w:tcPr>
            <w:tcW w:w="133"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textAlignment w:val="baseline"/>
              <w:rPr>
                <w:sz w:val="20"/>
              </w:rPr>
            </w:pPr>
            <w:r w:rsidRPr="00B50569">
              <w:rPr>
                <w:sz w:val="20"/>
              </w:rPr>
              <w:t>$</w:t>
            </w:r>
          </w:p>
        </w:tc>
        <w:tc>
          <w:tcPr>
            <w:tcW w:w="48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ind w:right="65"/>
              <w:jc w:val="right"/>
              <w:textAlignment w:val="baseline"/>
              <w:rPr>
                <w:sz w:val="20"/>
              </w:rPr>
            </w:pPr>
            <w:r w:rsidRPr="00B50569">
              <w:rPr>
                <w:sz w:val="20"/>
              </w:rPr>
              <w:t xml:space="preserve"> 3,646</w:t>
            </w:r>
          </w:p>
        </w:tc>
      </w:tr>
    </w:tbl>
    <w:p w:rsidR="00B50569" w:rsidRPr="00B50569" w:rsidRDefault="00B50569" w:rsidP="00B50569">
      <w:pPr>
        <w:textAlignment w:val="baseline"/>
      </w:pPr>
    </w:p>
    <w:p w:rsidR="00B50569" w:rsidRPr="00B50569" w:rsidRDefault="00B50569" w:rsidP="00B50569">
      <w:pPr>
        <w:keepNext/>
        <w:shd w:val="clear" w:color="auto" w:fill="FFFFFF" w:themeFill="background1"/>
        <w:overflowPunct/>
        <w:rPr>
          <w:rFonts w:eastAsiaTheme="minorEastAsia"/>
          <w:b/>
          <w:bCs/>
          <w:sz w:val="18"/>
          <w:szCs w:val="18"/>
          <w:u w:val="single"/>
        </w:rPr>
      </w:pPr>
      <w:r w:rsidRPr="00B50569">
        <w:rPr>
          <w:rFonts w:eastAsiaTheme="minorEastAsia"/>
          <w:b/>
          <w:bCs/>
          <w:sz w:val="18"/>
          <w:szCs w:val="18"/>
          <w:u w:val="single"/>
        </w:rPr>
        <w:t>Notes to above:</w:t>
      </w:r>
    </w:p>
    <w:p w:rsidR="00B50569" w:rsidRPr="00B50569" w:rsidRDefault="00B50569" w:rsidP="00B50569">
      <w:pPr>
        <w:numPr>
          <w:ilvl w:val="0"/>
          <w:numId w:val="20"/>
        </w:numPr>
        <w:contextualSpacing/>
        <w:textAlignment w:val="baseline"/>
        <w:rPr>
          <w:sz w:val="18"/>
          <w:szCs w:val="18"/>
        </w:rPr>
      </w:pPr>
      <w:r w:rsidRPr="00B50569">
        <w:rPr>
          <w:sz w:val="18"/>
          <w:szCs w:val="18"/>
        </w:rPr>
        <w:t>$14 million and $69 million of sales for the three and twelve months ended December 31, 2017, respectively, have been reclassified from gas products to general oilfield products to conform with the current year presentation.</w:t>
      </w:r>
    </w:p>
    <w:p w:rsidR="00B50569" w:rsidRPr="00B50569" w:rsidRDefault="00B50569" w:rsidP="00B50569">
      <w:pPr>
        <w:overflowPunct/>
        <w:autoSpaceDE/>
        <w:autoSpaceDN/>
        <w:adjustRightInd/>
        <w:contextualSpacing/>
        <w:jc w:val="both"/>
        <w:rPr>
          <w:rFonts w:ascii="Arial" w:hAnsi="Arial" w:cs="Arial"/>
          <w:iCs/>
          <w:sz w:val="18"/>
          <w:szCs w:val="18"/>
        </w:rPr>
      </w:pPr>
    </w:p>
    <w:p w:rsidR="00B50569" w:rsidRPr="00B50569" w:rsidRDefault="00B50569" w:rsidP="00B50569">
      <w:pPr>
        <w:overflowPunct/>
        <w:autoSpaceDE/>
        <w:autoSpaceDN/>
        <w:adjustRightInd/>
        <w:spacing w:after="200" w:line="276" w:lineRule="auto"/>
        <w:rPr>
          <w:rFonts w:ascii="Arial" w:hAnsi="Arial" w:cs="Arial"/>
          <w:iCs/>
          <w:sz w:val="24"/>
          <w:szCs w:val="24"/>
        </w:rPr>
      </w:pPr>
      <w:r w:rsidRPr="00B50569">
        <w:rPr>
          <w:rFonts w:ascii="Arial" w:hAnsi="Arial" w:cs="Arial"/>
          <w:iCs/>
        </w:rPr>
        <w:br w:type="page"/>
      </w:r>
    </w:p>
    <w:p w:rsidR="00B50569" w:rsidRPr="00B50569" w:rsidRDefault="00B50569" w:rsidP="00B50569">
      <w:pPr>
        <w:pageBreakBefore/>
        <w:overflowPunct/>
        <w:autoSpaceDE/>
        <w:autoSpaceDN/>
        <w:adjustRightInd/>
        <w:contextualSpacing/>
        <w:jc w:val="center"/>
        <w:rPr>
          <w:b/>
          <w:iCs/>
          <w:sz w:val="20"/>
        </w:rPr>
      </w:pPr>
      <w:r w:rsidRPr="00B50569">
        <w:rPr>
          <w:b/>
          <w:iCs/>
          <w:sz w:val="20"/>
        </w:rPr>
        <w:lastRenderedPageBreak/>
        <w:t>MRC Global Inc.</w:t>
      </w:r>
    </w:p>
    <w:p w:rsidR="00B50569" w:rsidRPr="00B50569" w:rsidRDefault="00B50569" w:rsidP="00B50569">
      <w:pPr>
        <w:overflowPunct/>
        <w:autoSpaceDE/>
        <w:autoSpaceDN/>
        <w:adjustRightInd/>
        <w:contextualSpacing/>
        <w:jc w:val="center"/>
        <w:rPr>
          <w:b/>
          <w:iCs/>
          <w:sz w:val="20"/>
        </w:rPr>
      </w:pPr>
      <w:r w:rsidRPr="00B50569">
        <w:rPr>
          <w:b/>
          <w:iCs/>
          <w:sz w:val="20"/>
        </w:rPr>
        <w:t>Supplemental Information (Unaudited)</w:t>
      </w:r>
    </w:p>
    <w:p w:rsidR="00B50569" w:rsidRPr="00B50569" w:rsidRDefault="00B50569" w:rsidP="00B50569">
      <w:pPr>
        <w:overflowPunct/>
        <w:autoSpaceDE/>
        <w:autoSpaceDN/>
        <w:adjustRightInd/>
        <w:contextualSpacing/>
        <w:jc w:val="center"/>
        <w:rPr>
          <w:b/>
          <w:iCs/>
          <w:sz w:val="20"/>
        </w:rPr>
      </w:pPr>
      <w:r w:rsidRPr="00B50569">
        <w:rPr>
          <w:b/>
          <w:iCs/>
          <w:sz w:val="20"/>
        </w:rPr>
        <w:t xml:space="preserve">Reconciliation of Net Income Attributable to Common Stockholders to </w:t>
      </w:r>
    </w:p>
    <w:p w:rsidR="00B50569" w:rsidRPr="00B50569" w:rsidRDefault="00B50569" w:rsidP="00B50569">
      <w:pPr>
        <w:overflowPunct/>
        <w:autoSpaceDE/>
        <w:autoSpaceDN/>
        <w:adjustRightInd/>
        <w:contextualSpacing/>
        <w:jc w:val="center"/>
        <w:rPr>
          <w:b/>
          <w:iCs/>
          <w:sz w:val="20"/>
        </w:rPr>
      </w:pPr>
      <w:r w:rsidRPr="00B50569">
        <w:rPr>
          <w:b/>
          <w:iCs/>
          <w:sz w:val="20"/>
        </w:rPr>
        <w:t>Adjusted Net Income Attributable to Common Stockholders (a non-GAAP measure)</w:t>
      </w:r>
    </w:p>
    <w:p w:rsidR="00B50569" w:rsidRPr="00B50569" w:rsidRDefault="00B50569" w:rsidP="00B50569">
      <w:pPr>
        <w:overflowPunct/>
        <w:autoSpaceDE/>
        <w:autoSpaceDN/>
        <w:adjustRightInd/>
        <w:contextualSpacing/>
        <w:jc w:val="center"/>
        <w:rPr>
          <w:i/>
          <w:iCs/>
          <w:sz w:val="20"/>
        </w:rPr>
      </w:pPr>
      <w:r w:rsidRPr="00B50569">
        <w:rPr>
          <w:i/>
          <w:iCs/>
          <w:sz w:val="20"/>
        </w:rPr>
        <w:t xml:space="preserve"> (in millions, except per share amounts)</w:t>
      </w:r>
    </w:p>
    <w:p w:rsidR="00B50569" w:rsidRPr="00B50569" w:rsidRDefault="00B50569" w:rsidP="00B50569">
      <w:pPr>
        <w:overflowPunct/>
        <w:autoSpaceDE/>
        <w:autoSpaceDN/>
        <w:adjustRightInd/>
        <w:contextualSpacing/>
        <w:jc w:val="center"/>
        <w:rPr>
          <w:i/>
          <w:iCs/>
          <w:sz w:val="20"/>
        </w:rPr>
      </w:pPr>
    </w:p>
    <w:p w:rsidR="00B50569" w:rsidRPr="00B50569" w:rsidRDefault="00B50569" w:rsidP="00B50569">
      <w:pPr>
        <w:overflowPunct/>
        <w:autoSpaceDE/>
        <w:autoSpaceDN/>
        <w:adjustRightInd/>
        <w:contextualSpacing/>
        <w:jc w:val="center"/>
        <w:rPr>
          <w:i/>
          <w:iCs/>
          <w:sz w:val="20"/>
        </w:rPr>
      </w:pPr>
    </w:p>
    <w:p w:rsidR="00B50569" w:rsidRPr="00B50569" w:rsidRDefault="00B50569" w:rsidP="00B50569">
      <w:pPr>
        <w:overflowPunct/>
        <w:autoSpaceDE/>
        <w:autoSpaceDN/>
        <w:adjustRightInd/>
        <w:contextualSpacing/>
        <w:jc w:val="center"/>
        <w:rPr>
          <w:i/>
          <w:iCs/>
          <w:sz w:val="20"/>
        </w:rPr>
      </w:pPr>
    </w:p>
    <w:p w:rsidR="00B50569" w:rsidRPr="00B50569" w:rsidRDefault="00B50569" w:rsidP="00B50569">
      <w:pPr>
        <w:overflowPunct/>
        <w:autoSpaceDE/>
        <w:autoSpaceDN/>
        <w:adjustRightInd/>
        <w:contextualSpacing/>
        <w:jc w:val="center"/>
        <w:rPr>
          <w:i/>
          <w:iCs/>
          <w:sz w:val="2"/>
        </w:rPr>
      </w:pPr>
    </w:p>
    <w:p w:rsidR="00B50569" w:rsidRPr="00B50569" w:rsidRDefault="00B50569" w:rsidP="00B50569">
      <w:pPr>
        <w:overflowPunct/>
        <w:autoSpaceDE/>
        <w:autoSpaceDN/>
        <w:adjustRightInd/>
        <w:contextualSpacing/>
        <w:jc w:val="both"/>
        <w:rPr>
          <w:rFonts w:ascii="Arial" w:hAnsi="Arial" w:cs="Arial"/>
          <w:iCs/>
          <w:sz w:val="2"/>
          <w:szCs w:val="24"/>
        </w:rPr>
      </w:pPr>
    </w:p>
    <w:p w:rsidR="00B50569" w:rsidRPr="00B50569" w:rsidRDefault="00B50569" w:rsidP="00B50569">
      <w:pPr>
        <w:overflowPunct/>
        <w:autoSpaceDE/>
        <w:autoSpaceDN/>
        <w:adjustRightInd/>
        <w:contextualSpacing/>
        <w:jc w:val="both"/>
        <w:rPr>
          <w:rFonts w:ascii="Arial" w:hAnsi="Arial" w:cs="Arial"/>
          <w:iCs/>
          <w:sz w:val="2"/>
          <w:szCs w:val="24"/>
        </w:rPr>
      </w:pPr>
    </w:p>
    <w:p w:rsidR="00B50569" w:rsidRPr="00B50569" w:rsidRDefault="00B50569" w:rsidP="00B50569">
      <w:pPr>
        <w:overflowPunct/>
        <w:autoSpaceDE/>
        <w:autoSpaceDN/>
        <w:adjustRightInd/>
        <w:contextualSpacing/>
        <w:jc w:val="both"/>
        <w:rPr>
          <w:rFonts w:ascii="Arial" w:hAnsi="Arial" w:cs="Arial"/>
          <w:iCs/>
          <w:sz w:val="2"/>
          <w:szCs w:val="24"/>
        </w:rPr>
      </w:pPr>
    </w:p>
    <w:p w:rsidR="00B50569" w:rsidRPr="00B50569" w:rsidRDefault="00B50569" w:rsidP="00B50569">
      <w:pPr>
        <w:overflowPunct/>
        <w:autoSpaceDE/>
        <w:autoSpaceDN/>
        <w:adjustRightInd/>
        <w:contextualSpacing/>
        <w:jc w:val="both"/>
        <w:rPr>
          <w:rFonts w:ascii="Arial" w:hAnsi="Arial" w:cs="Arial"/>
          <w:iCs/>
          <w:sz w:val="2"/>
          <w:szCs w:val="24"/>
        </w:rPr>
      </w:pPr>
    </w:p>
    <w:tbl>
      <w:tblPr>
        <w:tblW w:w="5000" w:type="pct"/>
        <w:tblCellMar>
          <w:left w:w="0" w:type="dxa"/>
          <w:right w:w="0" w:type="dxa"/>
        </w:tblCellMar>
        <w:tblLook w:val="04A0" w:firstRow="1" w:lastRow="0" w:firstColumn="1" w:lastColumn="0" w:noHBand="0" w:noVBand="1"/>
      </w:tblPr>
      <w:tblGrid>
        <w:gridCol w:w="4589"/>
        <w:gridCol w:w="282"/>
        <w:gridCol w:w="1035"/>
        <w:gridCol w:w="281"/>
        <w:gridCol w:w="281"/>
        <w:gridCol w:w="1035"/>
        <w:gridCol w:w="384"/>
        <w:gridCol w:w="281"/>
        <w:gridCol w:w="1035"/>
        <w:gridCol w:w="281"/>
        <w:gridCol w:w="281"/>
        <w:gridCol w:w="1035"/>
      </w:tblGrid>
      <w:tr w:rsidR="00B50569" w:rsidRPr="00B50569" w:rsidTr="007D35A2">
        <w:trPr>
          <w:trHeight w:hRule="exact" w:val="20"/>
        </w:trPr>
        <w:tc>
          <w:tcPr>
            <w:tcW w:w="2125"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131"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479"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130"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130"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479"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178"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130"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479"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130"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130"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c>
          <w:tcPr>
            <w:tcW w:w="479" w:type="pct"/>
            <w:tcBorders>
              <w:top w:val="nil"/>
              <w:left w:val="nil"/>
              <w:bottom w:val="nil"/>
              <w:right w:val="nil"/>
            </w:tcBorders>
            <w:shd w:val="clear" w:color="auto" w:fill="auto"/>
            <w:vAlign w:val="bottom"/>
          </w:tcPr>
          <w:p w:rsidR="00B50569" w:rsidRPr="00B50569" w:rsidRDefault="00B50569" w:rsidP="00B50569">
            <w:pPr>
              <w:spacing w:before="1" w:after="1"/>
              <w:textAlignment w:val="baseline"/>
              <w:rPr>
                <w:sz w:val="2"/>
              </w:rPr>
            </w:pPr>
          </w:p>
        </w:tc>
      </w:tr>
      <w:tr w:rsidR="00B50569" w:rsidRPr="00B50569" w:rsidTr="007D35A2">
        <w:trPr>
          <w:trHeight w:hRule="exact" w:val="300"/>
        </w:trPr>
        <w:tc>
          <w:tcPr>
            <w:tcW w:w="2125" w:type="pct"/>
            <w:tcBorders>
              <w:top w:val="nil"/>
              <w:left w:val="nil"/>
              <w:bottom w:val="nil"/>
              <w:right w:val="nil"/>
              <w:tl2br w:val="nil"/>
              <w:tr2bl w:val="nil"/>
            </w:tcBorders>
            <w:shd w:val="clear" w:color="auto" w:fill="auto"/>
            <w:vAlign w:val="bottom"/>
          </w:tcPr>
          <w:p w:rsidR="00B50569" w:rsidRPr="00B50569" w:rsidRDefault="00B50569" w:rsidP="00B50569">
            <w:pPr>
              <w:spacing w:before="1" w:after="1"/>
              <w:textAlignment w:val="baseline"/>
              <w:rPr>
                <w:rFonts w:ascii="Calibri" w:eastAsia="Calibri" w:hAnsi="Calibri" w:cs="Calibri"/>
                <w:sz w:val="22"/>
              </w:rPr>
            </w:pPr>
          </w:p>
        </w:tc>
        <w:tc>
          <w:tcPr>
            <w:tcW w:w="1" w:type="pct"/>
            <w:gridSpan w:val="11"/>
            <w:tcBorders>
              <w:top w:val="nil"/>
              <w:left w:val="nil"/>
              <w:bottom w:val="single" w:sz="12" w:space="0" w:color="000000"/>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r w:rsidRPr="00B50569">
              <w:rPr>
                <w:b/>
                <w:sz w:val="20"/>
              </w:rPr>
              <w:t xml:space="preserve"> December 31, 2018</w:t>
            </w:r>
          </w:p>
        </w:tc>
      </w:tr>
      <w:tr w:rsidR="00B50569" w:rsidRPr="00B50569" w:rsidTr="007D35A2">
        <w:trPr>
          <w:trHeight w:hRule="exact" w:val="300"/>
        </w:trPr>
        <w:tc>
          <w:tcPr>
            <w:tcW w:w="2125" w:type="pct"/>
            <w:tcBorders>
              <w:top w:val="nil"/>
              <w:left w:val="nil"/>
              <w:bottom w:val="nil"/>
              <w:right w:val="nil"/>
              <w:tl2br w:val="nil"/>
              <w:tr2bl w:val="nil"/>
            </w:tcBorders>
            <w:shd w:val="clear" w:color="auto" w:fill="auto"/>
            <w:vAlign w:val="bottom"/>
          </w:tcPr>
          <w:p w:rsidR="00B50569" w:rsidRPr="00B50569" w:rsidRDefault="00B50569" w:rsidP="00B50569">
            <w:pPr>
              <w:spacing w:before="1" w:after="1"/>
              <w:textAlignment w:val="baseline"/>
              <w:rPr>
                <w:rFonts w:ascii="Calibri" w:eastAsia="Calibri" w:hAnsi="Calibri" w:cs="Calibri"/>
                <w:sz w:val="22"/>
              </w:rPr>
            </w:pPr>
          </w:p>
        </w:tc>
        <w:tc>
          <w:tcPr>
            <w:tcW w:w="1" w:type="pct"/>
            <w:gridSpan w:val="5"/>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spacing w:before="1" w:after="1"/>
              <w:jc w:val="center"/>
              <w:textAlignment w:val="baseline"/>
              <w:rPr>
                <w:b/>
                <w:color w:val="000000"/>
                <w:sz w:val="20"/>
              </w:rPr>
            </w:pPr>
            <w:r w:rsidRPr="00B50569">
              <w:rPr>
                <w:b/>
                <w:color w:val="000000"/>
                <w:sz w:val="20"/>
              </w:rPr>
              <w:t>Three Months Ended</w:t>
            </w:r>
          </w:p>
        </w:tc>
        <w:tc>
          <w:tcPr>
            <w:tcW w:w="178"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color w:val="000000"/>
                <w:sz w:val="20"/>
              </w:rPr>
            </w:pPr>
          </w:p>
        </w:tc>
        <w:tc>
          <w:tcPr>
            <w:tcW w:w="1" w:type="pct"/>
            <w:gridSpan w:val="5"/>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spacing w:before="1" w:after="1"/>
              <w:jc w:val="center"/>
              <w:textAlignment w:val="baseline"/>
              <w:rPr>
                <w:b/>
                <w:color w:val="000000"/>
                <w:sz w:val="20"/>
              </w:rPr>
            </w:pPr>
            <w:r w:rsidRPr="00B50569">
              <w:rPr>
                <w:b/>
                <w:color w:val="000000"/>
                <w:sz w:val="20"/>
              </w:rPr>
              <w:t>Year Ended</w:t>
            </w:r>
          </w:p>
        </w:tc>
      </w:tr>
      <w:tr w:rsidR="00B50569" w:rsidRPr="00B50569" w:rsidTr="007D35A2">
        <w:trPr>
          <w:trHeight w:hRule="exact" w:val="300"/>
        </w:trPr>
        <w:tc>
          <w:tcPr>
            <w:tcW w:w="2125" w:type="pct"/>
            <w:tcBorders>
              <w:top w:val="nil"/>
              <w:left w:val="nil"/>
              <w:bottom w:val="nil"/>
              <w:right w:val="nil"/>
              <w:tl2br w:val="nil"/>
              <w:tr2bl w:val="nil"/>
            </w:tcBorders>
            <w:shd w:val="clear" w:color="auto" w:fill="auto"/>
            <w:vAlign w:val="bottom"/>
          </w:tcPr>
          <w:p w:rsidR="00B50569" w:rsidRPr="00B50569" w:rsidRDefault="00B50569" w:rsidP="00B50569">
            <w:pPr>
              <w:spacing w:before="1" w:after="1"/>
              <w:textAlignment w:val="baseline"/>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r w:rsidRPr="00B50569">
              <w:rPr>
                <w:b/>
                <w:sz w:val="20"/>
              </w:rPr>
              <w:t>Net Income</w:t>
            </w:r>
          </w:p>
        </w:tc>
        <w:tc>
          <w:tcPr>
            <w:tcW w:w="13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r w:rsidRPr="00B50569">
              <w:rPr>
                <w:b/>
                <w:sz w:val="20"/>
              </w:rPr>
              <w:t>Per Share*</w:t>
            </w:r>
          </w:p>
        </w:tc>
        <w:tc>
          <w:tcPr>
            <w:tcW w:w="178" w:type="pct"/>
            <w:tcBorders>
              <w:top w:val="nil"/>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r w:rsidRPr="00B50569">
              <w:rPr>
                <w:b/>
                <w:sz w:val="20"/>
              </w:rPr>
              <w:t>Net Income</w:t>
            </w:r>
          </w:p>
        </w:tc>
        <w:tc>
          <w:tcPr>
            <w:tcW w:w="13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r w:rsidRPr="00B50569">
              <w:rPr>
                <w:b/>
                <w:sz w:val="20"/>
              </w:rPr>
              <w:t>Per Share*</w:t>
            </w:r>
          </w:p>
        </w:tc>
      </w:tr>
      <w:tr w:rsidR="00B50569" w:rsidRPr="00B50569" w:rsidTr="007D35A2">
        <w:trPr>
          <w:trHeight w:hRule="exact" w:val="120"/>
        </w:trPr>
        <w:tc>
          <w:tcPr>
            <w:tcW w:w="2125" w:type="pct"/>
            <w:tcBorders>
              <w:top w:val="nil"/>
              <w:left w:val="nil"/>
              <w:bottom w:val="nil"/>
              <w:right w:val="nil"/>
              <w:tl2br w:val="nil"/>
              <w:tr2bl w:val="nil"/>
            </w:tcBorders>
            <w:shd w:val="clear" w:color="auto" w:fill="auto"/>
            <w:vAlign w:val="bottom"/>
          </w:tcPr>
          <w:p w:rsidR="00B50569" w:rsidRPr="00B50569" w:rsidRDefault="00B50569" w:rsidP="00B50569">
            <w:pPr>
              <w:spacing w:before="1" w:after="1"/>
              <w:textAlignment w:val="baseline"/>
              <w:rPr>
                <w:rFonts w:ascii="Calibri" w:eastAsia="Calibri" w:hAnsi="Calibri" w:cs="Calibri"/>
                <w:sz w:val="22"/>
              </w:rPr>
            </w:pPr>
          </w:p>
        </w:tc>
        <w:tc>
          <w:tcPr>
            <w:tcW w:w="131"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textAlignment w:val="baseline"/>
              <w:rPr>
                <w:rFonts w:ascii="Calibri" w:eastAsia="Calibri" w:hAnsi="Calibri" w:cs="Calibri"/>
                <w:sz w:val="22"/>
              </w:rPr>
            </w:pPr>
          </w:p>
        </w:tc>
        <w:tc>
          <w:tcPr>
            <w:tcW w:w="479"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30" w:type="pct"/>
            <w:tcBorders>
              <w:top w:val="nil"/>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3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479"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78" w:type="pct"/>
            <w:tcBorders>
              <w:top w:val="nil"/>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3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479"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30" w:type="pct"/>
            <w:tcBorders>
              <w:top w:val="nil"/>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130"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c>
          <w:tcPr>
            <w:tcW w:w="479" w:type="pct"/>
            <w:tcBorders>
              <w:top w:val="single" w:sz="0" w:space="0" w:color="000000"/>
              <w:left w:val="nil"/>
              <w:bottom w:val="nil"/>
              <w:right w:val="nil"/>
              <w:tl2br w:val="nil"/>
              <w:tr2bl w:val="nil"/>
            </w:tcBorders>
            <w:shd w:val="clear" w:color="auto" w:fill="auto"/>
            <w:vAlign w:val="bottom"/>
          </w:tcPr>
          <w:p w:rsidR="00B50569" w:rsidRPr="00B50569" w:rsidRDefault="00B50569" w:rsidP="00B50569">
            <w:pPr>
              <w:spacing w:before="1" w:after="1"/>
              <w:jc w:val="center"/>
              <w:textAlignment w:val="baseline"/>
              <w:rPr>
                <w:b/>
                <w:sz w:val="20"/>
              </w:rPr>
            </w:pPr>
          </w:p>
        </w:tc>
      </w:tr>
      <w:tr w:rsidR="00B50569" w:rsidRPr="00B50569" w:rsidTr="007D35A2">
        <w:trPr>
          <w:trHeight w:hRule="exact" w:val="300"/>
        </w:trPr>
        <w:tc>
          <w:tcPr>
            <w:tcW w:w="2125"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Net income attributable to common stockholders</w:t>
            </w:r>
          </w:p>
        </w:tc>
        <w:tc>
          <w:tcPr>
            <w:tcW w:w="131"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r w:rsidRPr="00B50569">
              <w:rPr>
                <w:b/>
                <w:sz w:val="20"/>
              </w:rPr>
              <w:t>$</w:t>
            </w:r>
          </w:p>
        </w:tc>
        <w:tc>
          <w:tcPr>
            <w:tcW w:w="479"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ind w:right="63"/>
              <w:jc w:val="right"/>
              <w:textAlignment w:val="baseline"/>
              <w:rPr>
                <w:b/>
                <w:sz w:val="20"/>
              </w:rPr>
            </w:pPr>
            <w:r w:rsidRPr="00B50569">
              <w:rPr>
                <w:b/>
                <w:sz w:val="20"/>
              </w:rPr>
              <w:t xml:space="preserve"> 4</w:t>
            </w: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r w:rsidRPr="00B50569">
              <w:rPr>
                <w:b/>
                <w:sz w:val="20"/>
              </w:rPr>
              <w:t>$</w:t>
            </w:r>
          </w:p>
        </w:tc>
        <w:tc>
          <w:tcPr>
            <w:tcW w:w="479"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ind w:right="63"/>
              <w:jc w:val="right"/>
              <w:textAlignment w:val="baseline"/>
              <w:rPr>
                <w:b/>
                <w:sz w:val="20"/>
              </w:rPr>
            </w:pPr>
            <w:r w:rsidRPr="00B50569">
              <w:rPr>
                <w:b/>
                <w:sz w:val="20"/>
              </w:rPr>
              <w:t xml:space="preserve"> 0.04</w:t>
            </w:r>
          </w:p>
        </w:tc>
        <w:tc>
          <w:tcPr>
            <w:tcW w:w="178"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r w:rsidRPr="00B50569">
              <w:rPr>
                <w:b/>
                <w:sz w:val="20"/>
              </w:rPr>
              <w:t>$</w:t>
            </w:r>
          </w:p>
        </w:tc>
        <w:tc>
          <w:tcPr>
            <w:tcW w:w="479"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ind w:right="63"/>
              <w:jc w:val="right"/>
              <w:textAlignment w:val="baseline"/>
              <w:rPr>
                <w:b/>
                <w:sz w:val="20"/>
              </w:rPr>
            </w:pPr>
            <w:r w:rsidRPr="00B50569">
              <w:rPr>
                <w:b/>
                <w:sz w:val="20"/>
              </w:rPr>
              <w:t xml:space="preserve"> 50</w:t>
            </w: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r w:rsidRPr="00B50569">
              <w:rPr>
                <w:b/>
                <w:sz w:val="20"/>
              </w:rPr>
              <w:t>$</w:t>
            </w:r>
          </w:p>
        </w:tc>
        <w:tc>
          <w:tcPr>
            <w:tcW w:w="479"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ind w:right="63"/>
              <w:jc w:val="right"/>
              <w:textAlignment w:val="baseline"/>
              <w:rPr>
                <w:b/>
                <w:sz w:val="20"/>
              </w:rPr>
            </w:pPr>
            <w:r w:rsidRPr="00B50569">
              <w:rPr>
                <w:b/>
                <w:sz w:val="20"/>
              </w:rPr>
              <w:t xml:space="preserve"> 0.54</w:t>
            </w:r>
          </w:p>
        </w:tc>
      </w:tr>
      <w:tr w:rsidR="00B50569" w:rsidRPr="00B50569" w:rsidTr="007D35A2">
        <w:trPr>
          <w:trHeight w:hRule="exact" w:val="300"/>
        </w:trPr>
        <w:tc>
          <w:tcPr>
            <w:tcW w:w="2125"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r w:rsidRPr="00B50569">
              <w:rPr>
                <w:sz w:val="20"/>
              </w:rPr>
              <w:t>Increase in LIFO reserve, net of tax</w:t>
            </w:r>
          </w:p>
        </w:tc>
        <w:tc>
          <w:tcPr>
            <w:tcW w:w="131" w:type="pct"/>
            <w:tcBorders>
              <w:top w:val="nil"/>
              <w:left w:val="nil"/>
              <w:bottom w:val="single" w:sz="12" w:space="0" w:color="000000"/>
              <w:right w:val="nil"/>
              <w:tl2br w:val="nil"/>
              <w:tr2bl w:val="nil"/>
            </w:tcBorders>
            <w:vAlign w:val="bottom"/>
          </w:tcPr>
          <w:p w:rsidR="00B50569" w:rsidRPr="00B50569" w:rsidRDefault="00B50569" w:rsidP="00B50569">
            <w:pPr>
              <w:spacing w:before="1" w:after="1"/>
              <w:textAlignment w:val="baseline"/>
              <w:rPr>
                <w:b/>
                <w:sz w:val="20"/>
              </w:rPr>
            </w:pPr>
          </w:p>
        </w:tc>
        <w:tc>
          <w:tcPr>
            <w:tcW w:w="479" w:type="pct"/>
            <w:tcBorders>
              <w:top w:val="nil"/>
              <w:left w:val="nil"/>
              <w:bottom w:val="single" w:sz="12" w:space="0" w:color="000000"/>
              <w:right w:val="nil"/>
              <w:tl2br w:val="nil"/>
              <w:tr2bl w:val="nil"/>
            </w:tcBorders>
            <w:vAlign w:val="bottom"/>
          </w:tcPr>
          <w:p w:rsidR="00B50569" w:rsidRPr="00B50569" w:rsidRDefault="00B50569" w:rsidP="00B50569">
            <w:pPr>
              <w:spacing w:before="1" w:after="1"/>
              <w:ind w:right="63"/>
              <w:jc w:val="right"/>
              <w:textAlignment w:val="baseline"/>
              <w:rPr>
                <w:b/>
                <w:sz w:val="20"/>
              </w:rPr>
            </w:pPr>
            <w:r w:rsidRPr="00B50569">
              <w:rPr>
                <w:b/>
                <w:sz w:val="20"/>
              </w:rPr>
              <w:t xml:space="preserve"> 11</w:t>
            </w:r>
          </w:p>
        </w:tc>
        <w:tc>
          <w:tcPr>
            <w:tcW w:w="130"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b/>
                <w:sz w:val="20"/>
              </w:rPr>
            </w:pPr>
          </w:p>
        </w:tc>
        <w:tc>
          <w:tcPr>
            <w:tcW w:w="130" w:type="pct"/>
            <w:tcBorders>
              <w:top w:val="nil"/>
              <w:left w:val="nil"/>
              <w:bottom w:val="single" w:sz="12" w:space="0" w:color="000000"/>
              <w:right w:val="nil"/>
              <w:tl2br w:val="nil"/>
              <w:tr2bl w:val="nil"/>
            </w:tcBorders>
            <w:vAlign w:val="bottom"/>
          </w:tcPr>
          <w:p w:rsidR="00B50569" w:rsidRPr="00B50569" w:rsidRDefault="00B50569" w:rsidP="00B50569">
            <w:pPr>
              <w:spacing w:before="1" w:after="1"/>
              <w:textAlignment w:val="baseline"/>
              <w:rPr>
                <w:b/>
                <w:sz w:val="20"/>
              </w:rPr>
            </w:pPr>
          </w:p>
        </w:tc>
        <w:tc>
          <w:tcPr>
            <w:tcW w:w="479" w:type="pct"/>
            <w:tcBorders>
              <w:top w:val="nil"/>
              <w:left w:val="nil"/>
              <w:bottom w:val="single" w:sz="12" w:space="0" w:color="000000"/>
              <w:right w:val="nil"/>
              <w:tl2br w:val="nil"/>
              <w:tr2bl w:val="nil"/>
            </w:tcBorders>
            <w:vAlign w:val="bottom"/>
          </w:tcPr>
          <w:p w:rsidR="00B50569" w:rsidRPr="00B50569" w:rsidRDefault="00B50569" w:rsidP="00B50569">
            <w:pPr>
              <w:spacing w:before="1" w:after="1"/>
              <w:ind w:right="63"/>
              <w:jc w:val="right"/>
              <w:textAlignment w:val="baseline"/>
              <w:rPr>
                <w:b/>
                <w:sz w:val="20"/>
              </w:rPr>
            </w:pPr>
            <w:r w:rsidRPr="00B50569">
              <w:rPr>
                <w:b/>
                <w:sz w:val="20"/>
              </w:rPr>
              <w:t xml:space="preserve"> 0.12</w:t>
            </w:r>
          </w:p>
        </w:tc>
        <w:tc>
          <w:tcPr>
            <w:tcW w:w="178"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b/>
                <w:sz w:val="20"/>
              </w:rPr>
            </w:pPr>
          </w:p>
        </w:tc>
        <w:tc>
          <w:tcPr>
            <w:tcW w:w="130" w:type="pct"/>
            <w:tcBorders>
              <w:top w:val="nil"/>
              <w:left w:val="nil"/>
              <w:bottom w:val="single" w:sz="12" w:space="0" w:color="000000"/>
              <w:right w:val="nil"/>
              <w:tl2br w:val="nil"/>
              <w:tr2bl w:val="nil"/>
            </w:tcBorders>
            <w:vAlign w:val="bottom"/>
          </w:tcPr>
          <w:p w:rsidR="00B50569" w:rsidRPr="00B50569" w:rsidRDefault="00B50569" w:rsidP="00B50569">
            <w:pPr>
              <w:spacing w:before="1" w:after="1"/>
              <w:textAlignment w:val="baseline"/>
              <w:rPr>
                <w:b/>
                <w:sz w:val="20"/>
              </w:rPr>
            </w:pPr>
          </w:p>
        </w:tc>
        <w:tc>
          <w:tcPr>
            <w:tcW w:w="479" w:type="pct"/>
            <w:tcBorders>
              <w:top w:val="nil"/>
              <w:left w:val="nil"/>
              <w:bottom w:val="single" w:sz="12" w:space="0" w:color="000000"/>
              <w:right w:val="nil"/>
              <w:tl2br w:val="nil"/>
              <w:tr2bl w:val="nil"/>
            </w:tcBorders>
            <w:vAlign w:val="bottom"/>
          </w:tcPr>
          <w:p w:rsidR="00B50569" w:rsidRPr="00B50569" w:rsidRDefault="00B50569" w:rsidP="00B50569">
            <w:pPr>
              <w:spacing w:before="1" w:after="1"/>
              <w:ind w:right="63"/>
              <w:jc w:val="right"/>
              <w:textAlignment w:val="baseline"/>
              <w:rPr>
                <w:b/>
                <w:sz w:val="20"/>
              </w:rPr>
            </w:pPr>
            <w:r w:rsidRPr="00B50569">
              <w:rPr>
                <w:b/>
                <w:sz w:val="20"/>
              </w:rPr>
              <w:t xml:space="preserve"> 48</w:t>
            </w:r>
          </w:p>
        </w:tc>
        <w:tc>
          <w:tcPr>
            <w:tcW w:w="130"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b/>
                <w:sz w:val="20"/>
              </w:rPr>
            </w:pPr>
          </w:p>
        </w:tc>
        <w:tc>
          <w:tcPr>
            <w:tcW w:w="130" w:type="pct"/>
            <w:tcBorders>
              <w:top w:val="nil"/>
              <w:left w:val="nil"/>
              <w:bottom w:val="single" w:sz="12" w:space="0" w:color="000000"/>
              <w:right w:val="nil"/>
              <w:tl2br w:val="nil"/>
              <w:tr2bl w:val="nil"/>
            </w:tcBorders>
            <w:vAlign w:val="bottom"/>
          </w:tcPr>
          <w:p w:rsidR="00B50569" w:rsidRPr="00B50569" w:rsidRDefault="00B50569" w:rsidP="00B50569">
            <w:pPr>
              <w:spacing w:before="1" w:after="1"/>
              <w:textAlignment w:val="baseline"/>
              <w:rPr>
                <w:b/>
                <w:sz w:val="20"/>
              </w:rPr>
            </w:pPr>
          </w:p>
        </w:tc>
        <w:tc>
          <w:tcPr>
            <w:tcW w:w="479" w:type="pct"/>
            <w:tcBorders>
              <w:top w:val="nil"/>
              <w:left w:val="nil"/>
              <w:bottom w:val="single" w:sz="12" w:space="0" w:color="000000"/>
              <w:right w:val="nil"/>
              <w:tl2br w:val="nil"/>
              <w:tr2bl w:val="nil"/>
            </w:tcBorders>
            <w:vAlign w:val="bottom"/>
          </w:tcPr>
          <w:p w:rsidR="00B50569" w:rsidRPr="00B50569" w:rsidRDefault="00B50569" w:rsidP="00B50569">
            <w:pPr>
              <w:spacing w:before="1" w:after="1"/>
              <w:ind w:right="63"/>
              <w:jc w:val="right"/>
              <w:textAlignment w:val="baseline"/>
              <w:rPr>
                <w:b/>
                <w:sz w:val="20"/>
              </w:rPr>
            </w:pPr>
            <w:r w:rsidRPr="00B50569">
              <w:rPr>
                <w:b/>
                <w:sz w:val="20"/>
              </w:rPr>
              <w:t xml:space="preserve"> 0.52</w:t>
            </w:r>
          </w:p>
        </w:tc>
      </w:tr>
      <w:tr w:rsidR="00B50569" w:rsidRPr="00B50569" w:rsidTr="007D35A2">
        <w:trPr>
          <w:trHeight w:hRule="exact" w:val="300"/>
        </w:trPr>
        <w:tc>
          <w:tcPr>
            <w:tcW w:w="2125"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Adjusted net income attributable to common stockholders</w:t>
            </w: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r w:rsidRPr="00B50569">
              <w:rPr>
                <w:b/>
                <w:sz w:val="20"/>
              </w:rPr>
              <w:t>$</w:t>
            </w:r>
          </w:p>
        </w:tc>
        <w:tc>
          <w:tcPr>
            <w:tcW w:w="479"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ind w:right="63"/>
              <w:jc w:val="right"/>
              <w:textAlignment w:val="baseline"/>
              <w:rPr>
                <w:b/>
                <w:sz w:val="20"/>
              </w:rPr>
            </w:pPr>
            <w:r w:rsidRPr="00B50569">
              <w:rPr>
                <w:b/>
                <w:sz w:val="20"/>
              </w:rPr>
              <w:t xml:space="preserve"> 15</w:t>
            </w: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p>
        </w:tc>
        <w:tc>
          <w:tcPr>
            <w:tcW w:w="13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r w:rsidRPr="00B50569">
              <w:rPr>
                <w:b/>
                <w:sz w:val="20"/>
              </w:rPr>
              <w:t>$</w:t>
            </w:r>
          </w:p>
        </w:tc>
        <w:tc>
          <w:tcPr>
            <w:tcW w:w="479"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ind w:right="63"/>
              <w:jc w:val="right"/>
              <w:textAlignment w:val="baseline"/>
              <w:rPr>
                <w:b/>
                <w:sz w:val="20"/>
              </w:rPr>
            </w:pPr>
            <w:r w:rsidRPr="00B50569">
              <w:rPr>
                <w:b/>
                <w:sz w:val="20"/>
              </w:rPr>
              <w:t xml:space="preserve"> 0.17</w:t>
            </w:r>
          </w:p>
        </w:tc>
        <w:tc>
          <w:tcPr>
            <w:tcW w:w="178"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p>
        </w:tc>
        <w:tc>
          <w:tcPr>
            <w:tcW w:w="13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r w:rsidRPr="00B50569">
              <w:rPr>
                <w:b/>
                <w:sz w:val="20"/>
              </w:rPr>
              <w:t>$</w:t>
            </w:r>
          </w:p>
        </w:tc>
        <w:tc>
          <w:tcPr>
            <w:tcW w:w="479"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ind w:right="63"/>
              <w:jc w:val="right"/>
              <w:textAlignment w:val="baseline"/>
              <w:rPr>
                <w:b/>
                <w:sz w:val="20"/>
              </w:rPr>
            </w:pPr>
            <w:r w:rsidRPr="00B50569">
              <w:rPr>
                <w:b/>
                <w:sz w:val="20"/>
              </w:rPr>
              <w:t xml:space="preserve"> 98</w:t>
            </w: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p>
        </w:tc>
        <w:tc>
          <w:tcPr>
            <w:tcW w:w="13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textAlignment w:val="baseline"/>
              <w:rPr>
                <w:b/>
                <w:sz w:val="20"/>
              </w:rPr>
            </w:pPr>
            <w:r w:rsidRPr="00B50569">
              <w:rPr>
                <w:b/>
                <w:sz w:val="20"/>
              </w:rPr>
              <w:t>$</w:t>
            </w:r>
          </w:p>
        </w:tc>
        <w:tc>
          <w:tcPr>
            <w:tcW w:w="479"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ind w:right="63"/>
              <w:jc w:val="right"/>
              <w:textAlignment w:val="baseline"/>
              <w:rPr>
                <w:b/>
                <w:sz w:val="20"/>
              </w:rPr>
            </w:pPr>
            <w:r w:rsidRPr="00B50569">
              <w:rPr>
                <w:b/>
                <w:sz w:val="20"/>
              </w:rPr>
              <w:t xml:space="preserve"> 1.07</w:t>
            </w:r>
          </w:p>
        </w:tc>
      </w:tr>
      <w:tr w:rsidR="00B50569" w:rsidRPr="00B50569" w:rsidTr="007D35A2">
        <w:trPr>
          <w:trHeight w:hRule="exact" w:val="300"/>
        </w:trPr>
        <w:tc>
          <w:tcPr>
            <w:tcW w:w="2125"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1" w:type="pct"/>
            <w:tcBorders>
              <w:top w:val="double" w:sz="0" w:space="0" w:color="000000"/>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479" w:type="pct"/>
            <w:tcBorders>
              <w:top w:val="double" w:sz="0" w:space="0" w:color="000000"/>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0"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0" w:type="pct"/>
            <w:tcBorders>
              <w:top w:val="double" w:sz="0" w:space="0" w:color="000000"/>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479" w:type="pct"/>
            <w:tcBorders>
              <w:top w:val="double" w:sz="0" w:space="0" w:color="000000"/>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78"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0" w:type="pct"/>
            <w:tcBorders>
              <w:top w:val="double" w:sz="0" w:space="0" w:color="000000"/>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479" w:type="pct"/>
            <w:tcBorders>
              <w:top w:val="double" w:sz="0" w:space="0" w:color="000000"/>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0"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0" w:type="pct"/>
            <w:tcBorders>
              <w:top w:val="double" w:sz="0" w:space="0" w:color="000000"/>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479" w:type="pct"/>
            <w:tcBorders>
              <w:top w:val="double" w:sz="0" w:space="0" w:color="000000"/>
              <w:left w:val="nil"/>
              <w:bottom w:val="nil"/>
              <w:right w:val="nil"/>
              <w:tl2br w:val="nil"/>
              <w:tr2bl w:val="nil"/>
            </w:tcBorders>
            <w:vAlign w:val="bottom"/>
          </w:tcPr>
          <w:p w:rsidR="00B50569" w:rsidRPr="00B50569" w:rsidRDefault="00B50569" w:rsidP="00B50569">
            <w:pPr>
              <w:spacing w:before="1" w:after="1"/>
              <w:textAlignment w:val="baseline"/>
              <w:rPr>
                <w:sz w:val="20"/>
              </w:rPr>
            </w:pPr>
          </w:p>
        </w:tc>
      </w:tr>
      <w:tr w:rsidR="00B50569" w:rsidRPr="00B50569" w:rsidTr="007D35A2">
        <w:trPr>
          <w:trHeight w:hRule="exact" w:val="300"/>
        </w:trPr>
        <w:tc>
          <w:tcPr>
            <w:tcW w:w="2125"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rFonts w:ascii="Calibri" w:eastAsia="Calibri" w:hAnsi="Calibri" w:cs="Calibri"/>
                <w:sz w:val="22"/>
              </w:rPr>
            </w:pPr>
          </w:p>
        </w:tc>
        <w:tc>
          <w:tcPr>
            <w:tcW w:w="1" w:type="pct"/>
            <w:gridSpan w:val="11"/>
            <w:tcBorders>
              <w:top w:val="nil"/>
              <w:left w:val="nil"/>
              <w:bottom w:val="single" w:sz="12" w:space="0" w:color="000000"/>
              <w:right w:val="nil"/>
              <w:tl2br w:val="nil"/>
              <w:tr2bl w:val="nil"/>
            </w:tcBorders>
            <w:vAlign w:val="bottom"/>
          </w:tcPr>
          <w:p w:rsidR="00B50569" w:rsidRPr="00B50569" w:rsidRDefault="00B50569" w:rsidP="00B50569">
            <w:pPr>
              <w:spacing w:before="1" w:after="1"/>
              <w:jc w:val="center"/>
              <w:textAlignment w:val="baseline"/>
              <w:rPr>
                <w:b/>
                <w:sz w:val="20"/>
              </w:rPr>
            </w:pPr>
            <w:r w:rsidRPr="00B50569">
              <w:rPr>
                <w:b/>
                <w:sz w:val="20"/>
              </w:rPr>
              <w:t xml:space="preserve"> December 31, 2017</w:t>
            </w:r>
          </w:p>
        </w:tc>
      </w:tr>
      <w:tr w:rsidR="00B50569" w:rsidRPr="00B50569" w:rsidTr="007D35A2">
        <w:trPr>
          <w:trHeight w:hRule="exact" w:val="300"/>
        </w:trPr>
        <w:tc>
          <w:tcPr>
            <w:tcW w:w="2125"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rFonts w:ascii="Calibri" w:eastAsia="Calibri" w:hAnsi="Calibri" w:cs="Calibri"/>
                <w:sz w:val="22"/>
              </w:rPr>
            </w:pPr>
          </w:p>
        </w:tc>
        <w:tc>
          <w:tcPr>
            <w:tcW w:w="1" w:type="pct"/>
            <w:gridSpan w:val="5"/>
            <w:tcBorders>
              <w:top w:val="single" w:sz="0" w:space="0" w:color="000000"/>
              <w:left w:val="nil"/>
              <w:bottom w:val="single" w:sz="12" w:space="0" w:color="000000"/>
              <w:right w:val="nil"/>
              <w:tl2br w:val="nil"/>
              <w:tr2bl w:val="nil"/>
            </w:tcBorders>
            <w:vAlign w:val="bottom"/>
          </w:tcPr>
          <w:p w:rsidR="00B50569" w:rsidRPr="00B50569" w:rsidRDefault="00B50569" w:rsidP="00B50569">
            <w:pPr>
              <w:spacing w:before="1" w:after="1"/>
              <w:jc w:val="center"/>
              <w:textAlignment w:val="baseline"/>
              <w:rPr>
                <w:b/>
                <w:color w:val="000000"/>
                <w:sz w:val="20"/>
              </w:rPr>
            </w:pPr>
            <w:r w:rsidRPr="00B50569">
              <w:rPr>
                <w:b/>
                <w:color w:val="000000"/>
                <w:sz w:val="20"/>
              </w:rPr>
              <w:t>Three Months Ended</w:t>
            </w:r>
          </w:p>
        </w:tc>
        <w:tc>
          <w:tcPr>
            <w:tcW w:w="178"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color w:val="000000"/>
                <w:sz w:val="20"/>
              </w:rPr>
            </w:pPr>
          </w:p>
        </w:tc>
        <w:tc>
          <w:tcPr>
            <w:tcW w:w="1" w:type="pct"/>
            <w:gridSpan w:val="5"/>
            <w:tcBorders>
              <w:top w:val="single" w:sz="0" w:space="0" w:color="000000"/>
              <w:left w:val="nil"/>
              <w:bottom w:val="single" w:sz="12" w:space="0" w:color="000000"/>
              <w:right w:val="nil"/>
              <w:tl2br w:val="nil"/>
              <w:tr2bl w:val="nil"/>
            </w:tcBorders>
            <w:vAlign w:val="bottom"/>
          </w:tcPr>
          <w:p w:rsidR="00B50569" w:rsidRPr="00B50569" w:rsidRDefault="00B50569" w:rsidP="00B50569">
            <w:pPr>
              <w:spacing w:before="1" w:after="1"/>
              <w:jc w:val="center"/>
              <w:textAlignment w:val="baseline"/>
              <w:rPr>
                <w:b/>
                <w:color w:val="000000"/>
                <w:sz w:val="20"/>
              </w:rPr>
            </w:pPr>
            <w:r w:rsidRPr="00B50569">
              <w:rPr>
                <w:b/>
                <w:color w:val="000000"/>
                <w:sz w:val="20"/>
              </w:rPr>
              <w:t>Year Ended</w:t>
            </w:r>
          </w:p>
        </w:tc>
      </w:tr>
      <w:tr w:rsidR="00B50569" w:rsidRPr="00B50569" w:rsidTr="007D35A2">
        <w:trPr>
          <w:trHeight w:hRule="exact" w:val="300"/>
        </w:trPr>
        <w:tc>
          <w:tcPr>
            <w:tcW w:w="2125"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vAlign w:val="bottom"/>
          </w:tcPr>
          <w:p w:rsidR="00B50569" w:rsidRPr="00B50569" w:rsidRDefault="00B50569" w:rsidP="00B50569">
            <w:pPr>
              <w:spacing w:before="1" w:after="1"/>
              <w:jc w:val="center"/>
              <w:textAlignment w:val="baseline"/>
              <w:rPr>
                <w:b/>
                <w:sz w:val="20"/>
              </w:rPr>
            </w:pPr>
            <w:r w:rsidRPr="00B50569">
              <w:rPr>
                <w:b/>
                <w:sz w:val="20"/>
              </w:rPr>
              <w:t>Net Income</w:t>
            </w:r>
          </w:p>
        </w:tc>
        <w:tc>
          <w:tcPr>
            <w:tcW w:w="130"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 w:type="pct"/>
            <w:gridSpan w:val="2"/>
            <w:tcBorders>
              <w:top w:val="single" w:sz="0" w:space="0" w:color="000000"/>
              <w:left w:val="nil"/>
              <w:bottom w:val="single" w:sz="12" w:space="0" w:color="000000"/>
              <w:right w:val="nil"/>
              <w:tl2br w:val="nil"/>
              <w:tr2bl w:val="nil"/>
            </w:tcBorders>
            <w:vAlign w:val="bottom"/>
          </w:tcPr>
          <w:p w:rsidR="00B50569" w:rsidRPr="00B50569" w:rsidRDefault="00B50569" w:rsidP="00B50569">
            <w:pPr>
              <w:spacing w:before="1" w:after="1"/>
              <w:jc w:val="center"/>
              <w:textAlignment w:val="baseline"/>
              <w:rPr>
                <w:b/>
                <w:sz w:val="20"/>
              </w:rPr>
            </w:pPr>
            <w:r w:rsidRPr="00B50569">
              <w:rPr>
                <w:b/>
                <w:sz w:val="20"/>
              </w:rPr>
              <w:t>Per Share</w:t>
            </w:r>
          </w:p>
        </w:tc>
        <w:tc>
          <w:tcPr>
            <w:tcW w:w="178" w:type="pct"/>
            <w:tcBorders>
              <w:top w:val="nil"/>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 w:type="pct"/>
            <w:gridSpan w:val="2"/>
            <w:tcBorders>
              <w:top w:val="single" w:sz="0" w:space="0" w:color="000000"/>
              <w:left w:val="nil"/>
              <w:bottom w:val="single" w:sz="12" w:space="0" w:color="000000"/>
              <w:right w:val="nil"/>
              <w:tl2br w:val="nil"/>
              <w:tr2bl w:val="nil"/>
            </w:tcBorders>
            <w:vAlign w:val="bottom"/>
          </w:tcPr>
          <w:p w:rsidR="00B50569" w:rsidRPr="00B50569" w:rsidRDefault="00B50569" w:rsidP="00B50569">
            <w:pPr>
              <w:spacing w:before="1" w:after="1"/>
              <w:jc w:val="center"/>
              <w:textAlignment w:val="baseline"/>
              <w:rPr>
                <w:b/>
                <w:sz w:val="20"/>
              </w:rPr>
            </w:pPr>
            <w:r w:rsidRPr="00B50569">
              <w:rPr>
                <w:b/>
                <w:sz w:val="20"/>
              </w:rPr>
              <w:t>Net Income</w:t>
            </w:r>
          </w:p>
        </w:tc>
        <w:tc>
          <w:tcPr>
            <w:tcW w:w="130"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 w:type="pct"/>
            <w:gridSpan w:val="2"/>
            <w:tcBorders>
              <w:top w:val="single" w:sz="0" w:space="0" w:color="000000"/>
              <w:left w:val="nil"/>
              <w:bottom w:val="single" w:sz="12" w:space="0" w:color="000000"/>
              <w:right w:val="nil"/>
              <w:tl2br w:val="nil"/>
              <w:tr2bl w:val="nil"/>
            </w:tcBorders>
            <w:vAlign w:val="bottom"/>
          </w:tcPr>
          <w:p w:rsidR="00B50569" w:rsidRPr="00B50569" w:rsidRDefault="00B50569" w:rsidP="00B50569">
            <w:pPr>
              <w:spacing w:before="1" w:after="1"/>
              <w:jc w:val="center"/>
              <w:textAlignment w:val="baseline"/>
              <w:rPr>
                <w:b/>
                <w:sz w:val="20"/>
              </w:rPr>
            </w:pPr>
            <w:r w:rsidRPr="00B50569">
              <w:rPr>
                <w:b/>
                <w:sz w:val="20"/>
              </w:rPr>
              <w:t>Per Share</w:t>
            </w:r>
          </w:p>
        </w:tc>
      </w:tr>
      <w:tr w:rsidR="00B50569" w:rsidRPr="00B50569" w:rsidTr="007D35A2">
        <w:trPr>
          <w:trHeight w:hRule="exact" w:val="105"/>
        </w:trPr>
        <w:tc>
          <w:tcPr>
            <w:tcW w:w="2125"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rFonts w:ascii="Calibri" w:eastAsia="Calibri" w:hAnsi="Calibri" w:cs="Calibri"/>
                <w:sz w:val="22"/>
              </w:rPr>
            </w:pPr>
          </w:p>
        </w:tc>
        <w:tc>
          <w:tcPr>
            <w:tcW w:w="131" w:type="pct"/>
            <w:tcBorders>
              <w:top w:val="single" w:sz="0" w:space="0" w:color="000000"/>
              <w:left w:val="nil"/>
              <w:bottom w:val="nil"/>
              <w:right w:val="nil"/>
              <w:tl2br w:val="nil"/>
              <w:tr2bl w:val="nil"/>
            </w:tcBorders>
            <w:vAlign w:val="bottom"/>
          </w:tcPr>
          <w:p w:rsidR="00B50569" w:rsidRPr="00B50569" w:rsidRDefault="00B50569" w:rsidP="00B50569">
            <w:pPr>
              <w:spacing w:before="1" w:after="1"/>
              <w:textAlignment w:val="baseline"/>
              <w:rPr>
                <w:rFonts w:ascii="Calibri" w:eastAsia="Calibri" w:hAnsi="Calibri" w:cs="Calibri"/>
                <w:sz w:val="22"/>
              </w:rPr>
            </w:pPr>
          </w:p>
        </w:tc>
        <w:tc>
          <w:tcPr>
            <w:tcW w:w="479"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30" w:type="pct"/>
            <w:tcBorders>
              <w:top w:val="nil"/>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30"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479"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78" w:type="pct"/>
            <w:tcBorders>
              <w:top w:val="nil"/>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30"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479"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30" w:type="pct"/>
            <w:tcBorders>
              <w:top w:val="nil"/>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130"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c>
          <w:tcPr>
            <w:tcW w:w="479" w:type="pct"/>
            <w:tcBorders>
              <w:top w:val="single" w:sz="0" w:space="0" w:color="000000"/>
              <w:left w:val="nil"/>
              <w:bottom w:val="nil"/>
              <w:right w:val="nil"/>
              <w:tl2br w:val="nil"/>
              <w:tr2bl w:val="nil"/>
            </w:tcBorders>
            <w:vAlign w:val="bottom"/>
          </w:tcPr>
          <w:p w:rsidR="00B50569" w:rsidRPr="00B50569" w:rsidRDefault="00B50569" w:rsidP="00B50569">
            <w:pPr>
              <w:spacing w:before="1" w:after="1"/>
              <w:jc w:val="center"/>
              <w:textAlignment w:val="baseline"/>
              <w:rPr>
                <w:b/>
                <w:sz w:val="20"/>
              </w:rPr>
            </w:pPr>
          </w:p>
        </w:tc>
      </w:tr>
      <w:tr w:rsidR="00B50569" w:rsidRPr="00B50569" w:rsidTr="007D35A2">
        <w:trPr>
          <w:trHeight w:hRule="exact" w:val="300"/>
        </w:trPr>
        <w:tc>
          <w:tcPr>
            <w:tcW w:w="2125"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Net income attributable to common stockholders</w:t>
            </w:r>
          </w:p>
        </w:tc>
        <w:tc>
          <w:tcPr>
            <w:tcW w:w="131"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w:t>
            </w:r>
          </w:p>
        </w:tc>
        <w:tc>
          <w:tcPr>
            <w:tcW w:w="479"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ind w:right="65"/>
              <w:jc w:val="right"/>
              <w:textAlignment w:val="baseline"/>
              <w:rPr>
                <w:sz w:val="20"/>
              </w:rPr>
            </w:pPr>
            <w:r w:rsidRPr="00B50569">
              <w:rPr>
                <w:sz w:val="20"/>
              </w:rPr>
              <w:t xml:space="preserve"> 29</w:t>
            </w: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w:t>
            </w:r>
          </w:p>
        </w:tc>
        <w:tc>
          <w:tcPr>
            <w:tcW w:w="479"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ind w:right="65"/>
              <w:jc w:val="right"/>
              <w:textAlignment w:val="baseline"/>
              <w:rPr>
                <w:sz w:val="20"/>
              </w:rPr>
            </w:pPr>
            <w:r w:rsidRPr="00B50569">
              <w:rPr>
                <w:sz w:val="20"/>
              </w:rPr>
              <w:t xml:space="preserve"> 0.30</w:t>
            </w:r>
          </w:p>
        </w:tc>
        <w:tc>
          <w:tcPr>
            <w:tcW w:w="178"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w:t>
            </w:r>
          </w:p>
        </w:tc>
        <w:tc>
          <w:tcPr>
            <w:tcW w:w="479"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ind w:right="65"/>
              <w:jc w:val="right"/>
              <w:textAlignment w:val="baseline"/>
              <w:rPr>
                <w:sz w:val="20"/>
              </w:rPr>
            </w:pPr>
            <w:r w:rsidRPr="00B50569">
              <w:rPr>
                <w:sz w:val="20"/>
              </w:rPr>
              <w:t xml:space="preserve"> 26</w:t>
            </w: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w:t>
            </w:r>
          </w:p>
        </w:tc>
        <w:tc>
          <w:tcPr>
            <w:tcW w:w="479"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ind w:right="65"/>
              <w:jc w:val="right"/>
              <w:textAlignment w:val="baseline"/>
              <w:rPr>
                <w:sz w:val="20"/>
              </w:rPr>
            </w:pPr>
            <w:r w:rsidRPr="00B50569">
              <w:rPr>
                <w:sz w:val="20"/>
              </w:rPr>
              <w:t xml:space="preserve"> 0.27</w:t>
            </w:r>
          </w:p>
        </w:tc>
      </w:tr>
      <w:tr w:rsidR="00B50569" w:rsidRPr="00B50569" w:rsidTr="007D35A2">
        <w:trPr>
          <w:trHeight w:hRule="exact" w:val="300"/>
        </w:trPr>
        <w:tc>
          <w:tcPr>
            <w:tcW w:w="2125"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r w:rsidRPr="00B50569">
              <w:rPr>
                <w:sz w:val="20"/>
              </w:rPr>
              <w:t>Increase in LIFO reserve, net of tax</w:t>
            </w:r>
          </w:p>
        </w:tc>
        <w:tc>
          <w:tcPr>
            <w:tcW w:w="131" w:type="pct"/>
            <w:tcBorders>
              <w:top w:val="nil"/>
              <w:left w:val="nil"/>
              <w:bottom w:val="single" w:sz="12" w:space="0" w:color="000000"/>
              <w:right w:val="nil"/>
              <w:tl2br w:val="nil"/>
              <w:tr2bl w:val="nil"/>
            </w:tcBorders>
            <w:vAlign w:val="bottom"/>
          </w:tcPr>
          <w:p w:rsidR="00B50569" w:rsidRPr="00B50569" w:rsidRDefault="00B50569" w:rsidP="00B50569">
            <w:pPr>
              <w:spacing w:before="1" w:after="1"/>
              <w:textAlignment w:val="baseline"/>
              <w:rPr>
                <w:sz w:val="20"/>
              </w:rPr>
            </w:pPr>
          </w:p>
        </w:tc>
        <w:tc>
          <w:tcPr>
            <w:tcW w:w="479" w:type="pct"/>
            <w:tcBorders>
              <w:top w:val="nil"/>
              <w:left w:val="nil"/>
              <w:bottom w:val="single" w:sz="12" w:space="0" w:color="000000"/>
              <w:right w:val="nil"/>
              <w:tl2br w:val="nil"/>
              <w:tr2bl w:val="nil"/>
            </w:tcBorders>
            <w:vAlign w:val="bottom"/>
          </w:tcPr>
          <w:p w:rsidR="00B50569" w:rsidRPr="00B50569" w:rsidRDefault="00B50569" w:rsidP="00B50569">
            <w:pPr>
              <w:spacing w:before="1" w:after="1"/>
              <w:ind w:right="65"/>
              <w:jc w:val="right"/>
              <w:textAlignment w:val="baseline"/>
              <w:rPr>
                <w:sz w:val="20"/>
              </w:rPr>
            </w:pPr>
            <w:r w:rsidRPr="00B50569">
              <w:rPr>
                <w:sz w:val="20"/>
              </w:rPr>
              <w:t xml:space="preserve"> 6</w:t>
            </w:r>
          </w:p>
        </w:tc>
        <w:tc>
          <w:tcPr>
            <w:tcW w:w="130"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0" w:type="pct"/>
            <w:tcBorders>
              <w:top w:val="nil"/>
              <w:left w:val="nil"/>
              <w:bottom w:val="single" w:sz="12" w:space="0" w:color="000000"/>
              <w:right w:val="nil"/>
              <w:tl2br w:val="nil"/>
              <w:tr2bl w:val="nil"/>
            </w:tcBorders>
            <w:vAlign w:val="bottom"/>
          </w:tcPr>
          <w:p w:rsidR="00B50569" w:rsidRPr="00B50569" w:rsidRDefault="00B50569" w:rsidP="00B50569">
            <w:pPr>
              <w:spacing w:before="1" w:after="1"/>
              <w:textAlignment w:val="baseline"/>
              <w:rPr>
                <w:sz w:val="20"/>
              </w:rPr>
            </w:pPr>
          </w:p>
        </w:tc>
        <w:tc>
          <w:tcPr>
            <w:tcW w:w="479" w:type="pct"/>
            <w:tcBorders>
              <w:top w:val="nil"/>
              <w:left w:val="nil"/>
              <w:bottom w:val="single" w:sz="12" w:space="0" w:color="000000"/>
              <w:right w:val="nil"/>
              <w:tl2br w:val="nil"/>
              <w:tr2bl w:val="nil"/>
            </w:tcBorders>
            <w:vAlign w:val="bottom"/>
          </w:tcPr>
          <w:p w:rsidR="00B50569" w:rsidRPr="00B50569" w:rsidRDefault="00B50569" w:rsidP="00B50569">
            <w:pPr>
              <w:spacing w:before="1" w:after="1"/>
              <w:ind w:right="65"/>
              <w:jc w:val="right"/>
              <w:textAlignment w:val="baseline"/>
              <w:rPr>
                <w:sz w:val="20"/>
              </w:rPr>
            </w:pPr>
            <w:r w:rsidRPr="00B50569">
              <w:rPr>
                <w:sz w:val="20"/>
              </w:rPr>
              <w:t xml:space="preserve"> 0.06</w:t>
            </w:r>
          </w:p>
        </w:tc>
        <w:tc>
          <w:tcPr>
            <w:tcW w:w="178"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0" w:type="pct"/>
            <w:tcBorders>
              <w:top w:val="nil"/>
              <w:left w:val="nil"/>
              <w:bottom w:val="single" w:sz="12" w:space="0" w:color="000000"/>
              <w:right w:val="nil"/>
              <w:tl2br w:val="nil"/>
              <w:tr2bl w:val="nil"/>
            </w:tcBorders>
            <w:vAlign w:val="bottom"/>
          </w:tcPr>
          <w:p w:rsidR="00B50569" w:rsidRPr="00B50569" w:rsidRDefault="00B50569" w:rsidP="00B50569">
            <w:pPr>
              <w:spacing w:before="1" w:after="1"/>
              <w:textAlignment w:val="baseline"/>
              <w:rPr>
                <w:sz w:val="20"/>
              </w:rPr>
            </w:pPr>
          </w:p>
        </w:tc>
        <w:tc>
          <w:tcPr>
            <w:tcW w:w="479" w:type="pct"/>
            <w:tcBorders>
              <w:top w:val="nil"/>
              <w:left w:val="nil"/>
              <w:bottom w:val="single" w:sz="12" w:space="0" w:color="000000"/>
              <w:right w:val="nil"/>
              <w:tl2br w:val="nil"/>
              <w:tr2bl w:val="nil"/>
            </w:tcBorders>
            <w:vAlign w:val="bottom"/>
          </w:tcPr>
          <w:p w:rsidR="00B50569" w:rsidRPr="00B50569" w:rsidRDefault="00B50569" w:rsidP="00B50569">
            <w:pPr>
              <w:spacing w:before="1" w:after="1"/>
              <w:ind w:right="65"/>
              <w:jc w:val="right"/>
              <w:textAlignment w:val="baseline"/>
              <w:rPr>
                <w:sz w:val="20"/>
              </w:rPr>
            </w:pPr>
            <w:r w:rsidRPr="00B50569">
              <w:rPr>
                <w:sz w:val="20"/>
              </w:rPr>
              <w:t xml:space="preserve"> 18</w:t>
            </w:r>
          </w:p>
        </w:tc>
        <w:tc>
          <w:tcPr>
            <w:tcW w:w="130" w:type="pct"/>
            <w:tcBorders>
              <w:top w:val="nil"/>
              <w:left w:val="nil"/>
              <w:bottom w:val="nil"/>
              <w:right w:val="nil"/>
              <w:tl2br w:val="nil"/>
              <w:tr2bl w:val="nil"/>
            </w:tcBorders>
            <w:vAlign w:val="bottom"/>
          </w:tcPr>
          <w:p w:rsidR="00B50569" w:rsidRPr="00B50569" w:rsidRDefault="00B50569" w:rsidP="00B50569">
            <w:pPr>
              <w:spacing w:before="1" w:after="1"/>
              <w:textAlignment w:val="baseline"/>
              <w:rPr>
                <w:sz w:val="20"/>
              </w:rPr>
            </w:pPr>
          </w:p>
        </w:tc>
        <w:tc>
          <w:tcPr>
            <w:tcW w:w="130" w:type="pct"/>
            <w:tcBorders>
              <w:top w:val="nil"/>
              <w:left w:val="nil"/>
              <w:bottom w:val="single" w:sz="12" w:space="0" w:color="000000"/>
              <w:right w:val="nil"/>
              <w:tl2br w:val="nil"/>
              <w:tr2bl w:val="nil"/>
            </w:tcBorders>
            <w:vAlign w:val="bottom"/>
          </w:tcPr>
          <w:p w:rsidR="00B50569" w:rsidRPr="00B50569" w:rsidRDefault="00B50569" w:rsidP="00B50569">
            <w:pPr>
              <w:spacing w:before="1" w:after="1"/>
              <w:textAlignment w:val="baseline"/>
              <w:rPr>
                <w:sz w:val="20"/>
              </w:rPr>
            </w:pPr>
          </w:p>
        </w:tc>
        <w:tc>
          <w:tcPr>
            <w:tcW w:w="479" w:type="pct"/>
            <w:tcBorders>
              <w:top w:val="nil"/>
              <w:left w:val="nil"/>
              <w:bottom w:val="single" w:sz="12" w:space="0" w:color="000000"/>
              <w:right w:val="nil"/>
              <w:tl2br w:val="nil"/>
              <w:tr2bl w:val="nil"/>
            </w:tcBorders>
            <w:vAlign w:val="bottom"/>
          </w:tcPr>
          <w:p w:rsidR="00B50569" w:rsidRPr="00B50569" w:rsidRDefault="00B50569" w:rsidP="00B50569">
            <w:pPr>
              <w:spacing w:before="1" w:after="1"/>
              <w:ind w:right="65"/>
              <w:jc w:val="right"/>
              <w:textAlignment w:val="baseline"/>
              <w:rPr>
                <w:sz w:val="20"/>
              </w:rPr>
            </w:pPr>
            <w:r w:rsidRPr="00B50569">
              <w:rPr>
                <w:sz w:val="20"/>
              </w:rPr>
              <w:t xml:space="preserve"> 0.19</w:t>
            </w:r>
          </w:p>
        </w:tc>
      </w:tr>
      <w:tr w:rsidR="00B50569" w:rsidRPr="00B50569" w:rsidTr="007D35A2">
        <w:trPr>
          <w:trHeight w:hRule="exact" w:val="300"/>
        </w:trPr>
        <w:tc>
          <w:tcPr>
            <w:tcW w:w="2125"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Adjusted net income attributable to common stockholders</w:t>
            </w: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w:t>
            </w:r>
          </w:p>
        </w:tc>
        <w:tc>
          <w:tcPr>
            <w:tcW w:w="479"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ind w:right="65"/>
              <w:jc w:val="right"/>
              <w:textAlignment w:val="baseline"/>
              <w:rPr>
                <w:sz w:val="20"/>
              </w:rPr>
            </w:pPr>
            <w:r w:rsidRPr="00B50569">
              <w:rPr>
                <w:sz w:val="20"/>
              </w:rPr>
              <w:t xml:space="preserve"> 35</w:t>
            </w: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p>
        </w:tc>
        <w:tc>
          <w:tcPr>
            <w:tcW w:w="13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w:t>
            </w:r>
          </w:p>
        </w:tc>
        <w:tc>
          <w:tcPr>
            <w:tcW w:w="479"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ind w:right="65"/>
              <w:jc w:val="right"/>
              <w:textAlignment w:val="baseline"/>
              <w:rPr>
                <w:sz w:val="20"/>
              </w:rPr>
            </w:pPr>
            <w:r w:rsidRPr="00B50569">
              <w:rPr>
                <w:sz w:val="20"/>
              </w:rPr>
              <w:t xml:space="preserve"> 0.36</w:t>
            </w:r>
          </w:p>
        </w:tc>
        <w:tc>
          <w:tcPr>
            <w:tcW w:w="178"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p>
        </w:tc>
        <w:tc>
          <w:tcPr>
            <w:tcW w:w="13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w:t>
            </w:r>
          </w:p>
        </w:tc>
        <w:tc>
          <w:tcPr>
            <w:tcW w:w="479"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ind w:right="65"/>
              <w:jc w:val="right"/>
              <w:textAlignment w:val="baseline"/>
              <w:rPr>
                <w:sz w:val="20"/>
              </w:rPr>
            </w:pPr>
            <w:r w:rsidRPr="00B50569">
              <w:rPr>
                <w:sz w:val="20"/>
              </w:rPr>
              <w:t xml:space="preserve"> 44</w:t>
            </w:r>
          </w:p>
        </w:tc>
        <w:tc>
          <w:tcPr>
            <w:tcW w:w="130" w:type="pct"/>
            <w:tcBorders>
              <w:top w:val="nil"/>
              <w:left w:val="nil"/>
              <w:bottom w:val="nil"/>
              <w:right w:val="nil"/>
              <w:tl2br w:val="nil"/>
              <w:tr2bl w:val="nil"/>
            </w:tcBorders>
            <w:shd w:val="clear" w:color="auto" w:fill="CCEEFF"/>
            <w:vAlign w:val="bottom"/>
          </w:tcPr>
          <w:p w:rsidR="00B50569" w:rsidRPr="00B50569" w:rsidRDefault="00B50569" w:rsidP="00B50569">
            <w:pPr>
              <w:spacing w:before="1" w:after="1"/>
              <w:textAlignment w:val="baseline"/>
              <w:rPr>
                <w:sz w:val="20"/>
              </w:rPr>
            </w:pPr>
          </w:p>
        </w:tc>
        <w:tc>
          <w:tcPr>
            <w:tcW w:w="130"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textAlignment w:val="baseline"/>
              <w:rPr>
                <w:sz w:val="20"/>
              </w:rPr>
            </w:pPr>
            <w:r w:rsidRPr="00B50569">
              <w:rPr>
                <w:sz w:val="20"/>
              </w:rPr>
              <w:t>$</w:t>
            </w:r>
          </w:p>
        </w:tc>
        <w:tc>
          <w:tcPr>
            <w:tcW w:w="479" w:type="pct"/>
            <w:tcBorders>
              <w:top w:val="single" w:sz="0" w:space="0" w:color="000000"/>
              <w:left w:val="nil"/>
              <w:bottom w:val="double" w:sz="4" w:space="0" w:color="000000"/>
              <w:right w:val="nil"/>
              <w:tl2br w:val="nil"/>
              <w:tr2bl w:val="nil"/>
            </w:tcBorders>
            <w:shd w:val="clear" w:color="auto" w:fill="CCEEFF"/>
            <w:vAlign w:val="bottom"/>
          </w:tcPr>
          <w:p w:rsidR="00B50569" w:rsidRPr="00B50569" w:rsidRDefault="00B50569" w:rsidP="00B50569">
            <w:pPr>
              <w:spacing w:before="1" w:after="1"/>
              <w:ind w:right="65"/>
              <w:jc w:val="right"/>
              <w:textAlignment w:val="baseline"/>
              <w:rPr>
                <w:sz w:val="20"/>
              </w:rPr>
            </w:pPr>
            <w:r w:rsidRPr="00B50569">
              <w:rPr>
                <w:sz w:val="20"/>
              </w:rPr>
              <w:t xml:space="preserve"> 0.46</w:t>
            </w:r>
          </w:p>
        </w:tc>
      </w:tr>
    </w:tbl>
    <w:p w:rsidR="00B50569" w:rsidRPr="00B50569" w:rsidRDefault="00B50569" w:rsidP="00B50569">
      <w:pPr>
        <w:textAlignment w:val="baseline"/>
      </w:pPr>
    </w:p>
    <w:p w:rsidR="00B50569" w:rsidRPr="00B50569" w:rsidRDefault="00B50569" w:rsidP="00B50569">
      <w:pPr>
        <w:overflowPunct/>
        <w:autoSpaceDE/>
        <w:autoSpaceDN/>
        <w:adjustRightInd/>
        <w:contextualSpacing/>
        <w:jc w:val="both"/>
        <w:rPr>
          <w:rFonts w:ascii="Arial" w:hAnsi="Arial" w:cs="Arial"/>
          <w:iCs/>
          <w:sz w:val="2"/>
          <w:szCs w:val="24"/>
        </w:rPr>
      </w:pPr>
    </w:p>
    <w:p w:rsidR="00B50569" w:rsidRPr="00B50569" w:rsidRDefault="00B50569" w:rsidP="00B50569">
      <w:pPr>
        <w:textAlignment w:val="baseline"/>
      </w:pPr>
    </w:p>
    <w:p w:rsidR="00B50569" w:rsidRPr="00B50569" w:rsidRDefault="00B50569" w:rsidP="00B50569">
      <w:pPr>
        <w:keepNext/>
        <w:shd w:val="clear" w:color="auto" w:fill="FFFFFF" w:themeFill="background1"/>
        <w:overflowPunct/>
        <w:rPr>
          <w:rFonts w:eastAsiaTheme="minorEastAsia"/>
          <w:b/>
          <w:bCs/>
          <w:sz w:val="18"/>
          <w:szCs w:val="18"/>
          <w:u w:val="single"/>
        </w:rPr>
      </w:pPr>
      <w:r w:rsidRPr="00B50569">
        <w:rPr>
          <w:rFonts w:eastAsiaTheme="minorEastAsia"/>
          <w:b/>
          <w:bCs/>
          <w:sz w:val="18"/>
          <w:szCs w:val="18"/>
          <w:u w:val="single"/>
        </w:rPr>
        <w:t>Notes to above:</w:t>
      </w:r>
    </w:p>
    <w:p w:rsidR="00B50569" w:rsidRPr="00B50569" w:rsidRDefault="00B50569" w:rsidP="00B50569">
      <w:pPr>
        <w:keepNext/>
        <w:shd w:val="clear" w:color="auto" w:fill="FFFFFF" w:themeFill="background1"/>
        <w:overflowPunct/>
        <w:rPr>
          <w:rFonts w:eastAsiaTheme="minorEastAsia"/>
          <w:b/>
          <w:bCs/>
          <w:sz w:val="18"/>
          <w:szCs w:val="18"/>
          <w:u w:val="single"/>
        </w:rPr>
      </w:pPr>
      <w:r w:rsidRPr="00B50569">
        <w:rPr>
          <w:rFonts w:eastAsiaTheme="minorEastAsia"/>
          <w:sz w:val="18"/>
          <w:szCs w:val="18"/>
        </w:rPr>
        <w:t>* Column does not foot due to rounding.</w:t>
      </w:r>
    </w:p>
    <w:p w:rsidR="00B50569" w:rsidRPr="00B50569" w:rsidRDefault="00B50569" w:rsidP="00B50569">
      <w:pPr>
        <w:textAlignment w:val="baseline"/>
        <w:rPr>
          <w:sz w:val="18"/>
          <w:szCs w:val="18"/>
        </w:rPr>
      </w:pPr>
    </w:p>
    <w:p w:rsidR="00B50569" w:rsidRPr="00B50569" w:rsidRDefault="00B50569" w:rsidP="00B50569">
      <w:pPr>
        <w:textAlignment w:val="baseline"/>
        <w:rPr>
          <w:sz w:val="18"/>
          <w:szCs w:val="18"/>
        </w:rPr>
      </w:pPr>
      <w:r w:rsidRPr="00B50569">
        <w:rPr>
          <w:sz w:val="18"/>
          <w:szCs w:val="18"/>
        </w:rPr>
        <w:t>The Company defines Adjusted Net Income Attributable to Common Stockholders (a non-GAAP measure) as Net Income Attributable to Common Stockholders plus or minus the after-tax impact of its LIFO inventory costing methodology. The Company presents Adjusted Net Income Attributable to Common Stockholders and related per share amounts because the Company believes it provides useful comparisons of the Company’s operating results to other companies, including those companies with whom we compete in the distribution of pipe, valves and fittings to the energy industry, without regard to the LIFO inventory costing methodology. The impact of the LIFO inventory costing methodology can cause results to vary substantially from company to company depending upon whether they elect to utilize LIFO and depending upon which method they may elect.  The Company believes that Net Income Attributable to Common Stockholders is the financial measure calculated and presented in accordance with U.S. generally accepted accounting principles that is most directly compared to Adjusted Net Income Attributable to Common Stockholders.   </w:t>
      </w:r>
    </w:p>
    <w:p w:rsidR="00B50569" w:rsidRPr="00B50569" w:rsidRDefault="00B50569" w:rsidP="00B50569">
      <w:pPr>
        <w:textAlignment w:val="baseline"/>
        <w:rPr>
          <w:sz w:val="18"/>
          <w:szCs w:val="18"/>
        </w:rPr>
      </w:pPr>
    </w:p>
    <w:p w:rsidR="00B50569" w:rsidRPr="00B50569" w:rsidRDefault="00B50569" w:rsidP="00B50569">
      <w:pPr>
        <w:textAlignment w:val="baseline"/>
        <w:rPr>
          <w:sz w:val="20"/>
        </w:rPr>
      </w:pPr>
    </w:p>
    <w:p w:rsidR="00B50569" w:rsidRPr="00B50569" w:rsidRDefault="00B50569" w:rsidP="00B50569">
      <w:pPr>
        <w:textAlignment w:val="baseline"/>
        <w:rPr>
          <w:sz w:val="18"/>
          <w:szCs w:val="18"/>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contextualSpacing/>
        <w:jc w:val="both"/>
        <w:rPr>
          <w:rFonts w:ascii="Arial" w:hAnsi="Arial" w:cs="Arial"/>
          <w:iCs/>
          <w:sz w:val="24"/>
          <w:szCs w:val="24"/>
        </w:rPr>
      </w:pPr>
    </w:p>
    <w:p w:rsidR="00B50569" w:rsidRPr="00B50569" w:rsidRDefault="00B50569" w:rsidP="00B50569">
      <w:pPr>
        <w:overflowPunct/>
        <w:autoSpaceDE/>
        <w:autoSpaceDN/>
        <w:adjustRightInd/>
        <w:spacing w:after="200" w:line="276" w:lineRule="auto"/>
        <w:jc w:val="center"/>
      </w:pPr>
      <w:r w:rsidRPr="00B50569">
        <w:rPr>
          <w:rFonts w:ascii="Arial" w:hAnsi="Arial" w:cs="Arial"/>
          <w:iCs/>
        </w:rPr>
        <w:t># # #</w:t>
      </w:r>
    </w:p>
    <w:p w:rsidR="0012629E" w:rsidRDefault="0012629E" w:rsidP="008C3209">
      <w:pPr>
        <w:spacing w:after="240"/>
        <w:ind w:left="1440" w:hanging="1440"/>
      </w:pPr>
    </w:p>
    <w:sectPr w:rsidR="0012629E" w:rsidSect="007D35A2">
      <w:footerReference w:type="default" r:id="rId11"/>
      <w:headerReference w:type="first" r:id="rId12"/>
      <w:pgSz w:w="12240" w:h="15840"/>
      <w:pgMar w:top="432" w:right="720" w:bottom="720" w:left="720" w:header="43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9BB" w:rsidRDefault="007839BB" w:rsidP="007839BB">
      <w:r>
        <w:separator/>
      </w:r>
    </w:p>
  </w:endnote>
  <w:endnote w:type="continuationSeparator" w:id="0">
    <w:p w:rsidR="007839BB" w:rsidRDefault="007839BB" w:rsidP="0078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471217"/>
      <w:docPartObj>
        <w:docPartGallery w:val="Page Numbers (Bottom of Page)"/>
        <w:docPartUnique/>
      </w:docPartObj>
    </w:sdtPr>
    <w:sdtEndPr>
      <w:rPr>
        <w:noProof/>
      </w:rPr>
    </w:sdtEndPr>
    <w:sdtContent>
      <w:p w:rsidR="007839BB" w:rsidRDefault="00783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839BB" w:rsidRDefault="00783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594651"/>
      <w:docPartObj>
        <w:docPartGallery w:val="Page Numbers (Bottom of Page)"/>
        <w:docPartUnique/>
      </w:docPartObj>
    </w:sdtPr>
    <w:sdtEndPr>
      <w:rPr>
        <w:noProof/>
      </w:rPr>
    </w:sdtEndPr>
    <w:sdtContent>
      <w:p w:rsidR="007D35A2" w:rsidRDefault="007D35A2">
        <w:pPr>
          <w:pStyle w:val="Footer"/>
          <w:jc w:val="center"/>
        </w:pPr>
        <w:r w:rsidRPr="00006BF4">
          <w:rPr>
            <w:sz w:val="18"/>
            <w:szCs w:val="18"/>
          </w:rPr>
          <w:fldChar w:fldCharType="begin"/>
        </w:r>
        <w:r w:rsidRPr="00006BF4">
          <w:rPr>
            <w:sz w:val="18"/>
            <w:szCs w:val="18"/>
          </w:rPr>
          <w:instrText xml:space="preserve"> PAGE   \* MERGEFORMAT </w:instrText>
        </w:r>
        <w:r w:rsidRPr="00006BF4">
          <w:rPr>
            <w:sz w:val="18"/>
            <w:szCs w:val="18"/>
          </w:rPr>
          <w:fldChar w:fldCharType="separate"/>
        </w:r>
        <w:r>
          <w:rPr>
            <w:noProof/>
            <w:sz w:val="18"/>
            <w:szCs w:val="18"/>
          </w:rPr>
          <w:t>10</w:t>
        </w:r>
        <w:r w:rsidRPr="00006BF4">
          <w:rPr>
            <w:noProof/>
            <w:sz w:val="18"/>
            <w:szCs w:val="18"/>
          </w:rPr>
          <w:fldChar w:fldCharType="end"/>
        </w:r>
      </w:p>
    </w:sdtContent>
  </w:sdt>
  <w:p w:rsidR="007D35A2" w:rsidRDefault="007D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9BB" w:rsidRDefault="007839BB" w:rsidP="007839BB">
      <w:r>
        <w:separator/>
      </w:r>
    </w:p>
  </w:footnote>
  <w:footnote w:type="continuationSeparator" w:id="0">
    <w:p w:rsidR="007839BB" w:rsidRDefault="007839BB" w:rsidP="0078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A2" w:rsidRPr="00DF35E4" w:rsidRDefault="007D35A2" w:rsidP="007D35A2">
    <w:pPr>
      <w:pStyle w:val="Header"/>
      <w:jc w:val="right"/>
      <w:rPr>
        <w:rFonts w:ascii="Arial" w:hAnsi="Arial" w:cs="Arial"/>
        <w:b/>
        <w:sz w:val="20"/>
      </w:rPr>
    </w:pPr>
    <w:r w:rsidRPr="00DF35E4">
      <w:rPr>
        <w:rFonts w:ascii="Arial" w:hAnsi="Arial" w:cs="Arial"/>
        <w:b/>
        <w:sz w:val="20"/>
      </w:rPr>
      <w:t>Exhibit 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CED"/>
    <w:multiLevelType w:val="hybridMultilevel"/>
    <w:tmpl w:val="2BCA298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CD615E0"/>
    <w:multiLevelType w:val="hybridMultilevel"/>
    <w:tmpl w:val="F7BEC006"/>
    <w:lvl w:ilvl="0" w:tplc="203264BC">
      <w:start w:val="1"/>
      <w:numFmt w:val="decimal"/>
      <w:lvlText w:val="(%1)"/>
      <w:lvlJc w:val="left"/>
      <w:pPr>
        <w:ind w:left="720" w:hanging="360"/>
      </w:pPr>
      <w:rPr>
        <w:b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695CEA"/>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DA96D41"/>
    <w:multiLevelType w:val="hybridMultilevel"/>
    <w:tmpl w:val="EFE483FE"/>
    <w:lvl w:ilvl="0" w:tplc="CA581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AB48D3"/>
    <w:multiLevelType w:val="hybridMultilevel"/>
    <w:tmpl w:val="02E8E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B35D37"/>
    <w:multiLevelType w:val="hybridMultilevel"/>
    <w:tmpl w:val="B7281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731DE1"/>
    <w:multiLevelType w:val="hybridMultilevel"/>
    <w:tmpl w:val="DD54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443C28"/>
    <w:multiLevelType w:val="hybridMultilevel"/>
    <w:tmpl w:val="42E6D5E6"/>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CB141FB"/>
    <w:multiLevelType w:val="hybridMultilevel"/>
    <w:tmpl w:val="F7B0D9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CD2360E"/>
    <w:multiLevelType w:val="hybridMultilevel"/>
    <w:tmpl w:val="9DEAA960"/>
    <w:lvl w:ilvl="0" w:tplc="A90A7CE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F3530A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C3C1572"/>
    <w:multiLevelType w:val="hybridMultilevel"/>
    <w:tmpl w:val="71B46716"/>
    <w:lvl w:ilvl="0" w:tplc="0A0A8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13ADB"/>
    <w:multiLevelType w:val="hybridMultilevel"/>
    <w:tmpl w:val="57DCEB2E"/>
    <w:lvl w:ilvl="0" w:tplc="BF1E648C">
      <w:start w:val="18"/>
      <w:numFmt w:val="bullet"/>
      <w:lvlText w:val=""/>
      <w:lvlJc w:val="left"/>
      <w:pPr>
        <w:ind w:left="36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D2E535E"/>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8036182"/>
    <w:multiLevelType w:val="hybridMultilevel"/>
    <w:tmpl w:val="F8D6E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C9B287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num>
  <w:num w:numId="2">
    <w:abstractNumId w:val="8"/>
  </w:num>
  <w:num w:numId="3">
    <w:abstractNumId w:val="4"/>
  </w:num>
  <w:num w:numId="4">
    <w:abstractNumId w:val="8"/>
  </w:num>
  <w:num w:numId="5">
    <w:abstractNumId w:val="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2D"/>
    <w:rsid w:val="00002EB6"/>
    <w:rsid w:val="000207AE"/>
    <w:rsid w:val="00045F2B"/>
    <w:rsid w:val="00056F2F"/>
    <w:rsid w:val="00057B6C"/>
    <w:rsid w:val="000A77D2"/>
    <w:rsid w:val="000F16F0"/>
    <w:rsid w:val="0012629E"/>
    <w:rsid w:val="00126C55"/>
    <w:rsid w:val="00150A30"/>
    <w:rsid w:val="001B32FC"/>
    <w:rsid w:val="001B44F7"/>
    <w:rsid w:val="002121FA"/>
    <w:rsid w:val="00216DF7"/>
    <w:rsid w:val="00221716"/>
    <w:rsid w:val="00244A20"/>
    <w:rsid w:val="002505CB"/>
    <w:rsid w:val="002954D6"/>
    <w:rsid w:val="002A1114"/>
    <w:rsid w:val="002C48A1"/>
    <w:rsid w:val="002C522F"/>
    <w:rsid w:val="00331D47"/>
    <w:rsid w:val="00336057"/>
    <w:rsid w:val="00353C73"/>
    <w:rsid w:val="00374937"/>
    <w:rsid w:val="003E3606"/>
    <w:rsid w:val="003F584F"/>
    <w:rsid w:val="003F7347"/>
    <w:rsid w:val="004346A3"/>
    <w:rsid w:val="00477284"/>
    <w:rsid w:val="00500BAD"/>
    <w:rsid w:val="00531C53"/>
    <w:rsid w:val="00533F60"/>
    <w:rsid w:val="00575EF0"/>
    <w:rsid w:val="005979B2"/>
    <w:rsid w:val="005A62C2"/>
    <w:rsid w:val="005C09B5"/>
    <w:rsid w:val="005F07C1"/>
    <w:rsid w:val="006168FE"/>
    <w:rsid w:val="006234AB"/>
    <w:rsid w:val="00627885"/>
    <w:rsid w:val="00660461"/>
    <w:rsid w:val="0067507A"/>
    <w:rsid w:val="006948C7"/>
    <w:rsid w:val="00695443"/>
    <w:rsid w:val="006F5904"/>
    <w:rsid w:val="007601F0"/>
    <w:rsid w:val="00765686"/>
    <w:rsid w:val="00771919"/>
    <w:rsid w:val="007839BB"/>
    <w:rsid w:val="007D35A2"/>
    <w:rsid w:val="007D49FF"/>
    <w:rsid w:val="008009F7"/>
    <w:rsid w:val="00865E96"/>
    <w:rsid w:val="008743D0"/>
    <w:rsid w:val="00874665"/>
    <w:rsid w:val="008C3209"/>
    <w:rsid w:val="008C3F8C"/>
    <w:rsid w:val="009039F9"/>
    <w:rsid w:val="00903DD1"/>
    <w:rsid w:val="00917DC0"/>
    <w:rsid w:val="0092714F"/>
    <w:rsid w:val="00940C72"/>
    <w:rsid w:val="009837BD"/>
    <w:rsid w:val="009C6341"/>
    <w:rsid w:val="009F4223"/>
    <w:rsid w:val="00A5120B"/>
    <w:rsid w:val="00A54D07"/>
    <w:rsid w:val="00A77EB5"/>
    <w:rsid w:val="00A868EF"/>
    <w:rsid w:val="00AB4AD7"/>
    <w:rsid w:val="00B066C9"/>
    <w:rsid w:val="00B50569"/>
    <w:rsid w:val="00BA09AE"/>
    <w:rsid w:val="00BC5B0D"/>
    <w:rsid w:val="00BD5894"/>
    <w:rsid w:val="00BE7F98"/>
    <w:rsid w:val="00BF457B"/>
    <w:rsid w:val="00C22624"/>
    <w:rsid w:val="00C82F27"/>
    <w:rsid w:val="00C85C25"/>
    <w:rsid w:val="00C87F2E"/>
    <w:rsid w:val="00C95E2D"/>
    <w:rsid w:val="00CC32B7"/>
    <w:rsid w:val="00CD2499"/>
    <w:rsid w:val="00CD2E11"/>
    <w:rsid w:val="00CD58D2"/>
    <w:rsid w:val="00CF7FC3"/>
    <w:rsid w:val="00D05A70"/>
    <w:rsid w:val="00D37320"/>
    <w:rsid w:val="00D7091D"/>
    <w:rsid w:val="00D75629"/>
    <w:rsid w:val="00E03D25"/>
    <w:rsid w:val="00E22170"/>
    <w:rsid w:val="00E361F5"/>
    <w:rsid w:val="00ED1366"/>
    <w:rsid w:val="00F05B41"/>
    <w:rsid w:val="00FB4EE5"/>
    <w:rsid w:val="00FE7E45"/>
    <w:rsid w:val="00FF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DC77D-DBFF-4459-8D39-E2A4716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E2D"/>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B50569"/>
    <w:pPr>
      <w:keepNext/>
      <w:spacing w:after="240"/>
      <w:ind w:left="720" w:hanging="720"/>
      <w:textAlignment w:val="baseline"/>
      <w:outlineLvl w:val="0"/>
    </w:pPr>
    <w:rPr>
      <w:color w:val="800000"/>
    </w:rPr>
  </w:style>
  <w:style w:type="paragraph" w:styleId="Heading2">
    <w:name w:val="heading 2"/>
    <w:basedOn w:val="Normal"/>
    <w:next w:val="Normal"/>
    <w:link w:val="Heading2Char"/>
    <w:qFormat/>
    <w:rsid w:val="00B50569"/>
    <w:pPr>
      <w:keepNext/>
      <w:spacing w:after="240"/>
      <w:ind w:left="1440" w:hanging="720"/>
      <w:textAlignment w:val="baseline"/>
      <w:outlineLvl w:val="1"/>
    </w:pPr>
    <w:rPr>
      <w:color w:val="0000FF"/>
    </w:rPr>
  </w:style>
  <w:style w:type="paragraph" w:styleId="Heading3">
    <w:name w:val="heading 3"/>
    <w:basedOn w:val="Normal"/>
    <w:next w:val="Normal"/>
    <w:link w:val="Heading3Char"/>
    <w:qFormat/>
    <w:rsid w:val="00B50569"/>
    <w:pPr>
      <w:keepNext/>
      <w:spacing w:after="240"/>
      <w:ind w:left="2160" w:hanging="720"/>
      <w:textAlignment w:val="baseline"/>
      <w:outlineLvl w:val="2"/>
    </w:pPr>
    <w:rPr>
      <w:color w:val="008000"/>
    </w:rPr>
  </w:style>
  <w:style w:type="paragraph" w:styleId="Heading4">
    <w:name w:val="heading 4"/>
    <w:basedOn w:val="Normal"/>
    <w:link w:val="Heading4Char"/>
    <w:qFormat/>
    <w:rsid w:val="00B50569"/>
    <w:pPr>
      <w:keepNext/>
      <w:spacing w:after="240"/>
      <w:ind w:left="2880" w:hanging="720"/>
      <w:textAlignment w:val="baseline"/>
      <w:outlineLvl w:val="3"/>
    </w:pPr>
    <w:rPr>
      <w:color w:val="800080"/>
    </w:rPr>
  </w:style>
  <w:style w:type="paragraph" w:styleId="Heading5">
    <w:name w:val="heading 5"/>
    <w:basedOn w:val="Normal"/>
    <w:link w:val="Heading5Char"/>
    <w:qFormat/>
    <w:rsid w:val="00B50569"/>
    <w:pPr>
      <w:keepNext/>
      <w:spacing w:after="240"/>
      <w:ind w:left="3600" w:hanging="720"/>
      <w:textAlignment w:val="baseline"/>
      <w:outlineLvl w:val="4"/>
    </w:pPr>
    <w:rPr>
      <w:color w:val="808080"/>
    </w:rPr>
  </w:style>
  <w:style w:type="paragraph" w:styleId="Heading6">
    <w:name w:val="heading 6"/>
    <w:basedOn w:val="Normal"/>
    <w:link w:val="Heading6Char"/>
    <w:qFormat/>
    <w:rsid w:val="00B50569"/>
    <w:pPr>
      <w:keepNext/>
      <w:spacing w:after="240"/>
      <w:ind w:left="4320" w:hanging="720"/>
      <w:textAlignment w:val="baseline"/>
      <w:outlineLvl w:val="5"/>
    </w:pPr>
    <w:rPr>
      <w:color w:val="FF0000"/>
    </w:rPr>
  </w:style>
  <w:style w:type="paragraph" w:styleId="Heading7">
    <w:name w:val="heading 7"/>
    <w:basedOn w:val="Normal"/>
    <w:next w:val="Normal"/>
    <w:link w:val="Heading7Char"/>
    <w:qFormat/>
    <w:rsid w:val="00B50569"/>
    <w:pPr>
      <w:keepNext/>
      <w:overflowPunct/>
      <w:autoSpaceDE/>
      <w:autoSpaceDN/>
      <w:adjustRightInd/>
      <w:outlineLvl w:val="6"/>
    </w:pPr>
    <w:rPr>
      <w:b/>
      <w:sz w:val="23"/>
      <w:u w:val="single"/>
    </w:rPr>
  </w:style>
  <w:style w:type="paragraph" w:styleId="Heading8">
    <w:name w:val="heading 8"/>
    <w:basedOn w:val="Normal"/>
    <w:next w:val="Normal"/>
    <w:link w:val="Heading8Char"/>
    <w:qFormat/>
    <w:rsid w:val="00B50569"/>
    <w:pPr>
      <w:keepNext/>
      <w:tabs>
        <w:tab w:val="left" w:pos="720"/>
        <w:tab w:val="left" w:pos="6840"/>
      </w:tabs>
      <w:spacing w:after="4"/>
      <w:jc w:val="center"/>
      <w:textAlignment w:val="baseline"/>
      <w:outlineLvl w:val="7"/>
    </w:pPr>
    <w:rPr>
      <w:rFonts w:ascii="CG Times" w:hAnsi="CG Times"/>
      <w:b/>
      <w:bCs/>
      <w:sz w:val="24"/>
      <w:u w:val="single"/>
    </w:rPr>
  </w:style>
  <w:style w:type="paragraph" w:styleId="Heading9">
    <w:name w:val="heading 9"/>
    <w:basedOn w:val="Normal"/>
    <w:next w:val="Normal"/>
    <w:link w:val="Heading9Char"/>
    <w:unhideWhenUsed/>
    <w:qFormat/>
    <w:rsid w:val="00C95E2D"/>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95E2D"/>
    <w:rPr>
      <w:rFonts w:ascii="CG Times" w:eastAsia="Times New Roman" w:hAnsi="CG Times" w:cs="Times New Roman"/>
      <w:b/>
      <w:bCs/>
      <w:sz w:val="24"/>
      <w:szCs w:val="20"/>
    </w:rPr>
  </w:style>
  <w:style w:type="paragraph" w:styleId="NormalWeb">
    <w:name w:val="Normal (Web)"/>
    <w:basedOn w:val="Normal"/>
    <w:uiPriority w:val="99"/>
    <w:unhideWhenUsed/>
    <w:rsid w:val="00C95E2D"/>
    <w:pPr>
      <w:overflowPunct/>
      <w:autoSpaceDE/>
      <w:autoSpaceDN/>
      <w:adjustRightInd/>
      <w:spacing w:before="100" w:beforeAutospacing="1" w:after="100" w:afterAutospacing="1"/>
    </w:pPr>
    <w:rPr>
      <w:sz w:val="24"/>
      <w:szCs w:val="24"/>
    </w:rPr>
  </w:style>
  <w:style w:type="paragraph" w:styleId="BodyText2">
    <w:name w:val="Body Text 2"/>
    <w:basedOn w:val="Normal"/>
    <w:link w:val="BodyText2Char"/>
    <w:semiHidden/>
    <w:unhideWhenUsed/>
    <w:rsid w:val="00C95E2D"/>
    <w:pPr>
      <w:widowControl w:val="0"/>
    </w:pPr>
    <w:rPr>
      <w:sz w:val="24"/>
    </w:rPr>
  </w:style>
  <w:style w:type="character" w:customStyle="1" w:styleId="BodyText2Char">
    <w:name w:val="Body Text 2 Char"/>
    <w:basedOn w:val="DefaultParagraphFont"/>
    <w:link w:val="BodyText2"/>
    <w:semiHidden/>
    <w:rsid w:val="00C95E2D"/>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C95E2D"/>
    <w:pPr>
      <w:tabs>
        <w:tab w:val="left" w:pos="720"/>
        <w:tab w:val="left" w:pos="6840"/>
      </w:tabs>
      <w:spacing w:after="4"/>
    </w:pPr>
    <w:rPr>
      <w:rFonts w:ascii="CG Times" w:hAnsi="CG Times"/>
      <w:sz w:val="20"/>
    </w:rPr>
  </w:style>
  <w:style w:type="character" w:customStyle="1" w:styleId="BodyText3Char">
    <w:name w:val="Body Text 3 Char"/>
    <w:basedOn w:val="DefaultParagraphFont"/>
    <w:link w:val="BodyText3"/>
    <w:semiHidden/>
    <w:rsid w:val="00C95E2D"/>
    <w:rPr>
      <w:rFonts w:ascii="CG Times" w:eastAsia="Times New Roman" w:hAnsi="CG Times" w:cs="Times New Roman"/>
      <w:sz w:val="20"/>
      <w:szCs w:val="20"/>
    </w:rPr>
  </w:style>
  <w:style w:type="paragraph" w:customStyle="1" w:styleId="Text">
    <w:name w:val="Text"/>
    <w:basedOn w:val="Normal"/>
    <w:rsid w:val="00C95E2D"/>
    <w:pPr>
      <w:spacing w:after="240"/>
      <w:ind w:firstLine="720"/>
      <w:jc w:val="both"/>
    </w:pPr>
    <w:rPr>
      <w:rFonts w:ascii="Arial" w:hAnsi="Arial"/>
      <w:sz w:val="20"/>
    </w:rPr>
  </w:style>
  <w:style w:type="paragraph" w:customStyle="1" w:styleId="xl24">
    <w:name w:val="xl24"/>
    <w:basedOn w:val="Normal"/>
    <w:rsid w:val="00C95E2D"/>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52">
    <w:name w:val="xl52"/>
    <w:basedOn w:val="Normal"/>
    <w:rsid w:val="00C95E2D"/>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character" w:styleId="Hyperlink">
    <w:name w:val="Hyperlink"/>
    <w:unhideWhenUsed/>
    <w:rsid w:val="001B44F7"/>
    <w:rPr>
      <w:color w:val="0000FF"/>
      <w:u w:val="single"/>
    </w:rPr>
  </w:style>
  <w:style w:type="paragraph" w:styleId="BalloonText">
    <w:name w:val="Balloon Text"/>
    <w:basedOn w:val="Normal"/>
    <w:link w:val="BalloonTextChar"/>
    <w:uiPriority w:val="99"/>
    <w:semiHidden/>
    <w:unhideWhenUsed/>
    <w:rsid w:val="005F0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7C1"/>
    <w:rPr>
      <w:rFonts w:ascii="Segoe UI" w:eastAsia="Times New Roman" w:hAnsi="Segoe UI" w:cs="Segoe UI"/>
      <w:sz w:val="18"/>
      <w:szCs w:val="18"/>
    </w:rPr>
  </w:style>
  <w:style w:type="paragraph" w:styleId="ListParagraph">
    <w:name w:val="List Paragraph"/>
    <w:basedOn w:val="Normal"/>
    <w:uiPriority w:val="34"/>
    <w:qFormat/>
    <w:rsid w:val="00CC32B7"/>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02EB6"/>
    <w:rPr>
      <w:color w:val="808080"/>
      <w:shd w:val="clear" w:color="auto" w:fill="E6E6E6"/>
    </w:rPr>
  </w:style>
  <w:style w:type="character" w:customStyle="1" w:styleId="Heading1Char">
    <w:name w:val="Heading 1 Char"/>
    <w:basedOn w:val="DefaultParagraphFont"/>
    <w:link w:val="Heading1"/>
    <w:rsid w:val="00B50569"/>
    <w:rPr>
      <w:rFonts w:ascii="Times New Roman" w:eastAsia="Times New Roman" w:hAnsi="Times New Roman" w:cs="Times New Roman"/>
      <w:color w:val="800000"/>
      <w:sz w:val="26"/>
      <w:szCs w:val="20"/>
    </w:rPr>
  </w:style>
  <w:style w:type="character" w:customStyle="1" w:styleId="Heading2Char">
    <w:name w:val="Heading 2 Char"/>
    <w:basedOn w:val="DefaultParagraphFont"/>
    <w:link w:val="Heading2"/>
    <w:rsid w:val="00B50569"/>
    <w:rPr>
      <w:rFonts w:ascii="Times New Roman" w:eastAsia="Times New Roman" w:hAnsi="Times New Roman" w:cs="Times New Roman"/>
      <w:color w:val="0000FF"/>
      <w:sz w:val="26"/>
      <w:szCs w:val="20"/>
    </w:rPr>
  </w:style>
  <w:style w:type="character" w:customStyle="1" w:styleId="Heading3Char">
    <w:name w:val="Heading 3 Char"/>
    <w:basedOn w:val="DefaultParagraphFont"/>
    <w:link w:val="Heading3"/>
    <w:rsid w:val="00B50569"/>
    <w:rPr>
      <w:rFonts w:ascii="Times New Roman" w:eastAsia="Times New Roman" w:hAnsi="Times New Roman" w:cs="Times New Roman"/>
      <w:color w:val="008000"/>
      <w:sz w:val="26"/>
      <w:szCs w:val="20"/>
    </w:rPr>
  </w:style>
  <w:style w:type="character" w:customStyle="1" w:styleId="Heading4Char">
    <w:name w:val="Heading 4 Char"/>
    <w:basedOn w:val="DefaultParagraphFont"/>
    <w:link w:val="Heading4"/>
    <w:rsid w:val="00B50569"/>
    <w:rPr>
      <w:rFonts w:ascii="Times New Roman" w:eastAsia="Times New Roman" w:hAnsi="Times New Roman" w:cs="Times New Roman"/>
      <w:color w:val="800080"/>
      <w:sz w:val="26"/>
      <w:szCs w:val="20"/>
    </w:rPr>
  </w:style>
  <w:style w:type="character" w:customStyle="1" w:styleId="Heading5Char">
    <w:name w:val="Heading 5 Char"/>
    <w:basedOn w:val="DefaultParagraphFont"/>
    <w:link w:val="Heading5"/>
    <w:rsid w:val="00B50569"/>
    <w:rPr>
      <w:rFonts w:ascii="Times New Roman" w:eastAsia="Times New Roman" w:hAnsi="Times New Roman" w:cs="Times New Roman"/>
      <w:color w:val="808080"/>
      <w:sz w:val="26"/>
      <w:szCs w:val="20"/>
    </w:rPr>
  </w:style>
  <w:style w:type="character" w:customStyle="1" w:styleId="Heading6Char">
    <w:name w:val="Heading 6 Char"/>
    <w:basedOn w:val="DefaultParagraphFont"/>
    <w:link w:val="Heading6"/>
    <w:rsid w:val="00B50569"/>
    <w:rPr>
      <w:rFonts w:ascii="Times New Roman" w:eastAsia="Times New Roman" w:hAnsi="Times New Roman" w:cs="Times New Roman"/>
      <w:color w:val="FF0000"/>
      <w:sz w:val="26"/>
      <w:szCs w:val="20"/>
    </w:rPr>
  </w:style>
  <w:style w:type="character" w:customStyle="1" w:styleId="Heading7Char">
    <w:name w:val="Heading 7 Char"/>
    <w:basedOn w:val="DefaultParagraphFont"/>
    <w:link w:val="Heading7"/>
    <w:rsid w:val="00B50569"/>
    <w:rPr>
      <w:rFonts w:ascii="Times New Roman" w:eastAsia="Times New Roman" w:hAnsi="Times New Roman" w:cs="Times New Roman"/>
      <w:b/>
      <w:sz w:val="23"/>
      <w:szCs w:val="20"/>
      <w:u w:val="single"/>
    </w:rPr>
  </w:style>
  <w:style w:type="character" w:customStyle="1" w:styleId="Heading8Char">
    <w:name w:val="Heading 8 Char"/>
    <w:basedOn w:val="DefaultParagraphFont"/>
    <w:link w:val="Heading8"/>
    <w:rsid w:val="00B50569"/>
    <w:rPr>
      <w:rFonts w:ascii="CG Times" w:eastAsia="Times New Roman" w:hAnsi="CG Times" w:cs="Times New Roman"/>
      <w:b/>
      <w:bCs/>
      <w:sz w:val="24"/>
      <w:szCs w:val="20"/>
      <w:u w:val="single"/>
    </w:rPr>
  </w:style>
  <w:style w:type="numbering" w:customStyle="1" w:styleId="NoList1">
    <w:name w:val="No List1"/>
    <w:next w:val="NoList"/>
    <w:uiPriority w:val="99"/>
    <w:semiHidden/>
    <w:unhideWhenUsed/>
    <w:rsid w:val="00B50569"/>
  </w:style>
  <w:style w:type="paragraph" w:customStyle="1" w:styleId="1HangingIndent">
    <w:name w:val="1&quot;Hanging Indent"/>
    <w:basedOn w:val="Normal"/>
    <w:rsid w:val="00B50569"/>
    <w:pPr>
      <w:ind w:left="1440" w:hanging="1440"/>
      <w:textAlignment w:val="baseline"/>
    </w:pPr>
  </w:style>
  <w:style w:type="paragraph" w:customStyle="1" w:styleId="12HangingIndent">
    <w:name w:val="1/2&quot;Hanging Indent"/>
    <w:basedOn w:val="Normal"/>
    <w:rsid w:val="00B50569"/>
    <w:pPr>
      <w:ind w:left="720" w:hanging="720"/>
      <w:textAlignment w:val="baseline"/>
    </w:pPr>
  </w:style>
  <w:style w:type="paragraph" w:customStyle="1" w:styleId="BlockIndent">
    <w:name w:val="Block Indent"/>
    <w:basedOn w:val="Normal"/>
    <w:rsid w:val="00B50569"/>
    <w:pPr>
      <w:spacing w:line="240" w:lineRule="atLeast"/>
      <w:ind w:left="1440" w:right="1440"/>
      <w:textAlignment w:val="baseline"/>
    </w:pPr>
  </w:style>
  <w:style w:type="paragraph" w:styleId="Footer">
    <w:name w:val="footer"/>
    <w:basedOn w:val="Normal"/>
    <w:link w:val="FooterChar"/>
    <w:uiPriority w:val="99"/>
    <w:rsid w:val="00B50569"/>
    <w:pPr>
      <w:tabs>
        <w:tab w:val="center" w:pos="4320"/>
        <w:tab w:val="right" w:pos="8640"/>
      </w:tabs>
      <w:textAlignment w:val="baseline"/>
    </w:pPr>
  </w:style>
  <w:style w:type="character" w:customStyle="1" w:styleId="FooterChar">
    <w:name w:val="Footer Char"/>
    <w:basedOn w:val="DefaultParagraphFont"/>
    <w:link w:val="Footer"/>
    <w:uiPriority w:val="99"/>
    <w:rsid w:val="00B50569"/>
    <w:rPr>
      <w:rFonts w:ascii="Times New Roman" w:eastAsia="Times New Roman" w:hAnsi="Times New Roman" w:cs="Times New Roman"/>
      <w:sz w:val="26"/>
      <w:szCs w:val="20"/>
    </w:rPr>
  </w:style>
  <w:style w:type="character" w:customStyle="1" w:styleId="FootnoteTextChar">
    <w:name w:val="Footnote Text Char"/>
    <w:basedOn w:val="DefaultParagraphFont"/>
    <w:link w:val="FootnoteText"/>
    <w:semiHidden/>
    <w:rsid w:val="00B50569"/>
    <w:rPr>
      <w:rFonts w:ascii="Times New Roman" w:eastAsia="Times New Roman" w:hAnsi="Times New Roman" w:cs="Times New Roman"/>
      <w:sz w:val="20"/>
      <w:szCs w:val="20"/>
    </w:rPr>
  </w:style>
  <w:style w:type="paragraph" w:styleId="FootnoteText">
    <w:name w:val="footnote text"/>
    <w:basedOn w:val="Normal"/>
    <w:link w:val="FootnoteTextChar"/>
    <w:semiHidden/>
    <w:rsid w:val="00B50569"/>
    <w:pPr>
      <w:spacing w:after="240" w:line="240" w:lineRule="atLeast"/>
      <w:ind w:left="720" w:hanging="720"/>
      <w:textAlignment w:val="baseline"/>
    </w:pPr>
    <w:rPr>
      <w:sz w:val="20"/>
    </w:rPr>
  </w:style>
  <w:style w:type="character" w:customStyle="1" w:styleId="FootnoteTextChar1">
    <w:name w:val="Footnote Text Char1"/>
    <w:basedOn w:val="DefaultParagraphFont"/>
    <w:uiPriority w:val="99"/>
    <w:semiHidden/>
    <w:rsid w:val="00B50569"/>
    <w:rPr>
      <w:rFonts w:ascii="Times New Roman" w:eastAsia="Times New Roman" w:hAnsi="Times New Roman" w:cs="Times New Roman"/>
      <w:sz w:val="20"/>
      <w:szCs w:val="20"/>
    </w:rPr>
  </w:style>
  <w:style w:type="paragraph" w:styleId="Header">
    <w:name w:val="header"/>
    <w:basedOn w:val="Normal"/>
    <w:link w:val="HeaderChar"/>
    <w:uiPriority w:val="99"/>
    <w:rsid w:val="00B50569"/>
    <w:pPr>
      <w:tabs>
        <w:tab w:val="center" w:pos="4320"/>
        <w:tab w:val="right" w:pos="8640"/>
      </w:tabs>
      <w:textAlignment w:val="baseline"/>
    </w:pPr>
  </w:style>
  <w:style w:type="character" w:customStyle="1" w:styleId="HeaderChar">
    <w:name w:val="Header Char"/>
    <w:basedOn w:val="DefaultParagraphFont"/>
    <w:link w:val="Header"/>
    <w:uiPriority w:val="99"/>
    <w:rsid w:val="00B50569"/>
    <w:rPr>
      <w:rFonts w:ascii="Times New Roman" w:eastAsia="Times New Roman" w:hAnsi="Times New Roman" w:cs="Times New Roman"/>
      <w:sz w:val="26"/>
      <w:szCs w:val="20"/>
    </w:rPr>
  </w:style>
  <w:style w:type="character" w:customStyle="1" w:styleId="MacroTextChar">
    <w:name w:val="Macro Text Char"/>
    <w:basedOn w:val="DefaultParagraphFont"/>
    <w:link w:val="MacroText"/>
    <w:semiHidden/>
    <w:rsid w:val="00B50569"/>
    <w:rPr>
      <w:rFonts w:ascii="Arial" w:eastAsia="Times New Roman" w:hAnsi="Arial" w:cs="Times New Roman"/>
      <w:sz w:val="16"/>
      <w:szCs w:val="20"/>
    </w:rPr>
  </w:style>
  <w:style w:type="paragraph" w:styleId="MacroText">
    <w:name w:val="macro"/>
    <w:link w:val="MacroTextChar"/>
    <w:semiHidden/>
    <w:rsid w:val="00B5056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character" w:customStyle="1" w:styleId="MacroTextChar1">
    <w:name w:val="Macro Text Char1"/>
    <w:basedOn w:val="DefaultParagraphFont"/>
    <w:uiPriority w:val="99"/>
    <w:semiHidden/>
    <w:rsid w:val="00B50569"/>
    <w:rPr>
      <w:rFonts w:ascii="Consolas" w:eastAsia="Times New Roman" w:hAnsi="Consolas" w:cs="Times New Roman"/>
      <w:sz w:val="20"/>
      <w:szCs w:val="20"/>
    </w:rPr>
  </w:style>
  <w:style w:type="paragraph" w:styleId="NormalIndent">
    <w:name w:val="Normal Indent"/>
    <w:basedOn w:val="Normal"/>
    <w:semiHidden/>
    <w:rsid w:val="00B50569"/>
    <w:pPr>
      <w:ind w:left="720"/>
      <w:textAlignment w:val="baseline"/>
    </w:pPr>
  </w:style>
  <w:style w:type="paragraph" w:customStyle="1" w:styleId="Separator">
    <w:name w:val="Separator"/>
    <w:basedOn w:val="Normal"/>
    <w:rsid w:val="00B50569"/>
    <w:pPr>
      <w:tabs>
        <w:tab w:val="right" w:leader="hyphen" w:pos="5875"/>
      </w:tabs>
      <w:textAlignment w:val="baseline"/>
    </w:pPr>
  </w:style>
  <w:style w:type="paragraph" w:customStyle="1" w:styleId="NormalBody">
    <w:name w:val="Normal Body"/>
    <w:basedOn w:val="Normal"/>
    <w:rsid w:val="00B50569"/>
    <w:pPr>
      <w:spacing w:after="240"/>
      <w:ind w:firstLine="720"/>
      <w:jc w:val="both"/>
      <w:textAlignment w:val="baseline"/>
    </w:pPr>
    <w:rPr>
      <w:rFonts w:ascii="Arial" w:hAnsi="Arial"/>
      <w:sz w:val="20"/>
    </w:rPr>
  </w:style>
  <w:style w:type="paragraph" w:customStyle="1" w:styleId="Text1">
    <w:name w:val="Text 1"/>
    <w:basedOn w:val="Text"/>
    <w:rsid w:val="00B50569"/>
    <w:pPr>
      <w:ind w:left="720"/>
      <w:textAlignment w:val="baseline"/>
    </w:pPr>
  </w:style>
  <w:style w:type="paragraph" w:customStyle="1" w:styleId="Text3">
    <w:name w:val="Text 3"/>
    <w:basedOn w:val="Normal"/>
    <w:rsid w:val="00B50569"/>
    <w:pPr>
      <w:tabs>
        <w:tab w:val="left" w:pos="720"/>
        <w:tab w:val="left" w:pos="9525"/>
      </w:tabs>
      <w:spacing w:after="240" w:line="240" w:lineRule="atLeast"/>
      <w:ind w:left="1440" w:hanging="1440"/>
      <w:jc w:val="both"/>
      <w:textAlignment w:val="baseline"/>
    </w:pPr>
    <w:rPr>
      <w:rFonts w:ascii="Arial" w:hAnsi="Arial"/>
      <w:sz w:val="20"/>
    </w:rPr>
  </w:style>
  <w:style w:type="paragraph" w:customStyle="1" w:styleId="lines">
    <w:name w:val="lines"/>
    <w:basedOn w:val="Normal"/>
    <w:rsid w:val="00B50569"/>
    <w:pPr>
      <w:tabs>
        <w:tab w:val="left" w:pos="2970"/>
      </w:tabs>
      <w:spacing w:line="240" w:lineRule="atLeast"/>
      <w:textAlignment w:val="baseline"/>
    </w:pPr>
    <w:rPr>
      <w:rFonts w:ascii="Arial" w:hAnsi="Arial"/>
      <w:sz w:val="20"/>
      <w:u w:val="single"/>
    </w:rPr>
  </w:style>
  <w:style w:type="character" w:styleId="PageNumber">
    <w:name w:val="page number"/>
    <w:basedOn w:val="DefaultParagraphFont"/>
    <w:semiHidden/>
    <w:rsid w:val="00B50569"/>
  </w:style>
  <w:style w:type="paragraph" w:styleId="BodyText">
    <w:name w:val="Body Text"/>
    <w:basedOn w:val="Normal"/>
    <w:link w:val="BodyTextChar"/>
    <w:semiHidden/>
    <w:rsid w:val="00B50569"/>
    <w:pPr>
      <w:widowControl w:val="0"/>
      <w:jc w:val="center"/>
      <w:textAlignment w:val="baseline"/>
    </w:pPr>
    <w:rPr>
      <w:sz w:val="24"/>
    </w:rPr>
  </w:style>
  <w:style w:type="character" w:customStyle="1" w:styleId="BodyTextChar">
    <w:name w:val="Body Text Char"/>
    <w:basedOn w:val="DefaultParagraphFont"/>
    <w:link w:val="BodyText"/>
    <w:semiHidden/>
    <w:rsid w:val="00B50569"/>
    <w:rPr>
      <w:rFonts w:ascii="Times New Roman" w:eastAsia="Times New Roman" w:hAnsi="Times New Roman" w:cs="Times New Roman"/>
      <w:sz w:val="24"/>
      <w:szCs w:val="20"/>
    </w:rPr>
  </w:style>
  <w:style w:type="character" w:customStyle="1" w:styleId="BodyText2Char1">
    <w:name w:val="Body Text 2 Char1"/>
    <w:basedOn w:val="DefaultParagraphFont"/>
    <w:uiPriority w:val="99"/>
    <w:semiHidden/>
    <w:rsid w:val="00B50569"/>
    <w:rPr>
      <w:rFonts w:ascii="Times New Roman" w:eastAsia="Times New Roman" w:hAnsi="Times New Roman" w:cs="Times New Roman"/>
      <w:sz w:val="26"/>
      <w:szCs w:val="20"/>
    </w:rPr>
  </w:style>
  <w:style w:type="paragraph" w:customStyle="1" w:styleId="PageNumber0">
    <w:name w:val="PageNumber"/>
    <w:basedOn w:val="Normal"/>
    <w:rsid w:val="00B50569"/>
    <w:pPr>
      <w:spacing w:line="240" w:lineRule="atLeast"/>
      <w:textAlignment w:val="baseline"/>
    </w:pPr>
  </w:style>
  <w:style w:type="paragraph" w:styleId="Title">
    <w:name w:val="Title"/>
    <w:basedOn w:val="Normal"/>
    <w:link w:val="TitleChar"/>
    <w:qFormat/>
    <w:rsid w:val="00B50569"/>
    <w:pPr>
      <w:overflowPunct/>
      <w:autoSpaceDE/>
      <w:autoSpaceDN/>
      <w:adjustRightInd/>
      <w:jc w:val="center"/>
    </w:pPr>
    <w:rPr>
      <w:b/>
      <w:sz w:val="24"/>
    </w:rPr>
  </w:style>
  <w:style w:type="character" w:customStyle="1" w:styleId="TitleChar">
    <w:name w:val="Title Char"/>
    <w:basedOn w:val="DefaultParagraphFont"/>
    <w:link w:val="Title"/>
    <w:rsid w:val="00B50569"/>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semiHidden/>
    <w:rsid w:val="00B50569"/>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B50569"/>
    <w:pPr>
      <w:overflowPunct/>
      <w:autoSpaceDE/>
      <w:autoSpaceDN/>
      <w:adjustRightInd/>
      <w:ind w:firstLine="432"/>
    </w:pPr>
    <w:rPr>
      <w:sz w:val="24"/>
    </w:rPr>
  </w:style>
  <w:style w:type="character" w:customStyle="1" w:styleId="BodyTextIndentChar1">
    <w:name w:val="Body Text Indent Char1"/>
    <w:basedOn w:val="DefaultParagraphFont"/>
    <w:uiPriority w:val="99"/>
    <w:semiHidden/>
    <w:rsid w:val="00B50569"/>
    <w:rPr>
      <w:rFonts w:ascii="Times New Roman" w:eastAsia="Times New Roman" w:hAnsi="Times New Roman" w:cs="Times New Roman"/>
      <w:sz w:val="26"/>
      <w:szCs w:val="20"/>
    </w:rPr>
  </w:style>
  <w:style w:type="character" w:customStyle="1" w:styleId="HTMLPreformattedChar">
    <w:name w:val="HTML Preformatted Char"/>
    <w:basedOn w:val="DefaultParagraphFont"/>
    <w:link w:val="HTMLPreformatted"/>
    <w:semiHidden/>
    <w:rsid w:val="00B50569"/>
    <w:rPr>
      <w:rFonts w:ascii="Courier New" w:eastAsia="Courier New" w:hAnsi="Courier New" w:cs="Courier New"/>
      <w:sz w:val="20"/>
      <w:szCs w:val="20"/>
    </w:rPr>
  </w:style>
  <w:style w:type="paragraph" w:styleId="HTMLPreformatted">
    <w:name w:val="HTML Preformatted"/>
    <w:basedOn w:val="Normal"/>
    <w:link w:val="HTMLPreformattedChar"/>
    <w:semiHidden/>
    <w:rsid w:val="00B5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ourier New" w:hAnsi="Courier New" w:cs="Courier New"/>
      <w:sz w:val="20"/>
    </w:rPr>
  </w:style>
  <w:style w:type="character" w:customStyle="1" w:styleId="HTMLPreformattedChar1">
    <w:name w:val="HTML Preformatted Char1"/>
    <w:basedOn w:val="DefaultParagraphFont"/>
    <w:uiPriority w:val="99"/>
    <w:semiHidden/>
    <w:rsid w:val="00B50569"/>
    <w:rPr>
      <w:rFonts w:ascii="Consolas" w:eastAsia="Times New Roman" w:hAnsi="Consolas" w:cs="Times New Roman"/>
      <w:sz w:val="20"/>
      <w:szCs w:val="20"/>
    </w:rPr>
  </w:style>
  <w:style w:type="character" w:customStyle="1" w:styleId="BodyText3Char1">
    <w:name w:val="Body Text 3 Char1"/>
    <w:basedOn w:val="DefaultParagraphFont"/>
    <w:uiPriority w:val="99"/>
    <w:semiHidden/>
    <w:rsid w:val="00B50569"/>
    <w:rPr>
      <w:rFonts w:ascii="Times New Roman" w:eastAsia="Times New Roman" w:hAnsi="Times New Roman" w:cs="Times New Roman"/>
      <w:sz w:val="16"/>
      <w:szCs w:val="16"/>
    </w:rPr>
  </w:style>
  <w:style w:type="paragraph" w:customStyle="1" w:styleId="xl23">
    <w:name w:val="xl23"/>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5">
    <w:name w:val="xl25"/>
    <w:basedOn w:val="Normal"/>
    <w:rsid w:val="00B50569"/>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26">
    <w:name w:val="xl26"/>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7">
    <w:name w:val="xl27"/>
    <w:basedOn w:val="Normal"/>
    <w:rsid w:val="00B50569"/>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8">
    <w:name w:val="xl28"/>
    <w:basedOn w:val="Normal"/>
    <w:rsid w:val="00B50569"/>
    <w:pPr>
      <w:pBdr>
        <w:bottom w:val="single" w:sz="4" w:space="0" w:color="auto"/>
      </w:pBd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B50569"/>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0">
    <w:name w:val="xl30"/>
    <w:basedOn w:val="Normal"/>
    <w:rsid w:val="00B50569"/>
    <w:pPr>
      <w:pBdr>
        <w:bottom w:val="single" w:sz="4" w:space="0" w:color="auto"/>
      </w:pBd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1">
    <w:name w:val="xl31"/>
    <w:basedOn w:val="Normal"/>
    <w:rsid w:val="00B50569"/>
    <w:pPr>
      <w:overflowPunct/>
      <w:autoSpaceDE/>
      <w:autoSpaceDN/>
      <w:adjustRightInd/>
      <w:spacing w:before="100" w:beforeAutospacing="1" w:after="100" w:afterAutospacing="1"/>
      <w:jc w:val="center"/>
    </w:pPr>
    <w:rPr>
      <w:rFonts w:ascii="Arial" w:eastAsia="Arial Unicode MS" w:hAnsi="Arial" w:cs="Arial"/>
      <w:sz w:val="24"/>
      <w:szCs w:val="24"/>
      <w:u w:val="single"/>
    </w:rPr>
  </w:style>
  <w:style w:type="paragraph" w:customStyle="1" w:styleId="xl32">
    <w:name w:val="xl32"/>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3">
    <w:name w:val="xl33"/>
    <w:basedOn w:val="Normal"/>
    <w:rsid w:val="00B50569"/>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4">
    <w:name w:val="xl34"/>
    <w:basedOn w:val="Normal"/>
    <w:rsid w:val="00B50569"/>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5">
    <w:name w:val="xl35"/>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6">
    <w:name w:val="xl36"/>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7">
    <w:name w:val="xl37"/>
    <w:basedOn w:val="Normal"/>
    <w:rsid w:val="00B50569"/>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8">
    <w:name w:val="xl38"/>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9">
    <w:name w:val="xl39"/>
    <w:basedOn w:val="Normal"/>
    <w:rsid w:val="00B50569"/>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40">
    <w:name w:val="xl40"/>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1">
    <w:name w:val="xl41"/>
    <w:basedOn w:val="Normal"/>
    <w:rsid w:val="00B50569"/>
    <w:pPr>
      <w:pBdr>
        <w:top w:val="single" w:sz="4" w:space="0" w:color="auto"/>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2">
    <w:name w:val="xl42"/>
    <w:basedOn w:val="Normal"/>
    <w:rsid w:val="00B50569"/>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3">
    <w:name w:val="xl43"/>
    <w:basedOn w:val="Normal"/>
    <w:rsid w:val="00B50569"/>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4">
    <w:name w:val="xl44"/>
    <w:basedOn w:val="Normal"/>
    <w:rsid w:val="00B50569"/>
    <w:pPr>
      <w:pBdr>
        <w:bottom w:val="double" w:sz="6"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5">
    <w:name w:val="xl45"/>
    <w:basedOn w:val="Normal"/>
    <w:rsid w:val="00B50569"/>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46">
    <w:name w:val="xl46"/>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7">
    <w:name w:val="xl47"/>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8">
    <w:name w:val="xl48"/>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9">
    <w:name w:val="xl49"/>
    <w:basedOn w:val="Normal"/>
    <w:rsid w:val="00B50569"/>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50">
    <w:name w:val="xl50"/>
    <w:basedOn w:val="Normal"/>
    <w:rsid w:val="00B50569"/>
    <w:pPr>
      <w:pBdr>
        <w:top w:val="single" w:sz="4" w:space="0" w:color="auto"/>
        <w:bottom w:val="double" w:sz="6"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51">
    <w:name w:val="xl51"/>
    <w:basedOn w:val="Normal"/>
    <w:rsid w:val="00B50569"/>
    <w:pPr>
      <w:overflowPunct/>
      <w:autoSpaceDE/>
      <w:autoSpaceDN/>
      <w:adjustRightInd/>
      <w:spacing w:before="100" w:beforeAutospacing="1" w:after="100" w:afterAutospacing="1"/>
    </w:pPr>
    <w:rPr>
      <w:rFonts w:ascii="Arial" w:eastAsia="Arial Unicode MS" w:hAnsi="Arial" w:cs="Arial"/>
      <w:sz w:val="18"/>
      <w:szCs w:val="18"/>
    </w:rPr>
  </w:style>
  <w:style w:type="paragraph" w:customStyle="1" w:styleId="xl53">
    <w:name w:val="xl53"/>
    <w:basedOn w:val="Normal"/>
    <w:rsid w:val="00B50569"/>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character" w:customStyle="1" w:styleId="DocumentMapChar">
    <w:name w:val="Document Map Char"/>
    <w:basedOn w:val="DefaultParagraphFont"/>
    <w:link w:val="DocumentMap"/>
    <w:semiHidden/>
    <w:rsid w:val="00B50569"/>
    <w:rPr>
      <w:rFonts w:ascii="Tahoma" w:eastAsia="Times New Roman" w:hAnsi="Tahoma" w:cs="Tahoma"/>
      <w:sz w:val="26"/>
      <w:szCs w:val="20"/>
      <w:shd w:val="clear" w:color="auto" w:fill="000080"/>
    </w:rPr>
  </w:style>
  <w:style w:type="paragraph" w:styleId="DocumentMap">
    <w:name w:val="Document Map"/>
    <w:basedOn w:val="Normal"/>
    <w:link w:val="DocumentMapChar"/>
    <w:semiHidden/>
    <w:rsid w:val="00B50569"/>
    <w:pPr>
      <w:shd w:val="clear" w:color="auto" w:fill="000080"/>
      <w:textAlignment w:val="baseline"/>
    </w:pPr>
    <w:rPr>
      <w:rFonts w:ascii="Tahoma" w:hAnsi="Tahoma" w:cs="Tahoma"/>
    </w:rPr>
  </w:style>
  <w:style w:type="character" w:customStyle="1" w:styleId="DocumentMapChar1">
    <w:name w:val="Document Map Char1"/>
    <w:basedOn w:val="DefaultParagraphFont"/>
    <w:uiPriority w:val="99"/>
    <w:semiHidden/>
    <w:rsid w:val="00B50569"/>
    <w:rPr>
      <w:rFonts w:ascii="Segoe UI" w:eastAsia="Times New Roman" w:hAnsi="Segoe UI" w:cs="Segoe UI"/>
      <w:sz w:val="16"/>
      <w:szCs w:val="16"/>
    </w:rPr>
  </w:style>
  <w:style w:type="character" w:customStyle="1" w:styleId="BodyTextIndent2Char">
    <w:name w:val="Body Text Indent 2 Char"/>
    <w:basedOn w:val="DefaultParagraphFont"/>
    <w:link w:val="BodyTextIndent2"/>
    <w:semiHidden/>
    <w:rsid w:val="00B50569"/>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B50569"/>
    <w:pPr>
      <w:tabs>
        <w:tab w:val="left" w:pos="1080"/>
        <w:tab w:val="left" w:pos="6840"/>
      </w:tabs>
      <w:spacing w:after="240"/>
      <w:ind w:firstLine="1080"/>
      <w:textAlignment w:val="baseline"/>
    </w:pPr>
    <w:rPr>
      <w:sz w:val="24"/>
    </w:rPr>
  </w:style>
  <w:style w:type="character" w:customStyle="1" w:styleId="BodyTextIndent2Char1">
    <w:name w:val="Body Text Indent 2 Char1"/>
    <w:basedOn w:val="DefaultParagraphFont"/>
    <w:uiPriority w:val="99"/>
    <w:semiHidden/>
    <w:rsid w:val="00B50569"/>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semiHidden/>
    <w:rsid w:val="00B50569"/>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B50569"/>
    <w:pPr>
      <w:tabs>
        <w:tab w:val="left" w:pos="6840"/>
      </w:tabs>
      <w:ind w:firstLine="720"/>
      <w:textAlignment w:val="baseline"/>
    </w:pPr>
    <w:rPr>
      <w:sz w:val="24"/>
    </w:rPr>
  </w:style>
  <w:style w:type="character" w:customStyle="1" w:styleId="BodyTextIndent3Char1">
    <w:name w:val="Body Text Indent 3 Char1"/>
    <w:basedOn w:val="DefaultParagraphFont"/>
    <w:uiPriority w:val="99"/>
    <w:semiHidden/>
    <w:rsid w:val="00B50569"/>
    <w:rPr>
      <w:rFonts w:ascii="Times New Roman" w:eastAsia="Times New Roman" w:hAnsi="Times New Roman" w:cs="Times New Roman"/>
      <w:sz w:val="16"/>
      <w:szCs w:val="16"/>
    </w:rPr>
  </w:style>
  <w:style w:type="paragraph" w:customStyle="1" w:styleId="BodyTextNoIndent">
    <w:name w:val="Body Text No Indent"/>
    <w:basedOn w:val="BodyText"/>
    <w:qFormat/>
    <w:rsid w:val="00B50569"/>
    <w:pPr>
      <w:widowControl/>
      <w:overflowPunct/>
      <w:autoSpaceDE/>
      <w:autoSpaceDN/>
      <w:adjustRightInd/>
      <w:spacing w:after="240"/>
      <w:jc w:val="left"/>
      <w:textAlignment w:val="auto"/>
    </w:pPr>
    <w:rPr>
      <w:rFonts w:eastAsia="Calibri"/>
      <w:szCs w:val="24"/>
      <w:lang w:bidi="en-US"/>
    </w:rPr>
  </w:style>
  <w:style w:type="character" w:customStyle="1" w:styleId="BalloonTextChar1">
    <w:name w:val="Balloon Text Char1"/>
    <w:basedOn w:val="DefaultParagraphFont"/>
    <w:uiPriority w:val="99"/>
    <w:semiHidden/>
    <w:rsid w:val="00B50569"/>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B50569"/>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50569"/>
    <w:pPr>
      <w:textAlignment w:val="baseline"/>
    </w:pPr>
    <w:rPr>
      <w:sz w:val="20"/>
    </w:rPr>
  </w:style>
  <w:style w:type="character" w:customStyle="1" w:styleId="CommentTextChar1">
    <w:name w:val="Comment Text Char1"/>
    <w:basedOn w:val="DefaultParagraphFont"/>
    <w:uiPriority w:val="99"/>
    <w:semiHidden/>
    <w:rsid w:val="00B5056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B5056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50569"/>
    <w:rPr>
      <w:b/>
      <w:bCs/>
    </w:rPr>
  </w:style>
  <w:style w:type="character" w:customStyle="1" w:styleId="CommentSubjectChar1">
    <w:name w:val="Comment Subject Char1"/>
    <w:basedOn w:val="CommentTextChar1"/>
    <w:uiPriority w:val="99"/>
    <w:semiHidden/>
    <w:rsid w:val="00B50569"/>
    <w:rPr>
      <w:rFonts w:ascii="Times New Roman" w:eastAsia="Times New Roman" w:hAnsi="Times New Roman" w:cs="Times New Roman"/>
      <w:b/>
      <w:bCs/>
      <w:sz w:val="20"/>
      <w:szCs w:val="20"/>
    </w:rPr>
  </w:style>
  <w:style w:type="character" w:customStyle="1" w:styleId="BodyTextFirstIndentChar">
    <w:name w:val="Body Text First Indent Char"/>
    <w:basedOn w:val="BodyTextChar"/>
    <w:link w:val="BodyTextFirstIndent"/>
    <w:uiPriority w:val="99"/>
    <w:semiHidden/>
    <w:rsid w:val="00B50569"/>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B50569"/>
    <w:pPr>
      <w:widowControl/>
      <w:spacing w:line="480" w:lineRule="atLeast"/>
      <w:ind w:firstLine="360"/>
      <w:jc w:val="left"/>
    </w:pPr>
  </w:style>
  <w:style w:type="character" w:customStyle="1" w:styleId="BodyTextFirstIndentChar1">
    <w:name w:val="Body Text First Indent Char1"/>
    <w:basedOn w:val="BodyTextChar"/>
    <w:uiPriority w:val="99"/>
    <w:semiHidden/>
    <w:rsid w:val="00B50569"/>
    <w:rPr>
      <w:rFonts w:ascii="Times New Roman" w:eastAsia="Times New Roman" w:hAnsi="Times New Roman" w:cs="Times New Roman"/>
      <w:sz w:val="24"/>
      <w:szCs w:val="20"/>
    </w:rPr>
  </w:style>
  <w:style w:type="paragraph" w:customStyle="1" w:styleId="CBHeading">
    <w:name w:val="CB Heading"/>
    <w:basedOn w:val="Normal"/>
    <w:rsid w:val="00B50569"/>
    <w:pPr>
      <w:overflowPunct/>
      <w:spacing w:after="360"/>
      <w:jc w:val="center"/>
    </w:pPr>
    <w:rPr>
      <w:b/>
      <w:bCs/>
      <w:sz w:val="24"/>
      <w:szCs w:val="24"/>
    </w:rPr>
  </w:style>
  <w:style w:type="paragraph" w:customStyle="1" w:styleId="CenteredText">
    <w:name w:val="Centered Text"/>
    <w:basedOn w:val="Normal"/>
    <w:rsid w:val="00B50569"/>
    <w:pPr>
      <w:overflowPunct/>
      <w:spacing w:after="240"/>
      <w:jc w:val="center"/>
    </w:pPr>
    <w:rPr>
      <w:sz w:val="24"/>
      <w:szCs w:val="24"/>
    </w:rPr>
  </w:style>
  <w:style w:type="paragraph" w:customStyle="1" w:styleId="oneinchm">
    <w:name w:val="oneinchm"/>
    <w:basedOn w:val="Normal"/>
    <w:rsid w:val="00B50569"/>
    <w:pPr>
      <w:tabs>
        <w:tab w:val="left" w:pos="1296"/>
        <w:tab w:val="left" w:pos="2016"/>
        <w:tab w:val="left" w:pos="2736"/>
        <w:tab w:val="left" w:pos="3456"/>
        <w:tab w:val="left" w:pos="5616"/>
      </w:tabs>
      <w:ind w:firstLine="1440"/>
      <w:textAlignment w:val="baseline"/>
    </w:pPr>
  </w:style>
  <w:style w:type="character" w:customStyle="1" w:styleId="SignatureChar">
    <w:name w:val="Signature Char"/>
    <w:basedOn w:val="DefaultParagraphFont"/>
    <w:link w:val="Signature"/>
    <w:semiHidden/>
    <w:rsid w:val="00B50569"/>
    <w:rPr>
      <w:rFonts w:ascii="Times New Roman" w:eastAsia="Times New Roman" w:hAnsi="Times New Roman" w:cs="Times New Roman"/>
      <w:sz w:val="24"/>
      <w:szCs w:val="24"/>
    </w:rPr>
  </w:style>
  <w:style w:type="paragraph" w:styleId="Signature">
    <w:name w:val="Signature"/>
    <w:basedOn w:val="Normal"/>
    <w:link w:val="SignatureChar"/>
    <w:semiHidden/>
    <w:rsid w:val="00B50569"/>
    <w:pPr>
      <w:widowControl w:val="0"/>
      <w:overflowPunct/>
      <w:ind w:left="4320"/>
    </w:pPr>
    <w:rPr>
      <w:sz w:val="24"/>
      <w:szCs w:val="24"/>
    </w:rPr>
  </w:style>
  <w:style w:type="character" w:customStyle="1" w:styleId="SignatureChar1">
    <w:name w:val="Signature Char1"/>
    <w:basedOn w:val="DefaultParagraphFont"/>
    <w:uiPriority w:val="99"/>
    <w:semiHidden/>
    <w:rsid w:val="00B50569"/>
    <w:rPr>
      <w:rFonts w:ascii="Times New Roman" w:eastAsia="Times New Roman" w:hAnsi="Times New Roman" w:cs="Times New Roman"/>
      <w:sz w:val="26"/>
      <w:szCs w:val="20"/>
    </w:rPr>
  </w:style>
  <w:style w:type="paragraph" w:customStyle="1" w:styleId="BoldUnderlinedHeading">
    <w:name w:val="Bold/Underlined Heading"/>
    <w:basedOn w:val="BodyText"/>
    <w:rsid w:val="00B50569"/>
    <w:pPr>
      <w:keepNext/>
      <w:widowControl/>
      <w:tabs>
        <w:tab w:val="left" w:pos="432"/>
        <w:tab w:val="left" w:pos="720"/>
        <w:tab w:val="left" w:pos="1296"/>
        <w:tab w:val="left" w:pos="1728"/>
        <w:tab w:val="decimal" w:pos="6336"/>
        <w:tab w:val="decimal" w:pos="7920"/>
        <w:tab w:val="decimal" w:pos="9648"/>
      </w:tabs>
      <w:overflowPunct/>
      <w:autoSpaceDE/>
      <w:autoSpaceDN/>
      <w:adjustRightInd/>
      <w:spacing w:after="240"/>
      <w:jc w:val="both"/>
      <w:textAlignment w:val="auto"/>
    </w:pPr>
    <w:rPr>
      <w:b/>
      <w:kern w:val="28"/>
      <w:sz w:val="20"/>
      <w:u w:val="single"/>
    </w:rPr>
  </w:style>
  <w:style w:type="character" w:customStyle="1" w:styleId="xn-money">
    <w:name w:val="xn-money"/>
    <w:basedOn w:val="DefaultParagraphFont"/>
    <w:rsid w:val="00B50569"/>
  </w:style>
  <w:style w:type="paragraph" w:customStyle="1" w:styleId="rrdsinglerule">
    <w:name w:val="rrdsinglerule"/>
    <w:basedOn w:val="Normal"/>
    <w:next w:val="Normal"/>
    <w:rsid w:val="00B50569"/>
    <w:pPr>
      <w:pBdr>
        <w:top w:val="single" w:sz="8" w:space="1" w:color="auto"/>
      </w:pBdr>
      <w:overflowPunct/>
      <w:autoSpaceDE/>
      <w:autoSpaceDN/>
      <w:adjustRightInd/>
      <w:spacing w:before="20" w:line="20" w:lineRule="exact"/>
      <w:jc w:val="center"/>
    </w:pPr>
    <w:rPr>
      <w:sz w:val="8"/>
      <w:szCs w:val="8"/>
    </w:rPr>
  </w:style>
  <w:style w:type="paragraph" w:customStyle="1" w:styleId="rrddoublerule">
    <w:name w:val="rrddoublerule"/>
    <w:basedOn w:val="rrdsinglerule"/>
    <w:rsid w:val="00B50569"/>
    <w:pPr>
      <w:pBdr>
        <w:top w:val="double" w:sz="6" w:space="1" w:color="auto"/>
      </w:pBdr>
    </w:pPr>
  </w:style>
  <w:style w:type="paragraph" w:customStyle="1" w:styleId="la2">
    <w:name w:val="la2"/>
    <w:basedOn w:val="Normal"/>
    <w:next w:val="Normal"/>
    <w:rsid w:val="00B50569"/>
    <w:pPr>
      <w:overflowPunct/>
      <w:autoSpaceDE/>
      <w:autoSpaceDN/>
      <w:adjustRightInd/>
      <w:spacing w:line="40" w:lineRule="exact"/>
    </w:pPr>
    <w:rPr>
      <w:noProof/>
      <w:sz w:val="8"/>
      <w:szCs w:val="8"/>
    </w:rPr>
  </w:style>
  <w:style w:type="table" w:styleId="TableGrid">
    <w:name w:val="Table Grid"/>
    <w:basedOn w:val="TableNormal"/>
    <w:uiPriority w:val="59"/>
    <w:rsid w:val="00B5056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0">
    <w:name w:val="Normal(Web)"/>
    <w:basedOn w:val="Normal"/>
    <w:uiPriority w:val="99"/>
    <w:rsid w:val="00B50569"/>
    <w:pPr>
      <w:widowControl w:val="0"/>
      <w:overflowPunct/>
      <w:spacing w:before="100" w:beforeAutospacing="1" w:after="100" w:afterAutospacing="1"/>
    </w:pPr>
    <w:rPr>
      <w:rFonts w:eastAsiaTheme="minorEastAsia"/>
      <w:sz w:val="24"/>
      <w:szCs w:val="24"/>
    </w:rPr>
  </w:style>
  <w:style w:type="table" w:customStyle="1" w:styleId="TableGrid1">
    <w:name w:val="Table Grid1"/>
    <w:basedOn w:val="TableNormal"/>
    <w:next w:val="TableGrid"/>
    <w:uiPriority w:val="59"/>
    <w:rsid w:val="00B50569"/>
    <w:pPr>
      <w:spacing w:after="0" w:line="240" w:lineRule="auto"/>
    </w:pPr>
    <w:rPr>
      <w:rFonts w:ascii="Calibri" w:eastAsia="PMingLiU"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505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697">
      <w:bodyDiv w:val="1"/>
      <w:marLeft w:val="0"/>
      <w:marRight w:val="0"/>
      <w:marTop w:val="0"/>
      <w:marBottom w:val="0"/>
      <w:divBdr>
        <w:top w:val="none" w:sz="0" w:space="0" w:color="auto"/>
        <w:left w:val="none" w:sz="0" w:space="0" w:color="auto"/>
        <w:bottom w:val="none" w:sz="0" w:space="0" w:color="auto"/>
        <w:right w:val="none" w:sz="0" w:space="0" w:color="auto"/>
      </w:divBdr>
    </w:div>
    <w:div w:id="62217381">
      <w:bodyDiv w:val="1"/>
      <w:marLeft w:val="0"/>
      <w:marRight w:val="0"/>
      <w:marTop w:val="0"/>
      <w:marBottom w:val="0"/>
      <w:divBdr>
        <w:top w:val="none" w:sz="0" w:space="0" w:color="auto"/>
        <w:left w:val="none" w:sz="0" w:space="0" w:color="auto"/>
        <w:bottom w:val="none" w:sz="0" w:space="0" w:color="auto"/>
        <w:right w:val="none" w:sz="0" w:space="0" w:color="auto"/>
      </w:divBdr>
    </w:div>
    <w:div w:id="66003819">
      <w:bodyDiv w:val="1"/>
      <w:marLeft w:val="0"/>
      <w:marRight w:val="0"/>
      <w:marTop w:val="0"/>
      <w:marBottom w:val="0"/>
      <w:divBdr>
        <w:top w:val="none" w:sz="0" w:space="0" w:color="auto"/>
        <w:left w:val="none" w:sz="0" w:space="0" w:color="auto"/>
        <w:bottom w:val="none" w:sz="0" w:space="0" w:color="auto"/>
        <w:right w:val="none" w:sz="0" w:space="0" w:color="auto"/>
      </w:divBdr>
    </w:div>
    <w:div w:id="122624393">
      <w:bodyDiv w:val="1"/>
      <w:marLeft w:val="0"/>
      <w:marRight w:val="0"/>
      <w:marTop w:val="0"/>
      <w:marBottom w:val="0"/>
      <w:divBdr>
        <w:top w:val="none" w:sz="0" w:space="0" w:color="auto"/>
        <w:left w:val="none" w:sz="0" w:space="0" w:color="auto"/>
        <w:bottom w:val="none" w:sz="0" w:space="0" w:color="auto"/>
        <w:right w:val="none" w:sz="0" w:space="0" w:color="auto"/>
      </w:divBdr>
    </w:div>
    <w:div w:id="203325394">
      <w:bodyDiv w:val="1"/>
      <w:marLeft w:val="0"/>
      <w:marRight w:val="0"/>
      <w:marTop w:val="0"/>
      <w:marBottom w:val="0"/>
      <w:divBdr>
        <w:top w:val="none" w:sz="0" w:space="0" w:color="auto"/>
        <w:left w:val="none" w:sz="0" w:space="0" w:color="auto"/>
        <w:bottom w:val="none" w:sz="0" w:space="0" w:color="auto"/>
        <w:right w:val="none" w:sz="0" w:space="0" w:color="auto"/>
      </w:divBdr>
    </w:div>
    <w:div w:id="445974034">
      <w:bodyDiv w:val="1"/>
      <w:marLeft w:val="0"/>
      <w:marRight w:val="0"/>
      <w:marTop w:val="0"/>
      <w:marBottom w:val="0"/>
      <w:divBdr>
        <w:top w:val="none" w:sz="0" w:space="0" w:color="auto"/>
        <w:left w:val="none" w:sz="0" w:space="0" w:color="auto"/>
        <w:bottom w:val="none" w:sz="0" w:space="0" w:color="auto"/>
        <w:right w:val="none" w:sz="0" w:space="0" w:color="auto"/>
      </w:divBdr>
    </w:div>
    <w:div w:id="449518359">
      <w:bodyDiv w:val="1"/>
      <w:marLeft w:val="0"/>
      <w:marRight w:val="0"/>
      <w:marTop w:val="0"/>
      <w:marBottom w:val="0"/>
      <w:divBdr>
        <w:top w:val="none" w:sz="0" w:space="0" w:color="auto"/>
        <w:left w:val="none" w:sz="0" w:space="0" w:color="auto"/>
        <w:bottom w:val="none" w:sz="0" w:space="0" w:color="auto"/>
        <w:right w:val="none" w:sz="0" w:space="0" w:color="auto"/>
      </w:divBdr>
    </w:div>
    <w:div w:id="649677925">
      <w:bodyDiv w:val="1"/>
      <w:marLeft w:val="0"/>
      <w:marRight w:val="0"/>
      <w:marTop w:val="0"/>
      <w:marBottom w:val="0"/>
      <w:divBdr>
        <w:top w:val="none" w:sz="0" w:space="0" w:color="auto"/>
        <w:left w:val="none" w:sz="0" w:space="0" w:color="auto"/>
        <w:bottom w:val="none" w:sz="0" w:space="0" w:color="auto"/>
        <w:right w:val="none" w:sz="0" w:space="0" w:color="auto"/>
      </w:divBdr>
    </w:div>
    <w:div w:id="665089690">
      <w:bodyDiv w:val="1"/>
      <w:marLeft w:val="0"/>
      <w:marRight w:val="0"/>
      <w:marTop w:val="0"/>
      <w:marBottom w:val="0"/>
      <w:divBdr>
        <w:top w:val="none" w:sz="0" w:space="0" w:color="auto"/>
        <w:left w:val="none" w:sz="0" w:space="0" w:color="auto"/>
        <w:bottom w:val="none" w:sz="0" w:space="0" w:color="auto"/>
        <w:right w:val="none" w:sz="0" w:space="0" w:color="auto"/>
      </w:divBdr>
    </w:div>
    <w:div w:id="694616143">
      <w:bodyDiv w:val="1"/>
      <w:marLeft w:val="0"/>
      <w:marRight w:val="0"/>
      <w:marTop w:val="0"/>
      <w:marBottom w:val="0"/>
      <w:divBdr>
        <w:top w:val="none" w:sz="0" w:space="0" w:color="auto"/>
        <w:left w:val="none" w:sz="0" w:space="0" w:color="auto"/>
        <w:bottom w:val="none" w:sz="0" w:space="0" w:color="auto"/>
        <w:right w:val="none" w:sz="0" w:space="0" w:color="auto"/>
      </w:divBdr>
    </w:div>
    <w:div w:id="757410277">
      <w:bodyDiv w:val="1"/>
      <w:marLeft w:val="0"/>
      <w:marRight w:val="0"/>
      <w:marTop w:val="0"/>
      <w:marBottom w:val="0"/>
      <w:divBdr>
        <w:top w:val="none" w:sz="0" w:space="0" w:color="auto"/>
        <w:left w:val="none" w:sz="0" w:space="0" w:color="auto"/>
        <w:bottom w:val="none" w:sz="0" w:space="0" w:color="auto"/>
        <w:right w:val="none" w:sz="0" w:space="0" w:color="auto"/>
      </w:divBdr>
    </w:div>
    <w:div w:id="875310378">
      <w:bodyDiv w:val="1"/>
      <w:marLeft w:val="0"/>
      <w:marRight w:val="0"/>
      <w:marTop w:val="0"/>
      <w:marBottom w:val="0"/>
      <w:divBdr>
        <w:top w:val="none" w:sz="0" w:space="0" w:color="auto"/>
        <w:left w:val="none" w:sz="0" w:space="0" w:color="auto"/>
        <w:bottom w:val="none" w:sz="0" w:space="0" w:color="auto"/>
        <w:right w:val="none" w:sz="0" w:space="0" w:color="auto"/>
      </w:divBdr>
    </w:div>
    <w:div w:id="940793687">
      <w:bodyDiv w:val="1"/>
      <w:marLeft w:val="0"/>
      <w:marRight w:val="0"/>
      <w:marTop w:val="0"/>
      <w:marBottom w:val="0"/>
      <w:divBdr>
        <w:top w:val="none" w:sz="0" w:space="0" w:color="auto"/>
        <w:left w:val="none" w:sz="0" w:space="0" w:color="auto"/>
        <w:bottom w:val="none" w:sz="0" w:space="0" w:color="auto"/>
        <w:right w:val="none" w:sz="0" w:space="0" w:color="auto"/>
      </w:divBdr>
    </w:div>
    <w:div w:id="1215970874">
      <w:bodyDiv w:val="1"/>
      <w:marLeft w:val="0"/>
      <w:marRight w:val="0"/>
      <w:marTop w:val="0"/>
      <w:marBottom w:val="0"/>
      <w:divBdr>
        <w:top w:val="none" w:sz="0" w:space="0" w:color="auto"/>
        <w:left w:val="none" w:sz="0" w:space="0" w:color="auto"/>
        <w:bottom w:val="none" w:sz="0" w:space="0" w:color="auto"/>
        <w:right w:val="none" w:sz="0" w:space="0" w:color="auto"/>
      </w:divBdr>
    </w:div>
    <w:div w:id="1322154035">
      <w:bodyDiv w:val="1"/>
      <w:marLeft w:val="0"/>
      <w:marRight w:val="0"/>
      <w:marTop w:val="0"/>
      <w:marBottom w:val="0"/>
      <w:divBdr>
        <w:top w:val="none" w:sz="0" w:space="0" w:color="auto"/>
        <w:left w:val="none" w:sz="0" w:space="0" w:color="auto"/>
        <w:bottom w:val="none" w:sz="0" w:space="0" w:color="auto"/>
        <w:right w:val="none" w:sz="0" w:space="0" w:color="auto"/>
      </w:divBdr>
    </w:div>
    <w:div w:id="1390301918">
      <w:bodyDiv w:val="1"/>
      <w:marLeft w:val="0"/>
      <w:marRight w:val="0"/>
      <w:marTop w:val="0"/>
      <w:marBottom w:val="0"/>
      <w:divBdr>
        <w:top w:val="none" w:sz="0" w:space="0" w:color="auto"/>
        <w:left w:val="none" w:sz="0" w:space="0" w:color="auto"/>
        <w:bottom w:val="none" w:sz="0" w:space="0" w:color="auto"/>
        <w:right w:val="none" w:sz="0" w:space="0" w:color="auto"/>
      </w:divBdr>
    </w:div>
    <w:div w:id="1458329838">
      <w:bodyDiv w:val="1"/>
      <w:marLeft w:val="0"/>
      <w:marRight w:val="0"/>
      <w:marTop w:val="0"/>
      <w:marBottom w:val="0"/>
      <w:divBdr>
        <w:top w:val="none" w:sz="0" w:space="0" w:color="auto"/>
        <w:left w:val="none" w:sz="0" w:space="0" w:color="auto"/>
        <w:bottom w:val="none" w:sz="0" w:space="0" w:color="auto"/>
        <w:right w:val="none" w:sz="0" w:space="0" w:color="auto"/>
      </w:divBdr>
    </w:div>
    <w:div w:id="1467894323">
      <w:bodyDiv w:val="1"/>
      <w:marLeft w:val="0"/>
      <w:marRight w:val="0"/>
      <w:marTop w:val="0"/>
      <w:marBottom w:val="0"/>
      <w:divBdr>
        <w:top w:val="none" w:sz="0" w:space="0" w:color="auto"/>
        <w:left w:val="none" w:sz="0" w:space="0" w:color="auto"/>
        <w:bottom w:val="none" w:sz="0" w:space="0" w:color="auto"/>
        <w:right w:val="none" w:sz="0" w:space="0" w:color="auto"/>
      </w:divBdr>
    </w:div>
    <w:div w:id="1482424864">
      <w:bodyDiv w:val="1"/>
      <w:marLeft w:val="0"/>
      <w:marRight w:val="0"/>
      <w:marTop w:val="0"/>
      <w:marBottom w:val="0"/>
      <w:divBdr>
        <w:top w:val="none" w:sz="0" w:space="0" w:color="auto"/>
        <w:left w:val="none" w:sz="0" w:space="0" w:color="auto"/>
        <w:bottom w:val="none" w:sz="0" w:space="0" w:color="auto"/>
        <w:right w:val="none" w:sz="0" w:space="0" w:color="auto"/>
      </w:divBdr>
    </w:div>
    <w:div w:id="1866018166">
      <w:bodyDiv w:val="1"/>
      <w:marLeft w:val="0"/>
      <w:marRight w:val="0"/>
      <w:marTop w:val="0"/>
      <w:marBottom w:val="0"/>
      <w:divBdr>
        <w:top w:val="none" w:sz="0" w:space="0" w:color="auto"/>
        <w:left w:val="none" w:sz="0" w:space="0" w:color="auto"/>
        <w:bottom w:val="none" w:sz="0" w:space="0" w:color="auto"/>
        <w:right w:val="none" w:sz="0" w:space="0" w:color="auto"/>
      </w:divBdr>
    </w:div>
    <w:div w:id="1896814736">
      <w:bodyDiv w:val="1"/>
      <w:marLeft w:val="0"/>
      <w:marRight w:val="0"/>
      <w:marTop w:val="0"/>
      <w:marBottom w:val="0"/>
      <w:divBdr>
        <w:top w:val="none" w:sz="0" w:space="0" w:color="auto"/>
        <w:left w:val="none" w:sz="0" w:space="0" w:color="auto"/>
        <w:bottom w:val="none" w:sz="0" w:space="0" w:color="auto"/>
        <w:right w:val="none" w:sz="0" w:space="0" w:color="auto"/>
      </w:divBdr>
    </w:div>
    <w:div w:id="1940795994">
      <w:bodyDiv w:val="1"/>
      <w:marLeft w:val="0"/>
      <w:marRight w:val="0"/>
      <w:marTop w:val="0"/>
      <w:marBottom w:val="0"/>
      <w:divBdr>
        <w:top w:val="none" w:sz="0" w:space="0" w:color="auto"/>
        <w:left w:val="none" w:sz="0" w:space="0" w:color="auto"/>
        <w:bottom w:val="none" w:sz="0" w:space="0" w:color="auto"/>
        <w:right w:val="none" w:sz="0" w:space="0" w:color="auto"/>
      </w:divBdr>
    </w:div>
    <w:div w:id="19556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currentExhibit\mrc-20190214x8k.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D778-8CD5-4AD9-9A8E-90859FD4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7097</Words>
  <Characters>40812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47814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Dabney, Sarah</cp:lastModifiedBy>
  <cp:revision>3</cp:revision>
  <cp:lastPrinted>2019-02-14T14:53:00Z</cp:lastPrinted>
  <dcterms:created xsi:type="dcterms:W3CDTF">2019-02-14T14:53:00Z</dcterms:created>
  <dcterms:modified xsi:type="dcterms:W3CDTF">2019-02-14T14:55:00Z</dcterms:modified>
</cp:coreProperties>
</file>