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1CD" w:rsidRDefault="00590862">
      <w:pPr>
        <w:pStyle w:val="rrdsinglerule"/>
        <w:pBdr>
          <w:top w:val="single" w:sz="4" w:space="0" w:color="000000"/>
        </w:pBdr>
      </w:pPr>
      <w:bookmarkStart w:id="0" w:name="_GoBack"/>
      <w:bookmarkEnd w:id="0"/>
      <w:r>
        <w:tab/>
        <w:t> </w:t>
      </w:r>
    </w:p>
    <w:p w:rsidR="000121CD" w:rsidRDefault="00590862">
      <w:pPr>
        <w:pStyle w:val="rrdsinglerule"/>
      </w:pPr>
      <w:r>
        <w:t> </w:t>
      </w:r>
    </w:p>
    <w:p w:rsidR="00BA5C63" w:rsidRDefault="00BA5C63" w:rsidP="00BA5C63">
      <w:pPr>
        <w:pStyle w:val="NormalWeb"/>
        <w:spacing w:before="60" w:beforeAutospacing="0" w:after="0" w:afterAutospacing="0"/>
        <w:jc w:val="center"/>
      </w:pPr>
      <w:r>
        <w:rPr>
          <w:b/>
          <w:bCs/>
          <w:sz w:val="36"/>
          <w:szCs w:val="36"/>
        </w:rPr>
        <w:t xml:space="preserve">UNITED STATES </w:t>
      </w:r>
    </w:p>
    <w:p w:rsidR="00BA5C63" w:rsidRDefault="00BA5C63" w:rsidP="00BA5C63">
      <w:pPr>
        <w:pStyle w:val="NormalWeb"/>
        <w:spacing w:before="0" w:beforeAutospacing="0" w:after="0" w:afterAutospacing="0"/>
        <w:jc w:val="center"/>
      </w:pPr>
      <w:r>
        <w:rPr>
          <w:b/>
          <w:bCs/>
          <w:sz w:val="36"/>
          <w:szCs w:val="36"/>
        </w:rPr>
        <w:t xml:space="preserve">SECURITIES AND EXCHANGE COMMISSION </w:t>
      </w:r>
    </w:p>
    <w:p w:rsidR="00BA5C63" w:rsidRDefault="00BA5C63" w:rsidP="00BA5C63">
      <w:pPr>
        <w:pStyle w:val="NormalWeb"/>
        <w:spacing w:before="0" w:beforeAutospacing="0" w:after="0" w:afterAutospacing="0"/>
        <w:jc w:val="center"/>
      </w:pPr>
      <w:r>
        <w:rPr>
          <w:b/>
          <w:bCs/>
          <w:sz w:val="20"/>
          <w:szCs w:val="20"/>
        </w:rPr>
        <w:t xml:space="preserve">Washington, D.C. 20549 </w:t>
      </w:r>
    </w:p>
    <w:p w:rsidR="00BA5C63" w:rsidRDefault="00BA5C63" w:rsidP="00BA5C63">
      <w:pPr>
        <w:pStyle w:val="rco"/>
        <w:ind w:left="4435" w:right="4435"/>
      </w:pPr>
      <w:r>
        <w:t> </w:t>
      </w:r>
    </w:p>
    <w:p w:rsidR="00BA5C63" w:rsidRPr="005D310F" w:rsidRDefault="00BA5C63" w:rsidP="00BA5C63">
      <w:pPr>
        <w:pStyle w:val="NormalWeb"/>
        <w:spacing w:before="45" w:beforeAutospacing="0" w:after="0" w:afterAutospacing="0"/>
        <w:jc w:val="center"/>
      </w:pPr>
      <w:r w:rsidRPr="005D310F">
        <w:rPr>
          <w:b/>
          <w:bCs/>
          <w:sz w:val="36"/>
          <w:szCs w:val="36"/>
        </w:rPr>
        <w:t xml:space="preserve">FORM </w:t>
      </w:r>
      <w:r w:rsidRPr="00477D8F">
        <w:rPr>
          <w:b/>
          <w:bCs/>
          <w:sz w:val="36"/>
          <w:szCs w:val="36"/>
        </w:rPr>
        <w:t>10-K</w:t>
      </w:r>
      <w:r w:rsidRPr="005D310F">
        <w:rPr>
          <w:b/>
          <w:bCs/>
          <w:sz w:val="36"/>
          <w:szCs w:val="36"/>
        </w:rPr>
        <w:t xml:space="preserve"> </w:t>
      </w:r>
    </w:p>
    <w:p w:rsidR="00BA5C63" w:rsidRPr="005D310F" w:rsidRDefault="00BA5C63" w:rsidP="00BA5C63">
      <w:pPr>
        <w:pStyle w:val="rco"/>
        <w:ind w:left="4435" w:right="4435"/>
      </w:pPr>
      <w:r w:rsidRPr="005D310F">
        <w:t> </w:t>
      </w:r>
    </w:p>
    <w:p w:rsidR="00BA5C63" w:rsidRPr="005D310F" w:rsidRDefault="00BA5C63" w:rsidP="00BA5C63">
      <w:pPr>
        <w:pStyle w:val="NormalWeb"/>
        <w:keepNext/>
        <w:spacing w:before="45" w:beforeAutospacing="0" w:after="0" w:afterAutospacing="0"/>
        <w:ind w:firstLine="489"/>
        <w:rPr>
          <w:sz w:val="19"/>
          <w:szCs w:val="19"/>
        </w:rPr>
      </w:pPr>
      <w:r w:rsidRPr="005D310F">
        <w:rPr>
          <w:b/>
          <w:bCs/>
          <w:sz w:val="19"/>
          <w:szCs w:val="19"/>
        </w:rPr>
        <w:t xml:space="preserve">(Mark One) </w:t>
      </w:r>
    </w:p>
    <w:p w:rsidR="00BA5C63" w:rsidRPr="005D310F" w:rsidRDefault="00BA5C63" w:rsidP="00BA5C63">
      <w:pPr>
        <w:pStyle w:val="NormalWeb"/>
        <w:spacing w:before="0" w:beforeAutospacing="0" w:after="0" w:afterAutospacing="0"/>
        <w:ind w:left="489" w:hanging="490"/>
        <w:jc w:val="center"/>
      </w:pPr>
      <w:r w:rsidRPr="00477D8F">
        <w:rPr>
          <w:rFonts w:ascii="Wingdings" w:hAnsi="Wingdings"/>
          <w:sz w:val="20"/>
          <w:szCs w:val="20"/>
        </w:rPr>
        <w:sym w:font="Wingdings" w:char="F078"/>
      </w:r>
      <w:r w:rsidRPr="005D310F">
        <w:rPr>
          <w:rFonts w:ascii="Wingdings" w:hAnsi="Wingdings"/>
          <w:sz w:val="20"/>
          <w:szCs w:val="20"/>
        </w:rPr>
        <w:t></w:t>
      </w:r>
      <w:r w:rsidRPr="005D310F">
        <w:rPr>
          <w:rFonts w:ascii="Wingdings" w:hAnsi="Wingdings"/>
          <w:sz w:val="20"/>
          <w:szCs w:val="20"/>
        </w:rPr>
        <w:t></w:t>
      </w:r>
      <w:r w:rsidRPr="005D310F">
        <w:rPr>
          <w:bCs/>
          <w:caps/>
          <w:sz w:val="20"/>
          <w:szCs w:val="20"/>
        </w:rPr>
        <w:tab/>
      </w:r>
      <w:r w:rsidRPr="005D310F">
        <w:rPr>
          <w:b/>
          <w:bCs/>
          <w:caps/>
          <w:sz w:val="20"/>
          <w:szCs w:val="20"/>
        </w:rPr>
        <w:t>ANNUAL REPORT PURSUANT TO SECTION 13 OR 15(D) OF THE SECURITIES EXCHANGE ACT OF 1934</w:t>
      </w:r>
    </w:p>
    <w:p w:rsidR="00BA5C63" w:rsidRPr="005D310F" w:rsidRDefault="00BA5C63" w:rsidP="00BA5C63">
      <w:pPr>
        <w:pStyle w:val="NormalWeb"/>
        <w:keepNext/>
        <w:spacing w:before="45" w:beforeAutospacing="0" w:after="0" w:afterAutospacing="0"/>
        <w:jc w:val="center"/>
      </w:pPr>
      <w:r w:rsidRPr="005D310F">
        <w:rPr>
          <w:b/>
          <w:bCs/>
          <w:sz w:val="20"/>
          <w:szCs w:val="20"/>
        </w:rPr>
        <w:t xml:space="preserve">FOR THE FISCAL YEAR ENDED </w:t>
      </w:r>
      <w:r w:rsidRPr="00477D8F">
        <w:rPr>
          <w:b/>
          <w:bCs/>
          <w:sz w:val="20"/>
          <w:szCs w:val="20"/>
        </w:rPr>
        <w:t>DECEMBER 31, 2019</w:t>
      </w:r>
    </w:p>
    <w:p w:rsidR="00BA5C63" w:rsidRPr="005D310F" w:rsidRDefault="00BA5C63" w:rsidP="00BA5C63">
      <w:pPr>
        <w:pStyle w:val="NormalWeb"/>
        <w:keepNext/>
        <w:spacing w:before="45" w:beforeAutospacing="0" w:after="0" w:afterAutospacing="0"/>
        <w:jc w:val="center"/>
      </w:pPr>
      <w:r w:rsidRPr="005D310F">
        <w:rPr>
          <w:b/>
          <w:bCs/>
          <w:sz w:val="20"/>
          <w:szCs w:val="20"/>
        </w:rPr>
        <w:t>or</w:t>
      </w:r>
    </w:p>
    <w:p w:rsidR="00BA5C63" w:rsidRPr="005D310F" w:rsidRDefault="00BA5C63" w:rsidP="00BA5C63">
      <w:pPr>
        <w:pStyle w:val="NormalWeb"/>
        <w:spacing w:before="45" w:beforeAutospacing="0" w:after="0" w:afterAutospacing="0"/>
        <w:ind w:left="489" w:hanging="490"/>
        <w:jc w:val="center"/>
      </w:pPr>
      <w:r w:rsidRPr="00477D8F">
        <w:rPr>
          <w:rFonts w:ascii="Wingdings" w:hAnsi="Wingdings"/>
          <w:sz w:val="20"/>
          <w:szCs w:val="20"/>
        </w:rPr>
        <w:sym w:font="Wingdings" w:char="F06F"/>
      </w:r>
      <w:r w:rsidRPr="005D310F">
        <w:rPr>
          <w:bCs/>
          <w:sz w:val="20"/>
          <w:szCs w:val="20"/>
        </w:rPr>
        <w:tab/>
      </w:r>
      <w:r w:rsidRPr="005D310F">
        <w:rPr>
          <w:b/>
          <w:bCs/>
          <w:sz w:val="20"/>
          <w:szCs w:val="20"/>
        </w:rPr>
        <w:t>TRANSITION REPORT PURSUANT TO SECTION 13 OR 15(D) OF THE SECURITIES EXCHANGE ACT OF 1934</w:t>
      </w:r>
    </w:p>
    <w:p w:rsidR="00BA5C63" w:rsidRPr="005D310F" w:rsidRDefault="00BA5C63" w:rsidP="00BA5C63">
      <w:pPr>
        <w:pStyle w:val="NormalWeb"/>
        <w:keepNext/>
        <w:spacing w:before="45" w:beforeAutospacing="0" w:after="0" w:afterAutospacing="0"/>
        <w:jc w:val="center"/>
      </w:pPr>
      <w:r w:rsidRPr="005D310F">
        <w:rPr>
          <w:b/>
          <w:bCs/>
          <w:sz w:val="20"/>
          <w:szCs w:val="20"/>
        </w:rPr>
        <w:t>FOR THE TRANSITION PERIOD FROM              TO</w:t>
      </w:r>
    </w:p>
    <w:p w:rsidR="00BA5C63" w:rsidRPr="005D310F" w:rsidRDefault="00BA5C63" w:rsidP="00BA5C63">
      <w:pPr>
        <w:pStyle w:val="NormalWeb"/>
        <w:keepNext/>
        <w:spacing w:before="45" w:beforeAutospacing="0" w:after="0" w:afterAutospacing="0"/>
        <w:jc w:val="center"/>
        <w:rPr>
          <w:sz w:val="19"/>
          <w:szCs w:val="19"/>
        </w:rPr>
      </w:pPr>
      <w:r w:rsidRPr="005D310F">
        <w:rPr>
          <w:b/>
          <w:bCs/>
          <w:sz w:val="19"/>
          <w:szCs w:val="19"/>
        </w:rPr>
        <w:t xml:space="preserve">Commission file number: </w:t>
      </w:r>
      <w:r w:rsidRPr="00477D8F">
        <w:rPr>
          <w:b/>
          <w:bCs/>
          <w:sz w:val="19"/>
          <w:szCs w:val="19"/>
        </w:rPr>
        <w:t>001-35479</w:t>
      </w:r>
    </w:p>
    <w:p w:rsidR="00BA5C63" w:rsidRPr="005D310F" w:rsidRDefault="00BA5C63" w:rsidP="00BA5C63">
      <w:pPr>
        <w:pStyle w:val="rco"/>
        <w:ind w:left="4435" w:right="4435"/>
      </w:pPr>
    </w:p>
    <w:p w:rsidR="00BA5C63" w:rsidRPr="00477D8F" w:rsidRDefault="00BA5C63" w:rsidP="00BA5C63">
      <w:pPr>
        <w:pStyle w:val="NormalWeb"/>
        <w:spacing w:before="45" w:beforeAutospacing="0" w:after="0" w:afterAutospacing="0"/>
        <w:jc w:val="center"/>
      </w:pPr>
      <w:r w:rsidRPr="00477D8F">
        <w:rPr>
          <w:b/>
          <w:bCs/>
          <w:sz w:val="48"/>
          <w:szCs w:val="48"/>
        </w:rPr>
        <w:t>MRC GLOBAL INC.</w:t>
      </w:r>
    </w:p>
    <w:p w:rsidR="00BA5C63" w:rsidRPr="005D310F" w:rsidRDefault="00BA5C63" w:rsidP="00BA5C63">
      <w:pPr>
        <w:pStyle w:val="NormalWeb"/>
        <w:keepNext/>
        <w:spacing w:before="0" w:beforeAutospacing="0" w:after="0" w:afterAutospacing="0"/>
        <w:jc w:val="center"/>
        <w:rPr>
          <w:sz w:val="19"/>
          <w:szCs w:val="19"/>
        </w:rPr>
      </w:pPr>
      <w:r w:rsidRPr="005D310F">
        <w:rPr>
          <w:b/>
          <w:bCs/>
          <w:sz w:val="19"/>
          <w:szCs w:val="19"/>
        </w:rPr>
        <w:t>(Exact name of registrant as specified in its charter)</w:t>
      </w:r>
    </w:p>
    <w:p w:rsidR="00BA5C63" w:rsidRPr="005D310F" w:rsidRDefault="00BA5C63" w:rsidP="00BA5C63">
      <w:pPr>
        <w:pStyle w:val="rco"/>
        <w:ind w:left="4435" w:right="4435"/>
      </w:pPr>
      <w:r w:rsidRPr="005D310F">
        <w:t> </w:t>
      </w:r>
    </w:p>
    <w:p w:rsidR="00BA5C63" w:rsidRPr="005D310F" w:rsidRDefault="00BA5C63" w:rsidP="00BA5C63">
      <w:pPr>
        <w:pStyle w:val="NormalWeb"/>
        <w:keepNext/>
        <w:spacing w:before="0" w:beforeAutospacing="0" w:after="0" w:afterAutospacing="0"/>
        <w:rPr>
          <w:sz w:val="5"/>
          <w:szCs w:val="5"/>
        </w:rPr>
      </w:pPr>
      <w:r w:rsidRPr="005D310F">
        <w:rPr>
          <w:sz w:val="5"/>
          <w:szCs w:val="5"/>
        </w:rPr>
        <w:t> </w:t>
      </w:r>
    </w:p>
    <w:tbl>
      <w:tblPr>
        <w:tblW w:w="5000" w:type="pct"/>
        <w:jc w:val="center"/>
        <w:tblCellMar>
          <w:left w:w="0" w:type="dxa"/>
          <w:right w:w="0" w:type="dxa"/>
        </w:tblCellMar>
        <w:tblLook w:val="0000" w:firstRow="0" w:lastRow="0" w:firstColumn="0" w:lastColumn="0" w:noHBand="0" w:noVBand="0"/>
      </w:tblPr>
      <w:tblGrid>
        <w:gridCol w:w="5400"/>
        <w:gridCol w:w="5400"/>
      </w:tblGrid>
      <w:tr w:rsidR="00BA5C63" w:rsidRPr="005D310F" w:rsidTr="00BA5C63">
        <w:trPr>
          <w:trHeight w:hRule="exact" w:val="20"/>
          <w:jc w:val="center"/>
        </w:trPr>
        <w:tc>
          <w:tcPr>
            <w:tcW w:w="4800" w:type="dxa"/>
            <w:tcBorders>
              <w:top w:val="nil"/>
              <w:left w:val="nil"/>
              <w:bottom w:val="nil"/>
              <w:right w:val="nil"/>
            </w:tcBorders>
            <w:vAlign w:val="center"/>
          </w:tcPr>
          <w:p w:rsidR="00BA5C63" w:rsidRPr="005D310F" w:rsidRDefault="00BA5C63" w:rsidP="00BA5C63">
            <w:pPr>
              <w:rPr>
                <w:sz w:val="2"/>
              </w:rPr>
            </w:pPr>
          </w:p>
        </w:tc>
        <w:tc>
          <w:tcPr>
            <w:tcW w:w="4800" w:type="dxa"/>
            <w:tcBorders>
              <w:top w:val="nil"/>
              <w:left w:val="nil"/>
              <w:bottom w:val="nil"/>
              <w:right w:val="nil"/>
            </w:tcBorders>
            <w:vAlign w:val="center"/>
          </w:tcPr>
          <w:p w:rsidR="00BA5C63" w:rsidRPr="005D310F" w:rsidRDefault="00BA5C63" w:rsidP="00BA5C63">
            <w:pPr>
              <w:rPr>
                <w:sz w:val="2"/>
              </w:rPr>
            </w:pPr>
          </w:p>
        </w:tc>
      </w:tr>
      <w:tr w:rsidR="00BA5C63" w:rsidRPr="005D310F" w:rsidTr="00BA5C63">
        <w:trPr>
          <w:jc w:val="center"/>
        </w:trPr>
        <w:tc>
          <w:tcPr>
            <w:tcW w:w="4800" w:type="dxa"/>
            <w:vAlign w:val="center"/>
          </w:tcPr>
          <w:p w:rsidR="00BA5C63" w:rsidRPr="005D310F" w:rsidRDefault="00BA5C63" w:rsidP="00BA5C63">
            <w:pPr>
              <w:rPr>
                <w:sz w:val="1"/>
              </w:rPr>
            </w:pPr>
          </w:p>
        </w:tc>
        <w:tc>
          <w:tcPr>
            <w:tcW w:w="4800" w:type="dxa"/>
            <w:vAlign w:val="center"/>
          </w:tcPr>
          <w:p w:rsidR="00BA5C63" w:rsidRPr="005D310F" w:rsidRDefault="00BA5C63" w:rsidP="00BA5C63">
            <w:pPr>
              <w:rPr>
                <w:sz w:val="1"/>
              </w:rPr>
            </w:pPr>
          </w:p>
        </w:tc>
      </w:tr>
      <w:tr w:rsidR="00BA5C63" w:rsidRPr="005D310F" w:rsidTr="00BA5C63">
        <w:trPr>
          <w:jc w:val="center"/>
        </w:trPr>
        <w:tc>
          <w:tcPr>
            <w:tcW w:w="5400" w:type="dxa"/>
          </w:tcPr>
          <w:p w:rsidR="00BA5C63" w:rsidRPr="00477D8F" w:rsidRDefault="00BA5C63" w:rsidP="00BA5C63">
            <w:pPr>
              <w:jc w:val="center"/>
              <w:rPr>
                <w:sz w:val="19"/>
                <w:szCs w:val="19"/>
              </w:rPr>
            </w:pPr>
            <w:r w:rsidRPr="00477D8F">
              <w:rPr>
                <w:b/>
                <w:bCs/>
                <w:sz w:val="19"/>
                <w:szCs w:val="19"/>
              </w:rPr>
              <w:t>Delaware</w:t>
            </w:r>
          </w:p>
        </w:tc>
        <w:tc>
          <w:tcPr>
            <w:tcW w:w="5400" w:type="dxa"/>
          </w:tcPr>
          <w:p w:rsidR="00BA5C63" w:rsidRPr="00477D8F" w:rsidRDefault="00BA5C63" w:rsidP="00BA5C63">
            <w:pPr>
              <w:jc w:val="center"/>
              <w:rPr>
                <w:sz w:val="19"/>
                <w:szCs w:val="19"/>
              </w:rPr>
            </w:pPr>
            <w:r w:rsidRPr="00477D8F">
              <w:rPr>
                <w:b/>
                <w:bCs/>
                <w:sz w:val="19"/>
                <w:szCs w:val="19"/>
              </w:rPr>
              <w:t>20-5956993</w:t>
            </w:r>
          </w:p>
        </w:tc>
      </w:tr>
      <w:tr w:rsidR="00BA5C63" w:rsidRPr="005D310F" w:rsidTr="00BA5C63">
        <w:trPr>
          <w:jc w:val="center"/>
        </w:trPr>
        <w:tc>
          <w:tcPr>
            <w:tcW w:w="5400" w:type="dxa"/>
          </w:tcPr>
          <w:p w:rsidR="00BA5C63" w:rsidRPr="005D310F" w:rsidRDefault="00BA5C63" w:rsidP="00BA5C63">
            <w:pPr>
              <w:jc w:val="center"/>
            </w:pPr>
            <w:r w:rsidRPr="005D310F">
              <w:rPr>
                <w:b/>
                <w:bCs/>
                <w:sz w:val="15"/>
                <w:szCs w:val="15"/>
              </w:rPr>
              <w:t xml:space="preserve">(State or Other Jurisdiction of </w:t>
            </w:r>
            <w:r w:rsidRPr="005D310F">
              <w:rPr>
                <w:b/>
                <w:bCs/>
                <w:sz w:val="15"/>
                <w:szCs w:val="15"/>
              </w:rPr>
              <w:br/>
              <w:t>Incorporation or Organization)</w:t>
            </w:r>
          </w:p>
        </w:tc>
        <w:tc>
          <w:tcPr>
            <w:tcW w:w="5400" w:type="dxa"/>
          </w:tcPr>
          <w:p w:rsidR="00BA5C63" w:rsidRPr="005D310F" w:rsidRDefault="00BA5C63" w:rsidP="00BA5C63">
            <w:pPr>
              <w:pStyle w:val="NormalWeb"/>
              <w:spacing w:before="0" w:beforeAutospacing="0" w:after="0" w:afterAutospacing="0"/>
              <w:jc w:val="center"/>
            </w:pPr>
            <w:r w:rsidRPr="005D310F">
              <w:rPr>
                <w:b/>
                <w:bCs/>
                <w:sz w:val="15"/>
                <w:szCs w:val="15"/>
              </w:rPr>
              <w:t>(I.R.S. Employer</w:t>
            </w:r>
          </w:p>
          <w:p w:rsidR="00BA5C63" w:rsidRPr="005D310F" w:rsidRDefault="00BA5C63" w:rsidP="00BA5C63">
            <w:pPr>
              <w:pStyle w:val="NormalWeb"/>
              <w:spacing w:before="0" w:beforeAutospacing="0" w:after="15" w:afterAutospacing="0"/>
              <w:jc w:val="center"/>
            </w:pPr>
            <w:r w:rsidRPr="005D310F">
              <w:rPr>
                <w:b/>
                <w:bCs/>
                <w:sz w:val="15"/>
                <w:szCs w:val="15"/>
              </w:rPr>
              <w:t>Identification No.)</w:t>
            </w:r>
          </w:p>
        </w:tc>
      </w:tr>
      <w:tr w:rsidR="00BA5C63" w:rsidRPr="005D310F" w:rsidTr="00BA5C63">
        <w:trPr>
          <w:trHeight w:val="120"/>
          <w:jc w:val="center"/>
        </w:trPr>
        <w:tc>
          <w:tcPr>
            <w:tcW w:w="5400" w:type="dxa"/>
            <w:vAlign w:val="center"/>
          </w:tcPr>
          <w:p w:rsidR="00BA5C63" w:rsidRPr="005D310F" w:rsidRDefault="00BA5C63" w:rsidP="00BA5C63">
            <w:pPr>
              <w:rPr>
                <w:sz w:val="12"/>
              </w:rPr>
            </w:pPr>
          </w:p>
        </w:tc>
        <w:tc>
          <w:tcPr>
            <w:tcW w:w="5400" w:type="dxa"/>
            <w:vAlign w:val="center"/>
          </w:tcPr>
          <w:p w:rsidR="00BA5C63" w:rsidRPr="005D310F" w:rsidRDefault="00BA5C63" w:rsidP="00BA5C63">
            <w:pPr>
              <w:rPr>
                <w:sz w:val="12"/>
              </w:rPr>
            </w:pPr>
          </w:p>
        </w:tc>
      </w:tr>
      <w:tr w:rsidR="00BA5C63" w:rsidRPr="005D310F" w:rsidTr="00BA5C63">
        <w:trPr>
          <w:jc w:val="center"/>
        </w:trPr>
        <w:tc>
          <w:tcPr>
            <w:tcW w:w="5400" w:type="dxa"/>
          </w:tcPr>
          <w:p w:rsidR="00BA5C63" w:rsidRPr="00477D8F" w:rsidRDefault="00BA5C63" w:rsidP="00BA5C63">
            <w:pPr>
              <w:pStyle w:val="NormalWeb"/>
              <w:spacing w:before="0" w:beforeAutospacing="0" w:after="0" w:afterAutospacing="0"/>
              <w:jc w:val="center"/>
              <w:rPr>
                <w:b/>
                <w:bCs/>
                <w:sz w:val="19"/>
                <w:szCs w:val="19"/>
              </w:rPr>
            </w:pPr>
            <w:r w:rsidRPr="00477D8F">
              <w:rPr>
                <w:b/>
                <w:bCs/>
                <w:sz w:val="19"/>
                <w:szCs w:val="19"/>
              </w:rPr>
              <w:t>Fulbright Tower</w:t>
            </w:r>
          </w:p>
          <w:p w:rsidR="00BA5C63" w:rsidRPr="005D310F" w:rsidRDefault="00BA5C63" w:rsidP="00BA5C63">
            <w:pPr>
              <w:pStyle w:val="NormalWeb"/>
              <w:spacing w:before="0" w:beforeAutospacing="0" w:after="0" w:afterAutospacing="0"/>
              <w:jc w:val="center"/>
              <w:rPr>
                <w:sz w:val="19"/>
                <w:szCs w:val="19"/>
              </w:rPr>
            </w:pPr>
            <w:r w:rsidRPr="00477D8F">
              <w:rPr>
                <w:b/>
                <w:bCs/>
                <w:sz w:val="19"/>
                <w:szCs w:val="19"/>
              </w:rPr>
              <w:t>1301 McKinney Street</w:t>
            </w:r>
            <w:r w:rsidRPr="005D310F">
              <w:rPr>
                <w:b/>
                <w:bCs/>
                <w:sz w:val="19"/>
                <w:szCs w:val="19"/>
              </w:rPr>
              <w:t xml:space="preserve">, </w:t>
            </w:r>
            <w:r w:rsidRPr="00477D8F">
              <w:rPr>
                <w:b/>
                <w:bCs/>
                <w:sz w:val="19"/>
                <w:szCs w:val="19"/>
              </w:rPr>
              <w:t>Suite 2300</w:t>
            </w:r>
          </w:p>
          <w:p w:rsidR="00BA5C63" w:rsidRPr="005D310F" w:rsidRDefault="00BA5C63" w:rsidP="00BA5C63">
            <w:pPr>
              <w:pStyle w:val="NormalWeb"/>
              <w:spacing w:before="0" w:beforeAutospacing="0" w:after="15" w:afterAutospacing="0"/>
              <w:jc w:val="center"/>
              <w:rPr>
                <w:sz w:val="19"/>
                <w:szCs w:val="19"/>
              </w:rPr>
            </w:pPr>
            <w:r w:rsidRPr="00477D8F">
              <w:rPr>
                <w:b/>
                <w:bCs/>
                <w:sz w:val="19"/>
                <w:szCs w:val="19"/>
              </w:rPr>
              <w:t>Houston</w:t>
            </w:r>
            <w:r w:rsidRPr="005D310F">
              <w:rPr>
                <w:b/>
                <w:bCs/>
                <w:sz w:val="19"/>
                <w:szCs w:val="19"/>
              </w:rPr>
              <w:t xml:space="preserve">, </w:t>
            </w:r>
            <w:r w:rsidRPr="00477D8F">
              <w:rPr>
                <w:b/>
                <w:bCs/>
                <w:sz w:val="19"/>
                <w:szCs w:val="19"/>
              </w:rPr>
              <w:t>Texas</w:t>
            </w:r>
          </w:p>
        </w:tc>
        <w:tc>
          <w:tcPr>
            <w:tcW w:w="5400" w:type="dxa"/>
            <w:vAlign w:val="bottom"/>
          </w:tcPr>
          <w:p w:rsidR="00BA5C63" w:rsidRPr="00477D8F" w:rsidRDefault="00BA5C63" w:rsidP="00BA5C63">
            <w:pPr>
              <w:jc w:val="center"/>
              <w:rPr>
                <w:sz w:val="19"/>
                <w:szCs w:val="19"/>
              </w:rPr>
            </w:pPr>
            <w:r w:rsidRPr="00477D8F">
              <w:rPr>
                <w:b/>
                <w:bCs/>
                <w:sz w:val="19"/>
                <w:szCs w:val="19"/>
              </w:rPr>
              <w:t>77010</w:t>
            </w:r>
          </w:p>
        </w:tc>
      </w:tr>
      <w:tr w:rsidR="00BA5C63" w:rsidRPr="005D310F" w:rsidTr="00BA5C63">
        <w:trPr>
          <w:jc w:val="center"/>
        </w:trPr>
        <w:tc>
          <w:tcPr>
            <w:tcW w:w="5400" w:type="dxa"/>
          </w:tcPr>
          <w:p w:rsidR="00BA5C63" w:rsidRPr="005D310F" w:rsidRDefault="00BA5C63" w:rsidP="00BA5C63">
            <w:pPr>
              <w:jc w:val="center"/>
            </w:pPr>
            <w:r w:rsidRPr="005D310F">
              <w:rPr>
                <w:b/>
                <w:bCs/>
                <w:sz w:val="15"/>
                <w:szCs w:val="15"/>
              </w:rPr>
              <w:t>(Address of Principal Executive Offices)</w:t>
            </w:r>
          </w:p>
        </w:tc>
        <w:tc>
          <w:tcPr>
            <w:tcW w:w="5400" w:type="dxa"/>
          </w:tcPr>
          <w:p w:rsidR="00BA5C63" w:rsidRPr="005D310F" w:rsidRDefault="00BA5C63" w:rsidP="00BA5C63">
            <w:pPr>
              <w:jc w:val="center"/>
            </w:pPr>
            <w:r w:rsidRPr="005D310F">
              <w:rPr>
                <w:b/>
                <w:bCs/>
                <w:sz w:val="15"/>
                <w:szCs w:val="15"/>
              </w:rPr>
              <w:t>(Zip Code)</w:t>
            </w:r>
          </w:p>
        </w:tc>
      </w:tr>
    </w:tbl>
    <w:p w:rsidR="00BA5C63" w:rsidRPr="005D310F" w:rsidRDefault="00BA5C63" w:rsidP="00BA5C63">
      <w:pPr>
        <w:pStyle w:val="NormalWeb"/>
        <w:keepNext/>
        <w:spacing w:before="45" w:beforeAutospacing="0" w:after="0" w:afterAutospacing="0"/>
        <w:jc w:val="center"/>
        <w:rPr>
          <w:sz w:val="19"/>
          <w:szCs w:val="19"/>
        </w:rPr>
      </w:pPr>
      <w:r w:rsidRPr="005D310F">
        <w:rPr>
          <w:b/>
          <w:bCs/>
          <w:sz w:val="19"/>
          <w:szCs w:val="19"/>
        </w:rPr>
        <w:t>(</w:t>
      </w:r>
      <w:r w:rsidRPr="00477D8F">
        <w:rPr>
          <w:b/>
          <w:bCs/>
          <w:sz w:val="19"/>
          <w:szCs w:val="19"/>
        </w:rPr>
        <w:t>877</w:t>
      </w:r>
      <w:r w:rsidRPr="005D310F">
        <w:rPr>
          <w:b/>
          <w:bCs/>
          <w:sz w:val="19"/>
          <w:szCs w:val="19"/>
        </w:rPr>
        <w:t xml:space="preserve">) </w:t>
      </w:r>
      <w:r w:rsidRPr="00477D8F">
        <w:rPr>
          <w:b/>
          <w:bCs/>
          <w:sz w:val="19"/>
          <w:szCs w:val="19"/>
        </w:rPr>
        <w:t>294-7574</w:t>
      </w:r>
      <w:r w:rsidRPr="005D310F">
        <w:rPr>
          <w:b/>
          <w:bCs/>
          <w:sz w:val="19"/>
          <w:szCs w:val="19"/>
        </w:rPr>
        <w:t xml:space="preserve"> </w:t>
      </w:r>
    </w:p>
    <w:p w:rsidR="00BA5C63" w:rsidRPr="005D310F" w:rsidRDefault="00BA5C63" w:rsidP="00BA5C63">
      <w:pPr>
        <w:pStyle w:val="NormalWeb"/>
        <w:spacing w:before="0" w:beforeAutospacing="0" w:after="0" w:afterAutospacing="0"/>
        <w:jc w:val="center"/>
      </w:pPr>
      <w:r w:rsidRPr="005D310F">
        <w:rPr>
          <w:b/>
          <w:bCs/>
          <w:sz w:val="15"/>
          <w:szCs w:val="15"/>
        </w:rPr>
        <w:t xml:space="preserve">(Registrant’s Telephone Number, including Area Code) </w:t>
      </w:r>
    </w:p>
    <w:p w:rsidR="00BA5C63" w:rsidRPr="005D310F" w:rsidRDefault="00BA5C63" w:rsidP="00BA5C63">
      <w:pPr>
        <w:pStyle w:val="NormalWeb"/>
        <w:keepNext/>
        <w:spacing w:before="45" w:beforeAutospacing="0" w:after="0" w:afterAutospacing="0"/>
        <w:jc w:val="center"/>
        <w:rPr>
          <w:sz w:val="19"/>
          <w:szCs w:val="19"/>
        </w:rPr>
      </w:pPr>
      <w:r w:rsidRPr="005D310F">
        <w:rPr>
          <w:b/>
          <w:bCs/>
          <w:sz w:val="19"/>
          <w:szCs w:val="19"/>
        </w:rPr>
        <w:t xml:space="preserve">Securities registered pursuant to Section 12(b) of the Act: </w:t>
      </w:r>
    </w:p>
    <w:p w:rsidR="00BA5C63" w:rsidRPr="005D310F" w:rsidRDefault="00BA5C63" w:rsidP="00BA5C63">
      <w:pPr>
        <w:pStyle w:val="NormalWeb"/>
        <w:keepNext/>
        <w:spacing w:before="0" w:beforeAutospacing="0" w:after="0" w:afterAutospacing="0"/>
        <w:rPr>
          <w:sz w:val="5"/>
          <w:szCs w:val="5"/>
        </w:rPr>
      </w:pPr>
      <w:r w:rsidRPr="005D310F">
        <w:rPr>
          <w:sz w:val="5"/>
          <w:szCs w:val="5"/>
        </w:rPr>
        <w:t> </w:t>
      </w:r>
    </w:p>
    <w:tbl>
      <w:tblPr>
        <w:tblW w:w="5001" w:type="pct"/>
        <w:jc w:val="center"/>
        <w:tblCellMar>
          <w:left w:w="0" w:type="dxa"/>
          <w:right w:w="0" w:type="dxa"/>
        </w:tblCellMar>
        <w:tblLook w:val="0000" w:firstRow="0" w:lastRow="0" w:firstColumn="0" w:lastColumn="0" w:noHBand="0" w:noVBand="0"/>
      </w:tblPr>
      <w:tblGrid>
        <w:gridCol w:w="3515"/>
        <w:gridCol w:w="3515"/>
        <w:gridCol w:w="3766"/>
        <w:gridCol w:w="6"/>
      </w:tblGrid>
      <w:tr w:rsidR="00BA5C63" w:rsidRPr="005D310F" w:rsidTr="00BA5C63">
        <w:trPr>
          <w:trHeight w:hRule="exact" w:val="20"/>
          <w:tblHeader/>
          <w:jc w:val="center"/>
        </w:trPr>
        <w:tc>
          <w:tcPr>
            <w:tcW w:w="4997" w:type="pct"/>
            <w:gridSpan w:val="3"/>
            <w:tcBorders>
              <w:top w:val="nil"/>
              <w:left w:val="nil"/>
              <w:bottom w:val="nil"/>
              <w:right w:val="nil"/>
            </w:tcBorders>
            <w:vAlign w:val="center"/>
          </w:tcPr>
          <w:p w:rsidR="00BA5C63" w:rsidRDefault="00BA5C63" w:rsidP="00BA5C63">
            <w:pPr>
              <w:rPr>
                <w:sz w:val="2"/>
              </w:rPr>
            </w:pPr>
          </w:p>
          <w:p w:rsidR="00BA5C63" w:rsidRDefault="00BA5C63" w:rsidP="00BA5C63">
            <w:pPr>
              <w:rPr>
                <w:sz w:val="2"/>
              </w:rPr>
            </w:pPr>
          </w:p>
          <w:p w:rsidR="00BA5C63" w:rsidRPr="005D310F" w:rsidRDefault="00BA5C63" w:rsidP="00BA5C63">
            <w:pPr>
              <w:rPr>
                <w:sz w:val="2"/>
              </w:rPr>
            </w:pPr>
          </w:p>
        </w:tc>
        <w:tc>
          <w:tcPr>
            <w:tcW w:w="3" w:type="pct"/>
            <w:tcBorders>
              <w:top w:val="nil"/>
              <w:left w:val="nil"/>
              <w:bottom w:val="nil"/>
              <w:right w:val="nil"/>
            </w:tcBorders>
            <w:vAlign w:val="center"/>
          </w:tcPr>
          <w:p w:rsidR="00BA5C63" w:rsidRPr="005D310F" w:rsidRDefault="00BA5C63" w:rsidP="00BA5C63">
            <w:pPr>
              <w:rPr>
                <w:sz w:val="2"/>
              </w:rPr>
            </w:pPr>
          </w:p>
        </w:tc>
      </w:tr>
      <w:tr w:rsidR="00BA5C63" w:rsidRPr="005D310F" w:rsidTr="00BA5C63">
        <w:trPr>
          <w:tblHeader/>
          <w:jc w:val="center"/>
        </w:trPr>
        <w:tc>
          <w:tcPr>
            <w:tcW w:w="4997" w:type="pct"/>
            <w:gridSpan w:val="3"/>
            <w:tcBorders>
              <w:bottom w:val="single" w:sz="4" w:space="0" w:color="auto"/>
            </w:tcBorders>
            <w:vAlign w:val="center"/>
          </w:tcPr>
          <w:p w:rsidR="00BA5C63" w:rsidRPr="005D310F" w:rsidRDefault="00BA5C63" w:rsidP="00BA5C63">
            <w:pPr>
              <w:rPr>
                <w:sz w:val="1"/>
              </w:rPr>
            </w:pPr>
          </w:p>
        </w:tc>
        <w:tc>
          <w:tcPr>
            <w:tcW w:w="3" w:type="pct"/>
            <w:tcBorders>
              <w:bottom w:val="single" w:sz="4" w:space="0" w:color="auto"/>
            </w:tcBorders>
            <w:vAlign w:val="center"/>
          </w:tcPr>
          <w:p w:rsidR="00BA5C63" w:rsidRPr="005D310F" w:rsidRDefault="00BA5C63" w:rsidP="00BA5C63">
            <w:pPr>
              <w:rPr>
                <w:sz w:val="1"/>
              </w:rPr>
            </w:pPr>
          </w:p>
        </w:tc>
      </w:tr>
      <w:tr w:rsidR="00BA5C63" w:rsidRPr="005D310F" w:rsidTr="00BA5C63">
        <w:trPr>
          <w:tblHeader/>
          <w:jc w:val="center"/>
        </w:trPr>
        <w:tc>
          <w:tcPr>
            <w:tcW w:w="1627" w:type="pct"/>
            <w:tcBorders>
              <w:top w:val="single" w:sz="4" w:space="0" w:color="auto"/>
              <w:left w:val="single" w:sz="4" w:space="0" w:color="auto"/>
              <w:bottom w:val="single" w:sz="4" w:space="0" w:color="auto"/>
              <w:right w:val="single" w:sz="4" w:space="0" w:color="auto"/>
            </w:tcBorders>
          </w:tcPr>
          <w:p w:rsidR="00BA5C63" w:rsidRPr="00876497" w:rsidRDefault="00BA5C63" w:rsidP="00BA5C63">
            <w:pPr>
              <w:pStyle w:val="NormalWeb"/>
              <w:keepNext/>
              <w:spacing w:before="0" w:beforeAutospacing="0" w:after="0" w:afterAutospacing="0"/>
              <w:jc w:val="center"/>
              <w:rPr>
                <w:sz w:val="18"/>
                <w:szCs w:val="18"/>
              </w:rPr>
            </w:pPr>
            <w:r w:rsidRPr="00876497">
              <w:rPr>
                <w:b/>
                <w:bCs/>
                <w:sz w:val="18"/>
                <w:szCs w:val="18"/>
              </w:rPr>
              <w:t>Title of each class</w:t>
            </w:r>
          </w:p>
          <w:p w:rsidR="00BA5C63" w:rsidRPr="00876497" w:rsidRDefault="00BA5C63" w:rsidP="00BA5C63">
            <w:pPr>
              <w:pStyle w:val="rrdsinglerule"/>
              <w:keepNext/>
              <w:ind w:left="2189" w:right="2189"/>
              <w:rPr>
                <w:sz w:val="18"/>
                <w:szCs w:val="18"/>
              </w:rPr>
            </w:pPr>
          </w:p>
        </w:tc>
        <w:tc>
          <w:tcPr>
            <w:tcW w:w="1627" w:type="pct"/>
            <w:tcBorders>
              <w:top w:val="single" w:sz="4" w:space="0" w:color="auto"/>
              <w:left w:val="single" w:sz="4" w:space="0" w:color="auto"/>
              <w:bottom w:val="single" w:sz="4" w:space="0" w:color="auto"/>
              <w:right w:val="single" w:sz="4" w:space="0" w:color="auto"/>
            </w:tcBorders>
            <w:noWrap/>
          </w:tcPr>
          <w:p w:rsidR="00BA5C63" w:rsidRPr="00876497" w:rsidRDefault="00BA5C63" w:rsidP="00BA5C63">
            <w:pPr>
              <w:pStyle w:val="NormalWeb"/>
              <w:keepNext/>
              <w:spacing w:before="0" w:beforeAutospacing="0" w:after="0" w:afterAutospacing="0"/>
              <w:jc w:val="center"/>
              <w:rPr>
                <w:sz w:val="18"/>
                <w:szCs w:val="18"/>
              </w:rPr>
            </w:pPr>
            <w:r w:rsidRPr="00876497">
              <w:rPr>
                <w:b/>
                <w:bCs/>
                <w:sz w:val="18"/>
                <w:szCs w:val="18"/>
              </w:rPr>
              <w:t>Trading symbol(s)</w:t>
            </w:r>
          </w:p>
          <w:p w:rsidR="00BA5C63" w:rsidRPr="00876497" w:rsidRDefault="00BA5C63" w:rsidP="00BA5C63">
            <w:pPr>
              <w:pStyle w:val="rrdsinglerule"/>
              <w:keepNext/>
              <w:ind w:left="2189" w:right="2189"/>
              <w:rPr>
                <w:sz w:val="18"/>
                <w:szCs w:val="18"/>
              </w:rPr>
            </w:pPr>
          </w:p>
        </w:tc>
        <w:tc>
          <w:tcPr>
            <w:tcW w:w="1746" w:type="pct"/>
            <w:gridSpan w:val="2"/>
            <w:tcBorders>
              <w:top w:val="single" w:sz="4" w:space="0" w:color="auto"/>
              <w:left w:val="single" w:sz="4" w:space="0" w:color="auto"/>
              <w:bottom w:val="single" w:sz="4" w:space="0" w:color="auto"/>
              <w:right w:val="single" w:sz="4" w:space="0" w:color="auto"/>
            </w:tcBorders>
            <w:noWrap/>
            <w:tcMar>
              <w:top w:w="0" w:type="dxa"/>
              <w:left w:w="144" w:type="dxa"/>
              <w:bottom w:w="0" w:type="dxa"/>
              <w:right w:w="0" w:type="dxa"/>
            </w:tcMar>
          </w:tcPr>
          <w:p w:rsidR="00BA5C63" w:rsidRPr="00876497" w:rsidRDefault="00BA5C63" w:rsidP="00BA5C63">
            <w:pPr>
              <w:pStyle w:val="NormalWeb"/>
              <w:spacing w:before="0" w:beforeAutospacing="0" w:after="0" w:afterAutospacing="0"/>
              <w:jc w:val="center"/>
              <w:rPr>
                <w:sz w:val="18"/>
                <w:szCs w:val="18"/>
              </w:rPr>
            </w:pPr>
            <w:r w:rsidRPr="00876497">
              <w:rPr>
                <w:b/>
                <w:bCs/>
                <w:sz w:val="18"/>
                <w:szCs w:val="18"/>
              </w:rPr>
              <w:t>Name of each exchange on which registered</w:t>
            </w:r>
          </w:p>
          <w:p w:rsidR="00BA5C63" w:rsidRPr="00876497" w:rsidRDefault="00BA5C63" w:rsidP="00BA5C63">
            <w:pPr>
              <w:pStyle w:val="rrdsinglerule"/>
              <w:keepNext/>
              <w:ind w:left="1253" w:right="1267"/>
              <w:rPr>
                <w:sz w:val="18"/>
                <w:szCs w:val="18"/>
              </w:rPr>
            </w:pPr>
          </w:p>
        </w:tc>
      </w:tr>
      <w:tr w:rsidR="00BA5C63" w:rsidRPr="005D310F" w:rsidTr="00BA5C63">
        <w:trPr>
          <w:jc w:val="center"/>
        </w:trPr>
        <w:tc>
          <w:tcPr>
            <w:tcW w:w="1627" w:type="pct"/>
            <w:tcBorders>
              <w:top w:val="single" w:sz="4" w:space="0" w:color="auto"/>
              <w:left w:val="single" w:sz="4" w:space="0" w:color="auto"/>
              <w:bottom w:val="single" w:sz="4" w:space="0" w:color="auto"/>
              <w:right w:val="single" w:sz="4" w:space="0" w:color="auto"/>
            </w:tcBorders>
          </w:tcPr>
          <w:p w:rsidR="00BA5C63" w:rsidRPr="00477D8F" w:rsidRDefault="00BA5C63" w:rsidP="00BA5C63">
            <w:pPr>
              <w:pStyle w:val="NormalWeb"/>
              <w:keepNext/>
              <w:jc w:val="center"/>
              <w:rPr>
                <w:sz w:val="19"/>
                <w:szCs w:val="19"/>
              </w:rPr>
            </w:pPr>
            <w:r w:rsidRPr="00477D8F">
              <w:rPr>
                <w:b/>
                <w:bCs/>
                <w:sz w:val="19"/>
                <w:szCs w:val="19"/>
              </w:rPr>
              <w:t>Common Stock</w:t>
            </w:r>
          </w:p>
        </w:tc>
        <w:tc>
          <w:tcPr>
            <w:tcW w:w="1627" w:type="pct"/>
            <w:tcBorders>
              <w:top w:val="single" w:sz="4" w:space="0" w:color="auto"/>
              <w:left w:val="single" w:sz="4" w:space="0" w:color="auto"/>
              <w:bottom w:val="single" w:sz="4" w:space="0" w:color="auto"/>
              <w:right w:val="single" w:sz="4" w:space="0" w:color="auto"/>
            </w:tcBorders>
          </w:tcPr>
          <w:p w:rsidR="00BA5C63" w:rsidRPr="00477D8F" w:rsidRDefault="00BA5C63" w:rsidP="00BA5C63">
            <w:pPr>
              <w:pStyle w:val="NormalWeb"/>
              <w:keepNext/>
              <w:jc w:val="center"/>
              <w:rPr>
                <w:sz w:val="19"/>
                <w:szCs w:val="19"/>
              </w:rPr>
            </w:pPr>
            <w:r w:rsidRPr="00477D8F">
              <w:rPr>
                <w:b/>
                <w:bCs/>
                <w:sz w:val="19"/>
                <w:szCs w:val="19"/>
              </w:rPr>
              <w:t>MRC</w:t>
            </w:r>
          </w:p>
        </w:tc>
        <w:tc>
          <w:tcPr>
            <w:tcW w:w="1746" w:type="pct"/>
            <w:gridSpan w:val="2"/>
            <w:tcBorders>
              <w:top w:val="single" w:sz="4" w:space="0" w:color="auto"/>
              <w:left w:val="single" w:sz="4" w:space="0" w:color="auto"/>
              <w:bottom w:val="single" w:sz="4" w:space="0" w:color="auto"/>
              <w:right w:val="single" w:sz="4" w:space="0" w:color="auto"/>
            </w:tcBorders>
          </w:tcPr>
          <w:p w:rsidR="00BA5C63" w:rsidRPr="00C9654D" w:rsidRDefault="00BA5C63" w:rsidP="00BA5C63">
            <w:pPr>
              <w:ind w:left="135"/>
              <w:jc w:val="center"/>
              <w:rPr>
                <w:sz w:val="19"/>
                <w:szCs w:val="19"/>
              </w:rPr>
            </w:pPr>
            <w:r>
              <w:rPr>
                <w:b/>
                <w:bCs/>
                <w:sz w:val="19"/>
                <w:szCs w:val="19"/>
              </w:rPr>
              <w:t xml:space="preserve"> </w:t>
            </w:r>
            <w:r w:rsidRPr="00C9654D">
              <w:rPr>
                <w:b/>
                <w:bCs/>
                <w:sz w:val="19"/>
                <w:szCs w:val="19"/>
              </w:rPr>
              <w:t>New York Stock Exchange</w:t>
            </w:r>
            <w:r>
              <w:rPr>
                <w:b/>
                <w:bCs/>
                <w:sz w:val="19"/>
                <w:szCs w:val="19"/>
              </w:rPr>
              <w:t xml:space="preserve"> </w:t>
            </w:r>
          </w:p>
        </w:tc>
      </w:tr>
    </w:tbl>
    <w:p w:rsidR="00BA5C63" w:rsidRDefault="00BA5C63" w:rsidP="00BA5C63">
      <w:pPr>
        <w:pStyle w:val="NormalWeb"/>
        <w:keepNext/>
        <w:spacing w:before="45" w:beforeAutospacing="0" w:after="0" w:afterAutospacing="0"/>
        <w:jc w:val="center"/>
        <w:rPr>
          <w:sz w:val="19"/>
          <w:szCs w:val="19"/>
        </w:rPr>
      </w:pPr>
      <w:r w:rsidRPr="005D310F">
        <w:rPr>
          <w:b/>
          <w:bCs/>
          <w:sz w:val="19"/>
          <w:szCs w:val="19"/>
        </w:rPr>
        <w:t>Securities registered pursuant to Section 12(g) of the Act:</w:t>
      </w:r>
      <w:r>
        <w:rPr>
          <w:b/>
          <w:bCs/>
          <w:sz w:val="19"/>
          <w:szCs w:val="19"/>
        </w:rPr>
        <w:t xml:space="preserve"> None</w:t>
      </w:r>
    </w:p>
    <w:p w:rsidR="00BA5C63" w:rsidRDefault="00BA5C63" w:rsidP="00BA5C63">
      <w:pPr>
        <w:pStyle w:val="NormalWeb"/>
        <w:spacing w:before="0" w:beforeAutospacing="0" w:after="0" w:afterAutospacing="0"/>
        <w:jc w:val="center"/>
      </w:pPr>
      <w:r>
        <w:rPr>
          <w:b/>
          <w:bCs/>
          <w:sz w:val="15"/>
          <w:szCs w:val="15"/>
        </w:rPr>
        <w:t>(Title of class)</w:t>
      </w:r>
    </w:p>
    <w:p w:rsidR="00BA5C63" w:rsidRDefault="00BA5C63" w:rsidP="00BA5C63">
      <w:pPr>
        <w:pStyle w:val="rco"/>
        <w:ind w:left="4435" w:right="4435"/>
      </w:pPr>
    </w:p>
    <w:p w:rsidR="00BA5C63" w:rsidRDefault="00BA5C63" w:rsidP="00BA5C63">
      <w:pPr>
        <w:pStyle w:val="NormalWeb"/>
        <w:spacing w:before="45" w:beforeAutospacing="0" w:after="0" w:afterAutospacing="0"/>
        <w:ind w:firstLine="367"/>
        <w:rPr>
          <w:sz w:val="19"/>
          <w:szCs w:val="19"/>
        </w:rPr>
      </w:pPr>
      <w:r>
        <w:rPr>
          <w:sz w:val="19"/>
          <w:szCs w:val="19"/>
        </w:rPr>
        <w:t>Indicate by check mark if the registrant is a well-known seasoned issuer, as defined in Rule 405 of the Securities Act.    Yes  </w:t>
      </w:r>
      <w:r w:rsidRPr="00477D8F">
        <w:rPr>
          <w:sz w:val="19"/>
          <w:szCs w:val="19"/>
        </w:rPr>
        <w:sym w:font="Wingdings" w:char="F078"/>
      </w:r>
      <w:r>
        <w:rPr>
          <w:sz w:val="19"/>
          <w:szCs w:val="19"/>
        </w:rPr>
        <w:t>    No  </w:t>
      </w:r>
      <w:r>
        <w:rPr>
          <w:rFonts w:ascii="Wingdings" w:hAnsi="Wingdings"/>
          <w:sz w:val="19"/>
          <w:szCs w:val="19"/>
        </w:rPr>
        <w:t></w:t>
      </w:r>
    </w:p>
    <w:p w:rsidR="00BA5C63" w:rsidRDefault="00BA5C63" w:rsidP="00BA5C63">
      <w:pPr>
        <w:pStyle w:val="NormalWeb"/>
        <w:spacing w:before="45" w:beforeAutospacing="0" w:after="0" w:afterAutospacing="0"/>
        <w:ind w:firstLine="367"/>
        <w:rPr>
          <w:sz w:val="19"/>
          <w:szCs w:val="19"/>
        </w:rPr>
      </w:pPr>
      <w:r>
        <w:rPr>
          <w:sz w:val="19"/>
          <w:szCs w:val="19"/>
        </w:rPr>
        <w:t>Indicate by check mark if the registrant is not required to file reports pursuant to Section 13 or Section 15(d) of the Exchange Act.    Yes  </w:t>
      </w:r>
      <w:r>
        <w:rPr>
          <w:sz w:val="19"/>
          <w:szCs w:val="19"/>
        </w:rPr>
        <w:sym w:font="Wingdings" w:char="F06F"/>
      </w:r>
      <w:r>
        <w:rPr>
          <w:sz w:val="19"/>
          <w:szCs w:val="19"/>
        </w:rPr>
        <w:t>    No  </w:t>
      </w:r>
      <w:r w:rsidRPr="00477D8F">
        <w:rPr>
          <w:sz w:val="19"/>
          <w:szCs w:val="19"/>
        </w:rPr>
        <w:sym w:font="Wingdings" w:char="F078"/>
      </w:r>
    </w:p>
    <w:p w:rsidR="00BA5C63" w:rsidRDefault="00BA5C63" w:rsidP="00BA5C63">
      <w:pPr>
        <w:pStyle w:val="NormalWeb"/>
        <w:spacing w:before="45" w:beforeAutospacing="0" w:after="0" w:afterAutospacing="0"/>
        <w:ind w:firstLine="367"/>
        <w:rPr>
          <w:sz w:val="19"/>
          <w:szCs w:val="19"/>
        </w:rPr>
      </w:pPr>
      <w:r>
        <w:rPr>
          <w:sz w:val="19"/>
          <w:szCs w:val="19"/>
        </w:rPr>
        <w:t>Indicate by check mark whether the registrant (1) has filed all reports required to be filed by Section 13 or 15(d) of the Securities Exchange Act of 1934 during the preceding 12 months (or such shorter period that the registrant was required to file such reports), and (2) has been subject to such filing requirements for the past 90 days.    Yes  </w:t>
      </w:r>
      <w:r w:rsidRPr="00477D8F">
        <w:rPr>
          <w:sz w:val="19"/>
          <w:szCs w:val="19"/>
        </w:rPr>
        <w:sym w:font="Wingdings" w:char="F078"/>
      </w:r>
      <w:r>
        <w:rPr>
          <w:sz w:val="19"/>
          <w:szCs w:val="19"/>
        </w:rPr>
        <w:t>    No  </w:t>
      </w:r>
      <w:r>
        <w:rPr>
          <w:sz w:val="19"/>
          <w:szCs w:val="19"/>
        </w:rPr>
        <w:sym w:font="Wingdings" w:char="F06F"/>
      </w:r>
    </w:p>
    <w:p w:rsidR="00BA5C63" w:rsidRDefault="00BA5C63" w:rsidP="00BA5C63">
      <w:pPr>
        <w:pStyle w:val="NormalWeb"/>
        <w:spacing w:before="45" w:beforeAutospacing="0" w:after="0" w:afterAutospacing="0"/>
        <w:ind w:firstLine="367"/>
        <w:rPr>
          <w:sz w:val="19"/>
          <w:szCs w:val="19"/>
        </w:rPr>
      </w:pPr>
      <w:r>
        <w:rPr>
          <w:sz w:val="19"/>
          <w:szCs w:val="19"/>
        </w:rPr>
        <w:t>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such files).    Yes  </w:t>
      </w:r>
      <w:r w:rsidRPr="00477D8F">
        <w:rPr>
          <w:sz w:val="19"/>
          <w:szCs w:val="19"/>
        </w:rPr>
        <w:sym w:font="Wingdings" w:char="F078"/>
      </w:r>
      <w:r>
        <w:rPr>
          <w:sz w:val="19"/>
          <w:szCs w:val="19"/>
        </w:rPr>
        <w:t>    No  </w:t>
      </w:r>
      <w:r>
        <w:rPr>
          <w:sz w:val="19"/>
          <w:szCs w:val="19"/>
        </w:rPr>
        <w:sym w:font="Wingdings" w:char="F06F"/>
      </w:r>
    </w:p>
    <w:p w:rsidR="00BA5C63" w:rsidRDefault="00BA5C63" w:rsidP="00BA5C63">
      <w:pPr>
        <w:pStyle w:val="NormalWeb"/>
        <w:spacing w:before="45" w:beforeAutospacing="0" w:after="0" w:afterAutospacing="0"/>
        <w:ind w:firstLine="367"/>
        <w:rPr>
          <w:sz w:val="19"/>
          <w:szCs w:val="19"/>
        </w:rPr>
      </w:pPr>
      <w:r>
        <w:rPr>
          <w:sz w:val="19"/>
          <w:szCs w:val="19"/>
        </w:rPr>
        <w:t>Indicate by check mark if disclosure of delinquent filers pursuant to Item 405 of Regulation S-K (§ 229.405 of this chapter) is not contained herein, and will not be contained, to the best of registrant’s knowledge, in definitive proxy or information statements incorporated by reference in Part III of this Form 10-K or any amendment to this Form 10-K.  </w:t>
      </w:r>
      <w:r>
        <w:rPr>
          <w:sz w:val="19"/>
          <w:szCs w:val="19"/>
        </w:rPr>
        <w:sym w:font="Wingdings" w:char="F06F"/>
      </w:r>
    </w:p>
    <w:p w:rsidR="00BA5C63" w:rsidRDefault="00BA5C63" w:rsidP="00BA5C63">
      <w:pPr>
        <w:pStyle w:val="NormalWeb"/>
        <w:spacing w:before="45" w:beforeAutospacing="0" w:after="0" w:afterAutospacing="0"/>
        <w:ind w:firstLine="367"/>
        <w:rPr>
          <w:sz w:val="19"/>
          <w:szCs w:val="19"/>
        </w:rPr>
      </w:pPr>
      <w:r>
        <w:rPr>
          <w:sz w:val="19"/>
          <w:szCs w:val="19"/>
        </w:rPr>
        <w:t xml:space="preserve">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  </w:t>
      </w:r>
    </w:p>
    <w:p w:rsidR="00BA5C63" w:rsidRDefault="00BA5C63" w:rsidP="00BA5C63">
      <w:pPr>
        <w:pStyle w:val="NormalWeb"/>
        <w:keepNext/>
        <w:spacing w:before="0" w:beforeAutospacing="0" w:after="0" w:afterAutospacing="0"/>
        <w:rPr>
          <w:sz w:val="5"/>
          <w:szCs w:val="5"/>
        </w:rPr>
      </w:pPr>
      <w:r>
        <w:rPr>
          <w:sz w:val="5"/>
          <w:szCs w:val="5"/>
        </w:rPr>
        <w:t> </w:t>
      </w:r>
    </w:p>
    <w:tbl>
      <w:tblPr>
        <w:tblW w:w="0" w:type="auto"/>
        <w:jc w:val="center"/>
        <w:tblLayout w:type="fixed"/>
        <w:tblCellMar>
          <w:left w:w="0" w:type="dxa"/>
          <w:right w:w="0" w:type="dxa"/>
        </w:tblCellMar>
        <w:tblLook w:val="0000" w:firstRow="0" w:lastRow="0" w:firstColumn="0" w:lastColumn="0" w:noHBand="0" w:noVBand="0"/>
      </w:tblPr>
      <w:tblGrid>
        <w:gridCol w:w="1990"/>
        <w:gridCol w:w="6200"/>
        <w:gridCol w:w="2300"/>
        <w:gridCol w:w="310"/>
      </w:tblGrid>
      <w:tr w:rsidR="00BA5C63" w:rsidTr="00BA5C63">
        <w:trPr>
          <w:trHeight w:hRule="exact" w:val="20"/>
          <w:jc w:val="center"/>
        </w:trPr>
        <w:tc>
          <w:tcPr>
            <w:tcW w:w="1990" w:type="dxa"/>
            <w:tcBorders>
              <w:top w:val="nil"/>
              <w:left w:val="nil"/>
              <w:bottom w:val="nil"/>
              <w:right w:val="nil"/>
            </w:tcBorders>
            <w:vAlign w:val="center"/>
          </w:tcPr>
          <w:p w:rsidR="00BA5C63" w:rsidRDefault="00BA5C63" w:rsidP="00BA5C63">
            <w:pPr>
              <w:rPr>
                <w:sz w:val="2"/>
              </w:rPr>
            </w:pPr>
          </w:p>
        </w:tc>
        <w:tc>
          <w:tcPr>
            <w:tcW w:w="6200" w:type="dxa"/>
            <w:tcBorders>
              <w:top w:val="nil"/>
              <w:left w:val="nil"/>
              <w:bottom w:val="nil"/>
              <w:right w:val="nil"/>
            </w:tcBorders>
            <w:vAlign w:val="center"/>
          </w:tcPr>
          <w:p w:rsidR="00BA5C63" w:rsidRDefault="00BA5C63" w:rsidP="00BA5C63">
            <w:pPr>
              <w:rPr>
                <w:sz w:val="2"/>
              </w:rPr>
            </w:pPr>
          </w:p>
        </w:tc>
        <w:tc>
          <w:tcPr>
            <w:tcW w:w="2300" w:type="dxa"/>
            <w:tcBorders>
              <w:top w:val="nil"/>
              <w:left w:val="nil"/>
              <w:bottom w:val="nil"/>
              <w:right w:val="nil"/>
            </w:tcBorders>
            <w:vAlign w:val="center"/>
          </w:tcPr>
          <w:p w:rsidR="00BA5C63" w:rsidRDefault="00BA5C63" w:rsidP="00BA5C63">
            <w:pPr>
              <w:rPr>
                <w:sz w:val="2"/>
              </w:rPr>
            </w:pPr>
          </w:p>
        </w:tc>
        <w:tc>
          <w:tcPr>
            <w:tcW w:w="310" w:type="dxa"/>
            <w:tcBorders>
              <w:top w:val="nil"/>
              <w:left w:val="nil"/>
              <w:bottom w:val="nil"/>
              <w:right w:val="nil"/>
            </w:tcBorders>
            <w:vAlign w:val="center"/>
          </w:tcPr>
          <w:p w:rsidR="00BA5C63" w:rsidRDefault="00BA5C63" w:rsidP="00BA5C63">
            <w:pPr>
              <w:rPr>
                <w:sz w:val="2"/>
              </w:rPr>
            </w:pPr>
          </w:p>
        </w:tc>
      </w:tr>
      <w:tr w:rsidR="00BA5C63" w:rsidTr="00BA5C63">
        <w:trPr>
          <w:jc w:val="center"/>
        </w:trPr>
        <w:tc>
          <w:tcPr>
            <w:tcW w:w="1990" w:type="dxa"/>
            <w:vAlign w:val="center"/>
          </w:tcPr>
          <w:p w:rsidR="00BA5C63" w:rsidRDefault="00BA5C63" w:rsidP="00BA5C63">
            <w:pPr>
              <w:rPr>
                <w:sz w:val="1"/>
              </w:rPr>
            </w:pPr>
          </w:p>
        </w:tc>
        <w:tc>
          <w:tcPr>
            <w:tcW w:w="6200" w:type="dxa"/>
            <w:vAlign w:val="center"/>
          </w:tcPr>
          <w:p w:rsidR="00BA5C63" w:rsidRDefault="00BA5C63" w:rsidP="00BA5C63">
            <w:pPr>
              <w:rPr>
                <w:sz w:val="1"/>
              </w:rPr>
            </w:pPr>
          </w:p>
        </w:tc>
        <w:tc>
          <w:tcPr>
            <w:tcW w:w="2300" w:type="dxa"/>
            <w:vAlign w:val="center"/>
          </w:tcPr>
          <w:p w:rsidR="00BA5C63" w:rsidRDefault="00BA5C63" w:rsidP="00BA5C63">
            <w:pPr>
              <w:rPr>
                <w:sz w:val="1"/>
              </w:rPr>
            </w:pPr>
          </w:p>
        </w:tc>
        <w:tc>
          <w:tcPr>
            <w:tcW w:w="310" w:type="dxa"/>
            <w:vAlign w:val="center"/>
          </w:tcPr>
          <w:p w:rsidR="00BA5C63" w:rsidRDefault="00BA5C63" w:rsidP="00BA5C63">
            <w:pPr>
              <w:rPr>
                <w:sz w:val="1"/>
              </w:rPr>
            </w:pPr>
          </w:p>
        </w:tc>
      </w:tr>
      <w:tr w:rsidR="00BA5C63" w:rsidTr="00BA5C63">
        <w:trPr>
          <w:jc w:val="center"/>
        </w:trPr>
        <w:tc>
          <w:tcPr>
            <w:tcW w:w="1990" w:type="dxa"/>
            <w:vAlign w:val="bottom"/>
          </w:tcPr>
          <w:p w:rsidR="00BA5C63" w:rsidRPr="00477D8F" w:rsidRDefault="00BA5C63" w:rsidP="00BA5C63">
            <w:pPr>
              <w:rPr>
                <w:sz w:val="19"/>
                <w:szCs w:val="19"/>
              </w:rPr>
            </w:pPr>
            <w:r>
              <w:rPr>
                <w:sz w:val="19"/>
                <w:szCs w:val="19"/>
              </w:rPr>
              <w:t xml:space="preserve"> </w:t>
            </w:r>
            <w:r w:rsidRPr="00477D8F">
              <w:rPr>
                <w:sz w:val="19"/>
                <w:szCs w:val="19"/>
              </w:rPr>
              <w:t xml:space="preserve">Large Accelerated Filer </w:t>
            </w:r>
          </w:p>
        </w:tc>
        <w:tc>
          <w:tcPr>
            <w:tcW w:w="6200" w:type="dxa"/>
            <w:vAlign w:val="bottom"/>
          </w:tcPr>
          <w:p w:rsidR="00BA5C63" w:rsidRDefault="00BA5C63" w:rsidP="00BA5C63">
            <w:pPr>
              <w:rPr>
                <w:sz w:val="19"/>
                <w:szCs w:val="19"/>
              </w:rPr>
            </w:pPr>
            <w:r>
              <w:rPr>
                <w:rFonts w:ascii="Wingdings" w:hAnsi="Wingdings"/>
                <w:sz w:val="19"/>
                <w:szCs w:val="19"/>
              </w:rPr>
              <w:sym w:font="Wingdings" w:char="F078"/>
            </w:r>
          </w:p>
        </w:tc>
        <w:tc>
          <w:tcPr>
            <w:tcW w:w="2300" w:type="dxa"/>
            <w:vAlign w:val="bottom"/>
          </w:tcPr>
          <w:p w:rsidR="00BA5C63" w:rsidRDefault="00BA5C63" w:rsidP="00BA5C63">
            <w:pPr>
              <w:rPr>
                <w:sz w:val="19"/>
                <w:szCs w:val="19"/>
              </w:rPr>
            </w:pPr>
            <w:r>
              <w:rPr>
                <w:sz w:val="19"/>
                <w:szCs w:val="19"/>
              </w:rPr>
              <w:t>Accelerated filer</w:t>
            </w:r>
          </w:p>
        </w:tc>
        <w:tc>
          <w:tcPr>
            <w:tcW w:w="310" w:type="dxa"/>
            <w:vAlign w:val="bottom"/>
          </w:tcPr>
          <w:p w:rsidR="00BA5C63" w:rsidRDefault="00BA5C63" w:rsidP="00BA5C63">
            <w:pPr>
              <w:rPr>
                <w:sz w:val="19"/>
                <w:szCs w:val="19"/>
              </w:rPr>
            </w:pPr>
            <w:r>
              <w:rPr>
                <w:sz w:val="19"/>
                <w:szCs w:val="19"/>
              </w:rPr>
              <w:sym w:font="Wingdings" w:char="F06F"/>
            </w:r>
          </w:p>
        </w:tc>
      </w:tr>
      <w:tr w:rsidR="00BA5C63" w:rsidTr="00BA5C63">
        <w:trPr>
          <w:trHeight w:val="120"/>
          <w:jc w:val="center"/>
        </w:trPr>
        <w:tc>
          <w:tcPr>
            <w:tcW w:w="1990" w:type="dxa"/>
            <w:vAlign w:val="center"/>
          </w:tcPr>
          <w:p w:rsidR="00BA5C63" w:rsidRDefault="00BA5C63" w:rsidP="00BA5C63">
            <w:pPr>
              <w:rPr>
                <w:sz w:val="12"/>
              </w:rPr>
            </w:pPr>
          </w:p>
        </w:tc>
        <w:tc>
          <w:tcPr>
            <w:tcW w:w="6200" w:type="dxa"/>
            <w:vAlign w:val="center"/>
          </w:tcPr>
          <w:p w:rsidR="00BA5C63" w:rsidRDefault="00BA5C63" w:rsidP="00BA5C63">
            <w:pPr>
              <w:rPr>
                <w:sz w:val="12"/>
              </w:rPr>
            </w:pPr>
          </w:p>
        </w:tc>
        <w:tc>
          <w:tcPr>
            <w:tcW w:w="2300" w:type="dxa"/>
            <w:vAlign w:val="center"/>
          </w:tcPr>
          <w:p w:rsidR="00BA5C63" w:rsidRDefault="00BA5C63" w:rsidP="00BA5C63">
            <w:pPr>
              <w:rPr>
                <w:sz w:val="12"/>
              </w:rPr>
            </w:pPr>
          </w:p>
        </w:tc>
        <w:tc>
          <w:tcPr>
            <w:tcW w:w="310" w:type="dxa"/>
            <w:vAlign w:val="center"/>
          </w:tcPr>
          <w:p w:rsidR="00BA5C63" w:rsidRDefault="00BA5C63" w:rsidP="00BA5C63">
            <w:pPr>
              <w:rPr>
                <w:sz w:val="12"/>
              </w:rPr>
            </w:pPr>
          </w:p>
        </w:tc>
      </w:tr>
      <w:tr w:rsidR="00BA5C63" w:rsidRPr="00FA0568" w:rsidTr="00BA5C63">
        <w:trPr>
          <w:jc w:val="center"/>
        </w:trPr>
        <w:tc>
          <w:tcPr>
            <w:tcW w:w="1990" w:type="dxa"/>
            <w:vAlign w:val="bottom"/>
          </w:tcPr>
          <w:p w:rsidR="00BA5C63" w:rsidRPr="00FA0568" w:rsidRDefault="00BA5C63" w:rsidP="00BA5C63">
            <w:pPr>
              <w:rPr>
                <w:sz w:val="19"/>
                <w:szCs w:val="19"/>
              </w:rPr>
            </w:pPr>
            <w:r w:rsidRPr="00FA0568">
              <w:rPr>
                <w:sz w:val="19"/>
                <w:szCs w:val="19"/>
              </w:rPr>
              <w:t>Non-accelerated filer</w:t>
            </w:r>
          </w:p>
        </w:tc>
        <w:tc>
          <w:tcPr>
            <w:tcW w:w="6200" w:type="dxa"/>
            <w:vAlign w:val="bottom"/>
          </w:tcPr>
          <w:p w:rsidR="00BA5C63" w:rsidRPr="00FA0568" w:rsidRDefault="00BA5C63" w:rsidP="00BA5C63">
            <w:pPr>
              <w:rPr>
                <w:sz w:val="19"/>
                <w:szCs w:val="19"/>
              </w:rPr>
            </w:pPr>
            <w:r w:rsidRPr="00FA0568">
              <w:rPr>
                <w:sz w:val="19"/>
                <w:szCs w:val="19"/>
              </w:rPr>
              <w:sym w:font="Wingdings" w:char="F06F"/>
            </w:r>
          </w:p>
        </w:tc>
        <w:tc>
          <w:tcPr>
            <w:tcW w:w="2300" w:type="dxa"/>
            <w:vAlign w:val="bottom"/>
          </w:tcPr>
          <w:p w:rsidR="00BA5C63" w:rsidRPr="00FA0568" w:rsidRDefault="00BA5C63" w:rsidP="00BA5C63">
            <w:pPr>
              <w:rPr>
                <w:sz w:val="19"/>
                <w:szCs w:val="19"/>
              </w:rPr>
            </w:pPr>
            <w:r w:rsidRPr="00FA0568">
              <w:rPr>
                <w:sz w:val="19"/>
                <w:szCs w:val="19"/>
              </w:rPr>
              <w:t>Smaller reporting company</w:t>
            </w:r>
          </w:p>
        </w:tc>
        <w:tc>
          <w:tcPr>
            <w:tcW w:w="310" w:type="dxa"/>
            <w:vAlign w:val="bottom"/>
          </w:tcPr>
          <w:p w:rsidR="00BA5C63" w:rsidRPr="00477D8F" w:rsidRDefault="00BA5C63" w:rsidP="00BA5C63">
            <w:pPr>
              <w:rPr>
                <w:sz w:val="19"/>
                <w:szCs w:val="19"/>
              </w:rPr>
            </w:pPr>
            <w:r w:rsidRPr="00477D8F">
              <w:rPr>
                <w:sz w:val="19"/>
                <w:szCs w:val="19"/>
              </w:rPr>
              <w:sym w:font="Wingdings" w:char="F06F"/>
            </w:r>
          </w:p>
        </w:tc>
      </w:tr>
      <w:tr w:rsidR="00BA5C63" w:rsidRPr="00FA0568" w:rsidTr="00BA5C63">
        <w:trPr>
          <w:jc w:val="center"/>
        </w:trPr>
        <w:tc>
          <w:tcPr>
            <w:tcW w:w="1990" w:type="dxa"/>
            <w:vAlign w:val="bottom"/>
          </w:tcPr>
          <w:p w:rsidR="00BA5C63" w:rsidRPr="00FA0568" w:rsidRDefault="00BA5C63" w:rsidP="00BA5C63">
            <w:pPr>
              <w:rPr>
                <w:sz w:val="19"/>
                <w:szCs w:val="19"/>
              </w:rPr>
            </w:pPr>
          </w:p>
        </w:tc>
        <w:tc>
          <w:tcPr>
            <w:tcW w:w="6200" w:type="dxa"/>
            <w:vAlign w:val="bottom"/>
          </w:tcPr>
          <w:p w:rsidR="00BA5C63" w:rsidRPr="00FA0568" w:rsidRDefault="00BA5C63" w:rsidP="00BA5C63">
            <w:pPr>
              <w:rPr>
                <w:sz w:val="19"/>
                <w:szCs w:val="19"/>
              </w:rPr>
            </w:pPr>
          </w:p>
        </w:tc>
        <w:tc>
          <w:tcPr>
            <w:tcW w:w="2300" w:type="dxa"/>
            <w:vAlign w:val="bottom"/>
          </w:tcPr>
          <w:p w:rsidR="00BA5C63" w:rsidRPr="00FA0568" w:rsidRDefault="00BA5C63" w:rsidP="00BA5C63">
            <w:pPr>
              <w:rPr>
                <w:sz w:val="19"/>
                <w:szCs w:val="19"/>
              </w:rPr>
            </w:pPr>
            <w:r w:rsidRPr="00FA0568">
              <w:rPr>
                <w:sz w:val="19"/>
                <w:szCs w:val="19"/>
              </w:rPr>
              <w:t>Emerging growth company</w:t>
            </w:r>
          </w:p>
        </w:tc>
        <w:tc>
          <w:tcPr>
            <w:tcW w:w="310" w:type="dxa"/>
            <w:vAlign w:val="bottom"/>
          </w:tcPr>
          <w:p w:rsidR="00BA5C63" w:rsidRPr="00477D8F" w:rsidRDefault="00BA5C63" w:rsidP="00BA5C63">
            <w:pPr>
              <w:rPr>
                <w:sz w:val="19"/>
                <w:szCs w:val="19"/>
              </w:rPr>
            </w:pPr>
            <w:r w:rsidRPr="00477D8F">
              <w:rPr>
                <w:sz w:val="19"/>
                <w:szCs w:val="19"/>
              </w:rPr>
              <w:sym w:font="Wingdings" w:char="F06F"/>
            </w:r>
          </w:p>
        </w:tc>
      </w:tr>
    </w:tbl>
    <w:p w:rsidR="00BA5C63" w:rsidRPr="00FA0568" w:rsidRDefault="00BA5C63" w:rsidP="00BA5C63">
      <w:pPr>
        <w:pStyle w:val="NormalWeb"/>
        <w:spacing w:before="45" w:beforeAutospacing="0" w:after="0" w:afterAutospacing="0"/>
        <w:ind w:firstLine="367"/>
        <w:rPr>
          <w:sz w:val="19"/>
          <w:szCs w:val="19"/>
        </w:rPr>
      </w:pPr>
      <w:r w:rsidRPr="00FA0568">
        <w:rPr>
          <w:sz w:val="19"/>
          <w:szCs w:val="19"/>
        </w:rPr>
        <w:t>If an emerging growth company, indicate by check mark if the registrant has elected not to use the extended transition period for complying with any new or revised financial accounting standards provided pursuant to Section 13(a) of the Exchange Act.  </w:t>
      </w:r>
      <w:r w:rsidRPr="00FA0568">
        <w:rPr>
          <w:sz w:val="19"/>
          <w:szCs w:val="19"/>
        </w:rPr>
        <w:sym w:font="Wingdings" w:char="F06F"/>
      </w:r>
    </w:p>
    <w:p w:rsidR="00BA5C63" w:rsidRDefault="00BA5C63" w:rsidP="00BA5C63">
      <w:pPr>
        <w:pStyle w:val="NormalWeb"/>
        <w:spacing w:before="45" w:beforeAutospacing="0" w:after="0" w:afterAutospacing="0"/>
        <w:ind w:firstLine="367"/>
        <w:rPr>
          <w:sz w:val="19"/>
          <w:szCs w:val="19"/>
        </w:rPr>
      </w:pPr>
      <w:r w:rsidRPr="00FA0568">
        <w:rPr>
          <w:sz w:val="19"/>
          <w:szCs w:val="19"/>
        </w:rPr>
        <w:t>Indicate by check mark whether the registrant is a shell company (as defined</w:t>
      </w:r>
      <w:r>
        <w:rPr>
          <w:sz w:val="19"/>
          <w:szCs w:val="19"/>
        </w:rPr>
        <w:t xml:space="preserve"> in Rule 12b-2 of the Exchange Act).    Yes  </w:t>
      </w:r>
      <w:r>
        <w:rPr>
          <w:sz w:val="19"/>
          <w:szCs w:val="19"/>
        </w:rPr>
        <w:sym w:font="Wingdings" w:char="F06F"/>
      </w:r>
      <w:r>
        <w:rPr>
          <w:sz w:val="19"/>
          <w:szCs w:val="19"/>
        </w:rPr>
        <w:t xml:space="preserve">    No   </w:t>
      </w:r>
      <w:r w:rsidRPr="00477D8F">
        <w:rPr>
          <w:sz w:val="19"/>
          <w:szCs w:val="19"/>
        </w:rPr>
        <w:sym w:font="Wingdings" w:char="F078"/>
      </w:r>
    </w:p>
    <w:p w:rsidR="00BA5C63" w:rsidRDefault="00BA5C63" w:rsidP="00BA5C63">
      <w:pPr>
        <w:pStyle w:val="NormalWeb"/>
        <w:spacing w:before="45" w:beforeAutospacing="0" w:after="0" w:afterAutospacing="0"/>
        <w:ind w:firstLine="367"/>
        <w:rPr>
          <w:sz w:val="19"/>
          <w:szCs w:val="19"/>
        </w:rPr>
      </w:pPr>
      <w:r>
        <w:rPr>
          <w:sz w:val="19"/>
          <w:szCs w:val="19"/>
        </w:rPr>
        <w:t xml:space="preserve">The Company’s common stock is listed on the New York Stock Exchange under the symbol “MRC”. The aggregate market value of voting common stock held by non-affiliates was </w:t>
      </w:r>
      <w:r w:rsidRPr="00477D8F">
        <w:rPr>
          <w:sz w:val="19"/>
          <w:szCs w:val="19"/>
        </w:rPr>
        <w:t>$</w:t>
      </w:r>
      <w:r w:rsidRPr="00477D8F">
        <w:rPr>
          <w:sz w:val="20"/>
          <w:szCs w:val="20"/>
        </w:rPr>
        <w:t>1.423</w:t>
      </w:r>
      <w:r>
        <w:rPr>
          <w:sz w:val="20"/>
          <w:szCs w:val="20"/>
        </w:rPr>
        <w:t xml:space="preserve"> </w:t>
      </w:r>
      <w:r>
        <w:rPr>
          <w:sz w:val="19"/>
          <w:szCs w:val="19"/>
        </w:rPr>
        <w:t xml:space="preserve">billion as of the close of trading as reported on the New York Stock Exchange on </w:t>
      </w:r>
      <w:r>
        <w:rPr>
          <w:sz w:val="19"/>
          <w:szCs w:val="19"/>
        </w:rPr>
        <w:lastRenderedPageBreak/>
        <w:t xml:space="preserve">June 28, </w:t>
      </w:r>
      <w:r w:rsidRPr="005C6140">
        <w:rPr>
          <w:sz w:val="19"/>
          <w:szCs w:val="19"/>
        </w:rPr>
        <w:t xml:space="preserve">2019. There were </w:t>
      </w:r>
      <w:r w:rsidRPr="00477D8F">
        <w:rPr>
          <w:sz w:val="19"/>
          <w:szCs w:val="19"/>
        </w:rPr>
        <w:t>81,408,974</w:t>
      </w:r>
      <w:r w:rsidRPr="005C6140">
        <w:rPr>
          <w:sz w:val="19"/>
          <w:szCs w:val="19"/>
        </w:rPr>
        <w:t xml:space="preserve"> shares of the registrant’s common stock </w:t>
      </w:r>
      <w:r w:rsidRPr="005C6140">
        <w:rPr>
          <w:sz w:val="18"/>
          <w:szCs w:val="18"/>
        </w:rPr>
        <w:t xml:space="preserve">(excluding </w:t>
      </w:r>
      <w:r w:rsidRPr="00477D8F">
        <w:rPr>
          <w:sz w:val="18"/>
          <w:szCs w:val="18"/>
        </w:rPr>
        <w:t>74,055</w:t>
      </w:r>
      <w:r w:rsidRPr="005C6140">
        <w:rPr>
          <w:sz w:val="18"/>
          <w:szCs w:val="18"/>
        </w:rPr>
        <w:t xml:space="preserve"> unvested</w:t>
      </w:r>
      <w:r>
        <w:rPr>
          <w:sz w:val="18"/>
          <w:szCs w:val="18"/>
        </w:rPr>
        <w:t xml:space="preserve"> restricted shares)</w:t>
      </w:r>
      <w:r>
        <w:rPr>
          <w:sz w:val="19"/>
          <w:szCs w:val="19"/>
        </w:rPr>
        <w:t>, par value $0.01 per share, issued and outstanding as of February 7, 2020.</w:t>
      </w:r>
    </w:p>
    <w:p w:rsidR="00BA5C63" w:rsidRDefault="00BA5C63" w:rsidP="00BA5C63">
      <w:pPr>
        <w:pStyle w:val="NormalWeb"/>
        <w:spacing w:before="45" w:beforeAutospacing="0" w:after="0" w:afterAutospacing="0"/>
        <w:ind w:firstLine="367"/>
        <w:rPr>
          <w:sz w:val="19"/>
          <w:szCs w:val="19"/>
        </w:rPr>
      </w:pPr>
    </w:p>
    <w:p w:rsidR="00BA5C63" w:rsidRDefault="00BA5C63" w:rsidP="00BA5C63">
      <w:pPr>
        <w:pStyle w:val="NormalWeb"/>
        <w:keepNext/>
        <w:spacing w:before="45" w:beforeAutospacing="0" w:after="0" w:afterAutospacing="0"/>
        <w:jc w:val="center"/>
        <w:rPr>
          <w:sz w:val="19"/>
          <w:szCs w:val="19"/>
        </w:rPr>
      </w:pPr>
      <w:r>
        <w:rPr>
          <w:b/>
          <w:bCs/>
          <w:sz w:val="19"/>
          <w:szCs w:val="19"/>
        </w:rPr>
        <w:t xml:space="preserve">DOCUMENTS INCORPORATED BY REFERENCE </w:t>
      </w:r>
    </w:p>
    <w:p w:rsidR="00BA5C63" w:rsidRPr="006071E1" w:rsidRDefault="00BA5C63" w:rsidP="00BA5C63">
      <w:pPr>
        <w:pStyle w:val="NormalWeb"/>
        <w:spacing w:before="45" w:after="0"/>
        <w:ind w:firstLine="360"/>
        <w:rPr>
          <w:sz w:val="19"/>
          <w:szCs w:val="19"/>
        </w:rPr>
      </w:pPr>
      <w:r>
        <w:rPr>
          <w:sz w:val="19"/>
          <w:szCs w:val="19"/>
        </w:rPr>
        <w:t xml:space="preserve">Portions of the registrant’s proxy statement relating to the 2020 Annual Meeting of Stockholders, to be filed within 120 days of the end of the fiscal year covered by this report, are incorporated by reference into Part III of this Annual Report on Form 10-K. </w:t>
      </w:r>
    </w:p>
    <w:p w:rsidR="000121CD" w:rsidRDefault="00590862">
      <w:pPr>
        <w:pStyle w:val="rrdsinglerule"/>
        <w:pBdr>
          <w:top w:val="single" w:sz="4" w:space="0" w:color="000000"/>
        </w:pBdr>
        <w:spacing w:before="90"/>
        <w:rPr>
          <w:sz w:val="19"/>
          <w:szCs w:val="19"/>
        </w:rPr>
      </w:pPr>
      <w:r>
        <w:rPr>
          <w:sz w:val="19"/>
          <w:szCs w:val="19"/>
        </w:rPr>
        <w:t> </w:t>
      </w:r>
    </w:p>
    <w:p w:rsidR="000121CD" w:rsidRDefault="00590862">
      <w:pPr>
        <w:pStyle w:val="rrdsinglerule"/>
        <w:rPr>
          <w:sz w:val="19"/>
          <w:szCs w:val="19"/>
        </w:rPr>
      </w:pPr>
      <w:r>
        <w:rPr>
          <w:sz w:val="19"/>
          <w:szCs w:val="19"/>
        </w:rPr>
        <w:t> </w:t>
      </w:r>
    </w:p>
    <w:p w:rsidR="000121CD" w:rsidRDefault="00590862">
      <w:pPr>
        <w:pStyle w:val="NormalWeb"/>
        <w:keepNext/>
        <w:pageBreakBefore/>
        <w:spacing w:before="0" w:beforeAutospacing="0" w:after="0" w:afterAutospacing="0"/>
      </w:pPr>
      <w:r>
        <w:rPr>
          <w:b/>
          <w:bCs/>
          <w:sz w:val="20"/>
          <w:szCs w:val="20"/>
        </w:rPr>
        <w:lastRenderedPageBreak/>
        <w:t xml:space="preserve">TABLE OF CONTENTS </w:t>
      </w:r>
    </w:p>
    <w:p w:rsidR="000121CD" w:rsidRDefault="00590862">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1170"/>
        <w:gridCol w:w="8926"/>
        <w:gridCol w:w="704"/>
      </w:tblGrid>
      <w:tr w:rsidR="000121CD">
        <w:trPr>
          <w:trHeight w:hRule="exact" w:val="20"/>
          <w:tblHeader/>
          <w:jc w:val="center"/>
        </w:trPr>
        <w:tc>
          <w:tcPr>
            <w:tcW w:w="1170" w:type="dxa"/>
            <w:tcBorders>
              <w:top w:val="nil"/>
              <w:left w:val="nil"/>
              <w:bottom w:val="nil"/>
              <w:right w:val="nil"/>
            </w:tcBorders>
            <w:vAlign w:val="center"/>
          </w:tcPr>
          <w:p w:rsidR="000121CD" w:rsidRDefault="000121CD">
            <w:pPr>
              <w:rPr>
                <w:sz w:val="2"/>
              </w:rPr>
            </w:pPr>
          </w:p>
        </w:tc>
        <w:tc>
          <w:tcPr>
            <w:tcW w:w="8926" w:type="dxa"/>
            <w:tcBorders>
              <w:top w:val="nil"/>
              <w:left w:val="nil"/>
              <w:bottom w:val="nil"/>
              <w:right w:val="nil"/>
            </w:tcBorders>
            <w:vAlign w:val="center"/>
          </w:tcPr>
          <w:p w:rsidR="000121CD" w:rsidRDefault="000121CD">
            <w:pPr>
              <w:rPr>
                <w:sz w:val="2"/>
              </w:rPr>
            </w:pPr>
          </w:p>
        </w:tc>
        <w:tc>
          <w:tcPr>
            <w:tcW w:w="704" w:type="dxa"/>
            <w:tcBorders>
              <w:top w:val="nil"/>
              <w:left w:val="nil"/>
              <w:bottom w:val="nil"/>
              <w:right w:val="nil"/>
            </w:tcBorders>
            <w:vAlign w:val="center"/>
          </w:tcPr>
          <w:p w:rsidR="000121CD" w:rsidRDefault="000121CD">
            <w:pPr>
              <w:rPr>
                <w:sz w:val="2"/>
              </w:rPr>
            </w:pPr>
          </w:p>
        </w:tc>
      </w:tr>
      <w:tr w:rsidR="000121CD">
        <w:trPr>
          <w:tblHeader/>
          <w:jc w:val="center"/>
        </w:trPr>
        <w:tc>
          <w:tcPr>
            <w:tcW w:w="1170" w:type="dxa"/>
            <w:vAlign w:val="center"/>
          </w:tcPr>
          <w:p w:rsidR="000121CD" w:rsidRDefault="000121CD">
            <w:pPr>
              <w:rPr>
                <w:sz w:val="1"/>
              </w:rPr>
            </w:pPr>
          </w:p>
        </w:tc>
        <w:tc>
          <w:tcPr>
            <w:tcW w:w="8926" w:type="dxa"/>
            <w:vAlign w:val="center"/>
          </w:tcPr>
          <w:p w:rsidR="000121CD" w:rsidRDefault="000121CD">
            <w:pPr>
              <w:rPr>
                <w:sz w:val="1"/>
              </w:rPr>
            </w:pPr>
          </w:p>
        </w:tc>
        <w:tc>
          <w:tcPr>
            <w:tcW w:w="704" w:type="dxa"/>
            <w:vAlign w:val="center"/>
          </w:tcPr>
          <w:p w:rsidR="000121CD" w:rsidRDefault="000121CD">
            <w:pPr>
              <w:rPr>
                <w:sz w:val="1"/>
              </w:rPr>
            </w:pPr>
          </w:p>
        </w:tc>
      </w:tr>
      <w:tr w:rsidR="000121CD">
        <w:trPr>
          <w:cantSplit/>
          <w:tblHeader/>
          <w:jc w:val="center"/>
        </w:trPr>
        <w:tc>
          <w:tcPr>
            <w:tcW w:w="1170" w:type="dxa"/>
            <w:tcMar>
              <w:top w:w="0" w:type="dxa"/>
              <w:left w:w="144" w:type="dxa"/>
              <w:bottom w:w="0" w:type="dxa"/>
              <w:right w:w="0" w:type="dxa"/>
            </w:tcMar>
            <w:vAlign w:val="bottom"/>
          </w:tcPr>
          <w:p w:rsidR="000121CD" w:rsidRDefault="00590862">
            <w:pPr>
              <w:pStyle w:val="la2"/>
              <w:keepNext/>
            </w:pPr>
            <w:r>
              <w:t> </w:t>
            </w:r>
          </w:p>
        </w:tc>
        <w:tc>
          <w:tcPr>
            <w:tcW w:w="8926" w:type="dxa"/>
            <w:tcMar>
              <w:top w:w="0" w:type="dxa"/>
              <w:left w:w="144" w:type="dxa"/>
              <w:bottom w:w="0" w:type="dxa"/>
              <w:right w:w="0" w:type="dxa"/>
            </w:tcMar>
            <w:vAlign w:val="bottom"/>
          </w:tcPr>
          <w:p w:rsidR="000121CD" w:rsidRDefault="00590862">
            <w:pPr>
              <w:pStyle w:val="la2"/>
            </w:pPr>
            <w:r>
              <w:t> </w:t>
            </w:r>
          </w:p>
        </w:tc>
        <w:tc>
          <w:tcPr>
            <w:tcW w:w="704" w:type="dxa"/>
            <w:tcMar>
              <w:top w:w="0" w:type="dxa"/>
              <w:left w:w="144" w:type="dxa"/>
              <w:bottom w:w="0" w:type="dxa"/>
              <w:right w:w="0" w:type="dxa"/>
            </w:tcMar>
            <w:vAlign w:val="bottom"/>
          </w:tcPr>
          <w:p w:rsidR="000121CD" w:rsidRDefault="00590862">
            <w:pPr>
              <w:jc w:val="center"/>
            </w:pPr>
            <w:r>
              <w:rPr>
                <w:b/>
                <w:bCs/>
                <w:sz w:val="15"/>
                <w:szCs w:val="15"/>
              </w:rPr>
              <w:t>Page</w:t>
            </w:r>
          </w:p>
        </w:tc>
      </w:tr>
      <w:tr w:rsidR="000121CD">
        <w:trPr>
          <w:cantSplit/>
          <w:jc w:val="center"/>
        </w:trPr>
        <w:tc>
          <w:tcPr>
            <w:tcW w:w="1170" w:type="dxa"/>
            <w:tcMar>
              <w:top w:w="0" w:type="dxa"/>
              <w:left w:w="144" w:type="dxa"/>
              <w:bottom w:w="0" w:type="dxa"/>
              <w:right w:w="0" w:type="dxa"/>
            </w:tcMar>
          </w:tcPr>
          <w:p w:rsidR="000121CD" w:rsidRDefault="00590862">
            <w:pPr>
              <w:pStyle w:val="la2"/>
            </w:pPr>
            <w:r>
              <w:t> </w:t>
            </w:r>
          </w:p>
        </w:tc>
        <w:tc>
          <w:tcPr>
            <w:tcW w:w="8926" w:type="dxa"/>
          </w:tcPr>
          <w:p w:rsidR="000121CD" w:rsidRDefault="00590862">
            <w:pPr>
              <w:pStyle w:val="NormalWeb"/>
              <w:keepNext/>
              <w:jc w:val="center"/>
            </w:pPr>
            <w:r>
              <w:rPr>
                <w:b/>
                <w:bCs/>
                <w:sz w:val="20"/>
                <w:szCs w:val="20"/>
              </w:rPr>
              <w:t>PART I</w:t>
            </w:r>
          </w:p>
        </w:tc>
        <w:tc>
          <w:tcPr>
            <w:tcW w:w="704" w:type="dxa"/>
            <w:tcMar>
              <w:top w:w="0" w:type="dxa"/>
              <w:left w:w="144" w:type="dxa"/>
              <w:bottom w:w="0" w:type="dxa"/>
              <w:right w:w="0" w:type="dxa"/>
            </w:tcMar>
          </w:tcPr>
          <w:p w:rsidR="000121CD" w:rsidRDefault="00590862">
            <w:pPr>
              <w:pStyle w:val="la2"/>
            </w:pPr>
            <w:r>
              <w:t> </w:t>
            </w:r>
          </w:p>
        </w:tc>
      </w:tr>
      <w:tr w:rsidR="000121CD">
        <w:trPr>
          <w:cantSplit/>
          <w:jc w:val="center"/>
        </w:trPr>
        <w:tc>
          <w:tcPr>
            <w:tcW w:w="1170" w:type="dxa"/>
            <w:vAlign w:val="center"/>
          </w:tcPr>
          <w:p w:rsidR="000121CD" w:rsidRDefault="000121CD"/>
        </w:tc>
        <w:tc>
          <w:tcPr>
            <w:tcW w:w="8926" w:type="dxa"/>
            <w:vAlign w:val="center"/>
          </w:tcPr>
          <w:p w:rsidR="000121CD" w:rsidRDefault="000121CD"/>
        </w:tc>
        <w:tc>
          <w:tcPr>
            <w:tcW w:w="704" w:type="dxa"/>
            <w:vAlign w:val="center"/>
          </w:tcPr>
          <w:p w:rsidR="000121CD" w:rsidRDefault="000121CD"/>
        </w:tc>
      </w:tr>
      <w:tr w:rsidR="000121CD">
        <w:trPr>
          <w:cantSplit/>
          <w:jc w:val="center"/>
        </w:trPr>
        <w:tc>
          <w:tcPr>
            <w:tcW w:w="1170" w:type="dxa"/>
          </w:tcPr>
          <w:p w:rsidR="000121CD" w:rsidRDefault="00590862">
            <w:pPr>
              <w:pStyle w:val="NormalWeb"/>
              <w:keepNext/>
              <w:ind w:left="240" w:hanging="240"/>
            </w:pPr>
            <w:r>
              <w:rPr>
                <w:b/>
                <w:bCs/>
                <w:sz w:val="20"/>
                <w:szCs w:val="20"/>
              </w:rPr>
              <w:t>ITEM 1.</w:t>
            </w:r>
          </w:p>
        </w:tc>
        <w:tc>
          <w:tcPr>
            <w:tcW w:w="8926" w:type="dxa"/>
            <w:vAlign w:val="bottom"/>
          </w:tcPr>
          <w:p w:rsidR="000121CD" w:rsidRDefault="00A46291">
            <w:pPr>
              <w:pStyle w:val="NormalWeb"/>
              <w:tabs>
                <w:tab w:val="right" w:leader="dot" w:pos="9400"/>
              </w:tabs>
            </w:pPr>
            <w:hyperlink w:anchor="ITEM1BBusiness" w:history="1">
              <w:r w:rsidR="00590862">
                <w:rPr>
                  <w:rStyle w:val="Hyperlink"/>
                  <w:b/>
                  <w:bCs/>
                  <w:sz w:val="20"/>
                  <w:szCs w:val="20"/>
                </w:rPr>
                <w:t>BUSINESS</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ITEM1BBusiness  \* MERGEFORMAT </w:instrText>
            </w:r>
            <w:r>
              <w:rPr>
                <w:b/>
                <w:bCs/>
                <w:sz w:val="20"/>
                <w:szCs w:val="20"/>
              </w:rPr>
              <w:fldChar w:fldCharType="separate"/>
            </w:r>
            <w:r w:rsidR="004A17D0">
              <w:rPr>
                <w:b/>
                <w:bCs/>
                <w:noProof/>
                <w:sz w:val="20"/>
                <w:szCs w:val="20"/>
              </w:rPr>
              <w:t>1</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jc w:val="center"/>
              <w:rPr>
                <w:sz w:val="12"/>
              </w:rPr>
            </w:pPr>
          </w:p>
        </w:tc>
      </w:tr>
      <w:tr w:rsidR="000121CD">
        <w:trPr>
          <w:cantSplit/>
          <w:jc w:val="center"/>
        </w:trPr>
        <w:tc>
          <w:tcPr>
            <w:tcW w:w="1170" w:type="dxa"/>
          </w:tcPr>
          <w:p w:rsidR="000121CD" w:rsidRDefault="00590862">
            <w:pPr>
              <w:pStyle w:val="NormalWeb"/>
              <w:ind w:left="240" w:hanging="240"/>
            </w:pPr>
            <w:r>
              <w:rPr>
                <w:b/>
                <w:bCs/>
                <w:sz w:val="20"/>
                <w:szCs w:val="20"/>
              </w:rPr>
              <w:t>ITEM 1A.</w:t>
            </w:r>
          </w:p>
        </w:tc>
        <w:tc>
          <w:tcPr>
            <w:tcW w:w="8926" w:type="dxa"/>
            <w:vAlign w:val="bottom"/>
          </w:tcPr>
          <w:p w:rsidR="000121CD" w:rsidRDefault="00A46291">
            <w:pPr>
              <w:pStyle w:val="NormalWeb"/>
              <w:tabs>
                <w:tab w:val="right" w:leader="dot" w:pos="9400"/>
              </w:tabs>
            </w:pPr>
            <w:hyperlink w:anchor="RiskFactors" w:history="1">
              <w:r w:rsidR="00590862">
                <w:rPr>
                  <w:rStyle w:val="Hyperlink"/>
                  <w:b/>
                  <w:bCs/>
                  <w:sz w:val="20"/>
                  <w:szCs w:val="20"/>
                </w:rPr>
                <w:t>RISK FACTORS</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RiskFactors  \* MERGEFORMAT </w:instrText>
            </w:r>
            <w:r>
              <w:rPr>
                <w:b/>
                <w:bCs/>
                <w:sz w:val="20"/>
                <w:szCs w:val="20"/>
              </w:rPr>
              <w:fldChar w:fldCharType="separate"/>
            </w:r>
            <w:r w:rsidR="004A17D0">
              <w:rPr>
                <w:b/>
                <w:bCs/>
                <w:noProof/>
                <w:sz w:val="20"/>
                <w:szCs w:val="20"/>
              </w:rPr>
              <w:t>8</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jc w:val="center"/>
              <w:rPr>
                <w:sz w:val="12"/>
              </w:rPr>
            </w:pPr>
          </w:p>
        </w:tc>
      </w:tr>
      <w:tr w:rsidR="000121CD">
        <w:trPr>
          <w:cantSplit/>
          <w:jc w:val="center"/>
        </w:trPr>
        <w:tc>
          <w:tcPr>
            <w:tcW w:w="1170" w:type="dxa"/>
          </w:tcPr>
          <w:p w:rsidR="000121CD" w:rsidRDefault="00590862">
            <w:pPr>
              <w:pStyle w:val="NormalWeb"/>
              <w:ind w:left="240" w:hanging="240"/>
            </w:pPr>
            <w:r>
              <w:rPr>
                <w:b/>
                <w:bCs/>
                <w:sz w:val="20"/>
                <w:szCs w:val="20"/>
              </w:rPr>
              <w:t>ITEM 1B.</w:t>
            </w:r>
          </w:p>
        </w:tc>
        <w:tc>
          <w:tcPr>
            <w:tcW w:w="8926" w:type="dxa"/>
            <w:vAlign w:val="bottom"/>
          </w:tcPr>
          <w:p w:rsidR="000121CD" w:rsidRDefault="00A46291">
            <w:pPr>
              <w:pStyle w:val="NormalWeb"/>
              <w:tabs>
                <w:tab w:val="right" w:leader="dot" w:pos="9400"/>
              </w:tabs>
            </w:pPr>
            <w:hyperlink w:anchor="UnresolvedStaffComments" w:history="1">
              <w:r w:rsidR="00590862">
                <w:rPr>
                  <w:rStyle w:val="Hyperlink"/>
                  <w:b/>
                  <w:bCs/>
                  <w:sz w:val="20"/>
                  <w:szCs w:val="20"/>
                </w:rPr>
                <w:t>UNRESOLVED STAFF COMMENTS</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UnresolvedStaffComments  \* MERGEFORMAT </w:instrText>
            </w:r>
            <w:r>
              <w:rPr>
                <w:b/>
                <w:bCs/>
                <w:sz w:val="20"/>
                <w:szCs w:val="20"/>
              </w:rPr>
              <w:fldChar w:fldCharType="separate"/>
            </w:r>
            <w:r w:rsidR="004A17D0">
              <w:rPr>
                <w:b/>
                <w:bCs/>
                <w:noProof/>
                <w:sz w:val="20"/>
                <w:szCs w:val="20"/>
              </w:rPr>
              <w:t>19</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jc w:val="center"/>
              <w:rPr>
                <w:sz w:val="12"/>
              </w:rPr>
            </w:pPr>
          </w:p>
        </w:tc>
      </w:tr>
      <w:tr w:rsidR="000121CD">
        <w:trPr>
          <w:cantSplit/>
          <w:jc w:val="center"/>
        </w:trPr>
        <w:tc>
          <w:tcPr>
            <w:tcW w:w="1170" w:type="dxa"/>
          </w:tcPr>
          <w:p w:rsidR="000121CD" w:rsidRDefault="00590862">
            <w:pPr>
              <w:pStyle w:val="NormalWeb"/>
              <w:ind w:left="240" w:hanging="240"/>
            </w:pPr>
            <w:r>
              <w:rPr>
                <w:b/>
                <w:bCs/>
                <w:sz w:val="20"/>
                <w:szCs w:val="20"/>
              </w:rPr>
              <w:t>ITEM 2.</w:t>
            </w:r>
          </w:p>
        </w:tc>
        <w:tc>
          <w:tcPr>
            <w:tcW w:w="8926" w:type="dxa"/>
            <w:vAlign w:val="bottom"/>
          </w:tcPr>
          <w:p w:rsidR="000121CD" w:rsidRDefault="00A46291">
            <w:pPr>
              <w:pStyle w:val="NormalWeb"/>
              <w:tabs>
                <w:tab w:val="right" w:leader="dot" w:pos="9400"/>
              </w:tabs>
            </w:pPr>
            <w:hyperlink w:anchor="Properties" w:history="1">
              <w:r w:rsidR="00590862">
                <w:rPr>
                  <w:rStyle w:val="Hyperlink"/>
                  <w:b/>
                  <w:bCs/>
                  <w:sz w:val="20"/>
                  <w:szCs w:val="20"/>
                </w:rPr>
                <w:t>PROPERTIES</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Properties  \* MERGEFORMAT </w:instrText>
            </w:r>
            <w:r>
              <w:rPr>
                <w:b/>
                <w:bCs/>
                <w:sz w:val="20"/>
                <w:szCs w:val="20"/>
              </w:rPr>
              <w:fldChar w:fldCharType="separate"/>
            </w:r>
            <w:r w:rsidR="004A17D0">
              <w:rPr>
                <w:b/>
                <w:bCs/>
                <w:noProof/>
                <w:sz w:val="20"/>
                <w:szCs w:val="20"/>
              </w:rPr>
              <w:t>19</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jc w:val="center"/>
              <w:rPr>
                <w:sz w:val="12"/>
              </w:rPr>
            </w:pPr>
          </w:p>
        </w:tc>
      </w:tr>
      <w:tr w:rsidR="000121CD">
        <w:trPr>
          <w:cantSplit/>
          <w:jc w:val="center"/>
        </w:trPr>
        <w:tc>
          <w:tcPr>
            <w:tcW w:w="1170" w:type="dxa"/>
          </w:tcPr>
          <w:p w:rsidR="000121CD" w:rsidRDefault="00590862">
            <w:pPr>
              <w:pStyle w:val="NormalWeb"/>
              <w:ind w:left="240" w:hanging="240"/>
            </w:pPr>
            <w:r>
              <w:rPr>
                <w:b/>
                <w:bCs/>
                <w:sz w:val="20"/>
                <w:szCs w:val="20"/>
              </w:rPr>
              <w:t>ITEM 3.</w:t>
            </w:r>
          </w:p>
        </w:tc>
        <w:tc>
          <w:tcPr>
            <w:tcW w:w="8926" w:type="dxa"/>
            <w:vAlign w:val="bottom"/>
          </w:tcPr>
          <w:p w:rsidR="000121CD" w:rsidRDefault="00A46291">
            <w:pPr>
              <w:pStyle w:val="NormalWeb"/>
              <w:tabs>
                <w:tab w:val="right" w:leader="dot" w:pos="9400"/>
              </w:tabs>
            </w:pPr>
            <w:hyperlink w:anchor="Legalproceedings" w:history="1">
              <w:r w:rsidR="00590862">
                <w:rPr>
                  <w:rStyle w:val="Hyperlink"/>
                  <w:b/>
                  <w:bCs/>
                  <w:sz w:val="20"/>
                  <w:szCs w:val="20"/>
                </w:rPr>
                <w:t>LEGAL PROCEEDINGS</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Legalproceedings  \* MERGEFORMAT </w:instrText>
            </w:r>
            <w:r>
              <w:rPr>
                <w:b/>
                <w:bCs/>
                <w:sz w:val="20"/>
                <w:szCs w:val="20"/>
              </w:rPr>
              <w:fldChar w:fldCharType="separate"/>
            </w:r>
            <w:r w:rsidR="004A17D0">
              <w:rPr>
                <w:b/>
                <w:bCs/>
                <w:noProof/>
                <w:sz w:val="20"/>
                <w:szCs w:val="20"/>
              </w:rPr>
              <w:t>20</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jc w:val="center"/>
              <w:rPr>
                <w:sz w:val="12"/>
              </w:rPr>
            </w:pPr>
          </w:p>
        </w:tc>
      </w:tr>
      <w:tr w:rsidR="000121CD">
        <w:trPr>
          <w:cantSplit/>
          <w:jc w:val="center"/>
        </w:trPr>
        <w:tc>
          <w:tcPr>
            <w:tcW w:w="1170" w:type="dxa"/>
          </w:tcPr>
          <w:p w:rsidR="000121CD" w:rsidRDefault="00590862">
            <w:pPr>
              <w:pStyle w:val="NormalWeb"/>
              <w:ind w:left="240" w:hanging="240"/>
            </w:pPr>
            <w:r>
              <w:rPr>
                <w:b/>
                <w:bCs/>
                <w:sz w:val="20"/>
                <w:szCs w:val="20"/>
              </w:rPr>
              <w:t>ITEM 4.</w:t>
            </w:r>
          </w:p>
        </w:tc>
        <w:tc>
          <w:tcPr>
            <w:tcW w:w="8926" w:type="dxa"/>
            <w:vAlign w:val="bottom"/>
          </w:tcPr>
          <w:p w:rsidR="000121CD" w:rsidRDefault="00A46291">
            <w:pPr>
              <w:pStyle w:val="NormalWeb"/>
              <w:tabs>
                <w:tab w:val="right" w:leader="dot" w:pos="9400"/>
              </w:tabs>
            </w:pPr>
            <w:hyperlink w:anchor="MineSafetyDisclosures" w:history="1">
              <w:r w:rsidR="00590862">
                <w:rPr>
                  <w:rStyle w:val="Hyperlink"/>
                  <w:b/>
                  <w:bCs/>
                  <w:sz w:val="20"/>
                  <w:szCs w:val="20"/>
                </w:rPr>
                <w:t>MINE SAFETY DISCLOSURES</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MineSafetyDisclosures  \* MERGEFORMAT </w:instrText>
            </w:r>
            <w:r>
              <w:rPr>
                <w:b/>
                <w:bCs/>
                <w:sz w:val="20"/>
                <w:szCs w:val="20"/>
              </w:rPr>
              <w:fldChar w:fldCharType="separate"/>
            </w:r>
            <w:r w:rsidR="004A17D0">
              <w:rPr>
                <w:b/>
                <w:bCs/>
                <w:noProof/>
                <w:sz w:val="20"/>
                <w:szCs w:val="20"/>
              </w:rPr>
              <w:t>20</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jc w:val="center"/>
              <w:rPr>
                <w:sz w:val="12"/>
              </w:rPr>
            </w:pPr>
          </w:p>
        </w:tc>
      </w:tr>
      <w:tr w:rsidR="000121CD">
        <w:trPr>
          <w:cantSplit/>
          <w:jc w:val="center"/>
        </w:trPr>
        <w:tc>
          <w:tcPr>
            <w:tcW w:w="1170" w:type="dxa"/>
            <w:tcMar>
              <w:top w:w="0" w:type="dxa"/>
              <w:left w:w="144" w:type="dxa"/>
              <w:bottom w:w="0" w:type="dxa"/>
              <w:right w:w="0" w:type="dxa"/>
            </w:tcMar>
          </w:tcPr>
          <w:p w:rsidR="000121CD" w:rsidRDefault="00590862">
            <w:pPr>
              <w:pStyle w:val="la2"/>
            </w:pPr>
            <w:r>
              <w:t> </w:t>
            </w:r>
          </w:p>
        </w:tc>
        <w:tc>
          <w:tcPr>
            <w:tcW w:w="8926" w:type="dxa"/>
            <w:vAlign w:val="bottom"/>
          </w:tcPr>
          <w:p w:rsidR="000121CD" w:rsidRDefault="00A46291">
            <w:pPr>
              <w:pStyle w:val="NormalWeb"/>
              <w:tabs>
                <w:tab w:val="right" w:leader="dot" w:pos="9400"/>
              </w:tabs>
            </w:pPr>
            <w:hyperlink w:anchor="ExecutiveOfficers" w:history="1">
              <w:r w:rsidR="00590862">
                <w:rPr>
                  <w:rStyle w:val="Hyperlink"/>
                  <w:b/>
                  <w:bCs/>
                  <w:sz w:val="20"/>
                  <w:szCs w:val="20"/>
                </w:rPr>
                <w:t>EXECUTIVE OFFICERS OF THE REGISTRANT</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ExecutiveOfficers  \* MERGEFORMAT </w:instrText>
            </w:r>
            <w:r>
              <w:rPr>
                <w:b/>
                <w:bCs/>
                <w:sz w:val="20"/>
                <w:szCs w:val="20"/>
              </w:rPr>
              <w:fldChar w:fldCharType="separate"/>
            </w:r>
            <w:r w:rsidR="004A17D0">
              <w:rPr>
                <w:b/>
                <w:bCs/>
                <w:noProof/>
                <w:sz w:val="20"/>
                <w:szCs w:val="20"/>
              </w:rPr>
              <w:t>21</w:t>
            </w:r>
            <w:r>
              <w:rPr>
                <w:b/>
                <w:bCs/>
                <w:sz w:val="20"/>
                <w:szCs w:val="20"/>
              </w:rPr>
              <w:fldChar w:fldCharType="end"/>
            </w:r>
          </w:p>
        </w:tc>
      </w:tr>
      <w:tr w:rsidR="000121CD">
        <w:trPr>
          <w:cantSplit/>
          <w:jc w:val="center"/>
        </w:trPr>
        <w:tc>
          <w:tcPr>
            <w:tcW w:w="1170" w:type="dxa"/>
            <w:vAlign w:val="center"/>
          </w:tcPr>
          <w:p w:rsidR="000121CD" w:rsidRDefault="000121CD"/>
        </w:tc>
        <w:tc>
          <w:tcPr>
            <w:tcW w:w="8926" w:type="dxa"/>
            <w:vAlign w:val="center"/>
          </w:tcPr>
          <w:p w:rsidR="000121CD" w:rsidRDefault="000121CD">
            <w:pPr>
              <w:tabs>
                <w:tab w:val="right" w:leader="dot" w:pos="9400"/>
              </w:tabs>
            </w:pPr>
          </w:p>
        </w:tc>
        <w:tc>
          <w:tcPr>
            <w:tcW w:w="704" w:type="dxa"/>
            <w:vAlign w:val="center"/>
          </w:tcPr>
          <w:p w:rsidR="000121CD" w:rsidRDefault="000121CD">
            <w:pPr>
              <w:jc w:val="center"/>
            </w:pPr>
          </w:p>
        </w:tc>
      </w:tr>
      <w:tr w:rsidR="000121CD">
        <w:trPr>
          <w:cantSplit/>
          <w:jc w:val="center"/>
        </w:trPr>
        <w:tc>
          <w:tcPr>
            <w:tcW w:w="1170" w:type="dxa"/>
            <w:tcMar>
              <w:top w:w="0" w:type="dxa"/>
              <w:left w:w="144" w:type="dxa"/>
              <w:bottom w:w="0" w:type="dxa"/>
              <w:right w:w="0" w:type="dxa"/>
            </w:tcMar>
          </w:tcPr>
          <w:p w:rsidR="000121CD" w:rsidRDefault="00590862">
            <w:pPr>
              <w:pStyle w:val="la2"/>
            </w:pPr>
            <w:r>
              <w:t> </w:t>
            </w:r>
          </w:p>
        </w:tc>
        <w:tc>
          <w:tcPr>
            <w:tcW w:w="8926" w:type="dxa"/>
          </w:tcPr>
          <w:p w:rsidR="000121CD" w:rsidRDefault="00590862">
            <w:pPr>
              <w:tabs>
                <w:tab w:val="right" w:leader="dot" w:pos="9400"/>
              </w:tabs>
              <w:jc w:val="center"/>
            </w:pPr>
            <w:r>
              <w:rPr>
                <w:b/>
                <w:bCs/>
                <w:sz w:val="20"/>
              </w:rPr>
              <w:t>PART II</w:t>
            </w:r>
          </w:p>
        </w:tc>
        <w:tc>
          <w:tcPr>
            <w:tcW w:w="704" w:type="dxa"/>
            <w:tcMar>
              <w:top w:w="0" w:type="dxa"/>
              <w:left w:w="144" w:type="dxa"/>
              <w:bottom w:w="0" w:type="dxa"/>
              <w:right w:w="0" w:type="dxa"/>
            </w:tcMar>
          </w:tcPr>
          <w:p w:rsidR="000121CD" w:rsidRDefault="000121CD">
            <w:pPr>
              <w:pStyle w:val="la2"/>
              <w:jc w:val="center"/>
            </w:pPr>
          </w:p>
        </w:tc>
      </w:tr>
      <w:tr w:rsidR="000121CD">
        <w:trPr>
          <w:cantSplit/>
          <w:jc w:val="center"/>
        </w:trPr>
        <w:tc>
          <w:tcPr>
            <w:tcW w:w="1170" w:type="dxa"/>
            <w:vAlign w:val="center"/>
          </w:tcPr>
          <w:p w:rsidR="000121CD" w:rsidRDefault="000121CD"/>
        </w:tc>
        <w:tc>
          <w:tcPr>
            <w:tcW w:w="8926" w:type="dxa"/>
            <w:vAlign w:val="center"/>
          </w:tcPr>
          <w:p w:rsidR="000121CD" w:rsidRDefault="000121CD">
            <w:pPr>
              <w:tabs>
                <w:tab w:val="right" w:leader="dot" w:pos="9400"/>
              </w:tabs>
            </w:pPr>
          </w:p>
        </w:tc>
        <w:tc>
          <w:tcPr>
            <w:tcW w:w="704" w:type="dxa"/>
            <w:vAlign w:val="center"/>
          </w:tcPr>
          <w:p w:rsidR="000121CD" w:rsidRDefault="000121CD">
            <w:pPr>
              <w:jc w:val="center"/>
            </w:pPr>
          </w:p>
        </w:tc>
      </w:tr>
      <w:tr w:rsidR="000121CD">
        <w:trPr>
          <w:cantSplit/>
          <w:jc w:val="center"/>
        </w:trPr>
        <w:tc>
          <w:tcPr>
            <w:tcW w:w="1170" w:type="dxa"/>
          </w:tcPr>
          <w:p w:rsidR="000121CD" w:rsidRDefault="00590862">
            <w:pPr>
              <w:pStyle w:val="NormalWeb"/>
              <w:ind w:left="240" w:hanging="240"/>
            </w:pPr>
            <w:r>
              <w:rPr>
                <w:b/>
                <w:bCs/>
                <w:sz w:val="20"/>
                <w:szCs w:val="20"/>
              </w:rPr>
              <w:t>ITEM 5.</w:t>
            </w:r>
          </w:p>
        </w:tc>
        <w:tc>
          <w:tcPr>
            <w:tcW w:w="8926" w:type="dxa"/>
            <w:vAlign w:val="bottom"/>
          </w:tcPr>
          <w:p w:rsidR="000121CD" w:rsidRDefault="00A46291">
            <w:pPr>
              <w:pStyle w:val="NormalWeb"/>
              <w:tabs>
                <w:tab w:val="right" w:leader="dot" w:pos="9400"/>
              </w:tabs>
            </w:pPr>
            <w:hyperlink w:anchor="MarketforCommonEquity" w:history="1">
              <w:r w:rsidR="00590862">
                <w:rPr>
                  <w:rStyle w:val="Hyperlink"/>
                  <w:b/>
                  <w:bCs/>
                  <w:sz w:val="20"/>
                  <w:szCs w:val="20"/>
                </w:rPr>
                <w:t>MARKET FOR THE REGISTRANT’S COMMON EQUITY, RELATED STOCKHOLDER MATTERS AND ISSUER PURCHASES OF EQUITY SECURITIES</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MarketforCommonEquity  \* MERGEFORMAT </w:instrText>
            </w:r>
            <w:r>
              <w:rPr>
                <w:b/>
                <w:bCs/>
                <w:sz w:val="20"/>
                <w:szCs w:val="20"/>
              </w:rPr>
              <w:fldChar w:fldCharType="separate"/>
            </w:r>
            <w:r w:rsidR="004A17D0">
              <w:rPr>
                <w:b/>
                <w:bCs/>
                <w:noProof/>
                <w:sz w:val="20"/>
                <w:szCs w:val="20"/>
              </w:rPr>
              <w:t>23</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jc w:val="center"/>
              <w:rPr>
                <w:sz w:val="12"/>
              </w:rPr>
            </w:pPr>
          </w:p>
        </w:tc>
      </w:tr>
      <w:tr w:rsidR="000121CD">
        <w:trPr>
          <w:cantSplit/>
          <w:jc w:val="center"/>
        </w:trPr>
        <w:tc>
          <w:tcPr>
            <w:tcW w:w="1170" w:type="dxa"/>
          </w:tcPr>
          <w:p w:rsidR="000121CD" w:rsidRDefault="00590862">
            <w:pPr>
              <w:pStyle w:val="NormalWeb"/>
              <w:ind w:left="240" w:hanging="240"/>
            </w:pPr>
            <w:r>
              <w:rPr>
                <w:b/>
                <w:bCs/>
                <w:sz w:val="20"/>
                <w:szCs w:val="20"/>
              </w:rPr>
              <w:t>ITEM 6.</w:t>
            </w:r>
          </w:p>
        </w:tc>
        <w:tc>
          <w:tcPr>
            <w:tcW w:w="8926" w:type="dxa"/>
            <w:vAlign w:val="bottom"/>
          </w:tcPr>
          <w:p w:rsidR="000121CD" w:rsidRDefault="00A46291">
            <w:pPr>
              <w:pStyle w:val="NormalWeb"/>
              <w:tabs>
                <w:tab w:val="right" w:leader="dot" w:pos="9400"/>
              </w:tabs>
            </w:pPr>
            <w:hyperlink w:anchor="SelectedFinancialData" w:history="1">
              <w:r w:rsidR="00590862">
                <w:rPr>
                  <w:rStyle w:val="Hyperlink"/>
                  <w:b/>
                  <w:bCs/>
                  <w:sz w:val="20"/>
                  <w:szCs w:val="20"/>
                </w:rPr>
                <w:t>SELECTED FINANCIAL DATA</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SelectedFinancialData  \* MERGEFORMAT </w:instrText>
            </w:r>
            <w:r>
              <w:rPr>
                <w:b/>
                <w:bCs/>
                <w:sz w:val="20"/>
                <w:szCs w:val="20"/>
              </w:rPr>
              <w:fldChar w:fldCharType="separate"/>
            </w:r>
            <w:r w:rsidR="004A17D0">
              <w:rPr>
                <w:b/>
                <w:bCs/>
                <w:noProof/>
                <w:sz w:val="20"/>
                <w:szCs w:val="20"/>
              </w:rPr>
              <w:t>25</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jc w:val="center"/>
              <w:rPr>
                <w:sz w:val="12"/>
              </w:rPr>
            </w:pPr>
          </w:p>
        </w:tc>
      </w:tr>
      <w:tr w:rsidR="000121CD">
        <w:trPr>
          <w:cantSplit/>
          <w:jc w:val="center"/>
        </w:trPr>
        <w:tc>
          <w:tcPr>
            <w:tcW w:w="1170" w:type="dxa"/>
          </w:tcPr>
          <w:p w:rsidR="000121CD" w:rsidRDefault="00590862">
            <w:pPr>
              <w:pStyle w:val="NormalWeb"/>
              <w:ind w:left="240" w:hanging="240"/>
            </w:pPr>
            <w:r>
              <w:rPr>
                <w:b/>
                <w:bCs/>
                <w:sz w:val="20"/>
                <w:szCs w:val="20"/>
              </w:rPr>
              <w:t>ITEM 7.</w:t>
            </w:r>
          </w:p>
        </w:tc>
        <w:tc>
          <w:tcPr>
            <w:tcW w:w="8926" w:type="dxa"/>
            <w:vAlign w:val="bottom"/>
          </w:tcPr>
          <w:p w:rsidR="000121CD" w:rsidRDefault="00A46291">
            <w:pPr>
              <w:pStyle w:val="NormalWeb"/>
              <w:tabs>
                <w:tab w:val="right" w:leader="dot" w:pos="9400"/>
              </w:tabs>
            </w:pPr>
            <w:hyperlink w:anchor="MDA" w:history="1">
              <w:r w:rsidR="00590862">
                <w:rPr>
                  <w:rStyle w:val="Hyperlink"/>
                  <w:b/>
                  <w:bCs/>
                  <w:sz w:val="20"/>
                  <w:szCs w:val="20"/>
                </w:rPr>
                <w:t>MANAGEMENT’S DISCUSSION AND ANALYSIS OF FINANCIAL CONDITION AND RESULTS OF OPERATIONS</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MDA  \* MERGEFORMAT </w:instrText>
            </w:r>
            <w:r>
              <w:rPr>
                <w:b/>
                <w:bCs/>
                <w:sz w:val="20"/>
                <w:szCs w:val="20"/>
              </w:rPr>
              <w:fldChar w:fldCharType="separate"/>
            </w:r>
            <w:r w:rsidR="004A17D0">
              <w:rPr>
                <w:b/>
                <w:bCs/>
                <w:noProof/>
                <w:sz w:val="20"/>
                <w:szCs w:val="20"/>
              </w:rPr>
              <w:t>26</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jc w:val="center"/>
              <w:rPr>
                <w:sz w:val="12"/>
              </w:rPr>
            </w:pPr>
          </w:p>
        </w:tc>
      </w:tr>
      <w:tr w:rsidR="000121CD">
        <w:trPr>
          <w:cantSplit/>
          <w:jc w:val="center"/>
        </w:trPr>
        <w:tc>
          <w:tcPr>
            <w:tcW w:w="1170" w:type="dxa"/>
          </w:tcPr>
          <w:p w:rsidR="000121CD" w:rsidRDefault="00590862">
            <w:pPr>
              <w:pStyle w:val="NormalWeb"/>
              <w:ind w:left="240" w:hanging="240"/>
            </w:pPr>
            <w:r>
              <w:rPr>
                <w:b/>
                <w:bCs/>
                <w:sz w:val="20"/>
                <w:szCs w:val="20"/>
              </w:rPr>
              <w:t>ITEM 7A.</w:t>
            </w:r>
          </w:p>
        </w:tc>
        <w:tc>
          <w:tcPr>
            <w:tcW w:w="8926" w:type="dxa"/>
            <w:vAlign w:val="bottom"/>
          </w:tcPr>
          <w:p w:rsidR="000121CD" w:rsidRDefault="00A46291">
            <w:pPr>
              <w:pStyle w:val="NormalWeb"/>
              <w:tabs>
                <w:tab w:val="right" w:leader="dot" w:pos="9400"/>
              </w:tabs>
            </w:pPr>
            <w:hyperlink w:anchor="QuantitativeandQualitativeRisk" w:history="1">
              <w:r w:rsidR="00590862">
                <w:rPr>
                  <w:rStyle w:val="Hyperlink"/>
                  <w:b/>
                  <w:bCs/>
                  <w:sz w:val="20"/>
                  <w:szCs w:val="20"/>
                </w:rPr>
                <w:t>QUANTITATIVE AND QUALITATIVE DISCLOSURES ABOUT MARKET RISK</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QuantitativeandQualitativeRisk  \* MERGEFORMAT </w:instrText>
            </w:r>
            <w:r>
              <w:rPr>
                <w:b/>
                <w:bCs/>
                <w:sz w:val="20"/>
                <w:szCs w:val="20"/>
              </w:rPr>
              <w:fldChar w:fldCharType="separate"/>
            </w:r>
            <w:r w:rsidR="004A17D0">
              <w:rPr>
                <w:b/>
                <w:bCs/>
                <w:noProof/>
                <w:sz w:val="20"/>
                <w:szCs w:val="20"/>
              </w:rPr>
              <w:t>39</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jc w:val="center"/>
              <w:rPr>
                <w:sz w:val="12"/>
              </w:rPr>
            </w:pPr>
          </w:p>
        </w:tc>
      </w:tr>
      <w:tr w:rsidR="000121CD">
        <w:trPr>
          <w:cantSplit/>
          <w:jc w:val="center"/>
        </w:trPr>
        <w:tc>
          <w:tcPr>
            <w:tcW w:w="1170" w:type="dxa"/>
          </w:tcPr>
          <w:p w:rsidR="000121CD" w:rsidRDefault="00590862">
            <w:pPr>
              <w:pStyle w:val="NormalWeb"/>
              <w:ind w:left="240" w:hanging="240"/>
            </w:pPr>
            <w:r>
              <w:rPr>
                <w:b/>
                <w:bCs/>
                <w:sz w:val="20"/>
                <w:szCs w:val="20"/>
              </w:rPr>
              <w:t>ITEM 8.</w:t>
            </w:r>
          </w:p>
        </w:tc>
        <w:tc>
          <w:tcPr>
            <w:tcW w:w="8926" w:type="dxa"/>
            <w:vAlign w:val="bottom"/>
          </w:tcPr>
          <w:p w:rsidR="000121CD" w:rsidRDefault="00A46291">
            <w:pPr>
              <w:pStyle w:val="NormalWeb"/>
              <w:tabs>
                <w:tab w:val="right" w:leader="dot" w:pos="9400"/>
              </w:tabs>
            </w:pPr>
            <w:hyperlink w:anchor="FinancialStatements" w:history="1">
              <w:r w:rsidR="00590862">
                <w:rPr>
                  <w:rStyle w:val="Hyperlink"/>
                  <w:b/>
                  <w:bCs/>
                  <w:sz w:val="20"/>
                  <w:szCs w:val="20"/>
                </w:rPr>
                <w:t>FINANCIAL STATEMENTS AND SUPPLEMENTARY DATA</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FinancialStatements  \* MERGEFORMAT </w:instrText>
            </w:r>
            <w:r>
              <w:rPr>
                <w:b/>
                <w:bCs/>
                <w:sz w:val="20"/>
                <w:szCs w:val="20"/>
              </w:rPr>
              <w:fldChar w:fldCharType="separate"/>
            </w:r>
            <w:r w:rsidR="00F3319E">
              <w:rPr>
                <w:b/>
                <w:bCs/>
                <w:noProof/>
                <w:sz w:val="20"/>
                <w:szCs w:val="20"/>
              </w:rPr>
              <w:t>40</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jc w:val="center"/>
              <w:rPr>
                <w:sz w:val="12"/>
              </w:rPr>
            </w:pPr>
          </w:p>
        </w:tc>
      </w:tr>
      <w:tr w:rsidR="000121CD">
        <w:trPr>
          <w:cantSplit/>
          <w:jc w:val="center"/>
        </w:trPr>
        <w:tc>
          <w:tcPr>
            <w:tcW w:w="1170" w:type="dxa"/>
          </w:tcPr>
          <w:p w:rsidR="000121CD" w:rsidRDefault="00590862">
            <w:pPr>
              <w:pStyle w:val="NormalWeb"/>
              <w:ind w:left="240" w:hanging="240"/>
            </w:pPr>
            <w:r>
              <w:rPr>
                <w:b/>
                <w:bCs/>
                <w:sz w:val="20"/>
                <w:szCs w:val="20"/>
              </w:rPr>
              <w:t>ITEM 9.</w:t>
            </w:r>
          </w:p>
        </w:tc>
        <w:tc>
          <w:tcPr>
            <w:tcW w:w="8926" w:type="dxa"/>
            <w:vAlign w:val="bottom"/>
          </w:tcPr>
          <w:p w:rsidR="000121CD" w:rsidRDefault="00A46291">
            <w:pPr>
              <w:pStyle w:val="NormalWeb"/>
              <w:tabs>
                <w:tab w:val="right" w:leader="dot" w:pos="9400"/>
              </w:tabs>
            </w:pPr>
            <w:hyperlink w:anchor="ChangesinAuditors" w:history="1">
              <w:r w:rsidR="00590862">
                <w:rPr>
                  <w:rStyle w:val="Hyperlink"/>
                  <w:b/>
                  <w:bCs/>
                  <w:sz w:val="20"/>
                  <w:szCs w:val="20"/>
                </w:rPr>
                <w:t>CHANGES IN AND DISAGREEMENTS WITH ACCOUNTANTS ON ACCOUNTING AND FINANCIAL DISCLOSURE</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ChangesinAuditors  \* MERGEFORMAT </w:instrText>
            </w:r>
            <w:r>
              <w:rPr>
                <w:b/>
                <w:bCs/>
                <w:sz w:val="20"/>
                <w:szCs w:val="20"/>
              </w:rPr>
              <w:fldChar w:fldCharType="separate"/>
            </w:r>
            <w:r w:rsidR="00F3319E">
              <w:rPr>
                <w:b/>
                <w:bCs/>
                <w:noProof/>
                <w:sz w:val="20"/>
                <w:szCs w:val="20"/>
              </w:rPr>
              <w:t>41</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jc w:val="center"/>
              <w:rPr>
                <w:sz w:val="12"/>
              </w:rPr>
            </w:pPr>
          </w:p>
        </w:tc>
      </w:tr>
      <w:tr w:rsidR="000121CD">
        <w:trPr>
          <w:cantSplit/>
          <w:jc w:val="center"/>
        </w:trPr>
        <w:tc>
          <w:tcPr>
            <w:tcW w:w="1170" w:type="dxa"/>
          </w:tcPr>
          <w:p w:rsidR="000121CD" w:rsidRDefault="00590862">
            <w:pPr>
              <w:pStyle w:val="NormalWeb"/>
              <w:ind w:left="240" w:hanging="240"/>
            </w:pPr>
            <w:r>
              <w:rPr>
                <w:b/>
                <w:bCs/>
                <w:sz w:val="20"/>
                <w:szCs w:val="20"/>
              </w:rPr>
              <w:t>ITEM 9A.</w:t>
            </w:r>
          </w:p>
        </w:tc>
        <w:tc>
          <w:tcPr>
            <w:tcW w:w="8926" w:type="dxa"/>
            <w:vAlign w:val="bottom"/>
          </w:tcPr>
          <w:p w:rsidR="000121CD" w:rsidRDefault="00A46291">
            <w:pPr>
              <w:pStyle w:val="NormalWeb"/>
              <w:tabs>
                <w:tab w:val="right" w:leader="dot" w:pos="9400"/>
              </w:tabs>
            </w:pPr>
            <w:hyperlink w:anchor="ControlsandProcedures" w:history="1">
              <w:r w:rsidR="00590862">
                <w:rPr>
                  <w:rStyle w:val="Hyperlink"/>
                  <w:b/>
                  <w:bCs/>
                  <w:sz w:val="20"/>
                  <w:szCs w:val="20"/>
                </w:rPr>
                <w:t>CONTROLS AND PROCEDURES</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ControlsandProcedures  \* MERGEFORMAT </w:instrText>
            </w:r>
            <w:r>
              <w:rPr>
                <w:b/>
                <w:bCs/>
                <w:sz w:val="20"/>
                <w:szCs w:val="20"/>
              </w:rPr>
              <w:fldChar w:fldCharType="separate"/>
            </w:r>
            <w:r w:rsidR="00F3319E">
              <w:rPr>
                <w:b/>
                <w:bCs/>
                <w:noProof/>
                <w:sz w:val="20"/>
                <w:szCs w:val="20"/>
              </w:rPr>
              <w:t>41</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jc w:val="center"/>
              <w:rPr>
                <w:sz w:val="12"/>
              </w:rPr>
            </w:pPr>
          </w:p>
        </w:tc>
      </w:tr>
      <w:tr w:rsidR="000121CD">
        <w:trPr>
          <w:cantSplit/>
          <w:jc w:val="center"/>
        </w:trPr>
        <w:tc>
          <w:tcPr>
            <w:tcW w:w="1170" w:type="dxa"/>
          </w:tcPr>
          <w:p w:rsidR="000121CD" w:rsidRDefault="00590862">
            <w:pPr>
              <w:pStyle w:val="NormalWeb"/>
              <w:ind w:left="240" w:hanging="240"/>
            </w:pPr>
            <w:r>
              <w:rPr>
                <w:b/>
                <w:bCs/>
                <w:sz w:val="20"/>
                <w:szCs w:val="20"/>
              </w:rPr>
              <w:t>ITEM 9B.</w:t>
            </w:r>
          </w:p>
        </w:tc>
        <w:tc>
          <w:tcPr>
            <w:tcW w:w="8926" w:type="dxa"/>
            <w:vAlign w:val="bottom"/>
          </w:tcPr>
          <w:p w:rsidR="000121CD" w:rsidRDefault="00A46291">
            <w:pPr>
              <w:pStyle w:val="NormalWeb"/>
              <w:tabs>
                <w:tab w:val="right" w:leader="dot" w:pos="9400"/>
              </w:tabs>
            </w:pPr>
            <w:hyperlink w:anchor="OtherInformation" w:history="1">
              <w:r w:rsidR="00590862">
                <w:rPr>
                  <w:rStyle w:val="Hyperlink"/>
                  <w:b/>
                  <w:bCs/>
                  <w:sz w:val="20"/>
                  <w:szCs w:val="20"/>
                </w:rPr>
                <w:t>OTHER INFORMATION</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OtherInformation  \* MERGEFORMAT </w:instrText>
            </w:r>
            <w:r>
              <w:rPr>
                <w:b/>
                <w:bCs/>
                <w:sz w:val="20"/>
                <w:szCs w:val="20"/>
              </w:rPr>
              <w:fldChar w:fldCharType="separate"/>
            </w:r>
            <w:r w:rsidR="00F3319E">
              <w:rPr>
                <w:b/>
                <w:bCs/>
                <w:noProof/>
                <w:sz w:val="20"/>
                <w:szCs w:val="20"/>
              </w:rPr>
              <w:t>41</w:t>
            </w:r>
            <w:r>
              <w:rPr>
                <w:b/>
                <w:bCs/>
                <w:sz w:val="20"/>
                <w:szCs w:val="20"/>
              </w:rPr>
              <w:fldChar w:fldCharType="end"/>
            </w:r>
          </w:p>
        </w:tc>
      </w:tr>
      <w:tr w:rsidR="000121CD">
        <w:trPr>
          <w:cantSplit/>
          <w:jc w:val="center"/>
        </w:trPr>
        <w:tc>
          <w:tcPr>
            <w:tcW w:w="1170" w:type="dxa"/>
            <w:vAlign w:val="center"/>
          </w:tcPr>
          <w:p w:rsidR="000121CD" w:rsidRDefault="000121CD"/>
        </w:tc>
        <w:tc>
          <w:tcPr>
            <w:tcW w:w="8926" w:type="dxa"/>
            <w:vAlign w:val="center"/>
          </w:tcPr>
          <w:p w:rsidR="000121CD" w:rsidRDefault="000121CD">
            <w:pPr>
              <w:tabs>
                <w:tab w:val="right" w:leader="dot" w:pos="9400"/>
              </w:tabs>
            </w:pPr>
          </w:p>
        </w:tc>
        <w:tc>
          <w:tcPr>
            <w:tcW w:w="704" w:type="dxa"/>
            <w:vAlign w:val="center"/>
          </w:tcPr>
          <w:p w:rsidR="000121CD" w:rsidRDefault="000121CD">
            <w:pPr>
              <w:jc w:val="center"/>
            </w:pPr>
          </w:p>
        </w:tc>
      </w:tr>
      <w:tr w:rsidR="000121CD">
        <w:trPr>
          <w:cantSplit/>
          <w:jc w:val="center"/>
        </w:trPr>
        <w:tc>
          <w:tcPr>
            <w:tcW w:w="1170" w:type="dxa"/>
            <w:tcMar>
              <w:top w:w="0" w:type="dxa"/>
              <w:left w:w="144" w:type="dxa"/>
              <w:bottom w:w="0" w:type="dxa"/>
              <w:right w:w="0" w:type="dxa"/>
            </w:tcMar>
          </w:tcPr>
          <w:p w:rsidR="000121CD" w:rsidRDefault="00590862">
            <w:pPr>
              <w:pStyle w:val="la2"/>
            </w:pPr>
            <w:r>
              <w:t> </w:t>
            </w:r>
          </w:p>
        </w:tc>
        <w:tc>
          <w:tcPr>
            <w:tcW w:w="8926" w:type="dxa"/>
          </w:tcPr>
          <w:p w:rsidR="000121CD" w:rsidRDefault="00590862">
            <w:pPr>
              <w:tabs>
                <w:tab w:val="right" w:leader="dot" w:pos="9400"/>
              </w:tabs>
              <w:jc w:val="center"/>
            </w:pPr>
            <w:r>
              <w:rPr>
                <w:b/>
                <w:bCs/>
                <w:sz w:val="20"/>
              </w:rPr>
              <w:t>PART III</w:t>
            </w:r>
          </w:p>
        </w:tc>
        <w:tc>
          <w:tcPr>
            <w:tcW w:w="704" w:type="dxa"/>
            <w:tcMar>
              <w:top w:w="0" w:type="dxa"/>
              <w:left w:w="144" w:type="dxa"/>
              <w:bottom w:w="0" w:type="dxa"/>
              <w:right w:w="0" w:type="dxa"/>
            </w:tcMar>
          </w:tcPr>
          <w:p w:rsidR="000121CD" w:rsidRDefault="000121CD">
            <w:pPr>
              <w:pStyle w:val="la2"/>
              <w:jc w:val="center"/>
            </w:pPr>
          </w:p>
        </w:tc>
      </w:tr>
      <w:tr w:rsidR="000121CD">
        <w:trPr>
          <w:cantSplit/>
          <w:jc w:val="center"/>
        </w:trPr>
        <w:tc>
          <w:tcPr>
            <w:tcW w:w="1170" w:type="dxa"/>
            <w:vAlign w:val="center"/>
          </w:tcPr>
          <w:p w:rsidR="000121CD" w:rsidRDefault="000121CD"/>
        </w:tc>
        <w:tc>
          <w:tcPr>
            <w:tcW w:w="8926" w:type="dxa"/>
            <w:vAlign w:val="center"/>
          </w:tcPr>
          <w:p w:rsidR="000121CD" w:rsidRDefault="000121CD">
            <w:pPr>
              <w:tabs>
                <w:tab w:val="right" w:leader="dot" w:pos="9400"/>
              </w:tabs>
            </w:pPr>
          </w:p>
        </w:tc>
        <w:tc>
          <w:tcPr>
            <w:tcW w:w="704" w:type="dxa"/>
            <w:vAlign w:val="center"/>
          </w:tcPr>
          <w:p w:rsidR="000121CD" w:rsidRDefault="000121CD">
            <w:pPr>
              <w:jc w:val="center"/>
            </w:pPr>
          </w:p>
        </w:tc>
      </w:tr>
      <w:tr w:rsidR="000121CD">
        <w:trPr>
          <w:cantSplit/>
          <w:jc w:val="center"/>
        </w:trPr>
        <w:tc>
          <w:tcPr>
            <w:tcW w:w="1170" w:type="dxa"/>
          </w:tcPr>
          <w:p w:rsidR="000121CD" w:rsidRDefault="00590862">
            <w:pPr>
              <w:pStyle w:val="NormalWeb"/>
              <w:ind w:left="240" w:hanging="240"/>
            </w:pPr>
            <w:r>
              <w:rPr>
                <w:b/>
                <w:bCs/>
                <w:sz w:val="20"/>
                <w:szCs w:val="20"/>
              </w:rPr>
              <w:t>ITEM 10.</w:t>
            </w:r>
          </w:p>
        </w:tc>
        <w:tc>
          <w:tcPr>
            <w:tcW w:w="8926" w:type="dxa"/>
            <w:vAlign w:val="bottom"/>
          </w:tcPr>
          <w:p w:rsidR="000121CD" w:rsidRDefault="00A46291">
            <w:pPr>
              <w:pStyle w:val="NormalWeb"/>
              <w:tabs>
                <w:tab w:val="right" w:leader="dot" w:pos="9400"/>
              </w:tabs>
            </w:pPr>
            <w:hyperlink w:anchor="DirectorsExecutivesOfficersandCorpGov" w:history="1">
              <w:r w:rsidR="00590862">
                <w:rPr>
                  <w:rStyle w:val="Hyperlink"/>
                  <w:b/>
                  <w:bCs/>
                  <w:sz w:val="20"/>
                  <w:szCs w:val="20"/>
                </w:rPr>
                <w:t>DIRECTORS, EXECUTIVE OFFICERS AND CORPORATE GOVERNANCE</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DirectorsExecutivesOfficersandCorpGov  \* MERGEFORMAT </w:instrText>
            </w:r>
            <w:r>
              <w:rPr>
                <w:b/>
                <w:bCs/>
                <w:sz w:val="20"/>
                <w:szCs w:val="20"/>
              </w:rPr>
              <w:fldChar w:fldCharType="separate"/>
            </w:r>
            <w:r w:rsidR="00F3319E">
              <w:rPr>
                <w:b/>
                <w:bCs/>
                <w:noProof/>
                <w:sz w:val="20"/>
                <w:szCs w:val="20"/>
              </w:rPr>
              <w:t>42</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jc w:val="center"/>
              <w:rPr>
                <w:sz w:val="12"/>
              </w:rPr>
            </w:pPr>
          </w:p>
        </w:tc>
      </w:tr>
      <w:tr w:rsidR="000121CD">
        <w:trPr>
          <w:cantSplit/>
          <w:jc w:val="center"/>
        </w:trPr>
        <w:tc>
          <w:tcPr>
            <w:tcW w:w="1170" w:type="dxa"/>
          </w:tcPr>
          <w:p w:rsidR="000121CD" w:rsidRDefault="00590862">
            <w:pPr>
              <w:pStyle w:val="NormalWeb"/>
              <w:ind w:left="240" w:hanging="240"/>
            </w:pPr>
            <w:r>
              <w:rPr>
                <w:b/>
                <w:bCs/>
                <w:sz w:val="20"/>
                <w:szCs w:val="20"/>
              </w:rPr>
              <w:t>ITEM 11.</w:t>
            </w:r>
          </w:p>
        </w:tc>
        <w:tc>
          <w:tcPr>
            <w:tcW w:w="8926" w:type="dxa"/>
            <w:vAlign w:val="bottom"/>
          </w:tcPr>
          <w:p w:rsidR="000121CD" w:rsidRDefault="00A46291">
            <w:pPr>
              <w:pStyle w:val="NormalWeb"/>
              <w:tabs>
                <w:tab w:val="right" w:leader="dot" w:pos="9400"/>
              </w:tabs>
            </w:pPr>
            <w:hyperlink w:anchor="ExecutiveCompensation" w:history="1">
              <w:r w:rsidR="00590862">
                <w:rPr>
                  <w:rStyle w:val="Hyperlink"/>
                  <w:b/>
                  <w:bCs/>
                  <w:sz w:val="20"/>
                  <w:szCs w:val="20"/>
                </w:rPr>
                <w:t>EXECUTIVE COMPENSATION</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ExecutiveCompensation  \* MERGEFORMAT </w:instrText>
            </w:r>
            <w:r>
              <w:rPr>
                <w:b/>
                <w:bCs/>
                <w:sz w:val="20"/>
                <w:szCs w:val="20"/>
              </w:rPr>
              <w:fldChar w:fldCharType="separate"/>
            </w:r>
            <w:r w:rsidR="004A17D0">
              <w:rPr>
                <w:b/>
                <w:bCs/>
                <w:noProof/>
                <w:sz w:val="20"/>
                <w:szCs w:val="20"/>
              </w:rPr>
              <w:t>42</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pStyle w:val="NormalWeb"/>
              <w:tabs>
                <w:tab w:val="right" w:pos="520"/>
                <w:tab w:val="decimal" w:pos="560"/>
              </w:tabs>
              <w:spacing w:before="0" w:beforeAutospacing="0" w:after="15" w:afterAutospacing="0"/>
              <w:jc w:val="center"/>
              <w:rPr>
                <w:sz w:val="12"/>
              </w:rPr>
            </w:pPr>
          </w:p>
        </w:tc>
      </w:tr>
      <w:tr w:rsidR="000121CD">
        <w:trPr>
          <w:cantSplit/>
          <w:jc w:val="center"/>
        </w:trPr>
        <w:tc>
          <w:tcPr>
            <w:tcW w:w="1170" w:type="dxa"/>
          </w:tcPr>
          <w:p w:rsidR="000121CD" w:rsidRDefault="00590862">
            <w:pPr>
              <w:pStyle w:val="NormalWeb"/>
              <w:ind w:left="240" w:hanging="240"/>
            </w:pPr>
            <w:r>
              <w:rPr>
                <w:b/>
                <w:bCs/>
                <w:sz w:val="20"/>
                <w:szCs w:val="20"/>
              </w:rPr>
              <w:t>ITEM 12.</w:t>
            </w:r>
          </w:p>
        </w:tc>
        <w:tc>
          <w:tcPr>
            <w:tcW w:w="8926" w:type="dxa"/>
            <w:vAlign w:val="bottom"/>
          </w:tcPr>
          <w:p w:rsidR="000121CD" w:rsidRDefault="00A46291">
            <w:pPr>
              <w:pStyle w:val="NormalWeb"/>
              <w:tabs>
                <w:tab w:val="right" w:leader="dot" w:pos="9400"/>
              </w:tabs>
            </w:pPr>
            <w:hyperlink w:anchor="SecurityOwnership" w:history="1">
              <w:r w:rsidR="00590862">
                <w:rPr>
                  <w:rStyle w:val="Hyperlink"/>
                  <w:b/>
                  <w:bCs/>
                  <w:sz w:val="20"/>
                  <w:szCs w:val="20"/>
                </w:rPr>
                <w:t>SECURITY OWNERSHIP OF CERTAIN BENEFICIAL OWNERS AND MANAGEMENT AND RELATED STOCKHOLDER MATTERS</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SecurityOwnership  \* MERGEFORMAT </w:instrText>
            </w:r>
            <w:r>
              <w:rPr>
                <w:b/>
                <w:bCs/>
                <w:sz w:val="20"/>
                <w:szCs w:val="20"/>
              </w:rPr>
              <w:fldChar w:fldCharType="separate"/>
            </w:r>
            <w:r w:rsidR="00F3319E">
              <w:rPr>
                <w:b/>
                <w:bCs/>
                <w:noProof/>
                <w:sz w:val="20"/>
                <w:szCs w:val="20"/>
              </w:rPr>
              <w:t>43</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jc w:val="center"/>
              <w:rPr>
                <w:sz w:val="12"/>
              </w:rPr>
            </w:pPr>
          </w:p>
        </w:tc>
      </w:tr>
      <w:tr w:rsidR="000121CD">
        <w:trPr>
          <w:cantSplit/>
          <w:jc w:val="center"/>
        </w:trPr>
        <w:tc>
          <w:tcPr>
            <w:tcW w:w="1170" w:type="dxa"/>
          </w:tcPr>
          <w:p w:rsidR="000121CD" w:rsidRDefault="00590862">
            <w:pPr>
              <w:pStyle w:val="NormalWeb"/>
              <w:ind w:left="240" w:hanging="240"/>
            </w:pPr>
            <w:r>
              <w:rPr>
                <w:b/>
                <w:bCs/>
                <w:sz w:val="20"/>
                <w:szCs w:val="20"/>
              </w:rPr>
              <w:t>ITEM 13.</w:t>
            </w:r>
          </w:p>
        </w:tc>
        <w:tc>
          <w:tcPr>
            <w:tcW w:w="8926" w:type="dxa"/>
            <w:vAlign w:val="bottom"/>
          </w:tcPr>
          <w:p w:rsidR="000121CD" w:rsidRDefault="00A46291">
            <w:pPr>
              <w:pStyle w:val="NormalWeb"/>
              <w:tabs>
                <w:tab w:val="right" w:leader="dot" w:pos="9400"/>
              </w:tabs>
            </w:pPr>
            <w:hyperlink w:anchor="CertainRelationships" w:history="1">
              <w:r w:rsidR="00590862">
                <w:rPr>
                  <w:rStyle w:val="Hyperlink"/>
                  <w:b/>
                  <w:bCs/>
                  <w:sz w:val="20"/>
                  <w:szCs w:val="20"/>
                </w:rPr>
                <w:t>CERTAIN RELATIONSHIPS AND RELATED TRANSACTIONS, AND DIRECTOR INDEPENDENCE</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CertainRelationships  \* MERGEFORMAT </w:instrText>
            </w:r>
            <w:r>
              <w:rPr>
                <w:b/>
                <w:bCs/>
                <w:sz w:val="20"/>
                <w:szCs w:val="20"/>
              </w:rPr>
              <w:fldChar w:fldCharType="separate"/>
            </w:r>
            <w:r w:rsidR="00F3319E">
              <w:rPr>
                <w:b/>
                <w:bCs/>
                <w:noProof/>
                <w:sz w:val="20"/>
                <w:szCs w:val="20"/>
              </w:rPr>
              <w:t>43</w:t>
            </w:r>
            <w:r>
              <w:rPr>
                <w:b/>
                <w:bCs/>
                <w:sz w:val="20"/>
                <w:szCs w:val="20"/>
              </w:rPr>
              <w:fldChar w:fldCharType="end"/>
            </w:r>
          </w:p>
        </w:tc>
      </w:tr>
      <w:tr w:rsidR="000121CD">
        <w:trPr>
          <w:cantSplit/>
          <w:jc w:val="center"/>
        </w:trPr>
        <w:tc>
          <w:tcPr>
            <w:tcW w:w="1170" w:type="dxa"/>
            <w:vAlign w:val="center"/>
          </w:tcPr>
          <w:p w:rsidR="000121CD" w:rsidRDefault="000121CD">
            <w:pPr>
              <w:rPr>
                <w:sz w:val="12"/>
              </w:rPr>
            </w:pPr>
          </w:p>
        </w:tc>
        <w:tc>
          <w:tcPr>
            <w:tcW w:w="8926" w:type="dxa"/>
            <w:vAlign w:val="center"/>
          </w:tcPr>
          <w:p w:rsidR="000121CD" w:rsidRDefault="000121CD">
            <w:pPr>
              <w:tabs>
                <w:tab w:val="right" w:leader="dot" w:pos="9400"/>
              </w:tabs>
              <w:rPr>
                <w:sz w:val="12"/>
              </w:rPr>
            </w:pPr>
          </w:p>
        </w:tc>
        <w:tc>
          <w:tcPr>
            <w:tcW w:w="704" w:type="dxa"/>
            <w:vAlign w:val="center"/>
          </w:tcPr>
          <w:p w:rsidR="000121CD" w:rsidRDefault="000121CD">
            <w:pPr>
              <w:jc w:val="center"/>
              <w:rPr>
                <w:sz w:val="12"/>
              </w:rPr>
            </w:pPr>
          </w:p>
        </w:tc>
      </w:tr>
      <w:tr w:rsidR="000121CD">
        <w:trPr>
          <w:cantSplit/>
          <w:jc w:val="center"/>
        </w:trPr>
        <w:tc>
          <w:tcPr>
            <w:tcW w:w="1170" w:type="dxa"/>
          </w:tcPr>
          <w:p w:rsidR="000121CD" w:rsidRDefault="00590862">
            <w:pPr>
              <w:pStyle w:val="NormalWeb"/>
              <w:ind w:left="240" w:hanging="240"/>
            </w:pPr>
            <w:r>
              <w:rPr>
                <w:b/>
                <w:bCs/>
                <w:sz w:val="20"/>
                <w:szCs w:val="20"/>
              </w:rPr>
              <w:t>ITEM 14.</w:t>
            </w:r>
          </w:p>
        </w:tc>
        <w:tc>
          <w:tcPr>
            <w:tcW w:w="8926" w:type="dxa"/>
            <w:vAlign w:val="bottom"/>
          </w:tcPr>
          <w:p w:rsidR="000121CD" w:rsidRDefault="00A46291">
            <w:pPr>
              <w:pStyle w:val="NormalWeb"/>
              <w:tabs>
                <w:tab w:val="right" w:leader="dot" w:pos="9400"/>
              </w:tabs>
            </w:pPr>
            <w:hyperlink w:anchor="PrincipalAccountantFees" w:history="1">
              <w:r w:rsidR="00590862">
                <w:rPr>
                  <w:rStyle w:val="Hyperlink"/>
                  <w:b/>
                  <w:bCs/>
                  <w:sz w:val="20"/>
                  <w:szCs w:val="20"/>
                </w:rPr>
                <w:t>PRINCIPAL ACCOUNTING FEES AND SERVICES</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noProof/>
                <w:sz w:val="20"/>
                <w:szCs w:val="20"/>
              </w:rPr>
              <w:fldChar w:fldCharType="begin"/>
            </w:r>
            <w:r>
              <w:rPr>
                <w:b/>
                <w:bCs/>
                <w:noProof/>
                <w:sz w:val="20"/>
                <w:szCs w:val="20"/>
              </w:rPr>
              <w:instrText xml:space="preserve"> PAGEREF  PrincipalAccountantFees  \* MERGEFORMAT </w:instrText>
            </w:r>
            <w:r>
              <w:rPr>
                <w:b/>
                <w:bCs/>
                <w:noProof/>
                <w:sz w:val="20"/>
                <w:szCs w:val="20"/>
              </w:rPr>
              <w:fldChar w:fldCharType="separate"/>
            </w:r>
            <w:r w:rsidR="00F3319E">
              <w:rPr>
                <w:b/>
                <w:bCs/>
                <w:noProof/>
                <w:sz w:val="20"/>
                <w:szCs w:val="20"/>
              </w:rPr>
              <w:t>43</w:t>
            </w:r>
            <w:r>
              <w:rPr>
                <w:b/>
                <w:bCs/>
                <w:noProof/>
                <w:sz w:val="20"/>
                <w:szCs w:val="20"/>
              </w:rPr>
              <w:fldChar w:fldCharType="end"/>
            </w:r>
          </w:p>
        </w:tc>
      </w:tr>
      <w:tr w:rsidR="000121CD">
        <w:trPr>
          <w:cantSplit/>
          <w:jc w:val="center"/>
        </w:trPr>
        <w:tc>
          <w:tcPr>
            <w:tcW w:w="1170" w:type="dxa"/>
            <w:vAlign w:val="center"/>
          </w:tcPr>
          <w:p w:rsidR="000121CD" w:rsidRDefault="000121CD"/>
        </w:tc>
        <w:tc>
          <w:tcPr>
            <w:tcW w:w="8926" w:type="dxa"/>
            <w:vAlign w:val="center"/>
          </w:tcPr>
          <w:p w:rsidR="000121CD" w:rsidRDefault="000121CD">
            <w:pPr>
              <w:tabs>
                <w:tab w:val="right" w:leader="dot" w:pos="9400"/>
              </w:tabs>
            </w:pPr>
          </w:p>
        </w:tc>
        <w:tc>
          <w:tcPr>
            <w:tcW w:w="704" w:type="dxa"/>
            <w:vAlign w:val="center"/>
          </w:tcPr>
          <w:p w:rsidR="000121CD" w:rsidRDefault="000121CD">
            <w:pPr>
              <w:jc w:val="center"/>
            </w:pPr>
          </w:p>
        </w:tc>
      </w:tr>
      <w:tr w:rsidR="000121CD">
        <w:trPr>
          <w:cantSplit/>
          <w:jc w:val="center"/>
        </w:trPr>
        <w:tc>
          <w:tcPr>
            <w:tcW w:w="1170" w:type="dxa"/>
            <w:tcMar>
              <w:top w:w="0" w:type="dxa"/>
              <w:left w:w="144" w:type="dxa"/>
              <w:bottom w:w="0" w:type="dxa"/>
              <w:right w:w="0" w:type="dxa"/>
            </w:tcMar>
          </w:tcPr>
          <w:p w:rsidR="000121CD" w:rsidRDefault="00590862">
            <w:pPr>
              <w:pStyle w:val="la2"/>
            </w:pPr>
            <w:r>
              <w:t> </w:t>
            </w:r>
          </w:p>
        </w:tc>
        <w:tc>
          <w:tcPr>
            <w:tcW w:w="8926" w:type="dxa"/>
          </w:tcPr>
          <w:p w:rsidR="000121CD" w:rsidRDefault="00590862">
            <w:pPr>
              <w:tabs>
                <w:tab w:val="right" w:leader="dot" w:pos="9400"/>
              </w:tabs>
              <w:jc w:val="center"/>
            </w:pPr>
            <w:r>
              <w:rPr>
                <w:b/>
                <w:bCs/>
                <w:sz w:val="20"/>
              </w:rPr>
              <w:t>PART IV</w:t>
            </w:r>
          </w:p>
        </w:tc>
        <w:tc>
          <w:tcPr>
            <w:tcW w:w="704" w:type="dxa"/>
            <w:tcMar>
              <w:top w:w="0" w:type="dxa"/>
              <w:left w:w="144" w:type="dxa"/>
              <w:bottom w:w="0" w:type="dxa"/>
              <w:right w:w="0" w:type="dxa"/>
            </w:tcMar>
          </w:tcPr>
          <w:p w:rsidR="000121CD" w:rsidRDefault="000121CD">
            <w:pPr>
              <w:pStyle w:val="la2"/>
              <w:jc w:val="center"/>
            </w:pPr>
          </w:p>
        </w:tc>
      </w:tr>
      <w:tr w:rsidR="000121CD">
        <w:trPr>
          <w:cantSplit/>
          <w:jc w:val="center"/>
        </w:trPr>
        <w:tc>
          <w:tcPr>
            <w:tcW w:w="1170" w:type="dxa"/>
            <w:vAlign w:val="center"/>
          </w:tcPr>
          <w:p w:rsidR="000121CD" w:rsidRDefault="000121CD"/>
        </w:tc>
        <w:tc>
          <w:tcPr>
            <w:tcW w:w="8926" w:type="dxa"/>
            <w:vAlign w:val="center"/>
          </w:tcPr>
          <w:p w:rsidR="000121CD" w:rsidRDefault="000121CD">
            <w:pPr>
              <w:tabs>
                <w:tab w:val="right" w:leader="dot" w:pos="9400"/>
              </w:tabs>
            </w:pPr>
          </w:p>
        </w:tc>
        <w:tc>
          <w:tcPr>
            <w:tcW w:w="704" w:type="dxa"/>
            <w:vAlign w:val="center"/>
          </w:tcPr>
          <w:p w:rsidR="000121CD" w:rsidRDefault="000121CD">
            <w:pPr>
              <w:jc w:val="center"/>
            </w:pPr>
          </w:p>
        </w:tc>
      </w:tr>
      <w:tr w:rsidR="000121CD">
        <w:trPr>
          <w:cantSplit/>
          <w:jc w:val="center"/>
        </w:trPr>
        <w:tc>
          <w:tcPr>
            <w:tcW w:w="1170" w:type="dxa"/>
          </w:tcPr>
          <w:p w:rsidR="000121CD" w:rsidRDefault="00590862">
            <w:pPr>
              <w:pStyle w:val="NormalWeb"/>
              <w:ind w:left="240" w:hanging="240"/>
            </w:pPr>
            <w:r>
              <w:rPr>
                <w:b/>
                <w:bCs/>
                <w:sz w:val="20"/>
                <w:szCs w:val="20"/>
              </w:rPr>
              <w:t>ITEM 15.</w:t>
            </w:r>
          </w:p>
        </w:tc>
        <w:tc>
          <w:tcPr>
            <w:tcW w:w="8926" w:type="dxa"/>
            <w:vAlign w:val="bottom"/>
          </w:tcPr>
          <w:p w:rsidR="000121CD" w:rsidRDefault="00A46291">
            <w:pPr>
              <w:pStyle w:val="NormalWeb"/>
              <w:tabs>
                <w:tab w:val="right" w:leader="dot" w:pos="9400"/>
              </w:tabs>
            </w:pPr>
            <w:hyperlink w:anchor="Exhibits" w:history="1">
              <w:r w:rsidR="00590862">
                <w:rPr>
                  <w:rStyle w:val="Hyperlink"/>
                  <w:b/>
                  <w:bCs/>
                  <w:sz w:val="20"/>
                  <w:szCs w:val="20"/>
                </w:rPr>
                <w:t>EXHIBITS AND FINANCIAL STATEMENT SCHEDULES</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pPr>
            <w:r>
              <w:rPr>
                <w:b/>
                <w:bCs/>
                <w:sz w:val="20"/>
                <w:szCs w:val="20"/>
              </w:rPr>
              <w:fldChar w:fldCharType="begin"/>
            </w:r>
            <w:r>
              <w:rPr>
                <w:b/>
                <w:bCs/>
                <w:sz w:val="20"/>
                <w:szCs w:val="20"/>
              </w:rPr>
              <w:instrText xml:space="preserve"> PAGEREF  Exhibits  \* MERGEFORMAT </w:instrText>
            </w:r>
            <w:r>
              <w:rPr>
                <w:b/>
                <w:bCs/>
                <w:sz w:val="20"/>
                <w:szCs w:val="20"/>
              </w:rPr>
              <w:fldChar w:fldCharType="separate"/>
            </w:r>
            <w:r w:rsidR="00F3319E">
              <w:rPr>
                <w:b/>
                <w:bCs/>
                <w:noProof/>
                <w:sz w:val="20"/>
                <w:szCs w:val="20"/>
              </w:rPr>
              <w:t>44</w:t>
            </w:r>
            <w:r>
              <w:rPr>
                <w:b/>
                <w:bCs/>
                <w:sz w:val="20"/>
                <w:szCs w:val="20"/>
              </w:rPr>
              <w:fldChar w:fldCharType="end"/>
            </w:r>
          </w:p>
        </w:tc>
      </w:tr>
      <w:tr w:rsidR="000121CD">
        <w:trPr>
          <w:cantSplit/>
          <w:trHeight w:val="162"/>
          <w:jc w:val="center"/>
        </w:trPr>
        <w:tc>
          <w:tcPr>
            <w:tcW w:w="1170" w:type="dxa"/>
          </w:tcPr>
          <w:p w:rsidR="000121CD" w:rsidRDefault="000121CD">
            <w:pPr>
              <w:pStyle w:val="NormalWeb"/>
              <w:ind w:left="240" w:hanging="240"/>
              <w:rPr>
                <w:b/>
                <w:bCs/>
                <w:sz w:val="4"/>
                <w:szCs w:val="4"/>
              </w:rPr>
            </w:pPr>
          </w:p>
        </w:tc>
        <w:tc>
          <w:tcPr>
            <w:tcW w:w="8926" w:type="dxa"/>
            <w:vAlign w:val="bottom"/>
          </w:tcPr>
          <w:p w:rsidR="000121CD" w:rsidRDefault="000121CD">
            <w:pPr>
              <w:tabs>
                <w:tab w:val="right" w:leader="dot" w:pos="9400"/>
              </w:tabs>
              <w:rPr>
                <w:sz w:val="4"/>
                <w:szCs w:val="4"/>
              </w:rPr>
            </w:pPr>
          </w:p>
        </w:tc>
        <w:tc>
          <w:tcPr>
            <w:tcW w:w="704" w:type="dxa"/>
            <w:noWrap/>
            <w:tcMar>
              <w:top w:w="0" w:type="dxa"/>
              <w:left w:w="144" w:type="dxa"/>
              <w:bottom w:w="0" w:type="dxa"/>
              <w:right w:w="0" w:type="dxa"/>
            </w:tcMar>
            <w:vAlign w:val="bottom"/>
          </w:tcPr>
          <w:p w:rsidR="000121CD" w:rsidRDefault="000121CD">
            <w:pPr>
              <w:pStyle w:val="NormalWeb"/>
              <w:tabs>
                <w:tab w:val="right" w:pos="520"/>
                <w:tab w:val="decimal" w:pos="560"/>
              </w:tabs>
              <w:spacing w:before="0" w:beforeAutospacing="0" w:after="15" w:afterAutospacing="0"/>
              <w:jc w:val="center"/>
              <w:rPr>
                <w:b/>
                <w:bCs/>
                <w:sz w:val="4"/>
                <w:szCs w:val="4"/>
              </w:rPr>
            </w:pPr>
          </w:p>
        </w:tc>
      </w:tr>
      <w:tr w:rsidR="000121CD">
        <w:trPr>
          <w:cantSplit/>
          <w:jc w:val="center"/>
        </w:trPr>
        <w:tc>
          <w:tcPr>
            <w:tcW w:w="1170" w:type="dxa"/>
          </w:tcPr>
          <w:p w:rsidR="000121CD" w:rsidRDefault="00590862">
            <w:pPr>
              <w:pStyle w:val="NormalWeb"/>
              <w:ind w:left="240" w:hanging="240"/>
              <w:rPr>
                <w:b/>
                <w:bCs/>
                <w:sz w:val="20"/>
                <w:szCs w:val="20"/>
              </w:rPr>
            </w:pPr>
            <w:r>
              <w:rPr>
                <w:b/>
                <w:bCs/>
                <w:sz w:val="20"/>
                <w:szCs w:val="20"/>
              </w:rPr>
              <w:t>ITEM 16.</w:t>
            </w:r>
          </w:p>
        </w:tc>
        <w:tc>
          <w:tcPr>
            <w:tcW w:w="8926" w:type="dxa"/>
            <w:vAlign w:val="bottom"/>
          </w:tcPr>
          <w:p w:rsidR="000121CD" w:rsidRDefault="00A46291">
            <w:pPr>
              <w:pStyle w:val="NormalWeb"/>
              <w:tabs>
                <w:tab w:val="right" w:leader="dot" w:pos="9400"/>
              </w:tabs>
              <w:rPr>
                <w:b/>
                <w:sz w:val="20"/>
                <w:szCs w:val="20"/>
              </w:rPr>
            </w:pPr>
            <w:hyperlink w:anchor="Item16" w:history="1">
              <w:r w:rsidR="00590862">
                <w:rPr>
                  <w:rStyle w:val="Hyperlink"/>
                  <w:b/>
                  <w:sz w:val="20"/>
                  <w:szCs w:val="20"/>
                </w:rPr>
                <w:t>FORM 10-K SUMMARY</w:t>
              </w:r>
            </w:hyperlink>
          </w:p>
        </w:tc>
        <w:tc>
          <w:tcPr>
            <w:tcW w:w="704" w:type="dxa"/>
            <w:noWrap/>
            <w:tcMar>
              <w:top w:w="0" w:type="dxa"/>
              <w:left w:w="144" w:type="dxa"/>
              <w:bottom w:w="0" w:type="dxa"/>
              <w:right w:w="0" w:type="dxa"/>
            </w:tcMar>
            <w:vAlign w:val="bottom"/>
          </w:tcPr>
          <w:p w:rsidR="000121CD" w:rsidRDefault="00590862">
            <w:pPr>
              <w:pStyle w:val="NormalWeb"/>
              <w:tabs>
                <w:tab w:val="right" w:pos="520"/>
                <w:tab w:val="decimal" w:pos="560"/>
              </w:tabs>
              <w:spacing w:before="0" w:beforeAutospacing="0" w:after="15" w:afterAutospacing="0"/>
              <w:jc w:val="center"/>
              <w:rPr>
                <w:b/>
                <w:bCs/>
                <w:sz w:val="20"/>
                <w:szCs w:val="20"/>
              </w:rPr>
            </w:pPr>
            <w:r>
              <w:rPr>
                <w:b/>
                <w:bCs/>
                <w:sz w:val="20"/>
                <w:szCs w:val="20"/>
              </w:rPr>
              <w:fldChar w:fldCharType="begin"/>
            </w:r>
            <w:r>
              <w:rPr>
                <w:b/>
                <w:bCs/>
                <w:sz w:val="20"/>
                <w:szCs w:val="20"/>
              </w:rPr>
              <w:instrText xml:space="preserve"> PAGEREF  Item16  \* MERGEFORMAT </w:instrText>
            </w:r>
            <w:r>
              <w:rPr>
                <w:b/>
                <w:bCs/>
                <w:sz w:val="20"/>
                <w:szCs w:val="20"/>
              </w:rPr>
              <w:fldChar w:fldCharType="separate"/>
            </w:r>
            <w:r w:rsidR="004A17D0">
              <w:rPr>
                <w:b/>
                <w:bCs/>
                <w:noProof/>
                <w:sz w:val="20"/>
                <w:szCs w:val="20"/>
              </w:rPr>
              <w:t>48</w:t>
            </w:r>
            <w:r>
              <w:rPr>
                <w:b/>
                <w:bCs/>
                <w:sz w:val="20"/>
                <w:szCs w:val="20"/>
              </w:rPr>
              <w:fldChar w:fldCharType="end"/>
            </w:r>
          </w:p>
        </w:tc>
      </w:tr>
    </w:tbl>
    <w:p w:rsidR="000121CD" w:rsidRDefault="000121CD"/>
    <w:p w:rsidR="000121CD" w:rsidRDefault="000121CD">
      <w:pPr>
        <w:pStyle w:val="NormalWeb"/>
        <w:spacing w:before="0" w:beforeAutospacing="0" w:after="0" w:afterAutospacing="0"/>
        <w:rPr>
          <w:sz w:val="2"/>
          <w:szCs w:val="2"/>
        </w:rPr>
      </w:pPr>
    </w:p>
    <w:p w:rsidR="000121CD" w:rsidRDefault="00590862">
      <w:pPr>
        <w:pStyle w:val="NormalWeb"/>
        <w:spacing w:before="180" w:beforeAutospacing="0" w:after="0" w:afterAutospacing="0"/>
        <w:rPr>
          <w:sz w:val="2"/>
          <w:szCs w:val="2"/>
        </w:rPr>
      </w:pPr>
      <w:r>
        <w:rPr>
          <w:sz w:val="2"/>
          <w:szCs w:val="2"/>
        </w:rPr>
        <w:t> </w:t>
      </w:r>
    </w:p>
    <w:p w:rsidR="000121CD" w:rsidRDefault="000121CD">
      <w:pPr>
        <w:pStyle w:val="NormalWeb"/>
        <w:keepNext/>
        <w:pageBreakBefore/>
        <w:spacing w:before="0" w:beforeAutospacing="0" w:after="0" w:afterAutospacing="0"/>
        <w:jc w:val="center"/>
        <w:rPr>
          <w:b/>
          <w:bCs/>
          <w:sz w:val="20"/>
          <w:szCs w:val="20"/>
        </w:rPr>
        <w:sectPr w:rsidR="000121CD">
          <w:footerReference w:type="even" r:id="rId8"/>
          <w:footerReference w:type="default" r:id="rId9"/>
          <w:pgSz w:w="12240" w:h="15840" w:code="1"/>
          <w:pgMar w:top="720" w:right="720" w:bottom="720" w:left="720" w:header="144" w:footer="144" w:gutter="0"/>
          <w:cols w:space="720"/>
          <w:docGrid w:linePitch="326"/>
        </w:sectPr>
      </w:pPr>
    </w:p>
    <w:p w:rsidR="000121CD" w:rsidRDefault="00590862">
      <w:pPr>
        <w:pStyle w:val="NormalWeb"/>
        <w:keepNext/>
        <w:pageBreakBefore/>
        <w:spacing w:before="0" w:beforeAutospacing="0" w:after="0" w:afterAutospacing="0"/>
        <w:jc w:val="center"/>
      </w:pPr>
      <w:r>
        <w:rPr>
          <w:b/>
          <w:bCs/>
          <w:sz w:val="20"/>
          <w:szCs w:val="20"/>
        </w:rPr>
        <w:lastRenderedPageBreak/>
        <w:t xml:space="preserve">PART I </w:t>
      </w:r>
    </w:p>
    <w:p w:rsidR="000121CD" w:rsidRDefault="00590862">
      <w:pPr>
        <w:pStyle w:val="NormalWeb"/>
        <w:spacing w:before="180" w:beforeAutospacing="0" w:after="0" w:afterAutospacing="0"/>
      </w:pPr>
      <w:r>
        <w:rPr>
          <w:i/>
          <w:iCs/>
          <w:sz w:val="20"/>
          <w:szCs w:val="20"/>
        </w:rPr>
        <w:t xml:space="preserve">Unless otherwise indicated or the context otherwise requires, all references to the “Company,” “MRC Global,” “MRC,” “we,” “us,” “our” and the “registrant” refer to MRC Global Inc. and its consolidated subsidiaries. </w:t>
      </w:r>
    </w:p>
    <w:p w:rsidR="000121CD" w:rsidRDefault="00590862">
      <w:pPr>
        <w:pStyle w:val="NormalWeb"/>
        <w:keepNext/>
        <w:spacing w:before="270" w:beforeAutospacing="0" w:after="0" w:afterAutospacing="0"/>
        <w:ind w:left="1101" w:hanging="1102"/>
      </w:pPr>
      <w:bookmarkStart w:id="1" w:name="ITEM1BBusiness"/>
      <w:r>
        <w:rPr>
          <w:b/>
          <w:bCs/>
          <w:sz w:val="20"/>
          <w:szCs w:val="20"/>
        </w:rPr>
        <w:t>ITEM  1.</w:t>
      </w:r>
      <w:r>
        <w:rPr>
          <w:bCs/>
          <w:sz w:val="20"/>
          <w:szCs w:val="20"/>
        </w:rPr>
        <w:tab/>
      </w:r>
      <w:r>
        <w:rPr>
          <w:b/>
          <w:bCs/>
          <w:sz w:val="20"/>
          <w:szCs w:val="20"/>
        </w:rPr>
        <w:t xml:space="preserve">BUSINESS </w:t>
      </w:r>
      <w:bookmarkEnd w:id="1"/>
    </w:p>
    <w:p w:rsidR="005E1D9D" w:rsidRDefault="005E1D9D" w:rsidP="005E1D9D">
      <w:pPr>
        <w:pStyle w:val="NormalWeb"/>
        <w:keepNext/>
        <w:spacing w:before="90" w:beforeAutospacing="0" w:after="0" w:afterAutospacing="0"/>
      </w:pPr>
      <w:r>
        <w:rPr>
          <w:b/>
          <w:bCs/>
          <w:sz w:val="20"/>
          <w:szCs w:val="20"/>
        </w:rPr>
        <w:t xml:space="preserve">General </w:t>
      </w:r>
    </w:p>
    <w:p w:rsidR="005E1D9D" w:rsidRDefault="005E1D9D" w:rsidP="005E1D9D">
      <w:pPr>
        <w:pStyle w:val="NormalWeb"/>
        <w:spacing w:before="90" w:beforeAutospacing="0" w:after="0" w:afterAutospacing="0"/>
      </w:pPr>
      <w:r>
        <w:rPr>
          <w:sz w:val="20"/>
          <w:szCs w:val="20"/>
        </w:rPr>
        <w:t xml:space="preserve">We are the largest distributor of pipe, valves and fittings (“PVF”) and </w:t>
      </w:r>
      <w:r w:rsidR="002F3F96">
        <w:rPr>
          <w:sz w:val="20"/>
          <w:szCs w:val="20"/>
        </w:rPr>
        <w:t>other</w:t>
      </w:r>
      <w:r>
        <w:rPr>
          <w:sz w:val="20"/>
          <w:szCs w:val="20"/>
        </w:rPr>
        <w:t xml:space="preserve"> infrastructure products and services to the energy industry, based on sales.  We provide innovative supply chain solutions and technical product expertise to customers globally through our leading position across each of our diversified end-markets including the upstream (exploration, production and extraction of underground oil and natural gas), midstream (gathering and transmission of oil and natural gas, natural gas utilities and the storage and distribution of oil and natural gas) and downstream (crude oil refining, petrochemical and chemical processing and general industrials) sectors. We offer over 200,000 SKUs, including an extensive array of PVF, oilfield supply, valve automation and modification, measurement, instrumentation and other general and specialty products from our global network of over 10,000 suppliers. With nearly 100 years of history, our 3,200 employees serve our approximately 14,000 customers through </w:t>
      </w:r>
      <w:r w:rsidR="00A83242">
        <w:rPr>
          <w:sz w:val="20"/>
          <w:szCs w:val="20"/>
        </w:rPr>
        <w:t>approximately</w:t>
      </w:r>
      <w:r>
        <w:rPr>
          <w:sz w:val="20"/>
          <w:szCs w:val="20"/>
        </w:rPr>
        <w:t xml:space="preserve"> 2</w:t>
      </w:r>
      <w:r w:rsidR="00D10B19">
        <w:rPr>
          <w:sz w:val="20"/>
          <w:szCs w:val="20"/>
        </w:rPr>
        <w:t>6</w:t>
      </w:r>
      <w:r>
        <w:rPr>
          <w:sz w:val="20"/>
          <w:szCs w:val="20"/>
        </w:rPr>
        <w:t xml:space="preserve">0 service locations including regional distribution centers, branches, corporate offices and third party pipe yards, where we often deploy pipe near customer locations. </w:t>
      </w:r>
    </w:p>
    <w:p w:rsidR="005E1D9D" w:rsidRDefault="005E1D9D" w:rsidP="005E1D9D">
      <w:pPr>
        <w:pStyle w:val="NormalWeb"/>
        <w:spacing w:before="180" w:beforeAutospacing="0" w:after="0" w:afterAutospacing="0"/>
      </w:pPr>
      <w:r>
        <w:rPr>
          <w:sz w:val="20"/>
          <w:szCs w:val="20"/>
        </w:rPr>
        <w:t xml:space="preserve">Our customers use the PVF and related infrastructure products that we supply in mission critical process applications that require us to provide a high degree of product knowledge, technical expertise and comprehensive value-added services to our customers. We seek to provide best-in-class service and a one-stop shop for our customers by satisfying the most complex, multi-site needs of many of the largest companies in the energy sector as their primary PVF supplier. We provide services such as product testing, manufacturer assessments, multiple daily deliveries, volume purchasing, inventory and zone store management and warehousing, technical support, training, just-in-time delivery, truck stocking, order consolidation, product tagging and system interfaces customized to customer and supplier specifications for tracking and replenishing inventory, engineering of control packages and valve inspection and repair, which we believe result in deeply integrated customer relationships. We believe the critical role we play in our customers’ supply chain, together with our extensive product and service offerings, broad global presence, customer-linked scalable information systems and efficient distribution capabilities, serve to solidify our long-standing customer relationships and drive our growth. As a result, we have an average relationship of over 25 years with our 25 largest customers. </w:t>
      </w:r>
    </w:p>
    <w:p w:rsidR="00FD1D58" w:rsidRDefault="005E1D9D" w:rsidP="005A74F9">
      <w:pPr>
        <w:pStyle w:val="NormalWeb"/>
        <w:spacing w:before="180" w:beforeAutospacing="0" w:after="0" w:afterAutospacing="0"/>
        <w:rPr>
          <w:sz w:val="20"/>
          <w:szCs w:val="20"/>
        </w:rPr>
      </w:pPr>
      <w:r>
        <w:rPr>
          <w:sz w:val="20"/>
          <w:szCs w:val="20"/>
        </w:rPr>
        <w:t>The energy industry, and our business in turn, is cyclical in nature.  In the short-term, customer spending is ordinarily sensitive to global oil and natural gas prices and general economic conditions.  In addition to these normal trends,</w:t>
      </w:r>
      <w:r w:rsidR="00EF0A90">
        <w:rPr>
          <w:sz w:val="20"/>
          <w:szCs w:val="20"/>
        </w:rPr>
        <w:t xml:space="preserve"> in recent years,</w:t>
      </w:r>
      <w:r>
        <w:rPr>
          <w:sz w:val="20"/>
          <w:szCs w:val="20"/>
        </w:rPr>
        <w:t xml:space="preserve"> our customers have demonstrated an increased focus on returns on invested capital which has driven a more disciplined approach to </w:t>
      </w:r>
      <w:r w:rsidR="00D10B19">
        <w:rPr>
          <w:sz w:val="20"/>
          <w:szCs w:val="20"/>
        </w:rPr>
        <w:t xml:space="preserve">capital </w:t>
      </w:r>
      <w:r>
        <w:rPr>
          <w:sz w:val="20"/>
          <w:szCs w:val="20"/>
        </w:rPr>
        <w:t xml:space="preserve">spending that has </w:t>
      </w:r>
      <w:r w:rsidR="00D10B19">
        <w:rPr>
          <w:sz w:val="20"/>
          <w:szCs w:val="20"/>
        </w:rPr>
        <w:t xml:space="preserve">negatively </w:t>
      </w:r>
      <w:r>
        <w:rPr>
          <w:sz w:val="20"/>
          <w:szCs w:val="20"/>
        </w:rPr>
        <w:t xml:space="preserve">impacted each of our business sectors.  These drivers can result in periods of volatility for our business.  </w:t>
      </w:r>
      <w:r w:rsidR="00D10B19">
        <w:rPr>
          <w:sz w:val="20"/>
          <w:szCs w:val="20"/>
        </w:rPr>
        <w:t>As a result</w:t>
      </w:r>
      <w:r>
        <w:rPr>
          <w:sz w:val="20"/>
          <w:szCs w:val="20"/>
        </w:rPr>
        <w:t>, our sales decline</w:t>
      </w:r>
      <w:r w:rsidR="00D10B19">
        <w:rPr>
          <w:sz w:val="20"/>
          <w:szCs w:val="20"/>
        </w:rPr>
        <w:t>d</w:t>
      </w:r>
      <w:r>
        <w:rPr>
          <w:sz w:val="20"/>
          <w:szCs w:val="20"/>
        </w:rPr>
        <w:t xml:space="preserve"> 12%</w:t>
      </w:r>
      <w:r w:rsidR="00AE379B">
        <w:rPr>
          <w:sz w:val="20"/>
          <w:szCs w:val="20"/>
        </w:rPr>
        <w:t xml:space="preserve"> </w:t>
      </w:r>
      <w:r w:rsidR="00B541F7">
        <w:rPr>
          <w:sz w:val="20"/>
          <w:szCs w:val="20"/>
        </w:rPr>
        <w:t>from 2018 to</w:t>
      </w:r>
      <w:r w:rsidR="00D10B19">
        <w:rPr>
          <w:sz w:val="20"/>
          <w:szCs w:val="20"/>
        </w:rPr>
        <w:t xml:space="preserve"> 2019</w:t>
      </w:r>
      <w:r>
        <w:rPr>
          <w:sz w:val="20"/>
          <w:szCs w:val="20"/>
        </w:rPr>
        <w:t xml:space="preserve">.  Notwithstanding these recent developments, we play a critical role in supporting our customers and the energy industry throughout the cycles.  </w:t>
      </w:r>
    </w:p>
    <w:p w:rsidR="000F76FB" w:rsidRPr="005A74F9" w:rsidRDefault="005E1D9D" w:rsidP="005A74F9">
      <w:pPr>
        <w:pStyle w:val="NormalWeb"/>
        <w:spacing w:before="180" w:beforeAutospacing="0" w:after="0" w:afterAutospacing="0"/>
        <w:rPr>
          <w:sz w:val="20"/>
          <w:szCs w:val="20"/>
        </w:rPr>
      </w:pPr>
      <w:r>
        <w:rPr>
          <w:sz w:val="20"/>
          <w:szCs w:val="20"/>
        </w:rPr>
        <w:t>We believe carbon-based energy will continue to play a critical role in supporting economic growth, particularly in developing countries</w:t>
      </w:r>
      <w:r w:rsidR="00BC0DED">
        <w:rPr>
          <w:sz w:val="20"/>
          <w:szCs w:val="20"/>
        </w:rPr>
        <w:t xml:space="preserve"> and</w:t>
      </w:r>
      <w:r>
        <w:rPr>
          <w:sz w:val="20"/>
          <w:szCs w:val="20"/>
        </w:rPr>
        <w:t xml:space="preserve"> </w:t>
      </w:r>
      <w:r w:rsidR="000F76FB">
        <w:rPr>
          <w:sz w:val="20"/>
        </w:rPr>
        <w:t>that oil and gas demand will continue to be significant in the coming decades.  The U</w:t>
      </w:r>
      <w:r w:rsidR="002833A4">
        <w:rPr>
          <w:sz w:val="20"/>
        </w:rPr>
        <w:t>.</w:t>
      </w:r>
      <w:r w:rsidR="000F76FB">
        <w:rPr>
          <w:sz w:val="20"/>
        </w:rPr>
        <w:t>S</w:t>
      </w:r>
      <w:r w:rsidR="002833A4">
        <w:rPr>
          <w:sz w:val="20"/>
        </w:rPr>
        <w:t>.</w:t>
      </w:r>
      <w:r w:rsidR="000F76FB">
        <w:rPr>
          <w:sz w:val="20"/>
        </w:rPr>
        <w:t xml:space="preserve"> Energy Information Agency (the “EIA”) in its Reference Case (published in the International Energy Outlook 2019) projects world energy consumption of petroleum and other liquids to rise nearly 20% and natural gas to rise more than 40% between 2018 and 2050.  We believe these increases would require an increase in oil and gas to meet the rise in demand from current levels, which would continue to provide a robust market for our goods and services.  </w:t>
      </w:r>
    </w:p>
    <w:p w:rsidR="005E1D9D" w:rsidRDefault="005E1D9D" w:rsidP="005E1D9D">
      <w:pPr>
        <w:pStyle w:val="NormalWeb"/>
        <w:spacing w:before="180" w:beforeAutospacing="0" w:after="0" w:afterAutospacing="0"/>
      </w:pPr>
      <w:r>
        <w:rPr>
          <w:sz w:val="20"/>
          <w:szCs w:val="20"/>
        </w:rPr>
        <w:t xml:space="preserve">MRC Global Inc. was incorporated in Delaware on November 20, 2006. Our principal executive office is located at 1301 McKinney Street, Suite 2300, Houston, Texas 77010. Our telephone number is (877) 294-7574. Our website address is </w:t>
      </w:r>
      <w:r>
        <w:rPr>
          <w:sz w:val="20"/>
          <w:szCs w:val="20"/>
          <w:u w:val="single"/>
        </w:rPr>
        <w:t>www.mrcglobal.com</w:t>
      </w:r>
      <w:r>
        <w:rPr>
          <w:sz w:val="20"/>
          <w:szCs w:val="20"/>
        </w:rPr>
        <w:t xml:space="preserve">. Information contained on our website is expressly not incorporated by reference into this document. </w:t>
      </w:r>
    </w:p>
    <w:p w:rsidR="005E1D9D" w:rsidRDefault="005E1D9D" w:rsidP="005E1D9D">
      <w:pPr>
        <w:pStyle w:val="NormalWeb"/>
        <w:keepNext/>
        <w:spacing w:before="270" w:beforeAutospacing="0" w:after="0" w:afterAutospacing="0"/>
      </w:pPr>
      <w:r>
        <w:rPr>
          <w:b/>
          <w:bCs/>
          <w:sz w:val="20"/>
          <w:szCs w:val="20"/>
        </w:rPr>
        <w:t xml:space="preserve">Business Strategy </w:t>
      </w:r>
    </w:p>
    <w:p w:rsidR="005E1D9D" w:rsidRDefault="005E1D9D" w:rsidP="005E1D9D">
      <w:pPr>
        <w:pStyle w:val="NormalWeb"/>
        <w:spacing w:before="90" w:beforeAutospacing="0" w:after="0" w:afterAutospacing="0"/>
        <w:rPr>
          <w:sz w:val="20"/>
          <w:szCs w:val="20"/>
        </w:rPr>
      </w:pPr>
      <w:r>
        <w:rPr>
          <w:sz w:val="20"/>
          <w:szCs w:val="20"/>
        </w:rPr>
        <w:t xml:space="preserve">As a distributor of PVF and </w:t>
      </w:r>
      <w:r w:rsidR="002F3F96">
        <w:rPr>
          <w:sz w:val="20"/>
          <w:szCs w:val="20"/>
        </w:rPr>
        <w:t>other</w:t>
      </w:r>
      <w:r>
        <w:rPr>
          <w:sz w:val="20"/>
          <w:szCs w:val="20"/>
        </w:rPr>
        <w:t xml:space="preserve"> infrastructure products to the energy industry, our strategy is focused on growth, margin enhancement and the development of long-term customer relationships within the markets we serve. Our strategic objectives are to increase our market share by executing global preferred supplier contracts with new and existing customers, growing organically by maintaining a focus on our managed and targeted growth accounts, enhancing our product and service offerings, extending our global platform to major PVF energy markets through acquisitions and organic investments, investing in technology systems and branch infrastructure to achieve improved operational excellence</w:t>
      </w:r>
      <w:r w:rsidR="00757EF6">
        <w:rPr>
          <w:sz w:val="20"/>
          <w:szCs w:val="20"/>
        </w:rPr>
        <w:t xml:space="preserve"> and customer service</w:t>
      </w:r>
      <w:r>
        <w:rPr>
          <w:sz w:val="20"/>
          <w:szCs w:val="20"/>
        </w:rPr>
        <w:t xml:space="preserve"> and optimizing our working capital.</w:t>
      </w:r>
    </w:p>
    <w:p w:rsidR="005E1D9D" w:rsidRDefault="005E1D9D" w:rsidP="005E1D9D">
      <w:pPr>
        <w:pStyle w:val="NormalWeb"/>
        <w:spacing w:before="90" w:beforeAutospacing="0" w:after="0" w:afterAutospacing="0"/>
        <w:rPr>
          <w:sz w:val="20"/>
          <w:szCs w:val="20"/>
        </w:rPr>
      </w:pPr>
      <w:r>
        <w:rPr>
          <w:sz w:val="20"/>
          <w:szCs w:val="20"/>
        </w:rPr>
        <w:t xml:space="preserve">We believe that global preferred supplier agreements allow us to better serve our customers’ needs and provide customers with a global platform in which to procure their products. The agreements vary by customer; however, in most cases, we are the preferred supplier, and while there are no minimum purchase requirements, we generally have a larger proportion of the customer’s spending in our product categories. In addition, through system integration, we believe transactions with these customers can be more streamlined. </w:t>
      </w:r>
      <w:r>
        <w:rPr>
          <w:sz w:val="20"/>
          <w:szCs w:val="20"/>
        </w:rPr>
        <w:lastRenderedPageBreak/>
        <w:t>We strive to add scope to these arrangements in various ways including adding geographies, product lines, inventory management and inventory logistics.</w:t>
      </w:r>
    </w:p>
    <w:p w:rsidR="005E1D9D" w:rsidRDefault="005E1D9D" w:rsidP="005E1D9D">
      <w:pPr>
        <w:pStyle w:val="NormalWeb"/>
        <w:spacing w:before="90" w:beforeAutospacing="0" w:after="0" w:afterAutospacing="0"/>
        <w:rPr>
          <w:sz w:val="20"/>
          <w:szCs w:val="20"/>
        </w:rPr>
      </w:pPr>
      <w:r>
        <w:rPr>
          <w:sz w:val="20"/>
          <w:szCs w:val="20"/>
        </w:rPr>
        <w:t>Our approach to expanding existing markets and accessing new markets is multifaceted. We seek to expand our geographic footprint, pursue strategic acquisitions and organic investments and cultivate relationships with our existing customer base. We work with our customers to develop innovative supply chain solutions that enable us to consistently deliver the high-quality products they need when they need them. By being a consistent and reliable supplier, we are able to maintain and grow our market share with both new and existing customers.</w:t>
      </w:r>
    </w:p>
    <w:p w:rsidR="005E1D9D" w:rsidRDefault="005E1D9D" w:rsidP="005E1D9D">
      <w:pPr>
        <w:spacing w:before="90"/>
        <w:rPr>
          <w:sz w:val="20"/>
        </w:rPr>
      </w:pPr>
      <w:r>
        <w:rPr>
          <w:sz w:val="20"/>
        </w:rPr>
        <w:t xml:space="preserve">We maintain a diverse universe of suppliers that allows us to strategically partner with the largest manufacturers of the products we distribute while simultaneously </w:t>
      </w:r>
      <w:r w:rsidR="00757EF6">
        <w:rPr>
          <w:sz w:val="20"/>
        </w:rPr>
        <w:t>providing</w:t>
      </w:r>
      <w:r>
        <w:rPr>
          <w:sz w:val="20"/>
        </w:rPr>
        <w:t xml:space="preserve"> our customers access to alternative sources of supply and high-quality products across the entire spectrum of their PVF needs. We continually broaden our product and service offerings and supplier base. Product expansion opportunities include alloy, chrome, stainless products, gaskets, seals and other industrial supply products. We remain focused on products and value-added services such as valves, valve automation and modification, measurement and instrumentation, as well as, high alloy products that command higher margins.</w:t>
      </w:r>
    </w:p>
    <w:p w:rsidR="005E1D9D" w:rsidRDefault="005E1D9D" w:rsidP="005E1D9D">
      <w:pPr>
        <w:pStyle w:val="NormalWeb"/>
        <w:spacing w:before="90" w:beforeAutospacing="0" w:after="0" w:afterAutospacing="0"/>
        <w:rPr>
          <w:sz w:val="20"/>
        </w:rPr>
      </w:pPr>
      <w:r>
        <w:rPr>
          <w:sz w:val="20"/>
        </w:rPr>
        <w:t xml:space="preserve">We also target growth with our midsized customers and diversification of our upstream and midstream customer bases. We do this through detailed account planning and by educating potential customers on the offerings and logistics services we provide. </w:t>
      </w:r>
    </w:p>
    <w:p w:rsidR="005E1D9D" w:rsidRDefault="00EF0A90" w:rsidP="005E1D9D">
      <w:pPr>
        <w:pStyle w:val="NormalWeb"/>
        <w:spacing w:before="90" w:beforeAutospacing="0" w:after="0" w:afterAutospacing="0"/>
        <w:rPr>
          <w:sz w:val="20"/>
          <w:szCs w:val="20"/>
        </w:rPr>
      </w:pPr>
      <w:r>
        <w:rPr>
          <w:sz w:val="20"/>
          <w:szCs w:val="20"/>
        </w:rPr>
        <w:t>Although we have not been active with acquisitions in recent years, o</w:t>
      </w:r>
      <w:r w:rsidR="005E1D9D">
        <w:rPr>
          <w:sz w:val="20"/>
          <w:szCs w:val="20"/>
        </w:rPr>
        <w:t xml:space="preserve">ur acquisition strategy includes focus on those businesses that will broaden our geographic footprint, in certain energy intensive regions, or those that expand our product and service offerings, particularly in valves, valve automation, instrumentation, stainless and alloy or within a particular sector, such as downstream. We also consider “bolt-on” acquisitions that supplement our existing offerings. </w:t>
      </w:r>
      <w:r w:rsidR="005E1D9D">
        <w:rPr>
          <w:sz w:val="20"/>
        </w:rPr>
        <w:t xml:space="preserve">We strive to capture more of the integrated oil companies’ spending and bring our value-added business proposition to their worldwide operations. </w:t>
      </w:r>
      <w:r w:rsidR="005E1D9D">
        <w:rPr>
          <w:sz w:val="20"/>
          <w:szCs w:val="20"/>
        </w:rPr>
        <w:t>We also believe that being able to serve our customers globally provides us an advantage in obtaining master service or framework agreements both internationally as well as in North America as international oil company customers, in particular, look for a “one-stop shop” provider for their PVF needs. Where suitable acquisition opportunities are not available in the market, we may choose to grow through organic investment.</w:t>
      </w:r>
    </w:p>
    <w:p w:rsidR="005E1D9D" w:rsidRDefault="005E1D9D" w:rsidP="005E1D9D">
      <w:pPr>
        <w:pStyle w:val="NormalWeb"/>
        <w:spacing w:before="90" w:beforeAutospacing="0" w:after="0" w:afterAutospacing="0"/>
        <w:rPr>
          <w:sz w:val="20"/>
          <w:szCs w:val="20"/>
        </w:rPr>
      </w:pPr>
      <w:r>
        <w:rPr>
          <w:sz w:val="20"/>
          <w:szCs w:val="20"/>
        </w:rPr>
        <w:t>We invest in information technology (“IT”) systems and branch infrastructure to achieve improved operational excellence</w:t>
      </w:r>
      <w:r w:rsidR="00757EF6">
        <w:rPr>
          <w:sz w:val="20"/>
          <w:szCs w:val="20"/>
        </w:rPr>
        <w:t xml:space="preserve"> and customer service</w:t>
      </w:r>
      <w:r>
        <w:rPr>
          <w:sz w:val="20"/>
          <w:szCs w:val="20"/>
        </w:rPr>
        <w:t xml:space="preserve">. Our concept of operational excellence leverages standardized business processes to deliver top tier safety performance, a consistent customer experience and a lower overall cost to serve. </w:t>
      </w:r>
      <w:r w:rsidR="00E24E0B">
        <w:rPr>
          <w:sz w:val="20"/>
          <w:szCs w:val="20"/>
        </w:rPr>
        <w:t xml:space="preserve">Our digital transformation strategy is a key component of operational excellence and is designed to add further differentiation to our product and service offerings with an objective to maintain and grow our business with new and existing customers.  </w:t>
      </w:r>
      <w:r>
        <w:rPr>
          <w:sz w:val="20"/>
          <w:szCs w:val="20"/>
        </w:rPr>
        <w:t>Through the further development of our digital commerce platform, MRCGO</w:t>
      </w:r>
      <w:r>
        <w:rPr>
          <w:sz w:val="16"/>
          <w:szCs w:val="16"/>
          <w:vertAlign w:val="superscript"/>
        </w:rPr>
        <w:t>TM</w:t>
      </w:r>
      <w:r>
        <w:rPr>
          <w:sz w:val="20"/>
          <w:szCs w:val="20"/>
        </w:rPr>
        <w:t xml:space="preserve">, we continue to enhance and add to the customer experience. From this single portal, our customers have the ability to shop for material, track and expedite orders, research payment options, search for documents and receive support from MRC Global representatives.  </w:t>
      </w:r>
    </w:p>
    <w:p w:rsidR="005E1D9D" w:rsidRDefault="005E1D9D" w:rsidP="005E1D9D">
      <w:pPr>
        <w:pStyle w:val="NormalWeb"/>
        <w:keepNext/>
        <w:spacing w:before="270" w:beforeAutospacing="0" w:after="0" w:afterAutospacing="0"/>
      </w:pPr>
      <w:r>
        <w:rPr>
          <w:b/>
          <w:bCs/>
          <w:sz w:val="20"/>
          <w:szCs w:val="20"/>
        </w:rPr>
        <w:t xml:space="preserve">Operations </w:t>
      </w:r>
    </w:p>
    <w:p w:rsidR="005E1D9D" w:rsidRDefault="005E1D9D" w:rsidP="005E1D9D">
      <w:pPr>
        <w:pStyle w:val="NormalWeb"/>
        <w:spacing w:before="90" w:beforeAutospacing="0" w:after="0" w:afterAutospacing="0"/>
      </w:pPr>
      <w:r>
        <w:rPr>
          <w:sz w:val="20"/>
          <w:szCs w:val="20"/>
        </w:rPr>
        <w:t xml:space="preserve">Our distribution network extends throughout the world with a presence in all major oil and natural gas providing regions in the U.S. and western Canada, as well as Europe, Asia, Australasia, and the Middle East and Caspian region. Our business is segregated into three geographical operating segments: U.S., Canada and International. These segments represent our business of providing PVF and other infrastructure products and services to the energy industry, across each of the upstream, midstream and downstream sectors. Financial information regarding our reportable segments appears in “Item 7—Management’s Discussion and Analysis of Financial Condition and Results of Operations” and in Note 15 of the Notes to the Consolidated Financial Statements included in Item 8 of this Form 10-K. </w:t>
      </w:r>
    </w:p>
    <w:p w:rsidR="005E1D9D" w:rsidRDefault="005E1D9D" w:rsidP="005E1D9D">
      <w:pPr>
        <w:spacing w:before="180"/>
        <w:rPr>
          <w:sz w:val="20"/>
        </w:rPr>
      </w:pPr>
      <w:r>
        <w:rPr>
          <w:i/>
          <w:iCs/>
          <w:sz w:val="20"/>
        </w:rPr>
        <w:t xml:space="preserve">Safety.  </w:t>
      </w:r>
      <w:r>
        <w:rPr>
          <w:sz w:val="20"/>
        </w:rPr>
        <w:t xml:space="preserve">In our business, safety is of paramount importance to us and to our customers. </w:t>
      </w:r>
      <w:r w:rsidR="00815796">
        <w:rPr>
          <w:sz w:val="20"/>
        </w:rPr>
        <w:t>U</w:t>
      </w:r>
      <w:r>
        <w:rPr>
          <w:sz w:val="20"/>
        </w:rPr>
        <w:t>nsafe conditions can cause or contribute to injuries, deaths, property damage and pollution that, in turn, can create significant liabilities for which insurance may not always be sufficient. We are also subject to many safety regulatory standards such as those standards that the U.S. Occupational Health and Safety Administration (“OSHA”), the U.S. Environmental Protection Agency and the Department of Transportation or state or foreign agencies of a similar nature may impose and enforce upon us. Failure to meet those standards can result in fines, penalties or agency actions that can impose additional costs upon our business. For all of these reasons, we and our customers demand high safety standards and practices to prevent the occurrence of unsafe conditions and any resulting harm. Our operations, therefore, focus on the safety of our employees and those with whom we do business. Our safety programs are designed to focus on the highest likely safety risks in our business and to build a culture of safe practices and continuous safety improvement for our employees, our customers and others with whom we do business or otherwise come into contact.</w:t>
      </w:r>
    </w:p>
    <w:p w:rsidR="005E1D9D" w:rsidRDefault="005E1D9D" w:rsidP="005E1D9D">
      <w:pPr>
        <w:spacing w:before="180"/>
        <w:rPr>
          <w:sz w:val="20"/>
        </w:rPr>
      </w:pPr>
      <w:bookmarkStart w:id="2" w:name="_Hlk535845147"/>
      <w:r>
        <w:rPr>
          <w:sz w:val="20"/>
        </w:rPr>
        <w:t>Among other safety measures, we track our total recordable incident rate (“TRIR”) and our lost work day rate (“LWDR”), both per 200,000 hours worked. Our TRIR was 1.27 in 2019. This compares favorably to the 2018 U.S. Bureau of Labor Statistics (“BLS”) average of 3.7 for wholesalers of metal products. Our LWDR was 0.41 in 2019. This also compares favorably to the BLS average of 1.7 for wholesalers of metal products.  In addition, our recordable vehicle incident rate (“RVIR”) has also remained low at 0.85</w:t>
      </w:r>
      <w:r w:rsidR="008530C0">
        <w:rPr>
          <w:sz w:val="20"/>
        </w:rPr>
        <w:t> </w:t>
      </w:r>
      <w:r>
        <w:rPr>
          <w:sz w:val="20"/>
        </w:rPr>
        <w:t xml:space="preserve">compared to a peer group average of 1.66 based on a survey </w:t>
      </w:r>
      <w:r w:rsidR="00757EF6">
        <w:rPr>
          <w:sz w:val="20"/>
        </w:rPr>
        <w:t>that</w:t>
      </w:r>
      <w:r>
        <w:rPr>
          <w:sz w:val="20"/>
        </w:rPr>
        <w:t xml:space="preserve"> the National Association of Wholesalers</w:t>
      </w:r>
      <w:r w:rsidR="00757EF6">
        <w:rPr>
          <w:sz w:val="20"/>
        </w:rPr>
        <w:t xml:space="preserve"> compiled</w:t>
      </w:r>
      <w:r>
        <w:rPr>
          <w:sz w:val="20"/>
        </w:rPr>
        <w:t>.</w:t>
      </w:r>
    </w:p>
    <w:bookmarkEnd w:id="2"/>
    <w:p w:rsidR="005E1D9D" w:rsidRDefault="005E1D9D" w:rsidP="005E1D9D">
      <w:pPr>
        <w:pStyle w:val="NormalWeb"/>
        <w:keepNext/>
        <w:spacing w:before="180" w:beforeAutospacing="0" w:after="0" w:afterAutospacing="0"/>
      </w:pPr>
      <w:r>
        <w:rPr>
          <w:i/>
          <w:iCs/>
          <w:sz w:val="20"/>
          <w:szCs w:val="20"/>
        </w:rPr>
        <w:lastRenderedPageBreak/>
        <w:t xml:space="preserve">Products: </w:t>
      </w:r>
      <w:r>
        <w:rPr>
          <w:sz w:val="20"/>
          <w:szCs w:val="20"/>
        </w:rPr>
        <w:t xml:space="preserve"> We distribute a complete line of PVF products, primarily used in energy infrastructure applications. The products we distribute are used in the construction, maintenance, repair and overhaul of equipment used in extreme operating conditions such as high pressure, high/low temperature and highly corrosive and abrasive environments. We are required to carry significant amounts of inventory to meet the rapid delivery, often same day, requirements of our customers. The breadth and depth of our product and service offerings and our extensive global presence allow us to provide high levels of service to our customers. Due to our broad inventory coverage, we are able to fulfill more orders more quickly, including those with lower volume and specialty items, than we would be able to if we operated on a smaller scale or only at a local or regional level. Key product types are described below: </w:t>
      </w:r>
    </w:p>
    <w:p w:rsidR="004C04C4" w:rsidRPr="004C04C4" w:rsidRDefault="005E1D9D" w:rsidP="00EF0A90">
      <w:pPr>
        <w:pStyle w:val="NormalWeb"/>
        <w:numPr>
          <w:ilvl w:val="0"/>
          <w:numId w:val="34"/>
        </w:numPr>
        <w:spacing w:before="90" w:beforeAutospacing="0" w:after="0" w:afterAutospacing="0"/>
        <w:rPr>
          <w:sz w:val="20"/>
          <w:szCs w:val="20"/>
        </w:rPr>
      </w:pPr>
      <w:r w:rsidRPr="00EF0A90">
        <w:rPr>
          <w:i/>
          <w:sz w:val="20"/>
          <w:szCs w:val="20"/>
        </w:rPr>
        <w:t>Valves, Automation, Modification, Measurement and Instrumentation</w:t>
      </w:r>
      <w:r w:rsidRPr="00EF0A90">
        <w:rPr>
          <w:sz w:val="20"/>
          <w:szCs w:val="20"/>
        </w:rPr>
        <w:t xml:space="preserve">. </w:t>
      </w:r>
      <w:r w:rsidR="00757EF6" w:rsidRPr="00EF0A90">
        <w:rPr>
          <w:sz w:val="20"/>
          <w:szCs w:val="20"/>
        </w:rPr>
        <w:t>Our p</w:t>
      </w:r>
      <w:r w:rsidRPr="00EF0A90">
        <w:rPr>
          <w:sz w:val="20"/>
          <w:szCs w:val="20"/>
        </w:rPr>
        <w:t xml:space="preserve">roduct offering includes ball, butterfly, gate, globe, check, diaphragm, needle and plug valves, which are manufactured from cast steel, stainless/alloy steel, forged steel, carbon steel or cast and ductile iron. Valves are generally used in oilfield and industrial applications to control direction, velocity and pressure of fluids and gases within transmission networks. Other products include lined corrosion resistant piping systems, control valves, valve automation and top work components used for regulating flow and on/off service, measurement products and a wide range of steam and instrumentation products. </w:t>
      </w:r>
      <w:r w:rsidR="00EF0A90">
        <w:rPr>
          <w:color w:val="000000" w:themeColor="text1"/>
          <w:sz w:val="20"/>
          <w:szCs w:val="20"/>
        </w:rPr>
        <w:t>In addition, we offer a full range of valve modification services to meet customer requirements including valve control extensions, welding</w:t>
      </w:r>
      <w:r w:rsidR="00E6298E">
        <w:rPr>
          <w:color w:val="000000" w:themeColor="text1"/>
          <w:sz w:val="20"/>
          <w:szCs w:val="20"/>
        </w:rPr>
        <w:t>,</w:t>
      </w:r>
      <w:r w:rsidR="00EF0A90">
        <w:rPr>
          <w:color w:val="000000" w:themeColor="text1"/>
          <w:sz w:val="20"/>
          <w:szCs w:val="20"/>
        </w:rPr>
        <w:t xml:space="preserve"> hydrotesting, painting, coating, x-raying and actuation assembly.</w:t>
      </w:r>
    </w:p>
    <w:p w:rsidR="005E1D9D" w:rsidRPr="00EF0A90" w:rsidRDefault="005E1D9D" w:rsidP="00EF0A90">
      <w:pPr>
        <w:pStyle w:val="NormalWeb"/>
        <w:numPr>
          <w:ilvl w:val="0"/>
          <w:numId w:val="34"/>
        </w:numPr>
        <w:spacing w:before="90" w:beforeAutospacing="0" w:after="0" w:afterAutospacing="0"/>
        <w:rPr>
          <w:sz w:val="20"/>
          <w:szCs w:val="20"/>
        </w:rPr>
      </w:pPr>
      <w:r w:rsidRPr="00EF0A90">
        <w:rPr>
          <w:i/>
          <w:sz w:val="20"/>
          <w:szCs w:val="20"/>
        </w:rPr>
        <w:t>Carbon Steel Fittings and Flanges</w:t>
      </w:r>
      <w:r w:rsidRPr="00EF0A90">
        <w:rPr>
          <w:sz w:val="20"/>
          <w:szCs w:val="20"/>
        </w:rPr>
        <w:t xml:space="preserve">. </w:t>
      </w:r>
      <w:r w:rsidRPr="00EF0A90">
        <w:rPr>
          <w:sz w:val="20"/>
        </w:rPr>
        <w:t xml:space="preserve">Carbon steel fittings and flanges include carbon weld fittings, flanges and piping components used primarily to connect piping and valve systems for the transmission of various liquids and gases. </w:t>
      </w:r>
      <w:r w:rsidR="00757EF6" w:rsidRPr="00EF0A90">
        <w:rPr>
          <w:sz w:val="20"/>
        </w:rPr>
        <w:t>Customers use t</w:t>
      </w:r>
      <w:r w:rsidRPr="00EF0A90">
        <w:rPr>
          <w:sz w:val="20"/>
        </w:rPr>
        <w:t xml:space="preserve">hese products across all the industries in which we operate. </w:t>
      </w:r>
      <w:r w:rsidRPr="00EF0A90">
        <w:rPr>
          <w:sz w:val="20"/>
          <w:szCs w:val="20"/>
        </w:rPr>
        <w:t xml:space="preserve"> </w:t>
      </w:r>
    </w:p>
    <w:p w:rsidR="005E1D9D" w:rsidRDefault="005E1D9D" w:rsidP="005E1D9D">
      <w:pPr>
        <w:pStyle w:val="NormalWeb"/>
        <w:numPr>
          <w:ilvl w:val="0"/>
          <w:numId w:val="34"/>
        </w:numPr>
        <w:spacing w:before="90" w:beforeAutospacing="0" w:after="0" w:afterAutospacing="0"/>
        <w:rPr>
          <w:sz w:val="20"/>
          <w:szCs w:val="20"/>
        </w:rPr>
      </w:pPr>
      <w:r>
        <w:rPr>
          <w:i/>
          <w:sz w:val="20"/>
          <w:szCs w:val="20"/>
        </w:rPr>
        <w:t>Stainless Steel and Alloy Fittings, Flanges and Pipe.</w:t>
      </w:r>
      <w:r>
        <w:rPr>
          <w:sz w:val="20"/>
          <w:szCs w:val="20"/>
        </w:rPr>
        <w:t xml:space="preserve"> Stainless steel and alloy pipe and fittings include stainless, alloy and corrosion resistant pipe, tubing, fittings and flanges. These are used most often in the chemical, refining and power generation industries but are used across all of the sectors in which we operate. </w:t>
      </w:r>
      <w:r w:rsidR="00757EF6">
        <w:rPr>
          <w:sz w:val="20"/>
          <w:szCs w:val="20"/>
        </w:rPr>
        <w:t>Customers principally use a</w:t>
      </w:r>
      <w:r>
        <w:rPr>
          <w:sz w:val="20"/>
          <w:szCs w:val="20"/>
        </w:rPr>
        <w:t xml:space="preserve">lloy products in high-pressure, high-temperature and high-corrosion applications typically seen in process piping applications. </w:t>
      </w:r>
    </w:p>
    <w:p w:rsidR="005E1D9D" w:rsidRDefault="005E1D9D" w:rsidP="005E1D9D">
      <w:pPr>
        <w:pStyle w:val="NormalWeb"/>
        <w:numPr>
          <w:ilvl w:val="0"/>
          <w:numId w:val="34"/>
        </w:numPr>
        <w:spacing w:before="90" w:beforeAutospacing="0" w:after="0" w:afterAutospacing="0"/>
        <w:rPr>
          <w:sz w:val="20"/>
          <w:szCs w:val="20"/>
        </w:rPr>
      </w:pPr>
      <w:r>
        <w:rPr>
          <w:i/>
          <w:sz w:val="20"/>
          <w:szCs w:val="20"/>
        </w:rPr>
        <w:t>Gas Products</w:t>
      </w:r>
      <w:r>
        <w:rPr>
          <w:sz w:val="20"/>
          <w:szCs w:val="20"/>
        </w:rPr>
        <w:t>. Natural gas distribution products include risers, meters, polyethylene pipe and fittings and various other components and industrial supplies used primarily in the distribution of natural gas to residential and commercial customers.</w:t>
      </w:r>
    </w:p>
    <w:p w:rsidR="005E1D9D" w:rsidRDefault="005E1D9D" w:rsidP="005E1D9D">
      <w:pPr>
        <w:pStyle w:val="NormalWeb"/>
        <w:numPr>
          <w:ilvl w:val="0"/>
          <w:numId w:val="34"/>
        </w:numPr>
        <w:spacing w:before="90" w:beforeAutospacing="0" w:after="0" w:afterAutospacing="0"/>
        <w:rPr>
          <w:sz w:val="20"/>
          <w:szCs w:val="20"/>
        </w:rPr>
      </w:pPr>
      <w:r>
        <w:rPr>
          <w:i/>
          <w:sz w:val="20"/>
          <w:szCs w:val="20"/>
        </w:rPr>
        <w:t>Line Pipe</w:t>
      </w:r>
      <w:r>
        <w:rPr>
          <w:sz w:val="20"/>
          <w:szCs w:val="20"/>
        </w:rPr>
        <w:t xml:space="preserve">. </w:t>
      </w:r>
      <w:r>
        <w:rPr>
          <w:sz w:val="20"/>
        </w:rPr>
        <w:t>C</w:t>
      </w:r>
      <w:r w:rsidR="00757EF6">
        <w:rPr>
          <w:sz w:val="20"/>
        </w:rPr>
        <w:t>ustomers typically use c</w:t>
      </w:r>
      <w:r>
        <w:rPr>
          <w:sz w:val="20"/>
        </w:rPr>
        <w:t>arbon line pipe in high-yield, high-stress and abrasive applications such as the gathering and transmission of oil, natural gas and natural gas liquids (“NGL”).</w:t>
      </w:r>
    </w:p>
    <w:p w:rsidR="005E1D9D" w:rsidRDefault="005E1D9D" w:rsidP="005E1D9D">
      <w:pPr>
        <w:pStyle w:val="NormalWeb"/>
        <w:numPr>
          <w:ilvl w:val="0"/>
          <w:numId w:val="34"/>
        </w:numPr>
        <w:spacing w:before="90" w:beforeAutospacing="0" w:after="0" w:afterAutospacing="0"/>
        <w:rPr>
          <w:sz w:val="20"/>
          <w:szCs w:val="20"/>
        </w:rPr>
      </w:pPr>
      <w:r>
        <w:rPr>
          <w:i/>
          <w:sz w:val="20"/>
          <w:szCs w:val="20"/>
        </w:rPr>
        <w:t>Other</w:t>
      </w:r>
      <w:r>
        <w:rPr>
          <w:sz w:val="20"/>
          <w:szCs w:val="20"/>
        </w:rPr>
        <w:t xml:space="preserve">. Other includes oilfield supplies and other industrial products such as mill and safety and electrical supplies. We offer a comprehensive range of oilfield and industrial supplies and completion equipment, including high density polyethylene pipe, fittings and rods. Additionally, we can supply a wide range of specialized production equipment including tanks and separators used in our upstream sector. </w:t>
      </w:r>
    </w:p>
    <w:p w:rsidR="005E1D9D" w:rsidRDefault="005E1D9D" w:rsidP="005E1D9D">
      <w:pPr>
        <w:pStyle w:val="NormalWeb"/>
        <w:spacing w:before="180" w:beforeAutospacing="0" w:after="0" w:afterAutospacing="0"/>
        <w:rPr>
          <w:sz w:val="20"/>
          <w:szCs w:val="20"/>
        </w:rPr>
      </w:pPr>
      <w:r>
        <w:rPr>
          <w:i/>
          <w:sz w:val="20"/>
          <w:szCs w:val="20"/>
        </w:rPr>
        <w:t>Services</w:t>
      </w:r>
      <w:r>
        <w:rPr>
          <w:sz w:val="20"/>
          <w:szCs w:val="20"/>
        </w:rPr>
        <w:t xml:space="preserve">: We provide many of our customers with a comprehensive array of services including multiple deliveries each day, zone store management, valve tagging, self-service portal and system interfaces facilitating digital transaction exchange between our customers’ and our proprietary </w:t>
      </w:r>
      <w:r w:rsidR="005A74F9">
        <w:rPr>
          <w:sz w:val="20"/>
          <w:szCs w:val="20"/>
        </w:rPr>
        <w:t>IT</w:t>
      </w:r>
      <w:r>
        <w:rPr>
          <w:sz w:val="20"/>
          <w:szCs w:val="20"/>
        </w:rPr>
        <w:t xml:space="preserve"> systems. This allows us to interface with our customers’ IT systems with cross-referenced part numbers, customized pricing, customized business to business processes, streamlining the order to cash process making it easier and more efficient to purchase our products. Such services strengthen our position with customers as we become more integrated into their supply chain and we are able to market a “total transaction value” solution rather than individual products. </w:t>
      </w:r>
    </w:p>
    <w:p w:rsidR="005E1D9D" w:rsidRDefault="005E1D9D" w:rsidP="005E1D9D">
      <w:pPr>
        <w:pStyle w:val="NormalWeb"/>
        <w:spacing w:before="180" w:beforeAutospacing="0" w:after="0" w:afterAutospacing="0"/>
      </w:pPr>
      <w:r>
        <w:rPr>
          <w:sz w:val="20"/>
          <w:szCs w:val="20"/>
        </w:rPr>
        <w:t>We continue to invest in and expand our comprehensive IT systems. In North America, we operate a</w:t>
      </w:r>
      <w:r w:rsidR="00421247">
        <w:rPr>
          <w:sz w:val="20"/>
          <w:szCs w:val="20"/>
        </w:rPr>
        <w:t xml:space="preserve">n </w:t>
      </w:r>
      <w:r>
        <w:rPr>
          <w:sz w:val="20"/>
          <w:szCs w:val="20"/>
        </w:rPr>
        <w:t>enterprise resource planning (“ERP”) system, enhanced with differentiating distribution and service functionality. In 2017, we completed the transition of our International business to a single ERP platform. These systems, which provide for customer and supplier digital integrations optimizing business to business processes, information exchange and e-commerce applications, including our MRCGO</w:t>
      </w:r>
      <w:r>
        <w:rPr>
          <w:sz w:val="16"/>
          <w:szCs w:val="16"/>
          <w:vertAlign w:val="superscript"/>
        </w:rPr>
        <w:t>TM</w:t>
      </w:r>
      <w:r>
        <w:rPr>
          <w:sz w:val="20"/>
          <w:szCs w:val="20"/>
        </w:rPr>
        <w:t xml:space="preserve"> platform, further strengthen our ability to provide high levels of service to our customers. Our highly specialized implementation group focuses on the integration of our information systems and implementation of improved business processes with customer</w:t>
      </w:r>
      <w:r w:rsidR="00D867DA">
        <w:rPr>
          <w:sz w:val="20"/>
          <w:szCs w:val="20"/>
        </w:rPr>
        <w:t>s</w:t>
      </w:r>
      <w:r>
        <w:rPr>
          <w:sz w:val="20"/>
          <w:szCs w:val="20"/>
        </w:rPr>
        <w:t xml:space="preserve"> during the initiation phase. By maintaining a specialized team, we are able to utilize best practices to implement our technology systems and processes, thereby providing solutions to customers in a more organized, efficient and effective manner. This approach is valuable to large, multi-location customers who have demanding service requirements. </w:t>
      </w:r>
    </w:p>
    <w:p w:rsidR="005E1D9D" w:rsidRDefault="005E1D9D" w:rsidP="001C1D46">
      <w:pPr>
        <w:pStyle w:val="NormalWeb"/>
        <w:spacing w:before="180" w:beforeAutospacing="0" w:after="0" w:afterAutospacing="0"/>
        <w:rPr>
          <w:sz w:val="20"/>
          <w:szCs w:val="20"/>
        </w:rPr>
      </w:pPr>
      <w:r>
        <w:rPr>
          <w:sz w:val="20"/>
          <w:szCs w:val="20"/>
        </w:rPr>
        <w:t xml:space="preserve">As major integrated and large independent energy companies have implemented efficiency initiatives to focus on their core business, many of these companies have begun outsourcing certain of their procurement and inventory management requirements. In response to these initiatives and to satisfy customer service requirements, we offer integrated supply services to customers who wish to outsource all or a part of the administrative burden associated with sourcing and managing PVF and other related products, and we also often have MRC Global employees on-site full-time at many customer locations. Our integrated supply group offers procurement-related services, physical warehousing services, product quality assurance and inventory ownership and analysis services. </w:t>
      </w:r>
    </w:p>
    <w:p w:rsidR="001C1D46" w:rsidRDefault="001C1D46" w:rsidP="001C1D46">
      <w:pPr>
        <w:spacing w:before="180"/>
        <w:rPr>
          <w:sz w:val="20"/>
        </w:rPr>
      </w:pPr>
      <w:r>
        <w:rPr>
          <w:sz w:val="20"/>
        </w:rPr>
        <w:t xml:space="preserve">For years, in our valve engineering centers, we have designed and constructed assemblies that combine actuators with the valves we sell.  In addition, we recently opened a valve engineering and modification center in La Porte, Texas that provides services, primarily to our midstream customers.  At this facility, we modify valves for customer requirements, weld segments of pipe to the intake/outtake </w:t>
      </w:r>
      <w:r>
        <w:rPr>
          <w:sz w:val="20"/>
        </w:rPr>
        <w:lastRenderedPageBreak/>
        <w:t>openings of large pipeline valves, add extensions to the valve controls while installing actuators to the valve, hydrotest the valves, paint or coat the valves, x-ray the welds and deliver complete valve/actuation assemblies to our customers for field installations.</w:t>
      </w:r>
    </w:p>
    <w:p w:rsidR="001C1D46" w:rsidRDefault="001C1D46" w:rsidP="001C1D46">
      <w:pPr>
        <w:spacing w:before="180"/>
        <w:rPr>
          <w:sz w:val="20"/>
        </w:rPr>
      </w:pPr>
      <w:r>
        <w:rPr>
          <w:sz w:val="20"/>
        </w:rPr>
        <w:t>We have also recently introduced our ValidTorque</w:t>
      </w:r>
      <w:r>
        <w:rPr>
          <w:sz w:val="20"/>
          <w:vertAlign w:val="superscript"/>
        </w:rPr>
        <w:t>TM</w:t>
      </w:r>
      <w:r>
        <w:rPr>
          <w:sz w:val="20"/>
        </w:rPr>
        <w:t xml:space="preserve"> service, whereby we utilize specialized test benches to provide customers with data on the operating characteristics of their valves and actuators.  In addition, we have a FastTrack</w:t>
      </w:r>
      <w:r>
        <w:rPr>
          <w:sz w:val="20"/>
          <w:vertAlign w:val="superscript"/>
        </w:rPr>
        <w:t>TM</w:t>
      </w:r>
      <w:r>
        <w:rPr>
          <w:sz w:val="20"/>
        </w:rPr>
        <w:t xml:space="preserve"> service that we provide customers, whereby we supply specified classes of actuated valves in short delivery windows.</w:t>
      </w:r>
    </w:p>
    <w:p w:rsidR="000121CD" w:rsidRDefault="00590862">
      <w:pPr>
        <w:pStyle w:val="NormalWeb"/>
        <w:spacing w:before="180" w:beforeAutospacing="0" w:after="0" w:afterAutospacing="0"/>
      </w:pPr>
      <w:r>
        <w:rPr>
          <w:i/>
          <w:iCs/>
          <w:sz w:val="20"/>
          <w:szCs w:val="20"/>
        </w:rPr>
        <w:t>Suppliers:</w:t>
      </w:r>
      <w:r>
        <w:rPr>
          <w:sz w:val="20"/>
          <w:szCs w:val="20"/>
        </w:rPr>
        <w:t> We source the products we distribute from a global network of approximately 1</w:t>
      </w:r>
      <w:r w:rsidR="000C72B7">
        <w:rPr>
          <w:sz w:val="20"/>
          <w:szCs w:val="20"/>
        </w:rPr>
        <w:t>0</w:t>
      </w:r>
      <w:r>
        <w:rPr>
          <w:sz w:val="20"/>
          <w:szCs w:val="20"/>
        </w:rPr>
        <w:t xml:space="preserve">,000 suppliers in over 40 countries. We have approximately 100 dedicated supply chain management employees that handle purchasing. Our suppliers benefit from access to our large, diversified customer base and, by consolidating customer orders allowing for manufacturing efficiencies. We benefit from stronger purchasing power and preferred vendor programs. Our purchases from our 25 largest suppliers in </w:t>
      </w:r>
      <w:r w:rsidR="003627E3" w:rsidRPr="003A4344">
        <w:rPr>
          <w:sz w:val="20"/>
          <w:szCs w:val="20"/>
        </w:rPr>
        <w:t>2019</w:t>
      </w:r>
      <w:r>
        <w:rPr>
          <w:sz w:val="20"/>
          <w:szCs w:val="20"/>
        </w:rPr>
        <w:t xml:space="preserve"> approximated </w:t>
      </w:r>
      <w:r w:rsidR="00BD34EC">
        <w:rPr>
          <w:sz w:val="20"/>
          <w:szCs w:val="20"/>
        </w:rPr>
        <w:t>41</w:t>
      </w:r>
      <w:r>
        <w:rPr>
          <w:sz w:val="20"/>
          <w:szCs w:val="20"/>
        </w:rPr>
        <w:t xml:space="preserve">% of our total purchases, with our single largest supplier constituting approximately </w:t>
      </w:r>
      <w:r w:rsidR="000C481E">
        <w:rPr>
          <w:sz w:val="20"/>
          <w:szCs w:val="20"/>
        </w:rPr>
        <w:t>7</w:t>
      </w:r>
      <w:r>
        <w:rPr>
          <w:sz w:val="20"/>
          <w:szCs w:val="20"/>
        </w:rPr>
        <w:t xml:space="preserve">%. We are the largest customer for many of our suppliers, and we source the majority of the products we distribute directly from the manufacturer. The remainder of the products we distribute are sourced from manufacturer representatives, trading companies and, in some instances, other distributors. </w:t>
      </w:r>
    </w:p>
    <w:p w:rsidR="000121CD" w:rsidRDefault="00590862">
      <w:pPr>
        <w:pStyle w:val="NormalWeb"/>
        <w:spacing w:before="180" w:beforeAutospacing="0" w:after="0" w:afterAutospacing="0"/>
      </w:pPr>
      <w:r>
        <w:rPr>
          <w:sz w:val="20"/>
          <w:szCs w:val="20"/>
        </w:rPr>
        <w:t>We believe our customers and suppliers recognize us as an industry leader in part due to the quality of products we supply and for the formal processes we use to evaluate vendor performance. This vendor assessment process is referred to as the MRC Global Supplier Registration Process, which involves employing individuals who specialize in conducting on-site assessments of our manufacturers as well as monitoring and evaluating the quality of goods produced. These assessments are aimed at product quality assurance, including all aspects of the manufacturing processes, steel, alloy and material quality, ethical sourcing, product safety and ethical labor practices. The result of this process is the MRC Global approved manufacturer’s listing (“AML”). Products from the manufacturers on this list are supplied across many of the industries we support. Given that many of our largest customers, especially those in our downstream sector, maintain their own formal AML listing, we are recognized as an important source of information sharing with our key customers regarding the results of our on-site assessment. For this reason, together with our commitment to promote high quality products that bring the best overall value to our customers, we often become the preferred provider of AML products to these customers. Many of our customers regularly collaborate with us regarding specific manufacturer performance, our own experience with vendors’ products and the results of our on-site manufacturer assessments. The emphasis</w:t>
      </w:r>
      <w:r w:rsidR="001C1D46">
        <w:rPr>
          <w:sz w:val="20"/>
          <w:szCs w:val="20"/>
        </w:rPr>
        <w:t xml:space="preserve"> that</w:t>
      </w:r>
      <w:r>
        <w:rPr>
          <w:sz w:val="20"/>
          <w:szCs w:val="20"/>
        </w:rPr>
        <w:t xml:space="preserve"> both our customers and suppliers </w:t>
      </w:r>
      <w:r w:rsidR="001C1D46">
        <w:rPr>
          <w:sz w:val="20"/>
          <w:szCs w:val="20"/>
        </w:rPr>
        <w:t xml:space="preserve">place on the MRC Global AML </w:t>
      </w:r>
      <w:r>
        <w:rPr>
          <w:sz w:val="20"/>
          <w:szCs w:val="20"/>
        </w:rPr>
        <w:t xml:space="preserve">helps secure our central and critical position in the global PVF supply chain. </w:t>
      </w:r>
    </w:p>
    <w:p w:rsidR="000121CD" w:rsidRDefault="00590862">
      <w:pPr>
        <w:pStyle w:val="NormalWeb"/>
        <w:spacing w:before="180" w:beforeAutospacing="0" w:after="0" w:afterAutospacing="0"/>
      </w:pPr>
      <w:r>
        <w:rPr>
          <w:sz w:val="20"/>
          <w:szCs w:val="20"/>
        </w:rPr>
        <w:t xml:space="preserve">We utilize a variety of freight carriers in addition to our corporate truck fleet to ensure timely and efficient delivery of our products. With respect to deliveries of products from us to our customers, or our outbound needs, we utilize both our corporate fleet and third-party transportation providers. With respect to shipments of products from suppliers to us, or our inbound needs, we principally use third-party carriers. </w:t>
      </w:r>
    </w:p>
    <w:p w:rsidR="000121CD" w:rsidRDefault="00590862">
      <w:pPr>
        <w:pStyle w:val="NormalWeb"/>
        <w:spacing w:before="180" w:beforeAutospacing="0" w:after="0" w:afterAutospacing="0"/>
      </w:pPr>
      <w:r>
        <w:rPr>
          <w:i/>
          <w:iCs/>
          <w:sz w:val="20"/>
          <w:szCs w:val="20"/>
        </w:rPr>
        <w:t xml:space="preserve">Sales and Marketing: </w:t>
      </w:r>
      <w:r>
        <w:rPr>
          <w:sz w:val="20"/>
          <w:szCs w:val="20"/>
        </w:rPr>
        <w:t>We distribute our products to a wide variety of end-users, and we have operations in 2</w:t>
      </w:r>
      <w:r w:rsidR="002A5441">
        <w:rPr>
          <w:sz w:val="20"/>
          <w:szCs w:val="20"/>
        </w:rPr>
        <w:t>0</w:t>
      </w:r>
      <w:r>
        <w:rPr>
          <w:sz w:val="20"/>
          <w:szCs w:val="20"/>
        </w:rPr>
        <w:t xml:space="preserve"> countries and direct sales into </w:t>
      </w:r>
      <w:r w:rsidR="00392BB5">
        <w:rPr>
          <w:sz w:val="20"/>
          <w:szCs w:val="20"/>
        </w:rPr>
        <w:t>approximately 75</w:t>
      </w:r>
      <w:r>
        <w:rPr>
          <w:sz w:val="20"/>
          <w:szCs w:val="20"/>
        </w:rPr>
        <w:t xml:space="preserve"> countries around the world. Our broad inventory offering and distribution network allows us to serve large global customers with consistent, high-quality service that is unrivaled in our industry. Local relationships, depth of inventory, responsive service and timely delivery are critical to the sales process in the PVF distribution industry. Our sales efforts are customer and product driven and provide a system that is more responsive to changing customer and product needs than a traditional, fully centralized structure. </w:t>
      </w:r>
    </w:p>
    <w:p w:rsidR="000121CD" w:rsidRDefault="00590862">
      <w:pPr>
        <w:pStyle w:val="NormalWeb"/>
        <w:spacing w:before="180" w:beforeAutospacing="0" w:after="0" w:afterAutospacing="0"/>
        <w:rPr>
          <w:sz w:val="20"/>
          <w:szCs w:val="20"/>
        </w:rPr>
      </w:pPr>
      <w:r>
        <w:rPr>
          <w:sz w:val="20"/>
          <w:szCs w:val="20"/>
        </w:rPr>
        <w:t>Our sales model applies a two-pronged approach to address both regional and national markets. Regional sales teams are based in our core geographic regions and are complemented by a global accounts sales team organized by sector or product expertise and focused on large regional, national or global customers. These sales teams are then supported by groups with additional specific service or product expertise, including integrated supply, valves, valve automation</w:t>
      </w:r>
      <w:r w:rsidR="00905CE8">
        <w:rPr>
          <w:sz w:val="20"/>
          <w:szCs w:val="20"/>
        </w:rPr>
        <w:t xml:space="preserve"> and modification</w:t>
      </w:r>
      <w:r>
        <w:rPr>
          <w:sz w:val="20"/>
          <w:szCs w:val="20"/>
        </w:rPr>
        <w:t xml:space="preserve">, corrosion resistant products, measurement equipment and implementation. Our overall sales force is then internally divided into outside and inside sales forces. </w:t>
      </w:r>
    </w:p>
    <w:p w:rsidR="000121CD" w:rsidRDefault="00590862">
      <w:pPr>
        <w:pStyle w:val="NormalWeb"/>
        <w:spacing w:before="180" w:beforeAutospacing="0" w:after="0" w:afterAutospacing="0"/>
      </w:pPr>
      <w:r>
        <w:rPr>
          <w:sz w:val="20"/>
          <w:szCs w:val="20"/>
        </w:rPr>
        <w:t xml:space="preserve">Our over </w:t>
      </w:r>
      <w:r w:rsidR="00ED78F8">
        <w:rPr>
          <w:sz w:val="20"/>
          <w:szCs w:val="20"/>
        </w:rPr>
        <w:t>380</w:t>
      </w:r>
      <w:r>
        <w:rPr>
          <w:sz w:val="20"/>
          <w:szCs w:val="20"/>
        </w:rPr>
        <w:t xml:space="preserve"> account managers and external sales representatives develop relationships with prospective and existing customers in an effort to better understand their needs and to increase the number of our products specified or approved by a given customer. Outside sales representatives may be branch outside sales representatives, focused on customer relationships in specific geographies, or technical outside sales representatives, who focus on specific products and provide detailed technical support to customers. Internationally, for valve sales, the majority of our sales force is comprised of qualified engineers who are able to meet complex customer requirements, select optimal solutions from a range of products to increase customers’ efficiency and lower total product lifecycle costs. </w:t>
      </w:r>
    </w:p>
    <w:p w:rsidR="000121CD" w:rsidRDefault="00590862">
      <w:pPr>
        <w:pStyle w:val="NormalWeb"/>
        <w:spacing w:before="180" w:beforeAutospacing="0" w:after="0" w:afterAutospacing="0"/>
      </w:pPr>
      <w:r>
        <w:rPr>
          <w:sz w:val="20"/>
          <w:szCs w:val="20"/>
        </w:rPr>
        <w:t xml:space="preserve">Our inside sales force of </w:t>
      </w:r>
      <w:r w:rsidR="00ED78F8">
        <w:rPr>
          <w:sz w:val="20"/>
          <w:szCs w:val="20"/>
        </w:rPr>
        <w:t>approximately</w:t>
      </w:r>
      <w:r>
        <w:rPr>
          <w:sz w:val="20"/>
          <w:szCs w:val="20"/>
        </w:rPr>
        <w:t xml:space="preserve"> 800 customer service representatives is responsible for processing orders generated by new and existing customers as well as by our outside sales force. The customer service representatives develop order packages based on specific customer needs, interface with manufacturers to determine product availability, ensure on-time delivery and establish pricing of materials and services based on guidelines and predetermined metrics that management establishes. </w:t>
      </w:r>
    </w:p>
    <w:p w:rsidR="000121CD" w:rsidRDefault="00590862">
      <w:pPr>
        <w:pStyle w:val="NormalWeb"/>
        <w:spacing w:before="180" w:beforeAutospacing="0" w:after="0" w:afterAutospacing="0"/>
      </w:pPr>
      <w:r>
        <w:rPr>
          <w:i/>
          <w:iCs/>
          <w:sz w:val="20"/>
          <w:szCs w:val="20"/>
        </w:rPr>
        <w:t>Seasonality:</w:t>
      </w:r>
      <w:r>
        <w:rPr>
          <w:sz w:val="20"/>
          <w:szCs w:val="20"/>
        </w:rPr>
        <w:t xml:space="preserve"> Our business normally experiences mild seasonal effects in the U.S. as demand for the products we distribute is generally higher during the months of August, September and October. Demand for the products we distribute during the months of November </w:t>
      </w:r>
      <w:r>
        <w:rPr>
          <w:sz w:val="20"/>
          <w:szCs w:val="20"/>
        </w:rPr>
        <w:lastRenderedPageBreak/>
        <w:t xml:space="preserve">and December and early in the year generally tends to be lower due to a lower level of activity near the end of the calendar year in the industry sectors we serve and due to winter weather disruptions. In addition, certain </w:t>
      </w:r>
      <w:r w:rsidR="005A25ED">
        <w:rPr>
          <w:sz w:val="20"/>
          <w:szCs w:val="20"/>
        </w:rPr>
        <w:t>exploration and production (“</w:t>
      </w:r>
      <w:r>
        <w:rPr>
          <w:sz w:val="20"/>
          <w:szCs w:val="20"/>
        </w:rPr>
        <w:t>E&amp;P</w:t>
      </w:r>
      <w:r w:rsidR="005A25ED">
        <w:rPr>
          <w:sz w:val="20"/>
          <w:szCs w:val="20"/>
        </w:rPr>
        <w:t>”)</w:t>
      </w:r>
      <w:r>
        <w:rPr>
          <w:sz w:val="20"/>
          <w:szCs w:val="20"/>
        </w:rPr>
        <w:t xml:space="preserve"> activities, primarily in Canada, typically experience a springtime reduction due to seasonal thaws and regulatory restrictions, limiting the ability of drilling rigs to operate effectively during these periods. </w:t>
      </w:r>
    </w:p>
    <w:p w:rsidR="000121CD" w:rsidRDefault="00590862">
      <w:pPr>
        <w:pStyle w:val="NormalWeb"/>
        <w:spacing w:before="180" w:beforeAutospacing="0" w:after="0" w:afterAutospacing="0"/>
      </w:pPr>
      <w:r>
        <w:rPr>
          <w:i/>
          <w:iCs/>
          <w:sz w:val="20"/>
          <w:szCs w:val="20"/>
        </w:rPr>
        <w:t>Customers:</w:t>
      </w:r>
      <w:r>
        <w:rPr>
          <w:sz w:val="20"/>
          <w:szCs w:val="20"/>
        </w:rPr>
        <w:t xml:space="preserve"> Our principal customers are companies active in the upstream, midstream and downstream sectors of the energy industry. Due to the demanding operating conditions in the energy industry, high costs and safety risks associated with equipment failure, customers prefer highly reliable products and vendors with established qualifications, reputation and experience. As our PVF products typically are mission critical and represent a fraction of the total cost of a given project, our customers often place a premium on service and high reliability given the high cost to them of maintenance or project delays. We strive to build long-term relationships with our customers by maintaining our reputation as a supplier of high-quality, reliable products and value-added services and solutions. </w:t>
      </w:r>
    </w:p>
    <w:p w:rsidR="000121CD" w:rsidRDefault="00590862">
      <w:pPr>
        <w:pStyle w:val="NormalWeb"/>
        <w:spacing w:before="180" w:beforeAutospacing="0" w:after="0" w:afterAutospacing="0"/>
      </w:pPr>
      <w:r>
        <w:rPr>
          <w:sz w:val="20"/>
          <w:szCs w:val="20"/>
        </w:rPr>
        <w:t>We have a diverse customer base of approximately 1</w:t>
      </w:r>
      <w:r w:rsidR="00277D32">
        <w:rPr>
          <w:sz w:val="20"/>
          <w:szCs w:val="20"/>
        </w:rPr>
        <w:t>4</w:t>
      </w:r>
      <w:r>
        <w:rPr>
          <w:sz w:val="20"/>
          <w:szCs w:val="20"/>
        </w:rPr>
        <w:t xml:space="preserve">,000 customers. We are not dependent on any one customer or group of customers. A majority of our customers are offered terms of net 30 days (payment is due within 30 days of the date of the invoice). Customers generally have the right to return products we have sold, subject to certain conditions and limitations, although returns have historically been immaterial to our sales. For the year ended </w:t>
      </w:r>
      <w:r w:rsidR="003627E3" w:rsidRPr="003A4344">
        <w:rPr>
          <w:sz w:val="20"/>
          <w:szCs w:val="20"/>
        </w:rPr>
        <w:t>December 31, 2019</w:t>
      </w:r>
      <w:r>
        <w:rPr>
          <w:sz w:val="20"/>
          <w:szCs w:val="20"/>
        </w:rPr>
        <w:t xml:space="preserve">, our 25 largest customers represented approximately 55% of our total sales, with our single largest customer constituting approximately 8%. For many of our largest customers, we are often their primary PVF provider by sector or geography, their largest or second largest supplier in aggregate or, in certain instances, the sole provider for their upstream, midstream and downstream procurement needs. We believe that many customers for which we are not the exclusive or comprehensive sole source PVF provider will continue to reduce their number of suppliers in an effort to reduce costs and administrative burdens and focus on their core operations. As such, we believe these customers will seek to select PVF distributors with the most extensive product and service offerings and broadest geographic presence. Furthermore, we believe our business will benefit as companies in the energy industry continue to consolidate and the larger, resulting companies look to larger distributors such as ourselves as their sole or primary source PVF provider. </w:t>
      </w:r>
    </w:p>
    <w:p w:rsidR="000121CD" w:rsidRDefault="00590862">
      <w:pPr>
        <w:pStyle w:val="NormalWeb"/>
        <w:keepNext/>
        <w:spacing w:before="180" w:beforeAutospacing="0" w:after="0" w:afterAutospacing="0"/>
        <w:rPr>
          <w:sz w:val="20"/>
          <w:szCs w:val="20"/>
        </w:rPr>
      </w:pPr>
      <w:r>
        <w:rPr>
          <w:i/>
          <w:iCs/>
          <w:sz w:val="20"/>
          <w:szCs w:val="20"/>
        </w:rPr>
        <w:t>Backlog:</w:t>
      </w:r>
      <w:r>
        <w:rPr>
          <w:sz w:val="20"/>
          <w:szCs w:val="20"/>
        </w:rPr>
        <w:t xml:space="preserve"> We determine backlog by the amount of unshipped customer orders, either specific or general in nature, which the customer may revise or cancel in certain instances. The table below details our backlog by segment (in millions): </w:t>
      </w:r>
    </w:p>
    <w:p w:rsidR="000121CD" w:rsidRDefault="000121CD">
      <w:pPr>
        <w:pStyle w:val="NormalWeb"/>
        <w:keepNext/>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4604"/>
        <w:gridCol w:w="408"/>
        <w:gridCol w:w="1486"/>
        <w:gridCol w:w="259"/>
        <w:gridCol w:w="408"/>
        <w:gridCol w:w="1484"/>
        <w:gridCol w:w="259"/>
        <w:gridCol w:w="408"/>
        <w:gridCol w:w="1484"/>
      </w:tblGrid>
      <w:tr w:rsidR="0018024C" w:rsidTr="0018024C">
        <w:trPr>
          <w:trHeight w:hRule="exact" w:val="20"/>
        </w:trPr>
        <w:tc>
          <w:tcPr>
            <w:tcW w:w="2131"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89"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688"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20"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89"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687"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20"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89"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687"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r>
      <w:tr w:rsidR="0018024C" w:rsidTr="0018024C">
        <w:trPr>
          <w:trHeight w:hRule="exact" w:val="315"/>
        </w:trPr>
        <w:tc>
          <w:tcPr>
            <w:tcW w:w="2131" w:type="pct"/>
            <w:tcBorders>
              <w:top w:val="nil"/>
              <w:left w:val="nil"/>
              <w:bottom w:val="nil"/>
              <w:right w:val="nil"/>
              <w:tl2br w:val="nil"/>
              <w:tr2bl w:val="nil"/>
            </w:tcBorders>
            <w:shd w:val="clear" w:color="auto" w:fill="auto"/>
            <w:vAlign w:val="bottom"/>
          </w:tcPr>
          <w:p w:rsidR="0018024C" w:rsidRDefault="0018024C" w:rsidP="0018024C">
            <w:pPr>
              <w:keepNext/>
              <w:spacing w:before="1" w:after="1"/>
              <w:rPr>
                <w:sz w:val="20"/>
              </w:rPr>
            </w:pPr>
          </w:p>
        </w:tc>
        <w:tc>
          <w:tcPr>
            <w:tcW w:w="189" w:type="pct"/>
            <w:tcBorders>
              <w:top w:val="nil"/>
              <w:left w:val="nil"/>
              <w:bottom w:val="single" w:sz="12" w:space="0" w:color="000000"/>
              <w:right w:val="nil"/>
              <w:tl2br w:val="nil"/>
              <w:tr2bl w:val="nil"/>
            </w:tcBorders>
            <w:shd w:val="clear" w:color="auto" w:fill="auto"/>
            <w:vAlign w:val="bottom"/>
          </w:tcPr>
          <w:p w:rsidR="0018024C" w:rsidRDefault="0018024C" w:rsidP="0018024C">
            <w:pPr>
              <w:keepNext/>
              <w:spacing w:before="1" w:after="1"/>
              <w:rPr>
                <w:sz w:val="20"/>
              </w:rPr>
            </w:pPr>
          </w:p>
        </w:tc>
        <w:tc>
          <w:tcPr>
            <w:tcW w:w="1" w:type="pct"/>
            <w:gridSpan w:val="7"/>
            <w:tcBorders>
              <w:top w:val="nil"/>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sz w:val="20"/>
              </w:rPr>
            </w:pPr>
            <w:r>
              <w:rPr>
                <w:b/>
                <w:sz w:val="20"/>
              </w:rPr>
              <w:t>Year Ended December 31,</w:t>
            </w:r>
          </w:p>
        </w:tc>
      </w:tr>
      <w:tr w:rsidR="0018024C" w:rsidTr="0018024C">
        <w:trPr>
          <w:trHeight w:hRule="exact" w:val="255"/>
        </w:trPr>
        <w:tc>
          <w:tcPr>
            <w:tcW w:w="2131" w:type="pct"/>
            <w:tcBorders>
              <w:top w:val="nil"/>
              <w:left w:val="nil"/>
              <w:bottom w:val="nil"/>
              <w:right w:val="nil"/>
              <w:tl2br w:val="nil"/>
              <w:tr2bl w:val="nil"/>
            </w:tcBorders>
            <w:shd w:val="clear" w:color="auto" w:fill="auto"/>
            <w:vAlign w:val="bottom"/>
          </w:tcPr>
          <w:p w:rsidR="0018024C" w:rsidRDefault="0018024C" w:rsidP="0018024C">
            <w:pPr>
              <w:keepNext/>
              <w:spacing w:before="1" w:after="1"/>
              <w:rPr>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spacing w:before="1" w:after="1"/>
              <w:rPr>
                <w:sz w:val="20"/>
              </w:rPr>
            </w:pPr>
          </w:p>
        </w:tc>
        <w:tc>
          <w:tcPr>
            <w:tcW w:w="688"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sz w:val="20"/>
              </w:rPr>
            </w:pPr>
            <w:r>
              <w:rPr>
                <w:b/>
                <w:sz w:val="20"/>
              </w:rPr>
              <w:t>2019</w:t>
            </w:r>
          </w:p>
        </w:tc>
        <w:tc>
          <w:tcPr>
            <w:tcW w:w="120" w:type="pct"/>
            <w:tcBorders>
              <w:top w:val="single" w:sz="0" w:space="0" w:color="000000"/>
              <w:left w:val="nil"/>
              <w:bottom w:val="nil"/>
              <w:right w:val="nil"/>
              <w:tl2br w:val="nil"/>
              <w:tr2bl w:val="nil"/>
            </w:tcBorders>
            <w:shd w:val="clear" w:color="auto" w:fill="auto"/>
            <w:vAlign w:val="bottom"/>
          </w:tcPr>
          <w:p w:rsidR="0018024C" w:rsidRDefault="0018024C" w:rsidP="0018024C">
            <w:pPr>
              <w:keepNext/>
              <w:spacing w:before="1" w:after="1"/>
              <w:rPr>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spacing w:before="1" w:after="1"/>
              <w:rPr>
                <w:sz w:val="20"/>
              </w:rPr>
            </w:pPr>
          </w:p>
        </w:tc>
        <w:tc>
          <w:tcPr>
            <w:tcW w:w="687"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sz w:val="20"/>
              </w:rPr>
            </w:pPr>
            <w:r>
              <w:rPr>
                <w:b/>
                <w:sz w:val="20"/>
              </w:rPr>
              <w:t>2018</w:t>
            </w:r>
          </w:p>
        </w:tc>
        <w:tc>
          <w:tcPr>
            <w:tcW w:w="120" w:type="pct"/>
            <w:tcBorders>
              <w:top w:val="nil"/>
              <w:left w:val="nil"/>
              <w:bottom w:val="nil"/>
              <w:right w:val="nil"/>
              <w:tl2br w:val="nil"/>
              <w:tr2bl w:val="nil"/>
            </w:tcBorders>
            <w:shd w:val="clear" w:color="auto" w:fill="auto"/>
            <w:vAlign w:val="bottom"/>
          </w:tcPr>
          <w:p w:rsidR="0018024C" w:rsidRDefault="0018024C" w:rsidP="0018024C">
            <w:pPr>
              <w:keepNext/>
              <w:spacing w:before="1" w:after="1"/>
              <w:jc w:val="center"/>
              <w:rPr>
                <w:b/>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spacing w:before="1" w:after="1"/>
              <w:rPr>
                <w:sz w:val="20"/>
              </w:rPr>
            </w:pPr>
          </w:p>
        </w:tc>
        <w:tc>
          <w:tcPr>
            <w:tcW w:w="687"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sz w:val="20"/>
              </w:rPr>
            </w:pPr>
            <w:r>
              <w:rPr>
                <w:b/>
                <w:sz w:val="20"/>
              </w:rPr>
              <w:t>2017</w:t>
            </w:r>
          </w:p>
        </w:tc>
      </w:tr>
      <w:tr w:rsidR="0018024C" w:rsidTr="0018024C">
        <w:trPr>
          <w:trHeight w:hRule="exact" w:val="255"/>
        </w:trPr>
        <w:tc>
          <w:tcPr>
            <w:tcW w:w="2131"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r>
              <w:rPr>
                <w:sz w:val="20"/>
              </w:rPr>
              <w:t>U.S.</w:t>
            </w:r>
          </w:p>
        </w:tc>
        <w:tc>
          <w:tcPr>
            <w:tcW w:w="189"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b/>
                <w:sz w:val="20"/>
              </w:rPr>
            </w:pPr>
            <w:r>
              <w:rPr>
                <w:b/>
                <w:sz w:val="20"/>
              </w:rPr>
              <w:t>$</w:t>
            </w:r>
          </w:p>
        </w:tc>
        <w:tc>
          <w:tcPr>
            <w:tcW w:w="688"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ind w:right="63"/>
              <w:jc w:val="right"/>
              <w:rPr>
                <w:b/>
                <w:sz w:val="20"/>
              </w:rPr>
            </w:pPr>
            <w:r>
              <w:rPr>
                <w:b/>
                <w:sz w:val="20"/>
              </w:rPr>
              <w:t xml:space="preserve"> 301</w:t>
            </w:r>
          </w:p>
        </w:tc>
        <w:tc>
          <w:tcPr>
            <w:tcW w:w="120"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89"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sz w:val="20"/>
              </w:rPr>
            </w:pPr>
            <w:r>
              <w:rPr>
                <w:sz w:val="20"/>
              </w:rPr>
              <w:t>$</w:t>
            </w:r>
          </w:p>
        </w:tc>
        <w:tc>
          <w:tcPr>
            <w:tcW w:w="687"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 xml:space="preserve"> 426</w:t>
            </w:r>
          </w:p>
        </w:tc>
        <w:tc>
          <w:tcPr>
            <w:tcW w:w="120"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89"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sz w:val="20"/>
              </w:rPr>
            </w:pPr>
            <w:r>
              <w:rPr>
                <w:sz w:val="20"/>
              </w:rPr>
              <w:t>$</w:t>
            </w:r>
          </w:p>
        </w:tc>
        <w:tc>
          <w:tcPr>
            <w:tcW w:w="687"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 xml:space="preserve"> 559</w:t>
            </w:r>
          </w:p>
        </w:tc>
      </w:tr>
      <w:tr w:rsidR="0018024C" w:rsidTr="0018024C">
        <w:trPr>
          <w:trHeight w:hRule="exact" w:val="255"/>
        </w:trPr>
        <w:tc>
          <w:tcPr>
            <w:tcW w:w="2131" w:type="pct"/>
            <w:tcBorders>
              <w:top w:val="nil"/>
              <w:left w:val="nil"/>
              <w:bottom w:val="nil"/>
              <w:right w:val="nil"/>
              <w:tl2br w:val="nil"/>
              <w:tr2bl w:val="nil"/>
            </w:tcBorders>
            <w:vAlign w:val="bottom"/>
          </w:tcPr>
          <w:p w:rsidR="0018024C" w:rsidRDefault="0018024C" w:rsidP="0018024C">
            <w:pPr>
              <w:keepNext/>
              <w:spacing w:before="1" w:after="1"/>
              <w:rPr>
                <w:sz w:val="20"/>
              </w:rPr>
            </w:pPr>
            <w:r>
              <w:rPr>
                <w:sz w:val="20"/>
              </w:rPr>
              <w:t>Canada</w:t>
            </w:r>
          </w:p>
        </w:tc>
        <w:tc>
          <w:tcPr>
            <w:tcW w:w="189" w:type="pct"/>
            <w:tcBorders>
              <w:top w:val="nil"/>
              <w:left w:val="nil"/>
              <w:bottom w:val="nil"/>
              <w:right w:val="nil"/>
              <w:tl2br w:val="nil"/>
              <w:tr2bl w:val="nil"/>
            </w:tcBorders>
            <w:vAlign w:val="bottom"/>
          </w:tcPr>
          <w:p w:rsidR="0018024C" w:rsidRDefault="0018024C" w:rsidP="0018024C">
            <w:pPr>
              <w:keepNext/>
              <w:spacing w:before="1" w:after="1"/>
              <w:rPr>
                <w:b/>
                <w:sz w:val="20"/>
              </w:rPr>
            </w:pPr>
          </w:p>
        </w:tc>
        <w:tc>
          <w:tcPr>
            <w:tcW w:w="688" w:type="pct"/>
            <w:tcBorders>
              <w:top w:val="nil"/>
              <w:left w:val="nil"/>
              <w:bottom w:val="nil"/>
              <w:right w:val="nil"/>
              <w:tl2br w:val="nil"/>
              <w:tr2bl w:val="nil"/>
            </w:tcBorders>
            <w:vAlign w:val="bottom"/>
          </w:tcPr>
          <w:p w:rsidR="0018024C" w:rsidRDefault="0018024C" w:rsidP="0018024C">
            <w:pPr>
              <w:keepNext/>
              <w:spacing w:before="1" w:after="1"/>
              <w:ind w:right="63"/>
              <w:jc w:val="right"/>
              <w:rPr>
                <w:b/>
                <w:sz w:val="20"/>
              </w:rPr>
            </w:pPr>
            <w:r>
              <w:rPr>
                <w:b/>
                <w:sz w:val="20"/>
              </w:rPr>
              <w:t xml:space="preserve"> 34</w:t>
            </w:r>
          </w:p>
        </w:tc>
        <w:tc>
          <w:tcPr>
            <w:tcW w:w="120"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189"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687" w:type="pct"/>
            <w:tcBorders>
              <w:top w:val="nil"/>
              <w:left w:val="nil"/>
              <w:bottom w:val="nil"/>
              <w:right w:val="nil"/>
              <w:tl2br w:val="nil"/>
              <w:tr2bl w:val="nil"/>
            </w:tcBorders>
            <w:vAlign w:val="bottom"/>
          </w:tcPr>
          <w:p w:rsidR="0018024C" w:rsidRDefault="0018024C" w:rsidP="0018024C">
            <w:pPr>
              <w:keepNext/>
              <w:spacing w:before="1" w:after="1"/>
              <w:ind w:right="65"/>
              <w:jc w:val="right"/>
              <w:rPr>
                <w:sz w:val="20"/>
              </w:rPr>
            </w:pPr>
            <w:r>
              <w:rPr>
                <w:sz w:val="20"/>
              </w:rPr>
              <w:t xml:space="preserve"> 35</w:t>
            </w:r>
          </w:p>
        </w:tc>
        <w:tc>
          <w:tcPr>
            <w:tcW w:w="120"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189"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687" w:type="pct"/>
            <w:tcBorders>
              <w:top w:val="nil"/>
              <w:left w:val="nil"/>
              <w:bottom w:val="nil"/>
              <w:right w:val="nil"/>
              <w:tl2br w:val="nil"/>
              <w:tr2bl w:val="nil"/>
            </w:tcBorders>
            <w:vAlign w:val="bottom"/>
          </w:tcPr>
          <w:p w:rsidR="0018024C" w:rsidRDefault="0018024C" w:rsidP="0018024C">
            <w:pPr>
              <w:keepNext/>
              <w:spacing w:before="1" w:after="1"/>
              <w:ind w:right="65"/>
              <w:jc w:val="right"/>
              <w:rPr>
                <w:sz w:val="20"/>
              </w:rPr>
            </w:pPr>
            <w:r>
              <w:rPr>
                <w:sz w:val="20"/>
              </w:rPr>
              <w:t xml:space="preserve"> 40</w:t>
            </w:r>
          </w:p>
        </w:tc>
      </w:tr>
      <w:tr w:rsidR="0018024C" w:rsidTr="0018024C">
        <w:trPr>
          <w:trHeight w:hRule="exact" w:val="255"/>
        </w:trPr>
        <w:tc>
          <w:tcPr>
            <w:tcW w:w="2131"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r>
              <w:rPr>
                <w:sz w:val="20"/>
              </w:rPr>
              <w:t>International</w:t>
            </w:r>
          </w:p>
        </w:tc>
        <w:tc>
          <w:tcPr>
            <w:tcW w:w="189"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rPr>
                <w:b/>
                <w:sz w:val="20"/>
              </w:rPr>
            </w:pPr>
          </w:p>
        </w:tc>
        <w:tc>
          <w:tcPr>
            <w:tcW w:w="688"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ind w:right="63"/>
              <w:jc w:val="right"/>
              <w:rPr>
                <w:b/>
                <w:sz w:val="20"/>
              </w:rPr>
            </w:pPr>
            <w:r>
              <w:rPr>
                <w:b/>
                <w:sz w:val="20"/>
              </w:rPr>
              <w:t xml:space="preserve"> 174</w:t>
            </w:r>
          </w:p>
        </w:tc>
        <w:tc>
          <w:tcPr>
            <w:tcW w:w="120"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89"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rPr>
                <w:sz w:val="20"/>
              </w:rPr>
            </w:pPr>
          </w:p>
        </w:tc>
        <w:tc>
          <w:tcPr>
            <w:tcW w:w="687"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 xml:space="preserve"> 177</w:t>
            </w:r>
          </w:p>
        </w:tc>
        <w:tc>
          <w:tcPr>
            <w:tcW w:w="120"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89"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rPr>
                <w:sz w:val="20"/>
              </w:rPr>
            </w:pPr>
          </w:p>
        </w:tc>
        <w:tc>
          <w:tcPr>
            <w:tcW w:w="687"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 xml:space="preserve"> 233</w:t>
            </w:r>
          </w:p>
        </w:tc>
      </w:tr>
      <w:tr w:rsidR="0018024C" w:rsidTr="0018024C">
        <w:trPr>
          <w:trHeight w:hRule="exact" w:val="255"/>
        </w:trPr>
        <w:tc>
          <w:tcPr>
            <w:tcW w:w="2131"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18024C" w:rsidRDefault="0018024C" w:rsidP="0018024C">
            <w:pPr>
              <w:keepNext/>
              <w:spacing w:before="1" w:after="1"/>
              <w:rPr>
                <w:b/>
                <w:sz w:val="20"/>
              </w:rPr>
            </w:pPr>
            <w:r>
              <w:rPr>
                <w:b/>
                <w:sz w:val="20"/>
              </w:rPr>
              <w:t>$</w:t>
            </w:r>
          </w:p>
        </w:tc>
        <w:tc>
          <w:tcPr>
            <w:tcW w:w="688" w:type="pct"/>
            <w:tcBorders>
              <w:top w:val="single" w:sz="0" w:space="0" w:color="000000"/>
              <w:left w:val="nil"/>
              <w:bottom w:val="double" w:sz="4" w:space="0" w:color="000000"/>
              <w:right w:val="nil"/>
              <w:tl2br w:val="nil"/>
              <w:tr2bl w:val="nil"/>
            </w:tcBorders>
            <w:vAlign w:val="bottom"/>
          </w:tcPr>
          <w:p w:rsidR="0018024C" w:rsidRDefault="0018024C" w:rsidP="0018024C">
            <w:pPr>
              <w:keepNext/>
              <w:spacing w:before="1" w:after="1"/>
              <w:ind w:right="63"/>
              <w:jc w:val="right"/>
              <w:rPr>
                <w:b/>
                <w:sz w:val="20"/>
              </w:rPr>
            </w:pPr>
            <w:r>
              <w:rPr>
                <w:b/>
                <w:sz w:val="20"/>
              </w:rPr>
              <w:t xml:space="preserve"> 509</w:t>
            </w:r>
          </w:p>
        </w:tc>
        <w:tc>
          <w:tcPr>
            <w:tcW w:w="120"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18024C" w:rsidRDefault="0018024C" w:rsidP="0018024C">
            <w:pPr>
              <w:keepNext/>
              <w:spacing w:before="1" w:after="1"/>
              <w:rPr>
                <w:sz w:val="20"/>
              </w:rPr>
            </w:pPr>
            <w:r>
              <w:rPr>
                <w:sz w:val="20"/>
              </w:rPr>
              <w:t>$</w:t>
            </w:r>
          </w:p>
        </w:tc>
        <w:tc>
          <w:tcPr>
            <w:tcW w:w="687" w:type="pct"/>
            <w:tcBorders>
              <w:top w:val="single" w:sz="0" w:space="0" w:color="000000"/>
              <w:left w:val="nil"/>
              <w:bottom w:val="double" w:sz="4" w:space="0" w:color="000000"/>
              <w:right w:val="nil"/>
              <w:tl2br w:val="nil"/>
              <w:tr2bl w:val="nil"/>
            </w:tcBorders>
            <w:vAlign w:val="bottom"/>
          </w:tcPr>
          <w:p w:rsidR="0018024C" w:rsidRDefault="0018024C" w:rsidP="0018024C">
            <w:pPr>
              <w:keepNext/>
              <w:spacing w:before="1" w:after="1"/>
              <w:ind w:right="65"/>
              <w:jc w:val="right"/>
              <w:rPr>
                <w:sz w:val="20"/>
              </w:rPr>
            </w:pPr>
            <w:r>
              <w:rPr>
                <w:sz w:val="20"/>
              </w:rPr>
              <w:t xml:space="preserve"> 638</w:t>
            </w:r>
          </w:p>
        </w:tc>
        <w:tc>
          <w:tcPr>
            <w:tcW w:w="120"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18024C" w:rsidRDefault="0018024C" w:rsidP="0018024C">
            <w:pPr>
              <w:keepNext/>
              <w:spacing w:before="1" w:after="1"/>
              <w:rPr>
                <w:sz w:val="20"/>
              </w:rPr>
            </w:pPr>
            <w:r>
              <w:rPr>
                <w:sz w:val="20"/>
              </w:rPr>
              <w:t>$</w:t>
            </w:r>
          </w:p>
        </w:tc>
        <w:tc>
          <w:tcPr>
            <w:tcW w:w="687" w:type="pct"/>
            <w:tcBorders>
              <w:top w:val="single" w:sz="0" w:space="0" w:color="000000"/>
              <w:left w:val="nil"/>
              <w:bottom w:val="double" w:sz="4" w:space="0" w:color="000000"/>
              <w:right w:val="nil"/>
              <w:tl2br w:val="nil"/>
              <w:tr2bl w:val="nil"/>
            </w:tcBorders>
            <w:vAlign w:val="bottom"/>
          </w:tcPr>
          <w:p w:rsidR="0018024C" w:rsidRDefault="0018024C" w:rsidP="0018024C">
            <w:pPr>
              <w:keepNext/>
              <w:spacing w:before="1" w:after="1"/>
              <w:ind w:right="65"/>
              <w:jc w:val="right"/>
              <w:rPr>
                <w:sz w:val="20"/>
              </w:rPr>
            </w:pPr>
            <w:r>
              <w:rPr>
                <w:sz w:val="20"/>
              </w:rPr>
              <w:t xml:space="preserve"> 832</w:t>
            </w:r>
          </w:p>
        </w:tc>
      </w:tr>
    </w:tbl>
    <w:p w:rsidR="000121CD" w:rsidRDefault="00590862">
      <w:pPr>
        <w:pStyle w:val="NormalWeb"/>
        <w:spacing w:before="180" w:beforeAutospacing="0" w:after="0" w:afterAutospacing="0"/>
        <w:rPr>
          <w:sz w:val="20"/>
          <w:szCs w:val="20"/>
        </w:rPr>
      </w:pPr>
      <w:r>
        <w:rPr>
          <w:sz w:val="20"/>
          <w:szCs w:val="20"/>
        </w:rPr>
        <w:t xml:space="preserve">As of December 31, </w:t>
      </w:r>
      <w:r w:rsidR="005F06DD" w:rsidRPr="003A4344">
        <w:rPr>
          <w:sz w:val="20"/>
          <w:szCs w:val="20"/>
        </w:rPr>
        <w:t>2018</w:t>
      </w:r>
      <w:r>
        <w:rPr>
          <w:sz w:val="20"/>
          <w:szCs w:val="20"/>
        </w:rPr>
        <w:t xml:space="preserve"> and </w:t>
      </w:r>
      <w:r w:rsidR="005F06DD" w:rsidRPr="003A4344">
        <w:rPr>
          <w:sz w:val="20"/>
          <w:szCs w:val="20"/>
        </w:rPr>
        <w:t>2017</w:t>
      </w:r>
      <w:r>
        <w:rPr>
          <w:sz w:val="20"/>
          <w:szCs w:val="20"/>
        </w:rPr>
        <w:t xml:space="preserve">, respectively, approximately </w:t>
      </w:r>
      <w:r w:rsidR="005F06DD">
        <w:rPr>
          <w:sz w:val="20"/>
          <w:szCs w:val="20"/>
        </w:rPr>
        <w:t>7</w:t>
      </w:r>
      <w:r>
        <w:rPr>
          <w:sz w:val="20"/>
          <w:szCs w:val="20"/>
        </w:rPr>
        <w:t xml:space="preserve">% and </w:t>
      </w:r>
      <w:r w:rsidR="005F06DD">
        <w:rPr>
          <w:sz w:val="20"/>
          <w:szCs w:val="20"/>
        </w:rPr>
        <w:t>2</w:t>
      </w:r>
      <w:r>
        <w:rPr>
          <w:sz w:val="20"/>
          <w:szCs w:val="20"/>
        </w:rPr>
        <w:t>3% of our ending backlog was associated with two customers in our U.S</w:t>
      </w:r>
      <w:r w:rsidR="00E6298E">
        <w:rPr>
          <w:sz w:val="20"/>
          <w:szCs w:val="20"/>
        </w:rPr>
        <w:t>.</w:t>
      </w:r>
      <w:r>
        <w:rPr>
          <w:sz w:val="20"/>
          <w:szCs w:val="20"/>
        </w:rPr>
        <w:t xml:space="preserve"> segment. In addition, approximately </w:t>
      </w:r>
      <w:r w:rsidR="005F06DD">
        <w:rPr>
          <w:sz w:val="20"/>
          <w:szCs w:val="20"/>
        </w:rPr>
        <w:t>5</w:t>
      </w:r>
      <w:r>
        <w:rPr>
          <w:sz w:val="20"/>
          <w:szCs w:val="20"/>
        </w:rPr>
        <w:t>% and 1</w:t>
      </w:r>
      <w:r w:rsidR="005F06DD">
        <w:rPr>
          <w:sz w:val="20"/>
          <w:szCs w:val="20"/>
        </w:rPr>
        <w:t>4</w:t>
      </w:r>
      <w:r>
        <w:rPr>
          <w:sz w:val="20"/>
          <w:szCs w:val="20"/>
        </w:rPr>
        <w:t xml:space="preserve">% of our ending backlog for </w:t>
      </w:r>
      <w:r w:rsidR="005F06DD" w:rsidRPr="003A4344">
        <w:rPr>
          <w:sz w:val="20"/>
          <w:szCs w:val="20"/>
        </w:rPr>
        <w:t>2018</w:t>
      </w:r>
      <w:r>
        <w:rPr>
          <w:sz w:val="20"/>
          <w:szCs w:val="20"/>
        </w:rPr>
        <w:t xml:space="preserve"> and </w:t>
      </w:r>
      <w:r w:rsidR="005F06DD" w:rsidRPr="003A4344">
        <w:rPr>
          <w:sz w:val="20"/>
          <w:szCs w:val="20"/>
        </w:rPr>
        <w:t>2017</w:t>
      </w:r>
      <w:r>
        <w:rPr>
          <w:sz w:val="20"/>
          <w:szCs w:val="20"/>
        </w:rPr>
        <w:t xml:space="preserve">, respectively, was associated with one customer in our International segment. In each case, these </w:t>
      </w:r>
      <w:r w:rsidR="00BD34EC">
        <w:rPr>
          <w:sz w:val="20"/>
          <w:szCs w:val="20"/>
        </w:rPr>
        <w:t>we</w:t>
      </w:r>
      <w:r>
        <w:rPr>
          <w:sz w:val="20"/>
          <w:szCs w:val="20"/>
        </w:rPr>
        <w:t xml:space="preserve">re related to significant ongoing customer projects that were substantially completed by the end of 2018. </w:t>
      </w:r>
      <w:r w:rsidR="00EB677F">
        <w:rPr>
          <w:sz w:val="20"/>
          <w:szCs w:val="20"/>
        </w:rPr>
        <w:t>There were no similar large project amounts included in backlog as of December</w:t>
      </w:r>
      <w:r w:rsidR="002F3F96">
        <w:rPr>
          <w:sz w:val="20"/>
          <w:szCs w:val="20"/>
        </w:rPr>
        <w:t xml:space="preserve"> </w:t>
      </w:r>
      <w:r w:rsidR="00EB677F">
        <w:rPr>
          <w:sz w:val="20"/>
          <w:szCs w:val="20"/>
        </w:rPr>
        <w:t>31,</w:t>
      </w:r>
      <w:r w:rsidR="002F3F96">
        <w:rPr>
          <w:sz w:val="20"/>
          <w:szCs w:val="20"/>
        </w:rPr>
        <w:t> </w:t>
      </w:r>
      <w:r w:rsidR="00EB677F">
        <w:rPr>
          <w:sz w:val="20"/>
          <w:szCs w:val="20"/>
        </w:rPr>
        <w:t>2019.  Excluding these major projects, backlog in our U.S. segment declined 20% from December</w:t>
      </w:r>
      <w:r w:rsidR="002F3F96">
        <w:rPr>
          <w:sz w:val="20"/>
          <w:szCs w:val="20"/>
        </w:rPr>
        <w:t xml:space="preserve"> </w:t>
      </w:r>
      <w:r w:rsidR="00EB677F">
        <w:rPr>
          <w:sz w:val="20"/>
          <w:szCs w:val="20"/>
        </w:rPr>
        <w:t>31,</w:t>
      </w:r>
      <w:r w:rsidR="002F3F96">
        <w:rPr>
          <w:sz w:val="20"/>
          <w:szCs w:val="20"/>
        </w:rPr>
        <w:t> </w:t>
      </w:r>
      <w:r w:rsidR="00EB677F">
        <w:rPr>
          <w:sz w:val="20"/>
          <w:szCs w:val="20"/>
        </w:rPr>
        <w:t>2018 to December</w:t>
      </w:r>
      <w:r w:rsidR="002F3F96">
        <w:rPr>
          <w:sz w:val="20"/>
          <w:szCs w:val="20"/>
        </w:rPr>
        <w:t> </w:t>
      </w:r>
      <w:r w:rsidR="00EB677F">
        <w:rPr>
          <w:sz w:val="20"/>
          <w:szCs w:val="20"/>
        </w:rPr>
        <w:t>31,</w:t>
      </w:r>
      <w:r w:rsidR="002F3F96">
        <w:rPr>
          <w:sz w:val="20"/>
          <w:szCs w:val="20"/>
        </w:rPr>
        <w:t> </w:t>
      </w:r>
      <w:r w:rsidR="00EB677F">
        <w:rPr>
          <w:sz w:val="20"/>
          <w:szCs w:val="20"/>
        </w:rPr>
        <w:t>2019 as a result of the overall decline in customer activity while backlog in our International segment increased 19%</w:t>
      </w:r>
      <w:r w:rsidR="002F3F96">
        <w:rPr>
          <w:sz w:val="20"/>
          <w:szCs w:val="20"/>
        </w:rPr>
        <w:t> </w:t>
      </w:r>
      <w:r w:rsidR="00EB677F">
        <w:rPr>
          <w:sz w:val="20"/>
          <w:szCs w:val="20"/>
        </w:rPr>
        <w:t xml:space="preserve">over that same time period. </w:t>
      </w:r>
      <w:r>
        <w:rPr>
          <w:sz w:val="20"/>
          <w:szCs w:val="20"/>
        </w:rPr>
        <w:t>There can be no assurance that the backlog amounts will ultimately be realized as revenue or that we will earn a profit on the backlog of orders, but we expect that substantially all of the sales in our backlog will be realized within twelve months.</w:t>
      </w:r>
    </w:p>
    <w:p w:rsidR="000121CD" w:rsidRDefault="00590862">
      <w:pPr>
        <w:pStyle w:val="NormalWeb"/>
        <w:spacing w:before="180" w:beforeAutospacing="0" w:after="0" w:afterAutospacing="0"/>
      </w:pPr>
      <w:r>
        <w:rPr>
          <w:i/>
          <w:iCs/>
          <w:sz w:val="20"/>
          <w:szCs w:val="20"/>
        </w:rPr>
        <w:t>Competition:</w:t>
      </w:r>
      <w:r>
        <w:rPr>
          <w:sz w:val="20"/>
          <w:szCs w:val="20"/>
        </w:rPr>
        <w:t xml:space="preserve"> We are the largest PVF distributor to the energy industry based on sales. The broad PVF distribution industry is fragmented and includes large, nationally recognized distributors, major regional distributors and many smaller local distributors. The principal methods of competition include offering prompt local service, fulfillment capability, breadth of product and service offerings, price and total costs to the customer. Our competitors include large PVF distributors, such as DistributionNOW, Ferguson Enterprises (a subsidiary of Ferguson, plc), Van Leeuwen, FloWorks, Charbonneau Industries, Score Group plc, several regional or product-specific competitors and many local, family-owned and privately held PVF distributors. </w:t>
      </w:r>
    </w:p>
    <w:p w:rsidR="000121CD" w:rsidRDefault="00590862">
      <w:pPr>
        <w:pStyle w:val="NormalWeb"/>
        <w:spacing w:before="180" w:beforeAutospacing="0" w:after="0" w:afterAutospacing="0"/>
        <w:rPr>
          <w:sz w:val="20"/>
          <w:szCs w:val="20"/>
        </w:rPr>
      </w:pPr>
      <w:r>
        <w:rPr>
          <w:sz w:val="2"/>
          <w:szCs w:val="2"/>
        </w:rPr>
        <w:t> </w:t>
      </w:r>
      <w:r>
        <w:rPr>
          <w:i/>
          <w:iCs/>
          <w:sz w:val="20"/>
          <w:szCs w:val="20"/>
        </w:rPr>
        <w:t xml:space="preserve">Employees: </w:t>
      </w:r>
      <w:r>
        <w:rPr>
          <w:sz w:val="20"/>
          <w:szCs w:val="20"/>
        </w:rPr>
        <w:t>We have approximately 3,</w:t>
      </w:r>
      <w:r w:rsidR="00BD34EC">
        <w:rPr>
          <w:sz w:val="20"/>
          <w:szCs w:val="20"/>
        </w:rPr>
        <w:t>20</w:t>
      </w:r>
      <w:r w:rsidR="005F06DD">
        <w:rPr>
          <w:sz w:val="20"/>
          <w:szCs w:val="20"/>
        </w:rPr>
        <w:t>0</w:t>
      </w:r>
      <w:r>
        <w:rPr>
          <w:sz w:val="20"/>
          <w:szCs w:val="20"/>
        </w:rPr>
        <w:t> employees of which 1</w:t>
      </w:r>
      <w:r w:rsidR="0053528A">
        <w:rPr>
          <w:sz w:val="20"/>
          <w:szCs w:val="20"/>
        </w:rPr>
        <w:t xml:space="preserve">30 </w:t>
      </w:r>
      <w:r>
        <w:rPr>
          <w:sz w:val="20"/>
          <w:szCs w:val="20"/>
        </w:rPr>
        <w:t>employees belong to a union and are covered by collective bargaining agreements. We also have 1</w:t>
      </w:r>
      <w:r w:rsidR="0053528A">
        <w:rPr>
          <w:sz w:val="20"/>
          <w:szCs w:val="20"/>
        </w:rPr>
        <w:t>45</w:t>
      </w:r>
      <w:r>
        <w:rPr>
          <w:sz w:val="20"/>
          <w:szCs w:val="20"/>
        </w:rPr>
        <w:t xml:space="preserve"> employees in the U.S., Norway and Australia that are not members of a union but are covered by union negotiated agreements. We consider our relationships with our employees to be good. </w:t>
      </w:r>
    </w:p>
    <w:p w:rsidR="00582995" w:rsidRDefault="002F3F96" w:rsidP="00E6298E">
      <w:pPr>
        <w:keepNext/>
        <w:spacing w:before="180"/>
        <w:rPr>
          <w:b/>
          <w:sz w:val="20"/>
        </w:rPr>
      </w:pPr>
      <w:r>
        <w:rPr>
          <w:b/>
          <w:sz w:val="20"/>
        </w:rPr>
        <w:t>Sustainability</w:t>
      </w:r>
    </w:p>
    <w:p w:rsidR="002F3F96" w:rsidRDefault="002F3F96" w:rsidP="002F3F96">
      <w:pPr>
        <w:spacing w:before="180"/>
        <w:rPr>
          <w:sz w:val="20"/>
        </w:rPr>
      </w:pPr>
      <w:r>
        <w:rPr>
          <w:sz w:val="20"/>
        </w:rPr>
        <w:t>We</w:t>
      </w:r>
      <w:r w:rsidR="000F76FB">
        <w:rPr>
          <w:sz w:val="20"/>
        </w:rPr>
        <w:t xml:space="preserve"> believe that oil and gas demand will continue to be significant in the coming decades.  The U</w:t>
      </w:r>
      <w:r w:rsidR="00E6298E">
        <w:rPr>
          <w:sz w:val="20"/>
        </w:rPr>
        <w:t>.</w:t>
      </w:r>
      <w:r w:rsidR="000F76FB">
        <w:rPr>
          <w:sz w:val="20"/>
        </w:rPr>
        <w:t>S</w:t>
      </w:r>
      <w:r w:rsidR="00E6298E">
        <w:rPr>
          <w:sz w:val="20"/>
        </w:rPr>
        <w:t>.</w:t>
      </w:r>
      <w:r w:rsidR="000F76FB">
        <w:rPr>
          <w:sz w:val="20"/>
        </w:rPr>
        <w:t xml:space="preserve"> Energy Information Agency (the “EIA”) in its Reference Case (published in the International Energy Outlook 2019) projects world energy consumption of petroleum </w:t>
      </w:r>
      <w:r w:rsidR="000F76FB">
        <w:rPr>
          <w:sz w:val="20"/>
        </w:rPr>
        <w:lastRenderedPageBreak/>
        <w:t xml:space="preserve">and other liquids to rise nearly 20% and natural gas to rise more than 40% between 2018 and 2050.  We believe these increases would require an increase in oil and gas to meet the rise in demand from current levels, which would continue to provide a robust market for our goods and services.  </w:t>
      </w:r>
      <w:r>
        <w:rPr>
          <w:sz w:val="20"/>
        </w:rPr>
        <w:t>As our customers address their sustainability and energy transitions, we strive to operate our business in a sustainable manner to support our customer</w:t>
      </w:r>
      <w:r w:rsidR="005A74F9">
        <w:rPr>
          <w:sz w:val="20"/>
        </w:rPr>
        <w:t>s’</w:t>
      </w:r>
      <w:r>
        <w:rPr>
          <w:sz w:val="20"/>
        </w:rPr>
        <w:t xml:space="preserve"> needs.</w:t>
      </w:r>
    </w:p>
    <w:p w:rsidR="002F3F96" w:rsidRDefault="000F76FB" w:rsidP="000F76FB">
      <w:pPr>
        <w:spacing w:before="180"/>
        <w:rPr>
          <w:sz w:val="20"/>
        </w:rPr>
      </w:pPr>
      <w:r w:rsidRPr="000F76FB">
        <w:rPr>
          <w:i/>
          <w:sz w:val="20"/>
        </w:rPr>
        <w:t>Our</w:t>
      </w:r>
      <w:r w:rsidR="002F3F96">
        <w:rPr>
          <w:i/>
          <w:sz w:val="20"/>
        </w:rPr>
        <w:t xml:space="preserve"> Sustainable</w:t>
      </w:r>
      <w:r w:rsidRPr="000F76FB">
        <w:rPr>
          <w:i/>
          <w:sz w:val="20"/>
        </w:rPr>
        <w:t xml:space="preserve"> Business</w:t>
      </w:r>
      <w:r>
        <w:rPr>
          <w:sz w:val="20"/>
        </w:rPr>
        <w:t xml:space="preserve"> </w:t>
      </w:r>
      <w:r w:rsidRPr="000F76FB">
        <w:rPr>
          <w:i/>
          <w:sz w:val="20"/>
        </w:rPr>
        <w:t>Model</w:t>
      </w:r>
      <w:r>
        <w:rPr>
          <w:sz w:val="20"/>
        </w:rPr>
        <w:t>.  Our distribution capabilities can flex with the needs of customers. Although the primary customers for our PVF products are energy companies, we also distribute PVF to other end users as well. For instance, in our downstream segment, we distribute PVF to companies engaged in metals and mining, fabrication, power generation, chemical production and other general industrial uses. Our distribution platform is capable of supplying product lines to support transitioning energy uses as well as</w:t>
      </w:r>
      <w:r w:rsidR="002F3F96">
        <w:rPr>
          <w:sz w:val="20"/>
        </w:rPr>
        <w:t xml:space="preserve"> the needs of</w:t>
      </w:r>
      <w:r>
        <w:rPr>
          <w:sz w:val="20"/>
        </w:rPr>
        <w:t xml:space="preserve"> oil and gas and industrial customers. </w:t>
      </w:r>
    </w:p>
    <w:p w:rsidR="000F76FB" w:rsidRDefault="000F76FB" w:rsidP="000F76FB">
      <w:pPr>
        <w:spacing w:before="180"/>
        <w:rPr>
          <w:sz w:val="20"/>
        </w:rPr>
      </w:pPr>
      <w:r w:rsidRPr="000F76FB">
        <w:rPr>
          <w:i/>
          <w:sz w:val="20"/>
        </w:rPr>
        <w:t xml:space="preserve">MRC Global’s </w:t>
      </w:r>
      <w:r w:rsidR="002F3F96">
        <w:rPr>
          <w:i/>
          <w:sz w:val="20"/>
        </w:rPr>
        <w:t>Sustainability Initiatives</w:t>
      </w:r>
      <w:r>
        <w:rPr>
          <w:sz w:val="20"/>
        </w:rPr>
        <w:t>.  The primary way that we can reduce our emissions of greenhouse gases in our operations is to create an efficient supply chain.  An efficient supply chain reduces the carbon footprint of deliveries to our distribution centers and branches and, ultimately to our customers.  Use of our distribution centers and hub and spoke delivery model allow us to aggregate product across multiple suppliers and customers, which, in turn, prevents each customer from separately creating duplicative supply chains that require fuel for deliveries and resources to manage.</w:t>
      </w:r>
    </w:p>
    <w:p w:rsidR="000F76FB" w:rsidRDefault="000F76FB" w:rsidP="000F76FB">
      <w:pPr>
        <w:spacing w:before="180"/>
        <w:rPr>
          <w:sz w:val="20"/>
        </w:rPr>
      </w:pPr>
      <w:r>
        <w:rPr>
          <w:sz w:val="20"/>
        </w:rPr>
        <w:t>As a distributor, we are engaged in a relatively low amount of manufacturing and assembly, mostly through the actuation and valve modification services that we offer our customers.  We do not utilize large amounts of water.  Our energy inputs are primarily electricity for lighting, heating and office and warehouse equipment, natural gas for heating and gasoline for company sales and delivery vehicles.  We are reviewing this usage and seeking efficiencies to reduce use of these resources and resulting emissions.  We have recycling programs to minimize waste from used pallets, cardboard, office paper and other recyclables.  Even so, our recycling programs are sometimes limited by the unavailability of users, haulers or purchasers for recyclable materials at reasonable costs.</w:t>
      </w:r>
    </w:p>
    <w:p w:rsidR="000F76FB" w:rsidRDefault="000F76FB" w:rsidP="000F76FB">
      <w:pPr>
        <w:spacing w:before="180"/>
        <w:rPr>
          <w:sz w:val="20"/>
        </w:rPr>
      </w:pPr>
      <w:r w:rsidRPr="000F76FB">
        <w:rPr>
          <w:i/>
          <w:sz w:val="20"/>
        </w:rPr>
        <w:t>Market Opportunities.</w:t>
      </w:r>
      <w:r>
        <w:rPr>
          <w:sz w:val="20"/>
        </w:rPr>
        <w:t>  As a distributor of PVF, we sell products</w:t>
      </w:r>
      <w:r w:rsidR="002F3F96" w:rsidRPr="002F3F96">
        <w:rPr>
          <w:sz w:val="20"/>
        </w:rPr>
        <w:t xml:space="preserve"> </w:t>
      </w:r>
      <w:r w:rsidR="002F3F96">
        <w:rPr>
          <w:sz w:val="20"/>
        </w:rPr>
        <w:t>to existing and new customers</w:t>
      </w:r>
      <w:r>
        <w:rPr>
          <w:sz w:val="20"/>
        </w:rPr>
        <w:t xml:space="preserve"> that control the flow of liquids and gases</w:t>
      </w:r>
      <w:r w:rsidR="002F3F96">
        <w:rPr>
          <w:sz w:val="20"/>
        </w:rPr>
        <w:t xml:space="preserve"> in a sustainable manner</w:t>
      </w:r>
      <w:r>
        <w:rPr>
          <w:sz w:val="20"/>
        </w:rPr>
        <w:t>. Most of the products we provide are used to prevent and minimize accidental leaks of hydrocarbons into the air and spills.  In addition, integrated oil and other energy companies, many of which are our customers, have requirements to reduce their methane and other emissions and consider these targets when designing, constructing, upgrading, maintaining and operating their facilities. We sell a number of products that reduce the emissions of gases.  In particular, a majority of the valves that we sell are low-emission valves that control methane and other emissions.</w:t>
      </w:r>
    </w:p>
    <w:p w:rsidR="000121CD" w:rsidRDefault="00590862">
      <w:pPr>
        <w:pStyle w:val="NormalWeb"/>
        <w:keepNext/>
        <w:spacing w:before="270" w:beforeAutospacing="0" w:after="0" w:afterAutospacing="0"/>
        <w:rPr>
          <w:sz w:val="20"/>
          <w:szCs w:val="20"/>
        </w:rPr>
      </w:pPr>
      <w:r>
        <w:rPr>
          <w:b/>
          <w:bCs/>
          <w:sz w:val="20"/>
          <w:szCs w:val="20"/>
        </w:rPr>
        <w:t xml:space="preserve">Environmental Matters </w:t>
      </w:r>
    </w:p>
    <w:p w:rsidR="000121CD" w:rsidRDefault="00590862">
      <w:pPr>
        <w:pStyle w:val="NormalWeb"/>
        <w:keepNext/>
        <w:spacing w:before="90" w:beforeAutospacing="0" w:after="0" w:afterAutospacing="0"/>
        <w:rPr>
          <w:sz w:val="20"/>
          <w:szCs w:val="20"/>
        </w:rPr>
      </w:pPr>
      <w:r>
        <w:rPr>
          <w:sz w:val="20"/>
          <w:szCs w:val="20"/>
        </w:rPr>
        <w:t>We are subject to a variety of federal, state, local, foreign and provincial environmental, health and safety laws, regulations and permitting requirements (collectively, “environmental laws”), including those governing the following:</w:t>
      </w:r>
    </w:p>
    <w:p w:rsidR="000121CD" w:rsidRDefault="00590862">
      <w:pPr>
        <w:pStyle w:val="NormalWeb"/>
        <w:keepNext/>
        <w:numPr>
          <w:ilvl w:val="0"/>
          <w:numId w:val="32"/>
        </w:numPr>
        <w:spacing w:before="90" w:beforeAutospacing="0" w:after="0" w:afterAutospacing="0"/>
        <w:rPr>
          <w:sz w:val="20"/>
          <w:szCs w:val="20"/>
        </w:rPr>
      </w:pPr>
      <w:r>
        <w:rPr>
          <w:sz w:val="20"/>
          <w:szCs w:val="20"/>
        </w:rPr>
        <w:t xml:space="preserve">the discharge of pollutants or hazardous substances into the air, soil or water, </w:t>
      </w:r>
    </w:p>
    <w:p w:rsidR="000121CD" w:rsidRDefault="00590862">
      <w:pPr>
        <w:pStyle w:val="NormalWeb"/>
        <w:keepNext/>
        <w:numPr>
          <w:ilvl w:val="0"/>
          <w:numId w:val="32"/>
        </w:numPr>
        <w:spacing w:before="90" w:beforeAutospacing="0" w:after="0" w:afterAutospacing="0"/>
        <w:rPr>
          <w:sz w:val="20"/>
          <w:szCs w:val="20"/>
        </w:rPr>
      </w:pPr>
      <w:r>
        <w:rPr>
          <w:sz w:val="20"/>
          <w:szCs w:val="20"/>
        </w:rPr>
        <w:t xml:space="preserve">the generation, handling, use, management, storage and disposal of, or exposure to, hazardous substances and wastes, </w:t>
      </w:r>
    </w:p>
    <w:p w:rsidR="000121CD" w:rsidRDefault="00590862">
      <w:pPr>
        <w:pStyle w:val="NormalWeb"/>
        <w:keepNext/>
        <w:numPr>
          <w:ilvl w:val="0"/>
          <w:numId w:val="32"/>
        </w:numPr>
        <w:spacing w:before="90" w:beforeAutospacing="0" w:after="0" w:afterAutospacing="0"/>
        <w:rPr>
          <w:sz w:val="20"/>
          <w:szCs w:val="20"/>
        </w:rPr>
      </w:pPr>
      <w:r>
        <w:rPr>
          <w:sz w:val="20"/>
          <w:szCs w:val="20"/>
        </w:rPr>
        <w:t xml:space="preserve">the responsibility to investigate, remediate, monitor and clean up contamination and </w:t>
      </w:r>
    </w:p>
    <w:p w:rsidR="000121CD" w:rsidRDefault="00590862">
      <w:pPr>
        <w:pStyle w:val="NormalWeb"/>
        <w:keepNext/>
        <w:numPr>
          <w:ilvl w:val="0"/>
          <w:numId w:val="32"/>
        </w:numPr>
        <w:spacing w:before="90" w:beforeAutospacing="0" w:after="0" w:afterAutospacing="0"/>
        <w:rPr>
          <w:sz w:val="20"/>
          <w:szCs w:val="20"/>
        </w:rPr>
      </w:pPr>
      <w:r>
        <w:rPr>
          <w:sz w:val="20"/>
          <w:szCs w:val="20"/>
        </w:rPr>
        <w:t xml:space="preserve">occupational health and safety. </w:t>
      </w:r>
    </w:p>
    <w:p w:rsidR="000121CD" w:rsidRDefault="00590862">
      <w:pPr>
        <w:pStyle w:val="NormalWeb"/>
        <w:keepNext/>
        <w:spacing w:before="90" w:beforeAutospacing="0" w:after="0" w:afterAutospacing="0"/>
        <w:rPr>
          <w:sz w:val="20"/>
          <w:szCs w:val="20"/>
        </w:rPr>
      </w:pPr>
      <w:r>
        <w:rPr>
          <w:sz w:val="20"/>
          <w:szCs w:val="20"/>
        </w:rPr>
        <w:t xml:space="preserve">Historically, the costs to comply with environmental laws have not been material to our financial position, results of operations or cash flows. We are not aware of any pending environmental compliance or remediation matters that, in the opinion of management, are reasonably likely to have a material effect on our business, financial position or results of operations or cash flows. However, our failure to comply with applicable environmental laws could result in fines, penalties, enforcement actions, employee, neighbor or other third-party claims for property damage and personal injury, requirements to clean up property or to pay for the costs of cleanup or regulatory or judicial orders requiring corrective measures, including the installation of pollution control equipment or remedial actions. </w:t>
      </w:r>
    </w:p>
    <w:p w:rsidR="000121CD" w:rsidRDefault="00590862">
      <w:pPr>
        <w:pStyle w:val="NormalWeb"/>
        <w:spacing w:before="180" w:beforeAutospacing="0" w:after="0" w:afterAutospacing="0"/>
        <w:rPr>
          <w:sz w:val="20"/>
          <w:szCs w:val="20"/>
        </w:rPr>
      </w:pPr>
      <w:r>
        <w:rPr>
          <w:sz w:val="20"/>
          <w:szCs w:val="20"/>
        </w:rPr>
        <w:t xml:space="preserve">Certain environmental laws, such as the U.S. federal Superfund law or its state or foreign equivalents, may impose the obligation to investigate, remediate, monitor and clean up contamination at a facility on current and former owners, lessees or operators or on persons who may have sent waste to that facility for disposal. These environmental laws may impose liability without regard to fault or to the legality of the activities giving rise to the contamination. Although we are not aware of any active litigation against us under the U.S. federal Superfund law or its state or foreign equivalents, we have identified contamination at several of our current and former facilities, and we have incurred and will continue to incur costs to investigate, remediate, monitor and clean up these conditions. Moreover, we may incur liabilities in connection with environmental conditions currently unknown to us relating to our prior, existing or future owned or leased sites or operations or those of predecessor companies whose liabilities we may have assumed or acquired. We believe that indemnities contained in certain of our acquisition agreements may cover certain environmental conditions existing at the time of the acquisition subject to certain terms, limitations and conditions. However, if these indemnification provisions terminate or if the indemnifying parties do not fulfill their indemnification obligations, we may be subject to liability with respect to the environmental matters that those indemnification provisions address. </w:t>
      </w:r>
    </w:p>
    <w:p w:rsidR="000121CD" w:rsidRDefault="00590862">
      <w:pPr>
        <w:pStyle w:val="NormalWeb"/>
        <w:spacing w:before="180" w:beforeAutospacing="0" w:after="0" w:afterAutospacing="0"/>
        <w:rPr>
          <w:sz w:val="20"/>
          <w:szCs w:val="20"/>
        </w:rPr>
      </w:pPr>
      <w:r>
        <w:rPr>
          <w:sz w:val="20"/>
          <w:szCs w:val="20"/>
        </w:rPr>
        <w:lastRenderedPageBreak/>
        <w:t>Certain governments at the international, national, regional and state level are at various stages of considering or implementing treaties and environmental laws that could limit emissions of greenhouse gases, including carbon dioxide, associated with the burning of fossil fuels. For instance, in September 2016, 175 countries ratified the Paris Agreement, which requires member countries to review and determine their respective goals towards reducing greenhouse gas emissions. Certain states and regions have also adopted or are considering environmental laws that impose overall caps or taxes on greenhouse gas emissions from certain sectors or facility categories or mandate the increased use of electricity from renewable energy sources. It is not possible to predict how new environmental laws to address greenhouse gas emissions would impact our business or that of our customers, but these laws and regulations could impose costs on us or negatively impact the market for the products we distribute and, consequently, our business. The U.S. Energy Information Administration in its International Energy Outlook 201</w:t>
      </w:r>
      <w:r w:rsidR="000A09C2">
        <w:rPr>
          <w:sz w:val="20"/>
          <w:szCs w:val="20"/>
        </w:rPr>
        <w:t>9 report</w:t>
      </w:r>
      <w:r>
        <w:rPr>
          <w:sz w:val="20"/>
          <w:szCs w:val="20"/>
        </w:rPr>
        <w:t xml:space="preserve"> continues to project, in its reference case, increases in world energy consumption for oil and gas through 20</w:t>
      </w:r>
      <w:r w:rsidR="000A09C2">
        <w:rPr>
          <w:sz w:val="20"/>
          <w:szCs w:val="20"/>
        </w:rPr>
        <w:t>5</w:t>
      </w:r>
      <w:r>
        <w:rPr>
          <w:sz w:val="20"/>
          <w:szCs w:val="20"/>
        </w:rPr>
        <w:t>0, although this projection could change depending on regulatory developments, technological changes and changes in energy mix.</w:t>
      </w:r>
    </w:p>
    <w:p w:rsidR="000121CD" w:rsidRDefault="00590862">
      <w:pPr>
        <w:pStyle w:val="NormalWeb"/>
        <w:spacing w:before="180" w:beforeAutospacing="0" w:after="0" w:afterAutospacing="0"/>
        <w:rPr>
          <w:sz w:val="20"/>
          <w:szCs w:val="20"/>
        </w:rPr>
      </w:pPr>
      <w:r>
        <w:rPr>
          <w:sz w:val="20"/>
          <w:szCs w:val="20"/>
        </w:rPr>
        <w:t>In addition, the U.S. Environmental Protection Agency (“EPA”) has implemented regulations that require permits for and reductions in greenhouse gas emissions for certain categories of emission sources, including (among others) New Source Performance Standards for new power plants and emission guidelines for existing power plants (commonly known as the “Clean Power Plan”). In anticipation of and in response to these regulations, United States electric producers have been switching from coal to natural gas as a cleaner burning fuel source. This replacement of natural gas for coal has benefitted our business as our customers include natural gas producers. There have been various court challenges and regulatory changes to these EPA regulations</w:t>
      </w:r>
      <w:r w:rsidR="000A09C2">
        <w:rPr>
          <w:sz w:val="20"/>
          <w:szCs w:val="20"/>
        </w:rPr>
        <w:t xml:space="preserve">, such as the EPA’s June 2019 repeal of the Clean </w:t>
      </w:r>
      <w:r w:rsidR="008E37BA">
        <w:rPr>
          <w:sz w:val="20"/>
          <w:szCs w:val="20"/>
        </w:rPr>
        <w:t>Power</w:t>
      </w:r>
      <w:r w:rsidR="000A09C2">
        <w:rPr>
          <w:sz w:val="20"/>
          <w:szCs w:val="20"/>
        </w:rPr>
        <w:t xml:space="preserve"> Plan and finalization of a replacement rule (known as the Affordable Clean Energy Rule)</w:t>
      </w:r>
      <w:r>
        <w:rPr>
          <w:sz w:val="20"/>
          <w:szCs w:val="20"/>
        </w:rPr>
        <w:t>. Even so, switching from coal to natural gas has continued, in part, driven by low natural gas prices as well as continued regulatory uncertainty regarding coal emissions.</w:t>
      </w:r>
    </w:p>
    <w:p w:rsidR="000121CD" w:rsidRDefault="00590862">
      <w:pPr>
        <w:pStyle w:val="NormalWeb"/>
        <w:spacing w:before="180" w:beforeAutospacing="0" w:after="0" w:afterAutospacing="0"/>
        <w:rPr>
          <w:sz w:val="20"/>
          <w:szCs w:val="20"/>
        </w:rPr>
      </w:pPr>
      <w:r>
        <w:rPr>
          <w:sz w:val="20"/>
          <w:szCs w:val="20"/>
        </w:rPr>
        <w:t xml:space="preserve">Also, federal, state, local, foreign and provincial governments have adopted, or are considering the adoption of, environmental laws that could impose more stringent permitting; disclosure; wastewater and other waste disposal; greenhouse gas, ethane or volatile organic compound control, leak detection and repair requirements; and well construction and testing requirements on our customers’ hydraulic fracturing.  </w:t>
      </w:r>
    </w:p>
    <w:p w:rsidR="000121CD" w:rsidRDefault="00590862">
      <w:pPr>
        <w:pStyle w:val="NormalWeb"/>
        <w:spacing w:before="180" w:beforeAutospacing="0" w:after="0" w:afterAutospacing="0"/>
        <w:rPr>
          <w:sz w:val="20"/>
          <w:szCs w:val="20"/>
        </w:rPr>
      </w:pPr>
      <w:r>
        <w:rPr>
          <w:sz w:val="20"/>
          <w:szCs w:val="20"/>
        </w:rPr>
        <w:t xml:space="preserve">Environmental laws applicable to our business and the business of our customers, including environmental laws regulating the energy industry, and the interpretation or enforcement of these environmental laws, are constantly evolving; it is impossible to predict accurately the effect that changes in these environmental laws, or their interpretation or enforcement, may have upon our business, financial condition or results of operations. Should environmental laws, or their interpretation or enforcement, become more stringent, our costs, or the costs of our customers, could increase, which may have a material adverse effect on our business, financial position, results of operations or cash flows. </w:t>
      </w:r>
    </w:p>
    <w:p w:rsidR="000121CD" w:rsidRDefault="00590862">
      <w:pPr>
        <w:pStyle w:val="NormalWeb"/>
        <w:keepNext/>
        <w:spacing w:before="270" w:beforeAutospacing="0" w:after="0" w:afterAutospacing="0"/>
      </w:pPr>
      <w:r>
        <w:rPr>
          <w:b/>
          <w:bCs/>
          <w:sz w:val="20"/>
          <w:szCs w:val="20"/>
        </w:rPr>
        <w:t xml:space="preserve">Exchange Rate Information </w:t>
      </w:r>
    </w:p>
    <w:p w:rsidR="000121CD" w:rsidRDefault="00590862">
      <w:pPr>
        <w:pStyle w:val="NormalWeb"/>
        <w:spacing w:before="90" w:beforeAutospacing="0" w:after="0" w:afterAutospacing="0"/>
      </w:pPr>
      <w:r>
        <w:rPr>
          <w:sz w:val="20"/>
          <w:szCs w:val="20"/>
        </w:rPr>
        <w:t xml:space="preserve">In this report, unless otherwise indicated, foreign currency amounts are converted into U.S. dollar amounts at the exchange rates in effect on </w:t>
      </w:r>
      <w:r w:rsidR="003627E3">
        <w:rPr>
          <w:sz w:val="20"/>
          <w:szCs w:val="20"/>
        </w:rPr>
        <w:t>December 31, 2019 and 2018</w:t>
      </w:r>
      <w:r>
        <w:rPr>
          <w:sz w:val="20"/>
          <w:szCs w:val="20"/>
        </w:rPr>
        <w:t xml:space="preserve"> for balance sheet figures. Income statement figures are converted on a monthly basis, using each month’s average conversion rate. </w:t>
      </w:r>
    </w:p>
    <w:p w:rsidR="000121CD" w:rsidRDefault="00590862">
      <w:pPr>
        <w:pStyle w:val="NormalWeb"/>
        <w:keepNext/>
        <w:spacing w:before="270" w:beforeAutospacing="0" w:after="0" w:afterAutospacing="0"/>
      </w:pPr>
      <w:r>
        <w:rPr>
          <w:b/>
          <w:bCs/>
          <w:sz w:val="20"/>
          <w:szCs w:val="20"/>
        </w:rPr>
        <w:t xml:space="preserve">Available Information </w:t>
      </w:r>
    </w:p>
    <w:p w:rsidR="000121CD" w:rsidRDefault="00590862">
      <w:pPr>
        <w:pStyle w:val="NormalWeb"/>
        <w:spacing w:before="90" w:beforeAutospacing="0" w:after="0" w:afterAutospacing="0"/>
      </w:pPr>
      <w:r>
        <w:rPr>
          <w:sz w:val="20"/>
          <w:szCs w:val="20"/>
        </w:rPr>
        <w:t xml:space="preserve">Our website is located at </w:t>
      </w:r>
      <w:r>
        <w:rPr>
          <w:i/>
          <w:iCs/>
          <w:sz w:val="20"/>
          <w:szCs w:val="20"/>
          <w:u w:val="single"/>
        </w:rPr>
        <w:t>www.mrcglobal.com</w:t>
      </w:r>
      <w:r>
        <w:rPr>
          <w:sz w:val="20"/>
          <w:szCs w:val="20"/>
        </w:rPr>
        <w:t xml:space="preserve">. We make available free of charge on or through our internet website our annual report on Form 10-K, our quarterly reports on Form 10-Q, current reports on Form 8-K and amendments to those reports filed or furnished pursuant to Section 13(a) or 15(d) of the Securities Exchange Act of 1934, as amended, as soon as reasonably practicable after we electronically file this material with, or furnish it to, the SEC. </w:t>
      </w:r>
      <w:r w:rsidR="009E1DBE">
        <w:rPr>
          <w:sz w:val="20"/>
        </w:rPr>
        <w:t>The information contained on the websites referenced in this Form 10-K is not incorporated by reference into this filing. Further, the Company’s references to website URLs are intended to be inactive textual references only. The SEC maintains an Internet site that contains reports, proxy and information statements, and other information regarding issuers that file electronically with the SEC at www.sec.gov.</w:t>
      </w:r>
    </w:p>
    <w:p w:rsidR="000121CD" w:rsidRDefault="00590862">
      <w:pPr>
        <w:pStyle w:val="NormalWeb"/>
        <w:keepNext/>
        <w:pageBreakBefore/>
        <w:spacing w:before="0" w:beforeAutospacing="0" w:after="0" w:afterAutospacing="0"/>
      </w:pPr>
      <w:bookmarkStart w:id="3" w:name="RiskFactors"/>
      <w:r>
        <w:rPr>
          <w:b/>
          <w:bCs/>
          <w:sz w:val="20"/>
          <w:szCs w:val="20"/>
        </w:rPr>
        <w:lastRenderedPageBreak/>
        <w:t xml:space="preserve">ITEM 1A.    RISK FACTORS </w:t>
      </w:r>
      <w:bookmarkEnd w:id="3"/>
    </w:p>
    <w:p w:rsidR="000121CD" w:rsidRDefault="00590862">
      <w:pPr>
        <w:pStyle w:val="NormalWeb"/>
        <w:spacing w:before="90" w:beforeAutospacing="0" w:after="0" w:afterAutospacing="0"/>
      </w:pPr>
      <w:r>
        <w:rPr>
          <w:i/>
          <w:iCs/>
          <w:sz w:val="20"/>
          <w:szCs w:val="20"/>
        </w:rPr>
        <w:t xml:space="preserve">You should carefully consider the following risk factors as well as the other risks and uncertainties contained in this Annual Report on </w:t>
      </w:r>
      <w:r>
        <w:rPr>
          <w:i/>
          <w:iCs/>
          <w:sz w:val="20"/>
          <w:szCs w:val="20"/>
        </w:rPr>
        <w:br/>
        <w:t xml:space="preserve">Form 10-K or in our other SEC filings. The occurrence of one or more of these risks or uncertainties could materially and adversely affect our business, financial condition and operating results. In this Annual Report on Form 10-K, unless the context expressly requires a different reading, when we state that a factor could “adversely affect us,” have a “material adverse effect,” “adversely affect our business” and similar expressions, we mean that the factor could materially and adversely affect our business, financial condition, operating results and cash flows. Information contained in this section may be considered “forward-looking statements.” See “Item 7—Management’s Discussion and Analysis of Financial Condition and Results of Operations—Cautionary Note Regarding Forward-Looking Statements” for a discussion of certain qualifications regarding forward looking statements. </w:t>
      </w:r>
    </w:p>
    <w:p w:rsidR="000121CD" w:rsidRDefault="00590862">
      <w:pPr>
        <w:pStyle w:val="NormalWeb"/>
        <w:keepNext/>
        <w:spacing w:before="270" w:beforeAutospacing="0" w:after="0" w:afterAutospacing="0"/>
      </w:pPr>
      <w:r>
        <w:rPr>
          <w:b/>
          <w:bCs/>
          <w:sz w:val="20"/>
          <w:szCs w:val="20"/>
        </w:rPr>
        <w:t xml:space="preserve">Risks Related to Our Business </w:t>
      </w:r>
    </w:p>
    <w:p w:rsidR="000121CD" w:rsidRDefault="00590862">
      <w:pPr>
        <w:pStyle w:val="NormalWeb"/>
        <w:keepNext/>
        <w:spacing w:before="90" w:beforeAutospacing="0" w:after="0" w:afterAutospacing="0"/>
      </w:pPr>
      <w:r>
        <w:rPr>
          <w:b/>
          <w:bCs/>
          <w:i/>
          <w:iCs/>
          <w:sz w:val="20"/>
          <w:szCs w:val="20"/>
        </w:rPr>
        <w:t xml:space="preserve">Decreased capital and other expenditures in the energy industry, which can result from decreased oil and natural gas prices, among other things, can adversely impact our customers’ demand for our products and our revenue. </w:t>
      </w:r>
    </w:p>
    <w:p w:rsidR="000121CD" w:rsidRDefault="00590862">
      <w:pPr>
        <w:pStyle w:val="NormalWeb"/>
        <w:spacing w:before="90" w:beforeAutospacing="0" w:after="0" w:afterAutospacing="0"/>
      </w:pPr>
      <w:r>
        <w:rPr>
          <w:sz w:val="20"/>
          <w:szCs w:val="20"/>
        </w:rPr>
        <w:t xml:space="preserve">A large portion of our revenue depends upon the level of capital and operating expenditures in the oil and natural gas industry, including capital and other expenditures in connection with exploration, drilling, production, gathering, transportation, refining and processing operations. Demand for the products we distribute and services we provide is particularly sensitive to the level of exploration, development and production activity of, and the corresponding capital and other expenditures by, oil and natural gas companies. A material decline in oil or natural gas prices, inability to access capital, and consolidation within the industry could all depress levels of exploration, development and production activity and, therefore, could lead to a decrease in our customers’ capital and other expenditures. This is especially the case in the upstream sector and, to some extent, in the midstream sector. If our customers’ expenditures decline, our business will suffer. </w:t>
      </w:r>
    </w:p>
    <w:p w:rsidR="000121CD" w:rsidRDefault="00590862">
      <w:pPr>
        <w:pStyle w:val="NormalWeb"/>
        <w:keepNext/>
        <w:spacing w:before="270" w:beforeAutospacing="0" w:after="0" w:afterAutospacing="0"/>
      </w:pPr>
      <w:r>
        <w:rPr>
          <w:b/>
          <w:bCs/>
          <w:i/>
          <w:iCs/>
          <w:sz w:val="20"/>
          <w:szCs w:val="20"/>
        </w:rPr>
        <w:t xml:space="preserve">Volatile oil and gas prices affect demand for our products. </w:t>
      </w:r>
    </w:p>
    <w:p w:rsidR="000121CD" w:rsidRDefault="00590862">
      <w:pPr>
        <w:pStyle w:val="NormalWeb"/>
        <w:spacing w:before="90" w:beforeAutospacing="0" w:after="0" w:afterAutospacing="0"/>
        <w:rPr>
          <w:sz w:val="20"/>
          <w:szCs w:val="20"/>
        </w:rPr>
      </w:pPr>
      <w:r>
        <w:rPr>
          <w:sz w:val="20"/>
          <w:szCs w:val="20"/>
        </w:rPr>
        <w:t xml:space="preserve">As evidenced by the decline of oil prices from late 2014 through 2016, prices for oil and natural gas are cyclical and subject to large fluctuations in response to relatively minor changes in the supply of and demand for oil and natural gas, market uncertainty and a variety of other factors that are beyond our control. Any sustained decrease in capital expenditures in the oil and natural gas industry could have a material adverse effect on us. </w:t>
      </w:r>
    </w:p>
    <w:p w:rsidR="000121CD" w:rsidRDefault="00590862">
      <w:pPr>
        <w:pStyle w:val="NormalWeb"/>
        <w:spacing w:before="90" w:beforeAutospacing="0" w:after="0" w:afterAutospacing="0"/>
        <w:rPr>
          <w:sz w:val="20"/>
          <w:szCs w:val="20"/>
        </w:rPr>
      </w:pPr>
      <w:r>
        <w:rPr>
          <w:sz w:val="20"/>
          <w:szCs w:val="20"/>
        </w:rPr>
        <w:t xml:space="preserve">Many factors affect the supply of and demand for energy and, therefore, influence oil and natural gas prices, including: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level of domestic and worldwide oil and natural gas production and inventories;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level of drilling activity and the availability of attractive oil and natural gas field prospects, which governmental actions may affect, such as regulatory actions or legislation, or other restrictions on drilling, including those related to environmental concerns;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discovery rate of new oil and natural gas reserves and the expected cost of developing new reserves;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actual cost of finding and producing oil and natural gas; </w:t>
      </w:r>
    </w:p>
    <w:p w:rsidR="000121CD" w:rsidRDefault="00590862">
      <w:pPr>
        <w:pStyle w:val="NormalWeb"/>
        <w:numPr>
          <w:ilvl w:val="0"/>
          <w:numId w:val="27"/>
        </w:numPr>
        <w:spacing w:before="90" w:beforeAutospacing="0" w:after="0" w:afterAutospacing="0"/>
        <w:rPr>
          <w:sz w:val="20"/>
          <w:szCs w:val="20"/>
        </w:rPr>
      </w:pPr>
      <w:r>
        <w:rPr>
          <w:sz w:val="20"/>
          <w:szCs w:val="20"/>
        </w:rPr>
        <w:t xml:space="preserve">depletion rates;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domestic and worldwide refinery overcapacity or undercapacity and utilization rates;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availability of transportation infrastructure and refining capacity; </w:t>
      </w:r>
    </w:p>
    <w:p w:rsidR="00582995" w:rsidRDefault="00590862">
      <w:pPr>
        <w:pStyle w:val="NormalWeb"/>
        <w:numPr>
          <w:ilvl w:val="0"/>
          <w:numId w:val="27"/>
        </w:numPr>
        <w:spacing w:before="90" w:beforeAutospacing="0" w:after="0" w:afterAutospacing="0"/>
        <w:rPr>
          <w:sz w:val="20"/>
          <w:szCs w:val="20"/>
        </w:rPr>
      </w:pPr>
      <w:r>
        <w:rPr>
          <w:sz w:val="20"/>
          <w:szCs w:val="20"/>
        </w:rPr>
        <w:t>increases in the cost of products and services that the oil and gas industry uses, such as those that we provide, which may result from increases in the cost of raw materials such as steel;</w:t>
      </w:r>
    </w:p>
    <w:p w:rsidR="000121CD" w:rsidRDefault="00582995">
      <w:pPr>
        <w:pStyle w:val="NormalWeb"/>
        <w:numPr>
          <w:ilvl w:val="0"/>
          <w:numId w:val="27"/>
        </w:numPr>
        <w:spacing w:before="90" w:beforeAutospacing="0" w:after="0" w:afterAutospacing="0"/>
        <w:rPr>
          <w:sz w:val="20"/>
          <w:szCs w:val="20"/>
        </w:rPr>
      </w:pPr>
      <w:r>
        <w:rPr>
          <w:sz w:val="20"/>
          <w:szCs w:val="20"/>
        </w:rPr>
        <w:t>any impacts of climate change</w:t>
      </w:r>
      <w:r w:rsidR="00B541F7">
        <w:rPr>
          <w:sz w:val="20"/>
          <w:szCs w:val="20"/>
        </w:rPr>
        <w:t>;</w:t>
      </w:r>
      <w:r w:rsidR="00590862">
        <w:rPr>
          <w:sz w:val="20"/>
          <w:szCs w:val="20"/>
        </w:rPr>
        <w:t xml:space="preserve"> </w:t>
      </w:r>
    </w:p>
    <w:p w:rsidR="000121CD" w:rsidRDefault="00590862">
      <w:pPr>
        <w:pStyle w:val="NormalWeb"/>
        <w:numPr>
          <w:ilvl w:val="0"/>
          <w:numId w:val="27"/>
        </w:numPr>
        <w:spacing w:before="90" w:beforeAutospacing="0" w:after="0" w:afterAutospacing="0"/>
        <w:rPr>
          <w:sz w:val="20"/>
          <w:szCs w:val="20"/>
        </w:rPr>
      </w:pPr>
      <w:r>
        <w:rPr>
          <w:sz w:val="20"/>
          <w:szCs w:val="20"/>
        </w:rPr>
        <w:t xml:space="preserve">increases in usage of alternative fuels and fuel technology to increase energy efficiency; </w:t>
      </w:r>
    </w:p>
    <w:p w:rsidR="000121CD" w:rsidRDefault="00590862">
      <w:pPr>
        <w:pStyle w:val="NormalWeb"/>
        <w:numPr>
          <w:ilvl w:val="0"/>
          <w:numId w:val="27"/>
        </w:numPr>
        <w:spacing w:before="90" w:beforeAutospacing="0" w:after="0" w:afterAutospacing="0"/>
        <w:rPr>
          <w:sz w:val="20"/>
          <w:szCs w:val="20"/>
        </w:rPr>
      </w:pPr>
      <w:r>
        <w:rPr>
          <w:sz w:val="20"/>
          <w:szCs w:val="20"/>
        </w:rPr>
        <w:t>the economic or political attractiveness of alternative fuels, such as wind, solar energy</w:t>
      </w:r>
      <w:r w:rsidR="00582995">
        <w:rPr>
          <w:sz w:val="20"/>
          <w:szCs w:val="20"/>
        </w:rPr>
        <w:t>, hydrogen</w:t>
      </w:r>
      <w:r>
        <w:rPr>
          <w:sz w:val="20"/>
          <w:szCs w:val="20"/>
        </w:rPr>
        <w:t xml:space="preserve"> and biomass-based fuels; </w:t>
      </w:r>
    </w:p>
    <w:p w:rsidR="000121CD" w:rsidRDefault="00590862">
      <w:pPr>
        <w:pStyle w:val="NormalWeb"/>
        <w:numPr>
          <w:ilvl w:val="0"/>
          <w:numId w:val="27"/>
        </w:numPr>
        <w:spacing w:before="90" w:beforeAutospacing="0" w:after="0" w:afterAutospacing="0"/>
        <w:rPr>
          <w:sz w:val="20"/>
          <w:szCs w:val="20"/>
        </w:rPr>
      </w:pPr>
      <w:r>
        <w:rPr>
          <w:sz w:val="20"/>
          <w:szCs w:val="20"/>
        </w:rPr>
        <w:t xml:space="preserve">increases in oil and natural gas prices or historically high oil and natural gas prices, which could lower demand for oil and natural gas products; </w:t>
      </w:r>
    </w:p>
    <w:p w:rsidR="000121CD" w:rsidRDefault="00590862">
      <w:pPr>
        <w:pStyle w:val="NormalWeb"/>
        <w:numPr>
          <w:ilvl w:val="0"/>
          <w:numId w:val="27"/>
        </w:numPr>
        <w:spacing w:before="90" w:beforeAutospacing="0" w:after="0" w:afterAutospacing="0"/>
        <w:rPr>
          <w:sz w:val="20"/>
          <w:szCs w:val="20"/>
        </w:rPr>
      </w:pPr>
      <w:r>
        <w:rPr>
          <w:sz w:val="20"/>
          <w:szCs w:val="20"/>
        </w:rPr>
        <w:t xml:space="preserve">worldwide economic activity including </w:t>
      </w:r>
      <w:r w:rsidR="000A521D">
        <w:rPr>
          <w:sz w:val="20"/>
        </w:rPr>
        <w:t xml:space="preserve">growth or decline in non-Organization for Economic Cooperation and Development (“OECD”) member countries, including (among others) China </w:t>
      </w:r>
      <w:r>
        <w:rPr>
          <w:sz w:val="20"/>
          <w:szCs w:val="20"/>
        </w:rPr>
        <w:t xml:space="preserve">and India; </w:t>
      </w:r>
    </w:p>
    <w:p w:rsidR="000121CD" w:rsidRDefault="00590862">
      <w:pPr>
        <w:pStyle w:val="NormalWeb"/>
        <w:numPr>
          <w:ilvl w:val="0"/>
          <w:numId w:val="27"/>
        </w:numPr>
        <w:spacing w:before="90" w:beforeAutospacing="0" w:after="0" w:afterAutospacing="0"/>
        <w:rPr>
          <w:sz w:val="20"/>
          <w:szCs w:val="20"/>
        </w:rPr>
      </w:pPr>
      <w:r>
        <w:rPr>
          <w:sz w:val="20"/>
          <w:szCs w:val="20"/>
        </w:rPr>
        <w:t xml:space="preserve">interest rates and the cost of capital; </w:t>
      </w:r>
    </w:p>
    <w:p w:rsidR="000121CD" w:rsidRDefault="00590862">
      <w:pPr>
        <w:pStyle w:val="NormalWeb"/>
        <w:numPr>
          <w:ilvl w:val="0"/>
          <w:numId w:val="27"/>
        </w:numPr>
        <w:spacing w:before="90" w:beforeAutospacing="0" w:after="0" w:afterAutospacing="0"/>
        <w:rPr>
          <w:sz w:val="20"/>
          <w:szCs w:val="20"/>
        </w:rPr>
      </w:pPr>
      <w:r>
        <w:rPr>
          <w:sz w:val="20"/>
          <w:szCs w:val="20"/>
        </w:rPr>
        <w:t xml:space="preserve">national government policies, including government policies that could nationalize or expropriate oil and natural gas exploration, production, refining or transportation assets; </w:t>
      </w:r>
    </w:p>
    <w:p w:rsidR="000121CD" w:rsidRDefault="00590862">
      <w:pPr>
        <w:pStyle w:val="NormalWeb"/>
        <w:numPr>
          <w:ilvl w:val="0"/>
          <w:numId w:val="27"/>
        </w:numPr>
        <w:spacing w:before="90" w:beforeAutospacing="0" w:after="0" w:afterAutospacing="0"/>
        <w:rPr>
          <w:sz w:val="20"/>
          <w:szCs w:val="20"/>
        </w:rPr>
      </w:pPr>
      <w:r>
        <w:rPr>
          <w:sz w:val="20"/>
          <w:szCs w:val="20"/>
        </w:rPr>
        <w:lastRenderedPageBreak/>
        <w:t xml:space="preserve">the ability of the Organization of Petroleum Exporting Countries (“OPEC”) along with other countries, such as Russia, to set and maintain production levels and prices for oil;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impact of armed hostilities, or the threat or perception of armed hostilities;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environmental regulation and policies;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technological advances;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global weather conditions and natural disasters; </w:t>
      </w:r>
    </w:p>
    <w:p w:rsidR="002F3F96" w:rsidRDefault="002F3F96">
      <w:pPr>
        <w:pStyle w:val="NormalWeb"/>
        <w:numPr>
          <w:ilvl w:val="0"/>
          <w:numId w:val="27"/>
        </w:numPr>
        <w:spacing w:before="90" w:beforeAutospacing="0" w:after="0" w:afterAutospacing="0"/>
        <w:rPr>
          <w:sz w:val="20"/>
          <w:szCs w:val="20"/>
        </w:rPr>
      </w:pPr>
      <w:r>
        <w:rPr>
          <w:sz w:val="20"/>
          <w:szCs w:val="20"/>
        </w:rPr>
        <w:t>adverse health events, such as a pandemic;</w:t>
      </w:r>
    </w:p>
    <w:p w:rsidR="000121CD" w:rsidRDefault="00590862">
      <w:pPr>
        <w:pStyle w:val="NormalWeb"/>
        <w:numPr>
          <w:ilvl w:val="0"/>
          <w:numId w:val="27"/>
        </w:numPr>
        <w:spacing w:before="90" w:beforeAutospacing="0" w:after="0" w:afterAutospacing="0"/>
        <w:rPr>
          <w:sz w:val="20"/>
          <w:szCs w:val="20"/>
        </w:rPr>
      </w:pPr>
      <w:r>
        <w:rPr>
          <w:sz w:val="20"/>
          <w:szCs w:val="20"/>
        </w:rPr>
        <w:t xml:space="preserve">currency fluctuations; and </w:t>
      </w:r>
    </w:p>
    <w:p w:rsidR="000121CD" w:rsidRDefault="00590862">
      <w:pPr>
        <w:pStyle w:val="NormalWeb"/>
        <w:numPr>
          <w:ilvl w:val="0"/>
          <w:numId w:val="27"/>
        </w:numPr>
        <w:spacing w:before="90" w:beforeAutospacing="0" w:after="0" w:afterAutospacing="0"/>
        <w:rPr>
          <w:sz w:val="20"/>
          <w:szCs w:val="20"/>
        </w:rPr>
      </w:pPr>
      <w:r>
        <w:rPr>
          <w:sz w:val="20"/>
          <w:szCs w:val="20"/>
        </w:rPr>
        <w:t xml:space="preserve">tax policies. </w:t>
      </w:r>
    </w:p>
    <w:p w:rsidR="000121CD" w:rsidRDefault="00590862">
      <w:pPr>
        <w:pStyle w:val="NormalWeb"/>
        <w:spacing w:before="180" w:beforeAutospacing="0" w:after="0" w:afterAutospacing="0"/>
        <w:rPr>
          <w:sz w:val="20"/>
          <w:szCs w:val="20"/>
        </w:rPr>
      </w:pPr>
      <w:r>
        <w:rPr>
          <w:sz w:val="20"/>
          <w:szCs w:val="20"/>
        </w:rPr>
        <w:t xml:space="preserve">Oil and natural gas prices have been and are expected to remain volatile. This volatility has historically caused oil and natural gas companies to change their strategies and expenditure levels from year to year. We have experienced in the past, and we will likely experience in the future, significant fluctuations in operating results based on these changes. In particular, volatility in the oil and natural gas sectors could adversely affect our business. </w:t>
      </w:r>
    </w:p>
    <w:p w:rsidR="000121CD" w:rsidRDefault="00590862">
      <w:pPr>
        <w:pStyle w:val="NormalWeb"/>
        <w:keepNext/>
        <w:spacing w:before="270" w:beforeAutospacing="0" w:after="0" w:afterAutospacing="0"/>
      </w:pPr>
      <w:r>
        <w:rPr>
          <w:b/>
          <w:bCs/>
          <w:i/>
          <w:iCs/>
          <w:sz w:val="20"/>
          <w:szCs w:val="20"/>
        </w:rPr>
        <w:t xml:space="preserve">General economic conditions may adversely affect our business. </w:t>
      </w:r>
    </w:p>
    <w:p w:rsidR="000121CD" w:rsidRDefault="00590862">
      <w:pPr>
        <w:pStyle w:val="NormalWeb"/>
        <w:spacing w:before="90" w:beforeAutospacing="0" w:after="0" w:afterAutospacing="0"/>
      </w:pPr>
      <w:r>
        <w:rPr>
          <w:sz w:val="20"/>
          <w:szCs w:val="20"/>
        </w:rPr>
        <w:t xml:space="preserve">U.S. and global general economic conditions affect many aspects of our business, including demand for the products we distribute and the pricing and availability of supplies. General economic conditions and predictions regarding future economic conditions also affect our forecasts. A decrease in demand for the products we distribute or other adverse effects resulting from an economic downturn may cause us to fail to achieve our anticipated financial results. General economic factors beyond our control that affect our business and customers include interest rates, recession, inflation, deflation, customer credit availability, consumer credit availability, consumer debt levels, performance of housing markets, energy costs, tax rates and policy, unemployment rates, commencement or escalation of war or hostilities, the threat or possibility of war, terrorism or other global or national unrest, political or financial instability and other matters that influence our customers’ spending. Increasing volatility in financial markets may cause these factors to change with a greater degree of frequency or increase in magnitude. In addition, worldwide economic conditions could have an adverse effect on our business, prospects, operating results, financial condition, and cash flows going forward. Continued adverse economic conditions would have an adverse effect on us. </w:t>
      </w:r>
    </w:p>
    <w:p w:rsidR="000121CD" w:rsidRDefault="00590862">
      <w:pPr>
        <w:pStyle w:val="NormalWeb"/>
        <w:keepNext/>
        <w:spacing w:before="270" w:beforeAutospacing="0" w:after="0" w:afterAutospacing="0"/>
      </w:pPr>
      <w:r>
        <w:rPr>
          <w:b/>
          <w:bCs/>
          <w:i/>
          <w:iCs/>
          <w:sz w:val="20"/>
          <w:szCs w:val="20"/>
        </w:rPr>
        <w:t xml:space="preserve">We may be unable to compete successfully with other companies in our industry. </w:t>
      </w:r>
    </w:p>
    <w:p w:rsidR="000121CD" w:rsidRDefault="00590862">
      <w:pPr>
        <w:pStyle w:val="NormalWeb"/>
        <w:spacing w:before="90" w:beforeAutospacing="0" w:after="0" w:afterAutospacing="0"/>
      </w:pPr>
      <w:r>
        <w:rPr>
          <w:sz w:val="20"/>
          <w:szCs w:val="20"/>
        </w:rPr>
        <w:t>We sell products and services in very competitive markets. In some cases, we compete with large companies with substantial resources. In other cases, we compete with smaller regional players that may increasingly be willing to provide similar products and services at lower prices. Competitive actions, such as price reductions, consolidation in the industry, improved delivery and other actions, could adversely affect our revenue and earnings. We could experience a material adverse effect to the extent that our competitors are successful in reducing our customers’ purchases of products and services from us. Competition could also cause us to lower our prices, which could reduce our margins and profitability. Furthermore, consolidation in our industry could heighten the impacts of the competition on our business</w:t>
      </w:r>
      <w:r w:rsidR="00D867DA">
        <w:rPr>
          <w:sz w:val="20"/>
          <w:szCs w:val="20"/>
        </w:rPr>
        <w:t>.</w:t>
      </w:r>
      <w:r>
        <w:rPr>
          <w:sz w:val="20"/>
          <w:szCs w:val="20"/>
        </w:rPr>
        <w:t xml:space="preserve"> </w:t>
      </w:r>
      <w:r w:rsidR="00D867DA">
        <w:rPr>
          <w:sz w:val="20"/>
          <w:szCs w:val="20"/>
        </w:rPr>
        <w:t xml:space="preserve">Our </w:t>
      </w:r>
      <w:r>
        <w:rPr>
          <w:sz w:val="20"/>
          <w:szCs w:val="20"/>
        </w:rPr>
        <w:t>results of operations</w:t>
      </w:r>
      <w:r w:rsidR="00D867DA">
        <w:rPr>
          <w:sz w:val="20"/>
          <w:szCs w:val="20"/>
        </w:rPr>
        <w:t>,</w:t>
      </w:r>
      <w:r>
        <w:rPr>
          <w:sz w:val="20"/>
          <w:szCs w:val="20"/>
        </w:rPr>
        <w:t xml:space="preserve"> discussed above, </w:t>
      </w:r>
      <w:r w:rsidR="00D867DA">
        <w:rPr>
          <w:sz w:val="20"/>
          <w:szCs w:val="20"/>
        </w:rPr>
        <w:t xml:space="preserve">could be impacted, </w:t>
      </w:r>
      <w:r>
        <w:rPr>
          <w:sz w:val="20"/>
          <w:szCs w:val="20"/>
        </w:rPr>
        <w:t>particularly if consolidation results in competitors with stronger financial and strategic resources</w:t>
      </w:r>
      <w:r w:rsidR="00D867DA">
        <w:rPr>
          <w:sz w:val="20"/>
          <w:szCs w:val="20"/>
        </w:rPr>
        <w:t>,</w:t>
      </w:r>
      <w:r w:rsidR="003477C3">
        <w:rPr>
          <w:sz w:val="20"/>
          <w:szCs w:val="20"/>
        </w:rPr>
        <w:t xml:space="preserve"> </w:t>
      </w:r>
      <w:r w:rsidR="00D867DA">
        <w:rPr>
          <w:sz w:val="20"/>
          <w:szCs w:val="20"/>
        </w:rPr>
        <w:t>which</w:t>
      </w:r>
      <w:r>
        <w:rPr>
          <w:sz w:val="20"/>
          <w:szCs w:val="20"/>
        </w:rPr>
        <w:t xml:space="preserve"> could also result in increases to the prices we are required to pay for acquisitions we may make in the future. </w:t>
      </w:r>
    </w:p>
    <w:p w:rsidR="000121CD" w:rsidRDefault="00590862">
      <w:pPr>
        <w:pStyle w:val="NormalWeb"/>
        <w:keepNext/>
        <w:spacing w:before="270" w:beforeAutospacing="0" w:after="0" w:afterAutospacing="0"/>
      </w:pPr>
      <w:r>
        <w:rPr>
          <w:b/>
          <w:bCs/>
          <w:i/>
          <w:iCs/>
          <w:sz w:val="20"/>
          <w:szCs w:val="20"/>
        </w:rPr>
        <w:t xml:space="preserve">Demand for the products we distribute could decrease if the manufacturers of those products were to sell a substantial amount of goods directly to end users in the sectors we serve. </w:t>
      </w:r>
    </w:p>
    <w:p w:rsidR="000121CD" w:rsidRDefault="00590862">
      <w:pPr>
        <w:pStyle w:val="NormalWeb"/>
        <w:spacing w:before="90" w:beforeAutospacing="0" w:after="0" w:afterAutospacing="0"/>
      </w:pPr>
      <w:r>
        <w:rPr>
          <w:sz w:val="20"/>
          <w:szCs w:val="20"/>
        </w:rPr>
        <w:t xml:space="preserve">Historically, users of PVF and related products have purchased certain amounts of these products through distributors and not directly from manufacturers. If customers were to purchase the products that we sell directly from manufacturers, or if manufacturers sought to increase their efforts to sell directly to end users, we could experience a significant decrease in profitability. These or other developments that remove us from, or limit our role in, the distribution chain, may harm our competitive position in the marketplace, reduce our sales and earnings and adversely affect our business. </w:t>
      </w:r>
    </w:p>
    <w:p w:rsidR="000121CD" w:rsidRDefault="00590862">
      <w:pPr>
        <w:pStyle w:val="NormalWeb"/>
        <w:keepNext/>
        <w:spacing w:before="270" w:beforeAutospacing="0" w:after="0" w:afterAutospacing="0"/>
      </w:pPr>
      <w:r>
        <w:rPr>
          <w:b/>
          <w:bCs/>
          <w:i/>
          <w:iCs/>
          <w:sz w:val="20"/>
          <w:szCs w:val="20"/>
        </w:rPr>
        <w:t xml:space="preserve">We may experience unexpected supply shortages. </w:t>
      </w:r>
    </w:p>
    <w:p w:rsidR="000121CD" w:rsidRDefault="00590862">
      <w:pPr>
        <w:pStyle w:val="NormalWeb"/>
        <w:spacing w:before="90" w:beforeAutospacing="0" w:after="0" w:afterAutospacing="0"/>
      </w:pPr>
      <w:r>
        <w:rPr>
          <w:sz w:val="20"/>
          <w:szCs w:val="20"/>
        </w:rPr>
        <w:t xml:space="preserve">We distribute products from a wide variety of manufacturers and suppliers. Nevertheless, in the future we may have difficulty obtaining the products we need from suppliers and manufacturers as a result of unexpected demand or production difficulties that might extend lead times. Also, products may not be available to us in quantities sufficient to meet our customer demand. Our inability to obtain products from suppliers and manufacturers in sufficient quantities, or at all, could adversely affect our product and service offerings and our business. </w:t>
      </w:r>
    </w:p>
    <w:p w:rsidR="000121CD" w:rsidRDefault="00590862">
      <w:pPr>
        <w:pStyle w:val="NormalWeb"/>
        <w:keepNext/>
        <w:spacing w:before="270" w:beforeAutospacing="0" w:after="0" w:afterAutospacing="0"/>
      </w:pPr>
      <w:r>
        <w:rPr>
          <w:b/>
          <w:bCs/>
          <w:i/>
          <w:iCs/>
          <w:sz w:val="20"/>
          <w:szCs w:val="20"/>
        </w:rPr>
        <w:lastRenderedPageBreak/>
        <w:t xml:space="preserve">We may experience cost increases from suppliers, which we may be unable to pass on to our customers. </w:t>
      </w:r>
    </w:p>
    <w:p w:rsidR="000121CD" w:rsidRDefault="00590862">
      <w:pPr>
        <w:pStyle w:val="NormalWeb"/>
        <w:spacing w:before="90" w:beforeAutospacing="0" w:after="0" w:afterAutospacing="0"/>
      </w:pPr>
      <w:r>
        <w:rPr>
          <w:sz w:val="20"/>
          <w:szCs w:val="20"/>
        </w:rPr>
        <w:t xml:space="preserve">In the future, we may face supply cost increases due to, among other things, unexpected increases in demand for supplies, decreases in production of supplies, increases in the cost of raw materials, transportation, changes in exchange rates or the imposition of import taxes or tariff on imported products. Any inability to pass supply price increases on to our customers could have a material adverse effect on us. For example, we may be unable to pass increased supply costs on to our customers because significant amounts of our sales are derived from stocking program arrangements, contracts and maintenance and repair arrangements, which provide our customers time limited price protection, which may obligate us to sell products at a set price for a specific period. In addition, if supply costs increase, our customers may elect to purchase smaller amounts of products or may purchase products from other distributors. While we may be able to work with our customers to reduce the effects of unforeseen price increases because of our relationships with them, we may not be able to reduce the effects of the cost increases. In addition, to the extent that competition leads to reduced purchases of products or services from us or a reduction of our prices, and these reductions occur concurrently with increases in the prices for selected commodities which we use in our operations, including steel, nickel and molybdenum, the adverse effects described above would likely be exacerbated and could result in a prolonged downturn in profitability. </w:t>
      </w:r>
    </w:p>
    <w:p w:rsidR="000121CD" w:rsidRDefault="00590862">
      <w:pPr>
        <w:pStyle w:val="NormalWeb"/>
        <w:keepNext/>
        <w:spacing w:before="270" w:beforeAutospacing="0" w:after="0" w:afterAutospacing="0"/>
      </w:pPr>
      <w:r>
        <w:rPr>
          <w:b/>
          <w:bCs/>
          <w:i/>
          <w:iCs/>
          <w:sz w:val="20"/>
          <w:szCs w:val="20"/>
        </w:rPr>
        <w:t xml:space="preserve">We do not have contracts with most of our suppliers. The loss of a significant supplier would require us to rely more heavily on our other existing suppliers or to develop relationships with new suppliers. Such a loss may have an adverse effect on our product and service offerings and our business. </w:t>
      </w:r>
    </w:p>
    <w:p w:rsidR="000121CD" w:rsidRDefault="00590862">
      <w:pPr>
        <w:pStyle w:val="NormalWeb"/>
        <w:spacing w:before="90" w:beforeAutospacing="0" w:after="0" w:afterAutospacing="0"/>
      </w:pPr>
      <w:r>
        <w:rPr>
          <w:sz w:val="20"/>
          <w:szCs w:val="20"/>
        </w:rPr>
        <w:t>Given the nature of our business, and consistent with industry practice, we do not have contracts with most of our suppliers. We generally make our purchases through purchase orders. Therefore, most of our suppliers have the ability to terminate their relationships with us at any time. Approximately 4</w:t>
      </w:r>
      <w:r w:rsidR="00B127E0">
        <w:rPr>
          <w:sz w:val="20"/>
          <w:szCs w:val="20"/>
        </w:rPr>
        <w:t>1</w:t>
      </w:r>
      <w:r>
        <w:rPr>
          <w:sz w:val="20"/>
          <w:szCs w:val="20"/>
        </w:rPr>
        <w:t xml:space="preserve">% of our total purchases during the year ended </w:t>
      </w:r>
      <w:r w:rsidR="003627E3" w:rsidRPr="003A4344">
        <w:rPr>
          <w:sz w:val="20"/>
          <w:szCs w:val="20"/>
        </w:rPr>
        <w:t>December 31, 2019</w:t>
      </w:r>
      <w:r>
        <w:rPr>
          <w:sz w:val="20"/>
          <w:szCs w:val="20"/>
        </w:rPr>
        <w:t xml:space="preserve"> were from our 25 largest suppliers. Although we believe there are numerous manufacturers with the capacity to supply the products we distribute, the loss of one or more of our major suppliers could have an adverse effect on our product and service offerings and our business. Such a loss would require us to rely more heavily on our other existing suppliers or develop relationships with new suppliers, which may cause us to pay higher prices for products due to, among other things, a loss of volume discount benefits currently obtained from our major suppliers. </w:t>
      </w:r>
    </w:p>
    <w:p w:rsidR="000121CD" w:rsidRDefault="00590862">
      <w:pPr>
        <w:pStyle w:val="NormalWeb"/>
        <w:keepNext/>
        <w:spacing w:before="270" w:beforeAutospacing="0" w:after="0" w:afterAutospacing="0"/>
      </w:pPr>
      <w:r>
        <w:rPr>
          <w:b/>
          <w:bCs/>
          <w:i/>
          <w:iCs/>
          <w:sz w:val="20"/>
          <w:szCs w:val="20"/>
        </w:rPr>
        <w:t xml:space="preserve">Price reductions by suppliers of products that we sell could cause the value of our inventory to decline. Also, these price reductions could cause our customers to demand lower sales prices for these products, possibly decreasing our margins and profitability on sales to the extent that we purchased our inventory of these products at the higher prices prior to supplier price reductions. </w:t>
      </w:r>
    </w:p>
    <w:p w:rsidR="000121CD" w:rsidRDefault="00590862">
      <w:pPr>
        <w:pStyle w:val="NormalWeb"/>
        <w:spacing w:before="90" w:beforeAutospacing="0" w:after="0" w:afterAutospacing="0"/>
      </w:pPr>
      <w:r>
        <w:rPr>
          <w:sz w:val="20"/>
          <w:szCs w:val="20"/>
        </w:rPr>
        <w:t xml:space="preserve">The value of our inventory could decline as a result of manufacturer price reductions with respect to products that we sell. </w:t>
      </w:r>
      <w:r w:rsidR="000A521D">
        <w:rPr>
          <w:sz w:val="20"/>
          <w:szCs w:val="20"/>
        </w:rPr>
        <w:t xml:space="preserve">A </w:t>
      </w:r>
      <w:r>
        <w:rPr>
          <w:sz w:val="20"/>
          <w:szCs w:val="20"/>
        </w:rPr>
        <w:t xml:space="preserve">substantial decline in product prices </w:t>
      </w:r>
      <w:r w:rsidR="000A521D">
        <w:rPr>
          <w:sz w:val="20"/>
          <w:szCs w:val="20"/>
        </w:rPr>
        <w:t>may</w:t>
      </w:r>
      <w:r>
        <w:rPr>
          <w:sz w:val="20"/>
          <w:szCs w:val="20"/>
        </w:rPr>
        <w:t xml:space="preserve"> result in a write-down of our inventory value. Such a write-down could have an adverse effect on our financial condition. </w:t>
      </w:r>
    </w:p>
    <w:p w:rsidR="000121CD" w:rsidRDefault="00590862">
      <w:pPr>
        <w:pStyle w:val="NormalWeb"/>
        <w:spacing w:before="180" w:beforeAutospacing="0" w:after="0" w:afterAutospacing="0"/>
      </w:pPr>
      <w:r>
        <w:rPr>
          <w:sz w:val="20"/>
          <w:szCs w:val="20"/>
        </w:rPr>
        <w:t xml:space="preserve">Also, decreases in the market prices of products that we sell could cause customers to demand lower sales prices from us. These price reductions could reduce our margins and profitability on sales with respect to the lower-priced products. Reductions in our margins and profitability on sales could have a material adverse effect on us. </w:t>
      </w:r>
    </w:p>
    <w:p w:rsidR="000121CD" w:rsidRDefault="00590862">
      <w:pPr>
        <w:pStyle w:val="NormalWeb"/>
        <w:keepNext/>
        <w:spacing w:before="270" w:beforeAutospacing="0" w:after="0" w:afterAutospacing="0"/>
      </w:pPr>
      <w:r>
        <w:rPr>
          <w:b/>
          <w:bCs/>
          <w:i/>
          <w:iCs/>
          <w:sz w:val="20"/>
          <w:szCs w:val="20"/>
        </w:rPr>
        <w:t xml:space="preserve">A substantial decrease in the price of steel could significantly lower our gross profit or cash flow. </w:t>
      </w:r>
    </w:p>
    <w:p w:rsidR="000121CD" w:rsidRDefault="00590862">
      <w:pPr>
        <w:pStyle w:val="NormalWeb"/>
        <w:spacing w:before="90" w:beforeAutospacing="0" w:after="0" w:afterAutospacing="0"/>
        <w:rPr>
          <w:sz w:val="20"/>
          <w:szCs w:val="20"/>
        </w:rPr>
      </w:pPr>
      <w:r>
        <w:rPr>
          <w:sz w:val="20"/>
          <w:szCs w:val="20"/>
        </w:rPr>
        <w:t xml:space="preserve">We distribute many products manufactured from steel. As a result, the price and supply of steel can affect our business and, in particular, our carbon steel line pipe product category. When steel prices are lower, the prices that we charge customers for products may decline, which affects our gross profit and cash flow. At times pricing and availability of steel can be volatile due to numerous factors beyond our control, including general domestic and international economic conditions, labor costs, sales levels, competition, consolidation of steel producers, fluctuations in and the costs of raw materials necessary to produce steel, steel manufacturers’ plant utilization levels and capacities, import duties and tariffs and currency exchange rates. Increases in manufacturing capacity for the carbon steel line pipe products could put pressure on the prices we receive for our carbon steel line pipe products. When steel prices decline, customer demands for lower prices and our competitors’ responses to those demands could result in lower sales prices and, consequently, lower gross profit and cash flow. </w:t>
      </w:r>
    </w:p>
    <w:p w:rsidR="000121CD" w:rsidRDefault="00590862">
      <w:pPr>
        <w:pStyle w:val="NormalWeb"/>
        <w:keepNext/>
        <w:spacing w:before="270" w:beforeAutospacing="0" w:after="0" w:afterAutospacing="0"/>
      </w:pPr>
      <w:r>
        <w:rPr>
          <w:b/>
          <w:bCs/>
          <w:i/>
          <w:iCs/>
          <w:sz w:val="20"/>
          <w:szCs w:val="20"/>
        </w:rPr>
        <w:t xml:space="preserve">If steel prices rise, we may be unable to pass along the cost increases to our customers. </w:t>
      </w:r>
    </w:p>
    <w:p w:rsidR="000121CD" w:rsidRDefault="00590862">
      <w:pPr>
        <w:pStyle w:val="NormalWeb"/>
        <w:spacing w:before="90" w:beforeAutospacing="0" w:after="0" w:afterAutospacing="0"/>
        <w:rPr>
          <w:sz w:val="20"/>
          <w:szCs w:val="20"/>
        </w:rPr>
      </w:pPr>
      <w:r>
        <w:rPr>
          <w:sz w:val="20"/>
          <w:szCs w:val="20"/>
        </w:rPr>
        <w:t xml:space="preserve">We maintain inventories of steel products to accommodate the lead time requirements of our customers. Accordingly, we purchase steel products in an effort to maintain our inventory at levels that we believe to be appropriate to satisfy the anticipated needs of our customers based upon historic buying practices, contracts with customers and market conditions. Our commitments to purchase steel products are generally at prevailing market prices in effect at the time we place our orders. If steel prices increase between the time we order steel products and the time of delivery of the products to us, our suppliers may impose surcharges that require us to pay for increases in steel prices during the period. Demand for the products we distribute, the actions of our competitors and other factors will influence whether we will be able to pass on steel cost increases and surcharges to our customers, and we may be unsuccessful in doing so. </w:t>
      </w:r>
    </w:p>
    <w:p w:rsidR="000121CD" w:rsidRDefault="00590862">
      <w:pPr>
        <w:pStyle w:val="NormalWeb"/>
        <w:keepNext/>
        <w:spacing w:before="270" w:beforeAutospacing="0" w:after="0" w:afterAutospacing="0"/>
      </w:pPr>
      <w:r>
        <w:rPr>
          <w:b/>
          <w:bCs/>
          <w:i/>
          <w:iCs/>
          <w:sz w:val="20"/>
          <w:szCs w:val="20"/>
        </w:rPr>
        <w:lastRenderedPageBreak/>
        <w:t xml:space="preserve">We do not have long-term contracts or agreements with many of our customers. The contracts and agreements that we do have generally do not commit our customers to any minimum purchase volume. The loss of a significant customer may have a material adverse effect on us. </w:t>
      </w:r>
    </w:p>
    <w:p w:rsidR="000121CD" w:rsidRDefault="00590862">
      <w:pPr>
        <w:pStyle w:val="NormalWeb"/>
        <w:keepNext/>
        <w:spacing w:before="90" w:beforeAutospacing="0" w:after="0" w:afterAutospacing="0"/>
      </w:pPr>
      <w:r>
        <w:rPr>
          <w:sz w:val="20"/>
          <w:szCs w:val="20"/>
        </w:rPr>
        <w:t>Given the nature of our business, and consistent with industry practice, we do not have long-term contracts with many of our customers. In addition, our contracts, including our maintenance, repair and operations (“MRO”) contracts, generally do not commit our customers to any minimum purchase volume. Therefore, a significant number of our customers, including our MRO customers, may terminate their relationships with us or reduce their purchasing volume at any time. Furthermore, the customer contracts that we do have are generally terminable without cause on short notice. Our 25 largest customers represented approximately 55% of our sales for the year ended December 31, 201</w:t>
      </w:r>
      <w:r w:rsidR="00B127E0">
        <w:rPr>
          <w:sz w:val="20"/>
          <w:szCs w:val="20"/>
        </w:rPr>
        <w:t>9</w:t>
      </w:r>
      <w:r>
        <w:rPr>
          <w:sz w:val="20"/>
          <w:szCs w:val="20"/>
        </w:rPr>
        <w:t xml:space="preserve">. The products that we may sell to any particular customer depend in large part on the size of that customer’s capital expenditure budget in a particular year and on the results of competitive bids for major projects. Consequently, a customer that accounts for a significant portion of our sales in one fiscal year may represent an immaterial portion of our sales in subsequent fiscal years. The loss of a significant customer, or a substantial decrease in a significant customer’s orders, may have an adverse effect on our sales and revenue. In addition, we are subject to customer audit clauses in many of our multi-year contracts. If we are not able to provide the proper documentation or support for invoices per the contract terms, we may be subject to negotiated settlements with our major customers. </w:t>
      </w:r>
    </w:p>
    <w:p w:rsidR="000121CD" w:rsidRDefault="00590862">
      <w:pPr>
        <w:pStyle w:val="NormalWeb"/>
        <w:keepNext/>
        <w:spacing w:before="270" w:beforeAutospacing="0" w:after="0" w:afterAutospacing="0"/>
      </w:pPr>
      <w:r>
        <w:rPr>
          <w:b/>
          <w:bCs/>
          <w:i/>
          <w:iCs/>
          <w:sz w:val="20"/>
          <w:szCs w:val="20"/>
        </w:rPr>
        <w:t xml:space="preserve">Changes in our customer and product mix could cause our gross profit percentage to fluctuate. </w:t>
      </w:r>
    </w:p>
    <w:p w:rsidR="000121CD" w:rsidRDefault="00590862">
      <w:pPr>
        <w:pStyle w:val="NormalWeb"/>
        <w:spacing w:before="90" w:beforeAutospacing="0" w:after="0" w:afterAutospacing="0"/>
      </w:pPr>
      <w:r>
        <w:rPr>
          <w:sz w:val="20"/>
          <w:szCs w:val="20"/>
        </w:rPr>
        <w:t xml:space="preserve">From time to time, we may experience changes in our customer mix or in our product mix. Changes in our customer mix may result from geographic expansion, daily selling activities within current geographic markets and targeted selling activities to new customer segments. Changes in our product mix may result from marketing activities to existing customers and needs communicated to us from existing and prospective customers. If customers begin to require more lower-margin products from us and fewer higher-margin products, our business, results of operations and financial condition may suffer. </w:t>
      </w:r>
    </w:p>
    <w:p w:rsidR="000121CD" w:rsidRDefault="00590862">
      <w:pPr>
        <w:pStyle w:val="NormalWeb"/>
        <w:keepNext/>
        <w:spacing w:before="270" w:beforeAutospacing="0" w:after="0" w:afterAutospacing="0"/>
      </w:pPr>
      <w:r>
        <w:rPr>
          <w:b/>
          <w:bCs/>
          <w:i/>
          <w:iCs/>
          <w:sz w:val="20"/>
          <w:szCs w:val="20"/>
        </w:rPr>
        <w:t xml:space="preserve">Customer credit risks could result in losses. </w:t>
      </w:r>
    </w:p>
    <w:p w:rsidR="000121CD" w:rsidRDefault="00590862">
      <w:pPr>
        <w:pStyle w:val="NormalWeb"/>
        <w:spacing w:before="90" w:beforeAutospacing="0" w:after="0" w:afterAutospacing="0"/>
      </w:pPr>
      <w:r>
        <w:rPr>
          <w:sz w:val="20"/>
          <w:szCs w:val="20"/>
        </w:rPr>
        <w:t xml:space="preserve">The concentration of our customers in the energy industry may impact our overall exposure to credit risk as customers may be similarly affected by prolonged changes in economic and industry conditions. Further, laws in some jurisdictions in which we operate could make collection difficult or time consuming. In addition, in times when commodity prices are low, our customers with higher debt levels may not have the ability to pay their debts. Other customers may have specific issues regarding their ability to pay their indebtedness. We perform ongoing credit evaluations of our customers and do not generally require collateral in support of our trade receivables. While we maintain reserves for expected credit losses, </w:t>
      </w:r>
      <w:r w:rsidR="000A521D">
        <w:rPr>
          <w:sz w:val="20"/>
          <w:szCs w:val="20"/>
        </w:rPr>
        <w:t>t</w:t>
      </w:r>
      <w:r>
        <w:rPr>
          <w:sz w:val="20"/>
          <w:szCs w:val="20"/>
        </w:rPr>
        <w:t xml:space="preserve">hese reserves </w:t>
      </w:r>
      <w:r w:rsidR="000A521D">
        <w:rPr>
          <w:sz w:val="20"/>
          <w:szCs w:val="20"/>
        </w:rPr>
        <w:t>may not be</w:t>
      </w:r>
      <w:r>
        <w:rPr>
          <w:sz w:val="20"/>
          <w:szCs w:val="20"/>
        </w:rPr>
        <w:t xml:space="preserve"> sufficient to meet write-offs of uncollectible receivables or that our losses from such receivables will be consistent with our expectations. </w:t>
      </w:r>
    </w:p>
    <w:p w:rsidR="000121CD" w:rsidRDefault="00590862">
      <w:pPr>
        <w:pStyle w:val="NormalWeb"/>
        <w:keepNext/>
        <w:spacing w:before="270" w:beforeAutospacing="0" w:after="0" w:afterAutospacing="0"/>
      </w:pPr>
      <w:r>
        <w:rPr>
          <w:b/>
          <w:bCs/>
          <w:i/>
          <w:iCs/>
          <w:sz w:val="20"/>
          <w:szCs w:val="20"/>
        </w:rPr>
        <w:t xml:space="preserve">We may be unable to successfully execute or effectively integrate acquisitions. </w:t>
      </w:r>
    </w:p>
    <w:p w:rsidR="000121CD" w:rsidRDefault="00590862">
      <w:pPr>
        <w:pStyle w:val="NormalWeb"/>
        <w:spacing w:before="90" w:beforeAutospacing="0" w:after="0" w:afterAutospacing="0"/>
      </w:pPr>
      <w:r>
        <w:rPr>
          <w:sz w:val="20"/>
          <w:szCs w:val="20"/>
        </w:rPr>
        <w:t xml:space="preserve">From time to time, we may selectively pursue acquisitions, including large scale acquisitions, to continue to grow and increase profitability. However, acquisitions, particularly of a significant scale, involve numerous risks and uncertainties, including intense competition for suitable acquisition targets, the potential unavailability of financial resources necessary to consummate acquisitions in the future, increased leverage due to additional debt financing that may be required to complete an acquisition, dilution of our stockholders’ net current book value per share if we issue additional equity securities to finance an acquisition, difficulties in identifying suitable acquisition targets or in completing any transactions identified on sufficiently favorable terms, assumption of undisclosed or unknown liabilities and the need to obtain regulatory or other governmental approvals that may be necessary to complete acquisitions. In addition, any future acquisitions may entail significant transaction costs and risks associated with entry into new markets. </w:t>
      </w:r>
    </w:p>
    <w:p w:rsidR="000121CD" w:rsidRDefault="00590862">
      <w:pPr>
        <w:pStyle w:val="NormalWeb"/>
        <w:keepNext/>
        <w:spacing w:before="180" w:beforeAutospacing="0" w:after="0" w:afterAutospacing="0"/>
      </w:pPr>
      <w:r>
        <w:rPr>
          <w:sz w:val="20"/>
          <w:szCs w:val="20"/>
        </w:rPr>
        <w:t xml:space="preserve">Even when acquisitions are completed, integration of acquired entities can involve significant difficulties, such as: </w:t>
      </w:r>
    </w:p>
    <w:p w:rsidR="000121CD" w:rsidRDefault="00590862">
      <w:pPr>
        <w:pStyle w:val="NormalWeb"/>
        <w:numPr>
          <w:ilvl w:val="0"/>
          <w:numId w:val="27"/>
        </w:numPr>
        <w:spacing w:before="90" w:beforeAutospacing="0" w:after="0" w:afterAutospacing="0"/>
        <w:rPr>
          <w:sz w:val="20"/>
          <w:szCs w:val="20"/>
        </w:rPr>
      </w:pPr>
      <w:r>
        <w:rPr>
          <w:sz w:val="20"/>
          <w:szCs w:val="20"/>
        </w:rPr>
        <w:t xml:space="preserve">failure to achieve cost savings or other financial or operating objectives with respect to an acquisition; </w:t>
      </w:r>
    </w:p>
    <w:p w:rsidR="000121CD" w:rsidRDefault="00590862">
      <w:pPr>
        <w:pStyle w:val="NormalWeb"/>
        <w:numPr>
          <w:ilvl w:val="0"/>
          <w:numId w:val="27"/>
        </w:numPr>
        <w:spacing w:before="90" w:beforeAutospacing="0" w:after="0" w:afterAutospacing="0"/>
        <w:rPr>
          <w:sz w:val="20"/>
          <w:szCs w:val="20"/>
        </w:rPr>
      </w:pPr>
      <w:r>
        <w:rPr>
          <w:sz w:val="20"/>
          <w:szCs w:val="20"/>
        </w:rPr>
        <w:t xml:space="preserve">strain on the operational and managerial controls and procedures of our business, and the need to modify systems or to add management resources;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difficulties in the integration and retention of customers or personnel and the integration and effective deployment of operations or technologies;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amortization of acquired assets, which would reduce future reported earnings; </w:t>
      </w:r>
    </w:p>
    <w:p w:rsidR="000121CD" w:rsidRDefault="00590862">
      <w:pPr>
        <w:pStyle w:val="NormalWeb"/>
        <w:numPr>
          <w:ilvl w:val="0"/>
          <w:numId w:val="27"/>
        </w:numPr>
        <w:spacing w:before="90" w:beforeAutospacing="0" w:after="0" w:afterAutospacing="0"/>
        <w:rPr>
          <w:sz w:val="20"/>
          <w:szCs w:val="20"/>
        </w:rPr>
      </w:pPr>
      <w:r>
        <w:rPr>
          <w:sz w:val="20"/>
          <w:szCs w:val="20"/>
        </w:rPr>
        <w:t xml:space="preserve">possible adverse short-term effects on our cash flows or operating results; </w:t>
      </w:r>
    </w:p>
    <w:p w:rsidR="000121CD" w:rsidRDefault="00590862">
      <w:pPr>
        <w:pStyle w:val="NormalWeb"/>
        <w:numPr>
          <w:ilvl w:val="0"/>
          <w:numId w:val="27"/>
        </w:numPr>
        <w:spacing w:before="90" w:beforeAutospacing="0" w:after="0" w:afterAutospacing="0"/>
        <w:rPr>
          <w:sz w:val="20"/>
          <w:szCs w:val="20"/>
        </w:rPr>
      </w:pPr>
      <w:r>
        <w:rPr>
          <w:sz w:val="20"/>
          <w:szCs w:val="20"/>
        </w:rPr>
        <w:t xml:space="preserve">diversion of management’s attention from the ongoing operations of our business; </w:t>
      </w:r>
    </w:p>
    <w:p w:rsidR="000121CD" w:rsidRDefault="00590862">
      <w:pPr>
        <w:pStyle w:val="NormalWeb"/>
        <w:numPr>
          <w:ilvl w:val="0"/>
          <w:numId w:val="27"/>
        </w:numPr>
        <w:spacing w:before="90" w:beforeAutospacing="0" w:after="0" w:afterAutospacing="0"/>
        <w:rPr>
          <w:sz w:val="20"/>
          <w:szCs w:val="20"/>
        </w:rPr>
      </w:pPr>
      <w:r>
        <w:rPr>
          <w:sz w:val="20"/>
          <w:szCs w:val="20"/>
        </w:rPr>
        <w:t xml:space="preserve">integrating personnel with diverse backgrounds and organizational cultures;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coordinating sales and marketing functions; </w:t>
      </w:r>
    </w:p>
    <w:p w:rsidR="000121CD" w:rsidRDefault="00590862">
      <w:pPr>
        <w:pStyle w:val="NormalWeb"/>
        <w:numPr>
          <w:ilvl w:val="0"/>
          <w:numId w:val="27"/>
        </w:numPr>
        <w:spacing w:before="90" w:beforeAutospacing="0" w:after="0" w:afterAutospacing="0"/>
        <w:rPr>
          <w:sz w:val="20"/>
          <w:szCs w:val="20"/>
        </w:rPr>
      </w:pPr>
      <w:r>
        <w:rPr>
          <w:sz w:val="20"/>
          <w:szCs w:val="20"/>
        </w:rPr>
        <w:lastRenderedPageBreak/>
        <w:t xml:space="preserve">failure to obtain and retain key personnel of an acquired business; and </w:t>
      </w:r>
    </w:p>
    <w:p w:rsidR="000121CD" w:rsidRDefault="00590862">
      <w:pPr>
        <w:pStyle w:val="NormalWeb"/>
        <w:numPr>
          <w:ilvl w:val="0"/>
          <w:numId w:val="27"/>
        </w:numPr>
        <w:spacing w:before="90" w:beforeAutospacing="0" w:after="0" w:afterAutospacing="0"/>
        <w:rPr>
          <w:sz w:val="20"/>
          <w:szCs w:val="20"/>
        </w:rPr>
      </w:pPr>
      <w:r>
        <w:rPr>
          <w:sz w:val="20"/>
          <w:szCs w:val="20"/>
        </w:rPr>
        <w:t xml:space="preserve">assumption of known or unknown material liabilities or regulatory non-compliance issues. </w:t>
      </w:r>
    </w:p>
    <w:p w:rsidR="000121CD" w:rsidRDefault="00590862">
      <w:pPr>
        <w:pStyle w:val="NormalWeb"/>
        <w:spacing w:before="180" w:beforeAutospacing="0" w:after="0" w:afterAutospacing="0"/>
      </w:pPr>
      <w:r>
        <w:rPr>
          <w:sz w:val="20"/>
          <w:szCs w:val="20"/>
        </w:rPr>
        <w:t xml:space="preserve">Failure to manage these acquisition risks could have an adverse effect on us. </w:t>
      </w:r>
    </w:p>
    <w:p w:rsidR="000121CD" w:rsidRDefault="00590862">
      <w:pPr>
        <w:pStyle w:val="NormalWeb"/>
        <w:keepNext/>
        <w:spacing w:before="270" w:beforeAutospacing="0" w:after="0" w:afterAutospacing="0"/>
      </w:pPr>
      <w:r>
        <w:rPr>
          <w:b/>
          <w:bCs/>
          <w:i/>
          <w:iCs/>
          <w:sz w:val="20"/>
          <w:szCs w:val="20"/>
        </w:rPr>
        <w:t xml:space="preserve">Our indebtedness may affect our ability to operate our business, and this could have a material adverse effect on us. </w:t>
      </w:r>
    </w:p>
    <w:p w:rsidR="000121CD" w:rsidRDefault="00590862">
      <w:pPr>
        <w:pStyle w:val="NormalWeb"/>
        <w:keepNext/>
        <w:spacing w:before="90" w:beforeAutospacing="0" w:after="0" w:afterAutospacing="0"/>
      </w:pPr>
      <w:r>
        <w:rPr>
          <w:sz w:val="20"/>
          <w:szCs w:val="20"/>
        </w:rPr>
        <w:t xml:space="preserve">We have now and will likely continue to have indebtedness. As of </w:t>
      </w:r>
      <w:r w:rsidR="003627E3" w:rsidRPr="003A4344">
        <w:rPr>
          <w:sz w:val="20"/>
          <w:szCs w:val="20"/>
        </w:rPr>
        <w:t>December 31, 2019</w:t>
      </w:r>
      <w:r>
        <w:rPr>
          <w:sz w:val="20"/>
          <w:szCs w:val="20"/>
        </w:rPr>
        <w:t>, we had total debt outstanding of $</w:t>
      </w:r>
      <w:r w:rsidR="002C1865">
        <w:rPr>
          <w:sz w:val="20"/>
          <w:szCs w:val="20"/>
        </w:rPr>
        <w:t>551</w:t>
      </w:r>
      <w:r>
        <w:rPr>
          <w:sz w:val="20"/>
          <w:szCs w:val="20"/>
        </w:rPr>
        <w:t> million and excess availability of $</w:t>
      </w:r>
      <w:r w:rsidR="0090423E">
        <w:rPr>
          <w:sz w:val="20"/>
          <w:szCs w:val="20"/>
        </w:rPr>
        <w:t xml:space="preserve">451 </w:t>
      </w:r>
      <w:r>
        <w:rPr>
          <w:sz w:val="20"/>
          <w:szCs w:val="20"/>
        </w:rPr>
        <w:t xml:space="preserve">million under our credit facilities. We may incur significant additional indebtedness in the future. If new indebtedness is added to our current indebtedness, the risks described below could increase. Our significant level of indebtedness could have important consequences, such as: </w:t>
      </w:r>
    </w:p>
    <w:p w:rsidR="000121CD" w:rsidRDefault="00590862">
      <w:pPr>
        <w:pStyle w:val="NormalWeb"/>
        <w:numPr>
          <w:ilvl w:val="0"/>
          <w:numId w:val="27"/>
        </w:numPr>
        <w:spacing w:before="90" w:beforeAutospacing="0" w:after="0" w:afterAutospacing="0"/>
        <w:rPr>
          <w:sz w:val="20"/>
          <w:szCs w:val="20"/>
        </w:rPr>
      </w:pPr>
      <w:r>
        <w:rPr>
          <w:sz w:val="20"/>
          <w:szCs w:val="20"/>
        </w:rPr>
        <w:t xml:space="preserve">limiting our ability to obtain additional financing to fund our working capital, acquisitions, expenditures, debt service requirements or other general corporate purposes;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limiting our ability to use operating cash flow in other areas of our business because we must dedicate a substantial portion of these funds to service debt; </w:t>
      </w:r>
    </w:p>
    <w:p w:rsidR="000121CD" w:rsidRDefault="00590862">
      <w:pPr>
        <w:pStyle w:val="NormalWeb"/>
        <w:numPr>
          <w:ilvl w:val="0"/>
          <w:numId w:val="27"/>
        </w:numPr>
        <w:spacing w:before="90" w:beforeAutospacing="0" w:after="0" w:afterAutospacing="0"/>
        <w:rPr>
          <w:sz w:val="20"/>
          <w:szCs w:val="20"/>
        </w:rPr>
      </w:pPr>
      <w:r>
        <w:rPr>
          <w:sz w:val="20"/>
          <w:szCs w:val="20"/>
        </w:rPr>
        <w:t xml:space="preserve">limiting our ability to compete with other companies who are not as highly leveraged; </w:t>
      </w:r>
    </w:p>
    <w:p w:rsidR="000121CD" w:rsidRDefault="00590862">
      <w:pPr>
        <w:pStyle w:val="NormalWeb"/>
        <w:numPr>
          <w:ilvl w:val="0"/>
          <w:numId w:val="27"/>
        </w:numPr>
        <w:spacing w:before="90" w:beforeAutospacing="0" w:after="0" w:afterAutospacing="0"/>
        <w:rPr>
          <w:sz w:val="20"/>
          <w:szCs w:val="20"/>
        </w:rPr>
      </w:pPr>
      <w:r>
        <w:rPr>
          <w:sz w:val="20"/>
          <w:szCs w:val="20"/>
        </w:rPr>
        <w:t xml:space="preserve">subjecting us to restrictive financial and operating covenants in the agreements governing our and our subsidiaries’ long-term indebtedness; </w:t>
      </w:r>
    </w:p>
    <w:p w:rsidR="000121CD" w:rsidRDefault="00590862">
      <w:pPr>
        <w:pStyle w:val="NormalWeb"/>
        <w:numPr>
          <w:ilvl w:val="0"/>
          <w:numId w:val="27"/>
        </w:numPr>
        <w:spacing w:before="90" w:beforeAutospacing="0" w:after="0" w:afterAutospacing="0"/>
        <w:rPr>
          <w:sz w:val="20"/>
          <w:szCs w:val="20"/>
        </w:rPr>
      </w:pPr>
      <w:r>
        <w:rPr>
          <w:sz w:val="20"/>
          <w:szCs w:val="20"/>
        </w:rPr>
        <w:t xml:space="preserve">exposing us to potential events of default (if not cured or waived) under financial and operating covenants contained in our or our subsidiaries’ debt instruments that could have a material adverse effect on our business, results of operations and financial condition; </w:t>
      </w:r>
    </w:p>
    <w:p w:rsidR="000121CD" w:rsidRDefault="00590862">
      <w:pPr>
        <w:pStyle w:val="NormalWeb"/>
        <w:numPr>
          <w:ilvl w:val="0"/>
          <w:numId w:val="27"/>
        </w:numPr>
        <w:spacing w:before="90" w:beforeAutospacing="0" w:after="0" w:afterAutospacing="0"/>
        <w:rPr>
          <w:sz w:val="20"/>
          <w:szCs w:val="20"/>
        </w:rPr>
      </w:pPr>
      <w:r>
        <w:rPr>
          <w:sz w:val="20"/>
          <w:szCs w:val="20"/>
        </w:rPr>
        <w:t xml:space="preserve">increasing our vulnerability to a downturn in general economic conditions or in pricing of our products; and </w:t>
      </w:r>
    </w:p>
    <w:p w:rsidR="000121CD" w:rsidRDefault="00590862">
      <w:pPr>
        <w:pStyle w:val="NormalWeb"/>
        <w:numPr>
          <w:ilvl w:val="0"/>
          <w:numId w:val="27"/>
        </w:numPr>
        <w:spacing w:before="90" w:beforeAutospacing="0" w:after="0" w:afterAutospacing="0"/>
        <w:rPr>
          <w:sz w:val="20"/>
          <w:szCs w:val="20"/>
        </w:rPr>
      </w:pPr>
      <w:r>
        <w:rPr>
          <w:sz w:val="20"/>
          <w:szCs w:val="20"/>
        </w:rPr>
        <w:t xml:space="preserve">limiting our ability to react to changing market conditions in our industry and in our customers’ industries. </w:t>
      </w:r>
    </w:p>
    <w:p w:rsidR="000121CD" w:rsidRDefault="00590862">
      <w:pPr>
        <w:pStyle w:val="NormalWeb"/>
        <w:spacing w:before="180" w:beforeAutospacing="0" w:after="0" w:afterAutospacing="0"/>
      </w:pPr>
      <w:r>
        <w:rPr>
          <w:sz w:val="20"/>
          <w:szCs w:val="20"/>
        </w:rPr>
        <w:t xml:space="preserve">In addition, borrowings under our credit facilities bear interest at variable rates. If market interest rates increase, the variable-rate debt will create higher debt service requirements, which could adversely affect our cash flow. In March 2018, we entered into a five-year $250 million interest rate swap to fix a portion of our variable interest rate exposure. Our interest expense for the year ended </w:t>
      </w:r>
      <w:r w:rsidR="003627E3" w:rsidRPr="003A4344">
        <w:rPr>
          <w:sz w:val="20"/>
          <w:szCs w:val="20"/>
        </w:rPr>
        <w:t>December 31, 2019</w:t>
      </w:r>
      <w:r>
        <w:rPr>
          <w:sz w:val="20"/>
          <w:szCs w:val="20"/>
        </w:rPr>
        <w:t xml:space="preserve"> was $</w:t>
      </w:r>
      <w:r w:rsidR="002C1865">
        <w:rPr>
          <w:sz w:val="20"/>
          <w:szCs w:val="20"/>
        </w:rPr>
        <w:t>40</w:t>
      </w:r>
      <w:r>
        <w:rPr>
          <w:sz w:val="20"/>
          <w:szCs w:val="20"/>
        </w:rPr>
        <w:t xml:space="preserve"> million. </w:t>
      </w:r>
    </w:p>
    <w:p w:rsidR="000121CD" w:rsidRDefault="00590862">
      <w:pPr>
        <w:pStyle w:val="NormalWeb"/>
        <w:spacing w:before="180" w:beforeAutospacing="0" w:after="0" w:afterAutospacing="0"/>
      </w:pPr>
      <w:r>
        <w:rPr>
          <w:sz w:val="20"/>
          <w:szCs w:val="20"/>
        </w:rPr>
        <w:t xml:space="preserve">Our ability to make scheduled debt payments, to refinance our obligations with respect to our indebtedness and to fund capital and non-capital expenditures necessary to maintain the condition of our operating assets, properties and systems software, as well as to provide capacity for the growth of our business, depends on our financial and operating performance, which, in turn, is subject to prevailing economic conditions and financial, business, competitive, legal and other factors. Our business may not generate sufficient cash flow from operations, and future borrowings may not be available to us under our credit facilities in an amount sufficient to enable us to pay our indebtedness or to fund our other liquidity needs. We may seek to sell assets to fund our liquidity needs but may not be able to do so. We may also need to refinance all or a portion of our indebtedness on or before maturity. We may not be able to refinance any of our indebtedness on commercially reasonable terms or at all. </w:t>
      </w:r>
    </w:p>
    <w:p w:rsidR="000121CD" w:rsidRDefault="00590862">
      <w:pPr>
        <w:pStyle w:val="NormalWeb"/>
        <w:keepNext/>
        <w:spacing w:before="180" w:beforeAutospacing="0" w:after="0" w:afterAutospacing="0"/>
      </w:pPr>
      <w:r>
        <w:rPr>
          <w:sz w:val="20"/>
          <w:szCs w:val="20"/>
        </w:rPr>
        <w:t xml:space="preserve">In addition, we are and will be subject to covenants contained in agreements governing our present and future indebtedness. These covenants include and will likely include restrictions on: </w:t>
      </w:r>
    </w:p>
    <w:p w:rsidR="000121CD" w:rsidRDefault="00590862">
      <w:pPr>
        <w:pStyle w:val="NormalWeb"/>
        <w:numPr>
          <w:ilvl w:val="0"/>
          <w:numId w:val="27"/>
        </w:numPr>
        <w:spacing w:before="90" w:beforeAutospacing="0" w:after="0" w:afterAutospacing="0"/>
        <w:rPr>
          <w:sz w:val="20"/>
          <w:szCs w:val="20"/>
        </w:rPr>
      </w:pPr>
      <w:r>
        <w:rPr>
          <w:sz w:val="20"/>
          <w:szCs w:val="20"/>
        </w:rPr>
        <w:t xml:space="preserve">investments, including acquisitions; </w:t>
      </w:r>
    </w:p>
    <w:p w:rsidR="000121CD" w:rsidRDefault="00590862">
      <w:pPr>
        <w:pStyle w:val="NormalWeb"/>
        <w:numPr>
          <w:ilvl w:val="0"/>
          <w:numId w:val="27"/>
        </w:numPr>
        <w:spacing w:before="90" w:beforeAutospacing="0" w:after="0" w:afterAutospacing="0"/>
        <w:rPr>
          <w:sz w:val="20"/>
          <w:szCs w:val="20"/>
        </w:rPr>
      </w:pPr>
      <w:r>
        <w:rPr>
          <w:sz w:val="20"/>
          <w:szCs w:val="20"/>
        </w:rPr>
        <w:t xml:space="preserve">prepayment of certain indebtedness;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granting of liens;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incurrence of additional indebtedness; </w:t>
      </w:r>
    </w:p>
    <w:p w:rsidR="000121CD" w:rsidRDefault="00590862">
      <w:pPr>
        <w:pStyle w:val="NormalWeb"/>
        <w:numPr>
          <w:ilvl w:val="0"/>
          <w:numId w:val="27"/>
        </w:numPr>
        <w:spacing w:before="90" w:beforeAutospacing="0" w:after="0" w:afterAutospacing="0"/>
        <w:rPr>
          <w:sz w:val="20"/>
          <w:szCs w:val="20"/>
        </w:rPr>
      </w:pPr>
      <w:r>
        <w:rPr>
          <w:sz w:val="20"/>
          <w:szCs w:val="20"/>
        </w:rPr>
        <w:t xml:space="preserve">asset sales;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making of fundamental changes to our business; </w:t>
      </w:r>
    </w:p>
    <w:p w:rsidR="000121CD" w:rsidRDefault="00590862">
      <w:pPr>
        <w:pStyle w:val="NormalWeb"/>
        <w:numPr>
          <w:ilvl w:val="0"/>
          <w:numId w:val="27"/>
        </w:numPr>
        <w:spacing w:before="90" w:beforeAutospacing="0" w:after="0" w:afterAutospacing="0"/>
        <w:rPr>
          <w:sz w:val="20"/>
          <w:szCs w:val="20"/>
        </w:rPr>
      </w:pPr>
      <w:r>
        <w:rPr>
          <w:sz w:val="20"/>
          <w:szCs w:val="20"/>
        </w:rPr>
        <w:t xml:space="preserve">transactions with affiliates; and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payment of dividends. </w:t>
      </w:r>
    </w:p>
    <w:p w:rsidR="000121CD" w:rsidRDefault="00590862">
      <w:pPr>
        <w:pStyle w:val="NormalWeb"/>
        <w:spacing w:before="90" w:beforeAutospacing="0" w:after="0" w:afterAutospacing="0"/>
      </w:pPr>
      <w:r>
        <w:rPr>
          <w:sz w:val="20"/>
          <w:szCs w:val="20"/>
        </w:rPr>
        <w:t xml:space="preserve">In addition, any defaults under our credit facilities, including our global asset-based lending facility (“Global ABL Facility”), our senior secured term loan B (“Term Loan”) or our other debt could trigger cross defaults under other or future credit agreements and may permit acceleration of our other indebtedness. If our indebtedness is accelerated, we cannot be certain that we will have sufficient funds available to pay the accelerated indebtedness or that we will have the ability to refinance the accelerated indebtedness on terms favorable to us or at all. For a description of our credit facilities and indebtedness, see “Item 7—Management’s Discussion and Analysis of Financial Condition and Results of Operations—Liquidity and Capital Resources”. </w:t>
      </w:r>
    </w:p>
    <w:p w:rsidR="000121CD" w:rsidRDefault="00590862">
      <w:pPr>
        <w:pStyle w:val="NormalWeb"/>
        <w:keepNext/>
        <w:spacing w:before="270" w:beforeAutospacing="0" w:after="0" w:afterAutospacing="0"/>
      </w:pPr>
      <w:r>
        <w:rPr>
          <w:b/>
          <w:bCs/>
          <w:i/>
          <w:iCs/>
          <w:sz w:val="20"/>
          <w:szCs w:val="20"/>
        </w:rPr>
        <w:lastRenderedPageBreak/>
        <w:t xml:space="preserve">We are a holding company and depend upon our subsidiaries for our cash flow. </w:t>
      </w:r>
    </w:p>
    <w:p w:rsidR="000121CD" w:rsidRDefault="00590862">
      <w:pPr>
        <w:pStyle w:val="NormalWeb"/>
        <w:spacing w:before="90" w:beforeAutospacing="0" w:after="0" w:afterAutospacing="0"/>
      </w:pPr>
      <w:r>
        <w:rPr>
          <w:sz w:val="20"/>
          <w:szCs w:val="20"/>
        </w:rPr>
        <w:t xml:space="preserve">We are a holding company. Our subsidiaries conduct all of our operations and own substantially all of our assets. Consequently, our cash flow and our ability to meet our obligations or to pay dividends or make other distributions in the future will depend upon the cash flow of our subsidiaries and our subsidiaries’ payment of funds to us in the form of dividends, tax sharing payments or otherwise. </w:t>
      </w:r>
    </w:p>
    <w:p w:rsidR="000121CD" w:rsidRDefault="00590862">
      <w:pPr>
        <w:pStyle w:val="NormalWeb"/>
        <w:spacing w:before="120" w:beforeAutospacing="0" w:after="0" w:afterAutospacing="0"/>
      </w:pPr>
      <w:r>
        <w:rPr>
          <w:sz w:val="20"/>
          <w:szCs w:val="20"/>
        </w:rPr>
        <w:t xml:space="preserve">The ability of our subsidiaries to make any payments to us will depend on their earnings, the terms of their current and future indebtedness, tax considerations and legal and contractual restrictions on the ability to make distributions. In particular, our subsidiaries’ credit facilities currently impose limitations on the ability of our subsidiaries to make distributions to us and consequently our ability to pay dividends to our stockholders. Subject to limitations in our credit facilities, our subsidiaries may also enter into additional agreements that contain covenants prohibiting them from distributing or advancing funds or transferring assets to us under certain circumstances, including to pay dividends. </w:t>
      </w:r>
    </w:p>
    <w:p w:rsidR="000121CD" w:rsidRDefault="00590862">
      <w:pPr>
        <w:pStyle w:val="NormalWeb"/>
        <w:spacing w:before="120" w:beforeAutospacing="0" w:after="0" w:afterAutospacing="0"/>
      </w:pPr>
      <w:r>
        <w:rPr>
          <w:sz w:val="20"/>
          <w:szCs w:val="20"/>
        </w:rPr>
        <w:t xml:space="preserve">Our subsidiaries are separate and distinct legal entities. Any right that we have to receive any assets of or distributions from any of our subsidiaries upon the bankruptcy, dissolution, liquidation or reorganization, or to realize proceeds from the sale of their assets, will be junior to the claims of that subsidiary’s creditors, including trade creditors and holders of debt that the subsidiary issued. </w:t>
      </w:r>
    </w:p>
    <w:p w:rsidR="000121CD" w:rsidRDefault="00590862">
      <w:pPr>
        <w:pStyle w:val="NormalWeb"/>
        <w:keepNext/>
        <w:spacing w:before="270" w:beforeAutospacing="0" w:after="0" w:afterAutospacing="0"/>
      </w:pPr>
      <w:r>
        <w:rPr>
          <w:b/>
          <w:bCs/>
          <w:i/>
          <w:iCs/>
          <w:sz w:val="20"/>
          <w:szCs w:val="20"/>
        </w:rPr>
        <w:t xml:space="preserve">Changes in our credit profile may affect our relationship with our suppliers, which could have a material adverse effect on our liquidity. </w:t>
      </w:r>
    </w:p>
    <w:p w:rsidR="000121CD" w:rsidRDefault="00590862">
      <w:pPr>
        <w:pStyle w:val="NormalWeb"/>
        <w:spacing w:before="90" w:beforeAutospacing="0" w:after="0" w:afterAutospacing="0"/>
      </w:pPr>
      <w:r>
        <w:rPr>
          <w:sz w:val="20"/>
          <w:szCs w:val="20"/>
        </w:rPr>
        <w:t xml:space="preserve">Changes in our credit profile may affect the way our suppliers view our ability to make payments and may induce them to shorten the payment terms of their invoices if they perceive our indebtedness to be high. Given the large dollar amounts and volume of our purchases from suppliers, a change in payment terms may have a material adverse effect on our liquidity and our ability to make payments to our suppliers and, consequently, may have a material adverse effect on us. </w:t>
      </w:r>
    </w:p>
    <w:p w:rsidR="000121CD" w:rsidRDefault="00590862">
      <w:pPr>
        <w:pStyle w:val="NormalWeb"/>
        <w:keepNext/>
        <w:spacing w:before="270" w:beforeAutospacing="0" w:after="0" w:afterAutospacing="0"/>
      </w:pPr>
      <w:r>
        <w:rPr>
          <w:b/>
          <w:bCs/>
          <w:i/>
          <w:iCs/>
          <w:sz w:val="20"/>
          <w:szCs w:val="20"/>
        </w:rPr>
        <w:t xml:space="preserve">If tariffs, quotas and duties on imports into the U.S. of certain of the products that we sell are lifted or imposed, we could have too many of these products in inventory competing against less expensive imports or conversely pay higher prices for products that we sell. </w:t>
      </w:r>
    </w:p>
    <w:p w:rsidR="000121CD" w:rsidRDefault="00590862">
      <w:pPr>
        <w:pStyle w:val="NormalWeb"/>
        <w:spacing w:before="90" w:beforeAutospacing="0" w:after="0" w:afterAutospacing="0"/>
        <w:rPr>
          <w:sz w:val="20"/>
          <w:szCs w:val="20"/>
        </w:rPr>
      </w:pPr>
      <w:r>
        <w:rPr>
          <w:sz w:val="20"/>
          <w:szCs w:val="20"/>
        </w:rPr>
        <w:t xml:space="preserve">U.S. law currently imposes tariffs and duties on imports from certain foreign countries of line pipe and certain other products that we sell. If these tariffs and duties are lifted or reduced or if the level of these imported products otherwise increase, and our U.S. customers accept these imported products, we could be materially and adversely affected to the extent that we would then have higher-cost products in our inventory or experience lower prices and margins due to increased supplies of these products that could drive down prices and margins. If prices of these products were to decrease significantly, we might not be able to profitably sell these products, and the value of our inventory would decline. In addition, significant price decreases could result in a significantly longer holding period for some of our inventory. Conversely, if tariffs and duties are imposed on imports from certain foreign countries of products that we sell, we could be required to pay higher prices for our products. Demand for the products we distribute, the actions of our competitors and other factors will influence whether we will be able to pass on additional cost increases to our customers, and we may be unsuccessful in doing so. </w:t>
      </w:r>
    </w:p>
    <w:p w:rsidR="000F76FB" w:rsidRDefault="000F76FB" w:rsidP="000F76FB">
      <w:pPr>
        <w:spacing w:before="180"/>
        <w:rPr>
          <w:b/>
          <w:i/>
          <w:sz w:val="20"/>
        </w:rPr>
      </w:pPr>
      <w:r>
        <w:rPr>
          <w:b/>
          <w:i/>
          <w:sz w:val="20"/>
        </w:rPr>
        <w:t>A transition to alternative forms of energy could adversely impact our customers</w:t>
      </w:r>
      <w:r w:rsidR="002F3F96">
        <w:rPr>
          <w:b/>
          <w:i/>
          <w:sz w:val="20"/>
        </w:rPr>
        <w:t xml:space="preserve">, </w:t>
      </w:r>
      <w:r>
        <w:rPr>
          <w:b/>
          <w:i/>
          <w:sz w:val="20"/>
        </w:rPr>
        <w:t>result in lower sales</w:t>
      </w:r>
      <w:r w:rsidR="002F3F96">
        <w:rPr>
          <w:b/>
          <w:i/>
          <w:sz w:val="20"/>
        </w:rPr>
        <w:t xml:space="preserve"> and</w:t>
      </w:r>
      <w:r>
        <w:rPr>
          <w:b/>
          <w:i/>
          <w:sz w:val="20"/>
        </w:rPr>
        <w:t xml:space="preserve"> adversely impact our results and financial condition.</w:t>
      </w:r>
    </w:p>
    <w:p w:rsidR="000F76FB" w:rsidRDefault="000F76FB" w:rsidP="000F76FB">
      <w:pPr>
        <w:spacing w:before="180"/>
        <w:rPr>
          <w:rFonts w:asciiTheme="minorHAnsi" w:hAnsiTheme="minorHAnsi"/>
          <w:sz w:val="20"/>
        </w:rPr>
      </w:pPr>
      <w:r>
        <w:rPr>
          <w:sz w:val="20"/>
        </w:rPr>
        <w:t>If through legislation, treaty or consumer preference demand for oil and gas is substantially reduced through the use of alternative forms of energy, we could experience a reduction in sales to our existing customers, which could adversely impact our results and financial condition</w:t>
      </w:r>
      <w:r>
        <w:rPr>
          <w:i/>
          <w:sz w:val="20"/>
        </w:rPr>
        <w:t>.</w:t>
      </w:r>
    </w:p>
    <w:p w:rsidR="000121CD" w:rsidRDefault="00590862">
      <w:pPr>
        <w:pStyle w:val="NormalWeb"/>
        <w:keepNext/>
        <w:spacing w:before="270" w:beforeAutospacing="0" w:after="0" w:afterAutospacing="0"/>
      </w:pPr>
      <w:r>
        <w:rPr>
          <w:b/>
          <w:bCs/>
          <w:i/>
          <w:iCs/>
          <w:sz w:val="20"/>
          <w:szCs w:val="20"/>
        </w:rPr>
        <w:t xml:space="preserve">We are subject to strict environmental, health and safety laws and regulations that may lead to significant liabilities and negatively impact the demand for our products. </w:t>
      </w:r>
    </w:p>
    <w:p w:rsidR="000121CD" w:rsidRDefault="00590862">
      <w:pPr>
        <w:pStyle w:val="NormalWeb"/>
        <w:keepNext/>
        <w:spacing w:before="90" w:beforeAutospacing="0" w:after="0" w:afterAutospacing="0"/>
        <w:rPr>
          <w:sz w:val="20"/>
          <w:szCs w:val="20"/>
        </w:rPr>
      </w:pPr>
      <w:r>
        <w:rPr>
          <w:sz w:val="20"/>
          <w:szCs w:val="20"/>
        </w:rPr>
        <w:t>We are subject to a variety of federal, state, local, foreign and provincial environmental, health and safety laws, regulations and permitting requirements (collectively, “environmental laws”), including those governing the following:</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discharge of pollutants or hazardous substances into the air, soil or water;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generation, handling, use, management, storage and disposal of, or exposure to, hazardous substances and wastes;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responsibility to investigate, remediate, monitor and clean up contamination and </w:t>
      </w:r>
    </w:p>
    <w:p w:rsidR="000121CD" w:rsidRDefault="00590862">
      <w:pPr>
        <w:pStyle w:val="NormalWeb"/>
        <w:numPr>
          <w:ilvl w:val="0"/>
          <w:numId w:val="27"/>
        </w:numPr>
        <w:spacing w:before="90" w:beforeAutospacing="0" w:after="0" w:afterAutospacing="0"/>
        <w:rPr>
          <w:sz w:val="20"/>
          <w:szCs w:val="20"/>
        </w:rPr>
      </w:pPr>
      <w:r>
        <w:rPr>
          <w:sz w:val="20"/>
          <w:szCs w:val="20"/>
        </w:rPr>
        <w:t xml:space="preserve">occupational health and safety. </w:t>
      </w:r>
    </w:p>
    <w:p w:rsidR="000121CD" w:rsidRDefault="00590862">
      <w:pPr>
        <w:pStyle w:val="NormalWeb"/>
        <w:keepNext/>
        <w:spacing w:before="90" w:beforeAutospacing="0" w:after="0" w:afterAutospacing="0"/>
      </w:pPr>
      <w:r>
        <w:rPr>
          <w:sz w:val="20"/>
          <w:szCs w:val="20"/>
        </w:rPr>
        <w:t xml:space="preserve">Our failure to comply with applicable environmental laws could result in fines, penalties, enforcement actions, employee, neighbor or other third-party claims for property damage and personal injury, requirements to clean up property or to pay for the costs of cleanup </w:t>
      </w:r>
      <w:r>
        <w:rPr>
          <w:sz w:val="20"/>
          <w:szCs w:val="20"/>
        </w:rPr>
        <w:lastRenderedPageBreak/>
        <w:t xml:space="preserve">or regulatory or judicial orders requiring corrective measures, including the installation of pollution control equipment or remedial actions. </w:t>
      </w:r>
    </w:p>
    <w:p w:rsidR="000121CD" w:rsidRDefault="00590862">
      <w:pPr>
        <w:pStyle w:val="NormalWeb"/>
        <w:spacing w:before="180" w:beforeAutospacing="0" w:after="0" w:afterAutospacing="0"/>
        <w:rPr>
          <w:sz w:val="20"/>
          <w:szCs w:val="20"/>
        </w:rPr>
      </w:pPr>
      <w:r>
        <w:rPr>
          <w:sz w:val="20"/>
          <w:szCs w:val="20"/>
        </w:rPr>
        <w:t xml:space="preserve">Certain environmental laws, such as the U.S. federal Superfund law or its state or foreign equivalents, may impose the obligation to investigate, remediate, monitor and clean up contamination at a facility on current and former owners, lessees or operators or on persons who may have sent waste to that facility for disposal. These environmental laws may impose liability without regard to fault or to the legality of the activities giving rise to the contamination. Although we are not aware of any active litigation against us under the U.S. federal Superfund law or its state or foreign equivalents, we have identified contamination at several of our current and former facilities, and we have incurred and will continue to incur costs to investigate, remediate, monitor and clean up these conditions. Moreover, we may incur liabilities in connection with environmental conditions currently unknown to us relating to our prior, existing or future owned or leased sites or operations or those of predecessor companies whose liabilities we may have assumed or acquired. </w:t>
      </w:r>
      <w:r w:rsidR="000A521D">
        <w:rPr>
          <w:sz w:val="20"/>
          <w:szCs w:val="20"/>
        </w:rPr>
        <w:t>If indemnification provisions in</w:t>
      </w:r>
      <w:r>
        <w:rPr>
          <w:sz w:val="20"/>
          <w:szCs w:val="20"/>
        </w:rPr>
        <w:t xml:space="preserve"> acquisition agreements </w:t>
      </w:r>
      <w:r w:rsidR="000A521D">
        <w:rPr>
          <w:sz w:val="20"/>
          <w:szCs w:val="20"/>
        </w:rPr>
        <w:t xml:space="preserve">that </w:t>
      </w:r>
      <w:r>
        <w:rPr>
          <w:sz w:val="20"/>
          <w:szCs w:val="20"/>
        </w:rPr>
        <w:t xml:space="preserve">may cover environmental conditions existing at the time of the acquisition terminate or if the indemnifying parties do not fulfill their indemnification obligations, we may be subject to liability with respect to the environmental matters that those indemnification provisions address. Although our responsibility for the clean-up of contamination or pollution to date has not been material, were there to be a significant release of contamination or pollution related to our operations, our obligation to clean up that contamination or pollution could have a material adverse effect on our business, financial position, results of operations or cash flows. </w:t>
      </w:r>
    </w:p>
    <w:p w:rsidR="000121CD" w:rsidRDefault="00590862">
      <w:pPr>
        <w:pStyle w:val="NormalWeb"/>
        <w:spacing w:before="180" w:beforeAutospacing="0" w:after="0" w:afterAutospacing="0"/>
        <w:rPr>
          <w:sz w:val="20"/>
          <w:szCs w:val="20"/>
        </w:rPr>
      </w:pPr>
      <w:r>
        <w:rPr>
          <w:sz w:val="20"/>
          <w:szCs w:val="20"/>
        </w:rPr>
        <w:t xml:space="preserve">Certain governments at the international, national, regional and state level are at various stages of considering or implementing treaties and environmental laws that could limit emissions of greenhouse gases, including carbon dioxide, associated with the burning of fossil fuels. It is not possible to predict how new environmental laws to address greenhouse gas emissions would impact our business or that of our customers, but these laws and regulations could impose costs on us or negatively impact the market for the products we distribute and, consequently, our business.  </w:t>
      </w:r>
    </w:p>
    <w:p w:rsidR="000121CD" w:rsidRDefault="000121CD">
      <w:pPr>
        <w:pStyle w:val="NormalWeb"/>
        <w:spacing w:before="0" w:beforeAutospacing="0" w:after="0" w:afterAutospacing="0"/>
        <w:rPr>
          <w:sz w:val="20"/>
          <w:szCs w:val="20"/>
        </w:rPr>
      </w:pPr>
    </w:p>
    <w:p w:rsidR="000121CD" w:rsidRDefault="00590862">
      <w:pPr>
        <w:pStyle w:val="NormalWeb"/>
        <w:spacing w:before="0" w:beforeAutospacing="0" w:after="0" w:afterAutospacing="0"/>
        <w:rPr>
          <w:sz w:val="20"/>
          <w:szCs w:val="20"/>
        </w:rPr>
      </w:pPr>
      <w:r>
        <w:rPr>
          <w:sz w:val="20"/>
          <w:szCs w:val="20"/>
        </w:rPr>
        <w:t xml:space="preserve">In addition, federal, state, local, foreign and provincial governments have adopted, or are considering the adoption of, environmental laws that could impose more stringent permitting; disclosure; wastewater and other waste disposal; greenhouse gas, ethane or volatile organic compound control, leak detection and repair requirements; and well construction and testing requirements on our customers’ hydraulic fracturing.  </w:t>
      </w:r>
    </w:p>
    <w:p w:rsidR="000121CD" w:rsidRDefault="00590862">
      <w:pPr>
        <w:pStyle w:val="NormalWeb"/>
        <w:spacing w:before="180" w:beforeAutospacing="0" w:after="0" w:afterAutospacing="0"/>
        <w:rPr>
          <w:sz w:val="20"/>
          <w:szCs w:val="20"/>
        </w:rPr>
      </w:pPr>
      <w:r>
        <w:rPr>
          <w:sz w:val="20"/>
          <w:szCs w:val="20"/>
        </w:rPr>
        <w:t xml:space="preserve">Environmental laws applicable to our business and the business of our customers, including environmental laws regulating the energy industry, and the interpretation or enforcement of these environmental laws, are constantly evolving; it is impossible to predict accurately the effect that changes in these environmental laws, or their interpretation or enforcement, may have upon our business, financial condition or results of operations. Should environmental laws, or their interpretation or enforcement, become more stringent, our costs, or the costs of our customers, could increase, which may have a material adverse effect on our business, financial position, results of operations or cash flows. </w:t>
      </w:r>
    </w:p>
    <w:p w:rsidR="000121CD" w:rsidRDefault="00590862">
      <w:pPr>
        <w:pStyle w:val="NormalWeb"/>
        <w:keepNext/>
        <w:spacing w:before="270" w:beforeAutospacing="0" w:after="0" w:afterAutospacing="0"/>
      </w:pPr>
      <w:r>
        <w:rPr>
          <w:b/>
          <w:bCs/>
          <w:i/>
          <w:iCs/>
          <w:sz w:val="20"/>
          <w:szCs w:val="20"/>
        </w:rPr>
        <w:t xml:space="preserve">We may not have adequate insurance for potential liabilities, including liabilities arising from litigation. </w:t>
      </w:r>
    </w:p>
    <w:p w:rsidR="000121CD" w:rsidRDefault="00590862">
      <w:pPr>
        <w:pStyle w:val="NormalWeb"/>
        <w:spacing w:before="90" w:beforeAutospacing="0" w:after="0" w:afterAutospacing="0"/>
      </w:pPr>
      <w:r>
        <w:rPr>
          <w:sz w:val="20"/>
          <w:szCs w:val="20"/>
        </w:rPr>
        <w:t>In the ordinary course of business, we have</w:t>
      </w:r>
      <w:r w:rsidR="00363587">
        <w:rPr>
          <w:sz w:val="20"/>
          <w:szCs w:val="20"/>
        </w:rPr>
        <w:t>,</w:t>
      </w:r>
      <w:r>
        <w:rPr>
          <w:sz w:val="20"/>
          <w:szCs w:val="20"/>
        </w:rPr>
        <w:t xml:space="preserve"> and in the future</w:t>
      </w:r>
      <w:r w:rsidR="00363587">
        <w:rPr>
          <w:sz w:val="20"/>
          <w:szCs w:val="20"/>
        </w:rPr>
        <w:t>,</w:t>
      </w:r>
      <w:r>
        <w:rPr>
          <w:sz w:val="20"/>
          <w:szCs w:val="20"/>
        </w:rPr>
        <w:t xml:space="preserve"> may become the subject of various claims, lawsuits and administrative proceedings seeking damages or other remedies concerning our commercial operations, the products we distribute, employees and other matters, including potential claims by individuals alleging exposure to hazardous materials as a result of the products we distribute or our operations. Some of these claims may relate to the activities of businesses that we have acquired, even though these activities may have occurred prior to our acquisition of the businesses. The products we distribute are sold primarily for use in the energy industry, which is subject to inherent risks that could result in death, personal injury, property damage, pollution, release of hazardous substances or loss of production. In addition, defects in the products we distribute could result in death, personal injury, property damage, pollution, release of hazardous substances or damage to equipment and facilities. Actual or claimed defects in the products we distribute may give rise to claims against us for losses and expose us to claims for damages. </w:t>
      </w:r>
    </w:p>
    <w:p w:rsidR="000121CD" w:rsidRDefault="00590862">
      <w:pPr>
        <w:pStyle w:val="NormalWeb"/>
        <w:spacing w:before="120" w:beforeAutospacing="0" w:after="0" w:afterAutospacing="0"/>
      </w:pPr>
      <w:r>
        <w:rPr>
          <w:sz w:val="20"/>
          <w:szCs w:val="20"/>
        </w:rPr>
        <w:t>We maintain insurance to cover certain of our potential losses, and we are subject to various self-insured retentions, deductibles and caps under our insurance. It is possible, however, that judgments could be rendered against us in cases in which we would be uninsured and beyond the amounts of insurance we have or beyond the amounts that we currently have reserved or anticipate incurring for these matters. Even a partially uninsured claim, if successful and of significant size, could have a material adverse effect on us. Furthermore, we may not be able to continue to obtain insurance on commercially reasonable terms in the future, and we may incur losses from interruption of our business that exceed our insurance coverage. Even in cases where we maintain insurance coverage, our insurers may raise various objections and exceptions to coverage that could make uncertain the timing and amount of any possible insurance recovery. Finally, while we may have insurance coverage, we cannot guarantee that the insurance carrier will have the financial wherewithal to pay a claim otherwise covered by insurance, and as a result we may be responsible for any such claims.</w:t>
      </w:r>
    </w:p>
    <w:p w:rsidR="000121CD" w:rsidRDefault="00590862">
      <w:pPr>
        <w:pStyle w:val="NormalWeb"/>
        <w:keepNext/>
        <w:spacing w:before="270" w:beforeAutospacing="0" w:after="0" w:afterAutospacing="0"/>
      </w:pPr>
      <w:r>
        <w:rPr>
          <w:b/>
          <w:bCs/>
          <w:i/>
          <w:iCs/>
          <w:sz w:val="20"/>
          <w:szCs w:val="20"/>
        </w:rPr>
        <w:lastRenderedPageBreak/>
        <w:t xml:space="preserve">Due to our position as a distributor, we are subject to personal injury, product liability and environmental claims involving allegedly defective products. </w:t>
      </w:r>
    </w:p>
    <w:p w:rsidR="000121CD" w:rsidRDefault="00590862">
      <w:pPr>
        <w:pStyle w:val="NormalWeb"/>
        <w:spacing w:before="240" w:beforeAutospacing="0" w:after="0" w:afterAutospacing="0"/>
        <w:rPr>
          <w:sz w:val="20"/>
          <w:szCs w:val="20"/>
        </w:rPr>
      </w:pPr>
      <w:r>
        <w:rPr>
          <w:sz w:val="20"/>
          <w:szCs w:val="20"/>
        </w:rPr>
        <w:t>Our customers use certain of the products we distribute in potentially hazardous applications that can result in personal injury, product liability and environmental claims. A catastrophic occurrence at a location where end users use the products we distribute may result in us being named as a defendant in lawsuits asserting potentially large claims, even though we did not manufacture the products. Applicable law may render us liable for damages without regard to negligence or fault. In particular, certain environmental laws provide for joint and several and strict liability for remediation of spills and releases of hazardous substances. Certain of these risks are reduced by the fact that we are a distributor of products that third-party manufacturers produce, and, thus, in certain circumstances, we may have third-party warranty or other claims against the manufacturer of products alleged to have been defective. However, there is no assurance that these claims could fully protect us or that the manufacturer would be able financially to provide protection. There is no assurance that our insurance coverage will cover or be adequate to cover the underlying claims. Our insurance does not provide coverage for all liabilities (including but not limited to liability for certain events involving pollution or other environmental claims). Our insurance does not cover damages from breach of contract by us or based on alleged fraud or deceptive trade practices.</w:t>
      </w:r>
    </w:p>
    <w:p w:rsidR="000121CD" w:rsidRDefault="00590862">
      <w:pPr>
        <w:pStyle w:val="NormalWeb"/>
        <w:spacing w:before="240" w:beforeAutospacing="0" w:after="0" w:afterAutospacing="0"/>
      </w:pPr>
      <w:r>
        <w:rPr>
          <w:b/>
          <w:bCs/>
          <w:i/>
          <w:iCs/>
          <w:sz w:val="20"/>
          <w:szCs w:val="20"/>
        </w:rPr>
        <w:t xml:space="preserve">We are a defendant in asbestos-related lawsuits. Exposure to these and any future lawsuits could have a material adverse effect on us. </w:t>
      </w:r>
    </w:p>
    <w:p w:rsidR="000121CD" w:rsidRPr="00582995" w:rsidRDefault="00590862" w:rsidP="00582995">
      <w:pPr>
        <w:rPr>
          <w:sz w:val="20"/>
        </w:rPr>
      </w:pPr>
      <w:r>
        <w:rPr>
          <w:sz w:val="20"/>
        </w:rPr>
        <w:t>We are a defendant in lawsuits involving approximately 1,</w:t>
      </w:r>
      <w:r w:rsidR="0090423E">
        <w:rPr>
          <w:sz w:val="20"/>
        </w:rPr>
        <w:t>173</w:t>
      </w:r>
      <w:r>
        <w:rPr>
          <w:sz w:val="20"/>
        </w:rPr>
        <w:t xml:space="preserve"> claims, arising from exposure to asbestos-containing materials included in products that we are alleged to have distributed. Each claim involves allegations of exposure to asbestos-containing materials by a single individual, his or her spouse or family members. The complaints in these lawsuits typically name many other defendants. In the majority of these lawsuits, little or no information is known regarding the nature of the plaintiffs’ alleged injuries or their connection with the products we distributed. </w:t>
      </w:r>
      <w:r w:rsidR="000A521D">
        <w:rPr>
          <w:sz w:val="20"/>
        </w:rPr>
        <w:t>The</w:t>
      </w:r>
      <w:r>
        <w:rPr>
          <w:sz w:val="20"/>
        </w:rPr>
        <w:t xml:space="preserve"> potential liability associated with asbestos claims is subject to many uncertainties, including negative trends with respect to settlement payments, dismissal rates and the types of medical conditions alleged in pending or future claims, negative developments in the claims pending against us, the current or future insolvency of co-defendants, adverse changes in relevant laws or the interpretation of those laws and the extent to which insurance will be available to pay for defense costs, judgments or settlements. </w:t>
      </w:r>
      <w:r w:rsidR="00582995">
        <w:rPr>
          <w:sz w:val="20"/>
        </w:rPr>
        <w:t xml:space="preserve">In addition, applicable insurance policies are subject to overall caps on limits, which coverage may exhaust the amount available from insurers under those limits.  In those cases, the Company would seek indemnity payments from excess insurance policies, but the insurers that issued those policies </w:t>
      </w:r>
      <w:r w:rsidR="000A521D">
        <w:rPr>
          <w:sz w:val="20"/>
        </w:rPr>
        <w:t>may not be</w:t>
      </w:r>
      <w:r w:rsidR="00582995">
        <w:rPr>
          <w:sz w:val="20"/>
        </w:rPr>
        <w:t xml:space="preserve"> solvent or </w:t>
      </w:r>
      <w:r w:rsidR="000A521D">
        <w:rPr>
          <w:sz w:val="20"/>
        </w:rPr>
        <w:t xml:space="preserve">may not </w:t>
      </w:r>
      <w:r w:rsidR="00582995">
        <w:rPr>
          <w:sz w:val="20"/>
        </w:rPr>
        <w:t xml:space="preserve">make payments under the policies without contesting their liability.  </w:t>
      </w:r>
      <w:r>
        <w:rPr>
          <w:sz w:val="20"/>
        </w:rPr>
        <w:t xml:space="preserve">Further, while we anticipate that additional claims will be filed against us in the future, we are unable to predict with any certainty the number, timing and magnitude of future claims. Therefore, pending or future asbestos litigation </w:t>
      </w:r>
      <w:r w:rsidR="000A521D">
        <w:rPr>
          <w:sz w:val="20"/>
        </w:rPr>
        <w:t>may</w:t>
      </w:r>
      <w:r>
        <w:rPr>
          <w:sz w:val="20"/>
        </w:rPr>
        <w:t xml:space="preserve"> ultimately have a material adverse effect on us. See “Item 7—Management’s Discussion and Analysis of Financial Condition and Results of Operations—Contractual Obligations, Commitments and Contingencies—Legal Proceedings” and “Item 3—Legal Proceedings” for more information. </w:t>
      </w:r>
    </w:p>
    <w:p w:rsidR="000121CD" w:rsidRDefault="00590862">
      <w:pPr>
        <w:pStyle w:val="NormalWeb"/>
        <w:keepNext/>
        <w:spacing w:before="270" w:beforeAutospacing="0" w:after="0" w:afterAutospacing="0"/>
      </w:pPr>
      <w:r>
        <w:rPr>
          <w:b/>
          <w:bCs/>
          <w:i/>
          <w:iCs/>
          <w:sz w:val="20"/>
          <w:szCs w:val="20"/>
        </w:rPr>
        <w:t xml:space="preserve">If we lose any of our key personnel, we may be unable to effectively manage our business or continue our growth. </w:t>
      </w:r>
    </w:p>
    <w:p w:rsidR="000121CD" w:rsidRDefault="00590862">
      <w:pPr>
        <w:pStyle w:val="NormalWeb"/>
        <w:spacing w:before="90" w:beforeAutospacing="0" w:after="0" w:afterAutospacing="0"/>
        <w:rPr>
          <w:sz w:val="20"/>
          <w:szCs w:val="20"/>
        </w:rPr>
      </w:pPr>
      <w:r>
        <w:rPr>
          <w:sz w:val="20"/>
          <w:szCs w:val="20"/>
        </w:rPr>
        <w:t xml:space="preserve">Our future performance depends to a significant degree upon the continued contributions of our management team and our ability to attract, hire, train and retain qualified managerial, sales and marketing personnel. In particular, we rely on our sales and marketing teams to create innovative ways to generate demand for the products we distribute. The loss or unavailability to us of any member of our management team or a key sales or marketing employee could have a material adverse effect on us to the extent we are unable to timely find adequate replacements. We face competition for these professionals from our competitors, our customers and other companies operating in our industry. We may be unsuccessful in attracting, hiring, training and retaining qualified personnel. </w:t>
      </w:r>
    </w:p>
    <w:p w:rsidR="00582995" w:rsidRDefault="00466DD8" w:rsidP="00582995">
      <w:pPr>
        <w:spacing w:before="180"/>
        <w:rPr>
          <w:b/>
          <w:i/>
          <w:sz w:val="20"/>
        </w:rPr>
      </w:pPr>
      <w:r>
        <w:rPr>
          <w:b/>
          <w:i/>
          <w:sz w:val="20"/>
        </w:rPr>
        <w:t>Adverse health events, such as</w:t>
      </w:r>
      <w:r w:rsidR="00582995">
        <w:rPr>
          <w:b/>
          <w:i/>
          <w:sz w:val="20"/>
        </w:rPr>
        <w:t xml:space="preserve"> a pandemic</w:t>
      </w:r>
      <w:r>
        <w:rPr>
          <w:b/>
          <w:i/>
          <w:sz w:val="20"/>
        </w:rPr>
        <w:t>,</w:t>
      </w:r>
      <w:r w:rsidR="00582995">
        <w:rPr>
          <w:b/>
          <w:i/>
          <w:sz w:val="20"/>
        </w:rPr>
        <w:t xml:space="preserve"> could adversely impact our business</w:t>
      </w:r>
      <w:r w:rsidR="008E37BA">
        <w:rPr>
          <w:b/>
          <w:i/>
          <w:sz w:val="20"/>
        </w:rPr>
        <w:t>.</w:t>
      </w:r>
    </w:p>
    <w:p w:rsidR="00582995" w:rsidRDefault="00582995" w:rsidP="00582995">
      <w:pPr>
        <w:spacing w:before="180"/>
        <w:rPr>
          <w:sz w:val="20"/>
        </w:rPr>
      </w:pPr>
      <w:r>
        <w:rPr>
          <w:sz w:val="20"/>
        </w:rPr>
        <w:t xml:space="preserve">From time to time, various diseases have spread across the globe such as SARS, avian flu and the coronavirus.  If a disease spreads sufficiently to cause </w:t>
      </w:r>
      <w:r w:rsidR="00466DD8">
        <w:rPr>
          <w:sz w:val="20"/>
        </w:rPr>
        <w:t xml:space="preserve">an epidemic or </w:t>
      </w:r>
      <w:r>
        <w:rPr>
          <w:sz w:val="20"/>
        </w:rPr>
        <w:t xml:space="preserve">a pandemic, the </w:t>
      </w:r>
      <w:r w:rsidR="004C04C4">
        <w:rPr>
          <w:sz w:val="20"/>
        </w:rPr>
        <w:t>ability</w:t>
      </w:r>
      <w:r>
        <w:rPr>
          <w:sz w:val="20"/>
        </w:rPr>
        <w:t xml:space="preserve"> to operate our business or the businesses of our suppliers, contractors or customers could be </w:t>
      </w:r>
      <w:r w:rsidR="00E6298E">
        <w:rPr>
          <w:sz w:val="20"/>
        </w:rPr>
        <w:t>reduced</w:t>
      </w:r>
      <w:r>
        <w:rPr>
          <w:sz w:val="20"/>
        </w:rPr>
        <w:t xml:space="preserve">.  </w:t>
      </w:r>
      <w:r w:rsidR="00951117">
        <w:rPr>
          <w:sz w:val="20"/>
        </w:rPr>
        <w:t xml:space="preserve">In addition, our supply chain that spans over 40 countries could be </w:t>
      </w:r>
      <w:r w:rsidR="00E6298E">
        <w:rPr>
          <w:sz w:val="20"/>
        </w:rPr>
        <w:t>negatively impacted</w:t>
      </w:r>
      <w:r w:rsidR="00951117">
        <w:rPr>
          <w:sz w:val="20"/>
        </w:rPr>
        <w:t xml:space="preserve">.  </w:t>
      </w:r>
      <w:r>
        <w:rPr>
          <w:sz w:val="20"/>
        </w:rPr>
        <w:t>Such a</w:t>
      </w:r>
      <w:r w:rsidR="00396644">
        <w:rPr>
          <w:sz w:val="20"/>
        </w:rPr>
        <w:t xml:space="preserve">n adverse health event </w:t>
      </w:r>
      <w:r>
        <w:rPr>
          <w:sz w:val="20"/>
        </w:rPr>
        <w:t>could adversely impact our business.</w:t>
      </w:r>
    </w:p>
    <w:p w:rsidR="000121CD" w:rsidRDefault="00590862">
      <w:pPr>
        <w:pStyle w:val="NormalWeb"/>
        <w:keepNext/>
        <w:spacing w:before="270" w:beforeAutospacing="0" w:after="0" w:afterAutospacing="0"/>
      </w:pPr>
      <w:r>
        <w:rPr>
          <w:b/>
          <w:bCs/>
          <w:i/>
          <w:iCs/>
          <w:sz w:val="20"/>
          <w:szCs w:val="20"/>
        </w:rPr>
        <w:t xml:space="preserve">Interruptions in the proper functioning of our information systems could disrupt operations and cause increases in costs or decreases in revenue. </w:t>
      </w:r>
    </w:p>
    <w:p w:rsidR="000121CD" w:rsidRDefault="00590862">
      <w:pPr>
        <w:pStyle w:val="NormalWeb"/>
        <w:spacing w:before="90" w:beforeAutospacing="0" w:after="0" w:afterAutospacing="0"/>
        <w:rPr>
          <w:sz w:val="20"/>
          <w:szCs w:val="20"/>
        </w:rPr>
      </w:pPr>
      <w:r>
        <w:rPr>
          <w:sz w:val="20"/>
          <w:szCs w:val="20"/>
        </w:rPr>
        <w:t xml:space="preserve">The proper functioning of our information systems is critical to the successful operation of our business. We depend on our information management systems to process orders, track credit risk, purchase, and manage inventory and monitor accounts receivable collections. Our information systems also allow us to efficiently purchase products from our vendors and ship products to our customers on a timely basis, maintain cost-effective operations and provide superior service to our customers. However, our information systems are vulnerable to natural disasters, power losses, telecommunication failures, cyber incidents and other problems. If critical information systems fail or are otherwise unavailable, our ability to procure products to sell, process and ship customer orders, identify business opportunities, maintain proper levels of inventories, collect accounts receivable and pay accounts payable and expenses could be adversely affected. In addition, the cost to repair, modify or replace all or part of our information systems or </w:t>
      </w:r>
      <w:r>
        <w:rPr>
          <w:sz w:val="20"/>
          <w:szCs w:val="20"/>
        </w:rPr>
        <w:lastRenderedPageBreak/>
        <w:t xml:space="preserve">consolidate one or more systems onto one information technology platform, whether by necessity or choice, would require a significant cash investment on the part of the Company. Our ability to integrate our systems with our customers’ systems would also be significantly affected. We maintain information systems controls designed to protect against, among other things, unauthorized program changes and unauthorized access to data on our information systems. If our information systems controls do not function properly, we face increased risks of unexpected errors and unreliable financial data or theft of proprietary Company information. </w:t>
      </w:r>
    </w:p>
    <w:p w:rsidR="000121CD" w:rsidRDefault="00590862">
      <w:pPr>
        <w:keepNext/>
        <w:spacing w:before="270"/>
        <w:rPr>
          <w:sz w:val="20"/>
        </w:rPr>
      </w:pPr>
      <w:r>
        <w:rPr>
          <w:b/>
          <w:bCs/>
          <w:i/>
          <w:iCs/>
          <w:sz w:val="20"/>
        </w:rPr>
        <w:t xml:space="preserve">The occurrence of cyber incidents, or a deficiency in our cybersecurity, could negatively impact our business by causing a disruption to our operations, a compromise or corruption of our confidential information or damage to our Company’s image or reputation, all of which could negatively impact our financial results. </w:t>
      </w:r>
    </w:p>
    <w:p w:rsidR="000121CD" w:rsidRDefault="00590862">
      <w:pPr>
        <w:spacing w:before="90"/>
        <w:rPr>
          <w:sz w:val="20"/>
        </w:rPr>
      </w:pPr>
      <w:r>
        <w:rPr>
          <w:sz w:val="20"/>
        </w:rPr>
        <w:t xml:space="preserve">A cyber incident is considered to be any adverse event that threatens the confidentiality, integrity or availability of our information resources. More specifically, a cyber incident is an intentional attack or an unintentional event that can include gaining unauthorized access to systems to disrupt operations, corrupt data or steal confidential information. As our reliance on technology has increased, so have the risks posed to our systems, both internal and those we have outsourced. Our three primary risks that could directly result from the occurrence of a cyber incident include operational interruption, damage to our Company’s reputation and image and private data exposure. We have implemented hardware and software solutions, processes, training and procedures to help mitigate this risk, but these measures, as well as our organization’s increased awareness of our risk of a cyber incident, </w:t>
      </w:r>
      <w:r w:rsidR="000A521D">
        <w:rPr>
          <w:sz w:val="20"/>
        </w:rPr>
        <w:t xml:space="preserve">such measures may fail and </w:t>
      </w:r>
      <w:r>
        <w:rPr>
          <w:sz w:val="20"/>
        </w:rPr>
        <w:t xml:space="preserve">do not guarantee that our financial results and operations will not be negatively impacted by such an incident. While we also have some insurance to protect against the financial damage that a cyber incident could cause, the insurance </w:t>
      </w:r>
      <w:r w:rsidR="000A521D">
        <w:rPr>
          <w:sz w:val="20"/>
        </w:rPr>
        <w:t>may not</w:t>
      </w:r>
      <w:r>
        <w:rPr>
          <w:sz w:val="20"/>
        </w:rPr>
        <w:t xml:space="preserve"> be adequate for every type of incident to protect against the financial damages that could occur. In some incidents, the Company may be required to shut off its computer systems, reboot them and reestablish its information from back up sources. In other incidents, the Company may be required under various laws to notify any third parties whose data has been compromised. These incidents can adversely affect us.</w:t>
      </w:r>
    </w:p>
    <w:p w:rsidR="000121CD" w:rsidRDefault="00590862">
      <w:pPr>
        <w:keepNext/>
        <w:spacing w:before="90"/>
        <w:rPr>
          <w:sz w:val="20"/>
        </w:rPr>
      </w:pPr>
      <w:r>
        <w:rPr>
          <w:sz w:val="20"/>
        </w:rPr>
        <w:t>Among others, cyber incidents could include the following:</w:t>
      </w:r>
    </w:p>
    <w:p w:rsidR="000121CD" w:rsidRDefault="00590862">
      <w:pPr>
        <w:keepNext/>
        <w:numPr>
          <w:ilvl w:val="0"/>
          <w:numId w:val="29"/>
        </w:numPr>
        <w:spacing w:before="90"/>
        <w:rPr>
          <w:sz w:val="20"/>
        </w:rPr>
      </w:pPr>
      <w:r>
        <w:rPr>
          <w:sz w:val="20"/>
        </w:rPr>
        <w:t xml:space="preserve">Denial of service attacks, whereby third parties attempt to slow down or shut down our computer systems by overloading information interfaces, which in turn, could interrupt our operations.  </w:t>
      </w:r>
    </w:p>
    <w:p w:rsidR="000121CD" w:rsidRDefault="00590862">
      <w:pPr>
        <w:numPr>
          <w:ilvl w:val="0"/>
          <w:numId w:val="29"/>
        </w:numPr>
        <w:spacing w:before="90"/>
        <w:rPr>
          <w:sz w:val="20"/>
        </w:rPr>
      </w:pPr>
      <w:r>
        <w:rPr>
          <w:sz w:val="20"/>
        </w:rPr>
        <w:t xml:space="preserve">Computer virus software that infects our computer systems to either allow third parties unauthorized access to private, confidential data or denies the Company access from its own information, often for the attacker’s financial gain by demanding a ransom.   </w:t>
      </w:r>
    </w:p>
    <w:p w:rsidR="000121CD" w:rsidRDefault="00590862">
      <w:pPr>
        <w:numPr>
          <w:ilvl w:val="0"/>
          <w:numId w:val="29"/>
        </w:numPr>
        <w:spacing w:before="90"/>
        <w:rPr>
          <w:sz w:val="20"/>
        </w:rPr>
      </w:pPr>
      <w:r>
        <w:rPr>
          <w:sz w:val="20"/>
        </w:rPr>
        <w:t>Theft of private information. An unauthorized disclosure of sensitive or confidential supplier, customer or Company information or employee information could cause a theft or unwanted disclosure of data.</w:t>
      </w:r>
    </w:p>
    <w:p w:rsidR="000121CD" w:rsidRDefault="00590862">
      <w:pPr>
        <w:numPr>
          <w:ilvl w:val="0"/>
          <w:numId w:val="29"/>
        </w:numPr>
        <w:spacing w:before="90"/>
        <w:rPr>
          <w:sz w:val="20"/>
        </w:rPr>
      </w:pPr>
      <w:r>
        <w:rPr>
          <w:sz w:val="20"/>
        </w:rPr>
        <w:t xml:space="preserve">E-mail or other forms of spoofing or “phishing” whereby third parties attempt to trick or induce employees to provide private information, such as passwords, social security numbers or other identifying information, to allow the third party to fraudulently attempt to invoice the Company or gain access to the Company’s computer systems.  </w:t>
      </w:r>
    </w:p>
    <w:p w:rsidR="000121CD" w:rsidRDefault="00590862">
      <w:pPr>
        <w:numPr>
          <w:ilvl w:val="0"/>
          <w:numId w:val="29"/>
        </w:numPr>
        <w:spacing w:before="90"/>
        <w:rPr>
          <w:sz w:val="20"/>
        </w:rPr>
      </w:pPr>
      <w:r>
        <w:rPr>
          <w:sz w:val="20"/>
        </w:rPr>
        <w:t xml:space="preserve">Intrusion into payment systems. The Company does not generally accept credit cards for payment as most of its customers are industrial and energy companies who provide payment through invoicing processes. Even so, a portion of our payment methods also subject us to potential fraud and theft by criminals, who are becoming increasingly more sophisticated, seeking to obtain unauthorized access to or exploit weaknesses that may exist in the payment systems. </w:t>
      </w:r>
    </w:p>
    <w:p w:rsidR="000121CD" w:rsidRDefault="00590862">
      <w:pPr>
        <w:numPr>
          <w:ilvl w:val="0"/>
          <w:numId w:val="29"/>
        </w:numPr>
        <w:spacing w:before="90"/>
        <w:rPr>
          <w:sz w:val="20"/>
        </w:rPr>
      </w:pPr>
      <w:r>
        <w:rPr>
          <w:sz w:val="20"/>
        </w:rPr>
        <w:t>Supplier or customer cyber incidents. Our suppliers and customers also rely upon computer information systems to operate their respective businesses. If any of them experience a cyber incident, this could adversely impact their operations. Suppliers could delay providing product to us for our distribution to our customers. Customers, especially those who do business with us through electronic data interchanges, could be negatively impacted by cyber incidents applicable to them, which, could slow order processing from them or payments to us.</w:t>
      </w:r>
    </w:p>
    <w:p w:rsidR="000121CD" w:rsidRDefault="00590862">
      <w:pPr>
        <w:numPr>
          <w:ilvl w:val="0"/>
          <w:numId w:val="29"/>
        </w:numPr>
        <w:spacing w:before="90"/>
        <w:rPr>
          <w:rFonts w:ascii="Calibri" w:hAnsi="Calibri"/>
          <w:sz w:val="20"/>
        </w:rPr>
      </w:pPr>
      <w:r>
        <w:rPr>
          <w:sz w:val="20"/>
        </w:rPr>
        <w:t xml:space="preserve">Cyber incidents applicable to outsourced information systems. We outsource the operations of a significant portion of our computer information systems to third party service providers, which store our information on hosted or cloud systems. Although we review their security precautions with them and attempt to hold them contractually responsible for cyber incidents applicable to our information on their systems these vendors </w:t>
      </w:r>
      <w:r w:rsidR="000A521D">
        <w:rPr>
          <w:sz w:val="20"/>
        </w:rPr>
        <w:t xml:space="preserve">may not </w:t>
      </w:r>
      <w:r>
        <w:rPr>
          <w:sz w:val="20"/>
        </w:rPr>
        <w:t xml:space="preserve">maintain adequate security to stop an incident, inform us of an incident in a timely manner or perform as required in their agreements.  </w:t>
      </w:r>
    </w:p>
    <w:p w:rsidR="000121CD" w:rsidRDefault="00590862">
      <w:pPr>
        <w:pStyle w:val="NormalWeb"/>
        <w:keepNext/>
        <w:spacing w:before="270" w:beforeAutospacing="0" w:after="0" w:afterAutospacing="0"/>
      </w:pPr>
      <w:r>
        <w:rPr>
          <w:b/>
          <w:bCs/>
          <w:i/>
          <w:iCs/>
          <w:sz w:val="20"/>
          <w:szCs w:val="20"/>
        </w:rPr>
        <w:t xml:space="preserve">The loss of third-party transportation providers upon whom we depend, or conditions negatively affecting the transportation industry, could increase our costs or cause a disruption in our operations. </w:t>
      </w:r>
    </w:p>
    <w:p w:rsidR="000121CD" w:rsidRDefault="00590862">
      <w:pPr>
        <w:pStyle w:val="NormalWeb"/>
        <w:spacing w:before="90" w:beforeAutospacing="0" w:after="0" w:afterAutospacing="0"/>
      </w:pPr>
      <w:r>
        <w:rPr>
          <w:sz w:val="20"/>
          <w:szCs w:val="20"/>
        </w:rPr>
        <w:t xml:space="preserve">We depend upon third-party transportation providers for delivery of products to our customers. Strikes, slowdowns, transportation disruptions or other conditions in the transportation industry, including, among others, shortages of truck drivers, disruptions in rail service, increases in fuel prices and adverse weather conditions, could increase our costs and disrupt our operations and our ability to service our customers on a timely basis. We cannot predict whether or to what extent increases or anticipated increases in fuel prices may impact our costs or cause a disruption in our operations going forward. </w:t>
      </w:r>
    </w:p>
    <w:p w:rsidR="000121CD" w:rsidRDefault="00590862">
      <w:pPr>
        <w:pStyle w:val="NormalWeb"/>
        <w:keepNext/>
        <w:spacing w:before="270" w:beforeAutospacing="0" w:after="0" w:afterAutospacing="0"/>
      </w:pPr>
      <w:r>
        <w:rPr>
          <w:b/>
          <w:bCs/>
          <w:i/>
          <w:iCs/>
          <w:sz w:val="20"/>
          <w:szCs w:val="20"/>
        </w:rPr>
        <w:lastRenderedPageBreak/>
        <w:t xml:space="preserve">We may need additional capital in the future, and it may not be available on acceptable terms, or at all. </w:t>
      </w:r>
    </w:p>
    <w:p w:rsidR="000121CD" w:rsidRDefault="00590862">
      <w:pPr>
        <w:pStyle w:val="NormalWeb"/>
        <w:keepNext/>
        <w:spacing w:before="90" w:beforeAutospacing="0" w:after="0" w:afterAutospacing="0"/>
      </w:pPr>
      <w:r>
        <w:rPr>
          <w:sz w:val="20"/>
          <w:szCs w:val="20"/>
        </w:rPr>
        <w:t xml:space="preserve">We may require more capital in the future to: </w:t>
      </w:r>
    </w:p>
    <w:p w:rsidR="000121CD" w:rsidRDefault="00590862">
      <w:pPr>
        <w:pStyle w:val="NormalWeb"/>
        <w:numPr>
          <w:ilvl w:val="0"/>
          <w:numId w:val="27"/>
        </w:numPr>
        <w:spacing w:before="90" w:beforeAutospacing="0" w:after="0" w:afterAutospacing="0"/>
        <w:rPr>
          <w:sz w:val="20"/>
          <w:szCs w:val="20"/>
        </w:rPr>
      </w:pPr>
      <w:r>
        <w:rPr>
          <w:sz w:val="20"/>
          <w:szCs w:val="20"/>
        </w:rPr>
        <w:t xml:space="preserve">fund our operations; </w:t>
      </w:r>
    </w:p>
    <w:p w:rsidR="000121CD" w:rsidRDefault="00590862">
      <w:pPr>
        <w:pStyle w:val="NormalWeb"/>
        <w:numPr>
          <w:ilvl w:val="0"/>
          <w:numId w:val="27"/>
        </w:numPr>
        <w:spacing w:before="90" w:beforeAutospacing="0" w:after="0" w:afterAutospacing="0"/>
        <w:rPr>
          <w:sz w:val="20"/>
          <w:szCs w:val="20"/>
        </w:rPr>
      </w:pPr>
      <w:r>
        <w:rPr>
          <w:sz w:val="20"/>
          <w:szCs w:val="20"/>
        </w:rPr>
        <w:t xml:space="preserve">finance investments in equipment and infrastructure needed to maintain and expand our distribution capabilities;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enhance and expand the range of products we offer; and </w:t>
      </w:r>
    </w:p>
    <w:p w:rsidR="000121CD" w:rsidRDefault="00590862">
      <w:pPr>
        <w:pStyle w:val="NormalWeb"/>
        <w:numPr>
          <w:ilvl w:val="0"/>
          <w:numId w:val="27"/>
        </w:numPr>
        <w:spacing w:before="90" w:beforeAutospacing="0" w:after="0" w:afterAutospacing="0"/>
        <w:rPr>
          <w:sz w:val="20"/>
          <w:szCs w:val="20"/>
        </w:rPr>
      </w:pPr>
      <w:r>
        <w:rPr>
          <w:sz w:val="20"/>
          <w:szCs w:val="20"/>
        </w:rPr>
        <w:t xml:space="preserve">respond to potential strategic opportunities, such as investments, acquisitions and international expansion. </w:t>
      </w:r>
    </w:p>
    <w:p w:rsidR="000121CD" w:rsidRDefault="000A521D">
      <w:pPr>
        <w:pStyle w:val="NormalWeb"/>
        <w:spacing w:before="180" w:beforeAutospacing="0" w:after="0" w:afterAutospacing="0"/>
      </w:pPr>
      <w:r>
        <w:rPr>
          <w:sz w:val="20"/>
          <w:szCs w:val="20"/>
        </w:rPr>
        <w:t>A</w:t>
      </w:r>
      <w:r w:rsidR="00590862">
        <w:rPr>
          <w:sz w:val="20"/>
          <w:szCs w:val="20"/>
        </w:rPr>
        <w:t xml:space="preserve">dditional financing </w:t>
      </w:r>
      <w:r>
        <w:rPr>
          <w:sz w:val="20"/>
          <w:szCs w:val="20"/>
        </w:rPr>
        <w:t>may not</w:t>
      </w:r>
      <w:r w:rsidR="00590862">
        <w:rPr>
          <w:sz w:val="20"/>
          <w:szCs w:val="20"/>
        </w:rPr>
        <w:t xml:space="preserve"> be available on terms favorable to us, or at all. The terms of available financing may place limits on our financial and operating flexibility. If adequate funds are not available on acceptable terms, we may be forced to reduce our operations or delay, limit or abandon expansion opportunities. Moreover, even if we are able to continue our operations, the failure to obtain additional financing could reduce our competitiveness. </w:t>
      </w:r>
    </w:p>
    <w:p w:rsidR="000121CD" w:rsidRDefault="00590862">
      <w:pPr>
        <w:pStyle w:val="NormalWeb"/>
        <w:keepNext/>
        <w:spacing w:before="270" w:beforeAutospacing="0" w:after="0" w:afterAutospacing="0"/>
      </w:pPr>
      <w:r>
        <w:rPr>
          <w:b/>
          <w:bCs/>
          <w:i/>
          <w:iCs/>
          <w:sz w:val="20"/>
          <w:szCs w:val="20"/>
        </w:rPr>
        <w:t xml:space="preserve">Adverse weather events or natural disasters could negatively affect our local economies or disrupt our operations. </w:t>
      </w:r>
    </w:p>
    <w:p w:rsidR="000121CD" w:rsidRDefault="00590862">
      <w:pPr>
        <w:pStyle w:val="NormalWeb"/>
        <w:spacing w:before="90" w:beforeAutospacing="0" w:after="0" w:afterAutospacing="0"/>
      </w:pPr>
      <w:r>
        <w:rPr>
          <w:sz w:val="20"/>
        </w:rPr>
        <w:t xml:space="preserve">Certain areas in which we operate have been susceptible to more frequent and more severe weather events, such as hurricanes, tornadoes and floods and to natural disasters such as earthquakes. These </w:t>
      </w:r>
      <w:r>
        <w:rPr>
          <w:sz w:val="20"/>
          <w:szCs w:val="20"/>
        </w:rPr>
        <w:t xml:space="preserve">events can disrupt our operations, result in damage to our properties and negatively affect the local economies in which we operate. Additionally, we may experience communication disruptions with our customers, vendors and employees. These events can cause physical damage to our branches and require us to close branches. Additionally, our sales order backlog and shipments can experience a temporary decline immediately following these events. </w:t>
      </w:r>
    </w:p>
    <w:p w:rsidR="000121CD" w:rsidRDefault="00590862">
      <w:pPr>
        <w:pStyle w:val="NormalWeb"/>
        <w:spacing w:before="180" w:beforeAutospacing="0" w:after="0" w:afterAutospacing="0"/>
      </w:pPr>
      <w:r>
        <w:rPr>
          <w:sz w:val="20"/>
          <w:szCs w:val="20"/>
        </w:rPr>
        <w:t xml:space="preserve">We cannot predict whether or to what extent damage caused by these events will affect our operations or the economies in regions where we operate. These adverse events could result in disruption of our purchasing or distribution capabilities, interruption of our business that exceeds our insurance coverage, our inability to collect from customers and increased operating costs. Our business or results of operations may be adversely affected by these and other negative effects of these events. </w:t>
      </w:r>
    </w:p>
    <w:p w:rsidR="000121CD" w:rsidRDefault="00590862">
      <w:pPr>
        <w:pStyle w:val="NormalWeb"/>
        <w:keepNext/>
        <w:spacing w:before="270" w:beforeAutospacing="0" w:after="0" w:afterAutospacing="0"/>
      </w:pPr>
      <w:r>
        <w:rPr>
          <w:b/>
          <w:bCs/>
          <w:i/>
          <w:iCs/>
          <w:sz w:val="20"/>
          <w:szCs w:val="20"/>
        </w:rPr>
        <w:t xml:space="preserve">We have a substantial amount of goodwill and other intangible assets recorded on our balance sheet, partly because of acquisitions and business combination transactions. The amortization of acquired intangible assets will reduce our future reported earnings. Furthermore, if our goodwill or other intangible assets become impaired, we may be required to recognize non-cash charges that would reduce our income. </w:t>
      </w:r>
    </w:p>
    <w:p w:rsidR="000121CD" w:rsidRDefault="00590862">
      <w:pPr>
        <w:pStyle w:val="NormalWeb"/>
        <w:spacing w:before="90" w:beforeAutospacing="0" w:after="0" w:afterAutospacing="0"/>
      </w:pPr>
      <w:r>
        <w:rPr>
          <w:sz w:val="20"/>
          <w:szCs w:val="20"/>
        </w:rPr>
        <w:t xml:space="preserve">As of </w:t>
      </w:r>
      <w:r w:rsidR="003627E3" w:rsidRPr="003A4344">
        <w:rPr>
          <w:sz w:val="20"/>
          <w:szCs w:val="20"/>
        </w:rPr>
        <w:t>December 31, 2019</w:t>
      </w:r>
      <w:r>
        <w:rPr>
          <w:sz w:val="20"/>
          <w:szCs w:val="20"/>
        </w:rPr>
        <w:t>, we had $</w:t>
      </w:r>
      <w:r w:rsidR="002C1865">
        <w:rPr>
          <w:sz w:val="20"/>
          <w:szCs w:val="20"/>
        </w:rPr>
        <w:t>764</w:t>
      </w:r>
      <w:r>
        <w:rPr>
          <w:sz w:val="20"/>
          <w:szCs w:val="20"/>
        </w:rPr>
        <w:t xml:space="preserve"> million of goodwill and other intangibles recorded on our consolidated balance sheet. A substantial portion of these intangible assets results from our use of purchase accounting in connection with the acquisitions we have made over the past several years. In accordance with the purchase accounting method, the excess of the cost of an acquisition over the fair value of identifiable tangible and intangible assets is assigned to goodwill. The amortization expense associated with our identifiable intangible assets will have a negative effect on our future reported earnings. Many other companies, including many of our competitors, may not have the significant acquired intangible assets that we have because they may not have participated in recent acquisitions and business combination transactions similar to ours. Thus, the amortization of identifiable intangible assets may not negatively affect their reported earnings to the same degree as ours. </w:t>
      </w:r>
    </w:p>
    <w:p w:rsidR="000121CD" w:rsidRDefault="00590862">
      <w:pPr>
        <w:pStyle w:val="NormalWeb"/>
        <w:spacing w:before="180" w:beforeAutospacing="0" w:after="0" w:afterAutospacing="0"/>
        <w:rPr>
          <w:sz w:val="20"/>
        </w:rPr>
      </w:pPr>
      <w:r>
        <w:rPr>
          <w:sz w:val="20"/>
          <w:szCs w:val="20"/>
        </w:rPr>
        <w:t xml:space="preserve">Additionally, under U.S. generally accepted accounting principles, goodwill and certain other indefinite-lived intangible assets are not amortized, but must be reviewed for possible impairment annually, or more often in certain circumstances where events indicate that the asset values are not recoverable. These reviews could result in an earnings charge for impairment, which would reduce our net income even though there would be no impact on our underlying cash flow.  </w:t>
      </w:r>
    </w:p>
    <w:p w:rsidR="000121CD" w:rsidRDefault="00590862" w:rsidP="00582995">
      <w:pPr>
        <w:pStyle w:val="NormalWeb"/>
        <w:keepNext/>
        <w:keepLines/>
        <w:widowControl w:val="0"/>
        <w:spacing w:before="180" w:beforeAutospacing="0" w:after="0" w:afterAutospacing="0"/>
      </w:pPr>
      <w:r>
        <w:rPr>
          <w:b/>
          <w:bCs/>
          <w:i/>
          <w:iCs/>
          <w:sz w:val="20"/>
          <w:szCs w:val="20"/>
        </w:rPr>
        <w:t xml:space="preserve">We face risks associated with conducting business in markets outside of North America. </w:t>
      </w:r>
    </w:p>
    <w:p w:rsidR="000121CD" w:rsidRDefault="00590862" w:rsidP="00582995">
      <w:pPr>
        <w:pStyle w:val="NormalWeb"/>
        <w:keepNext/>
        <w:keepLines/>
        <w:widowControl w:val="0"/>
        <w:spacing w:before="90" w:beforeAutospacing="0" w:after="0" w:afterAutospacing="0"/>
      </w:pPr>
      <w:r>
        <w:rPr>
          <w:sz w:val="20"/>
          <w:szCs w:val="20"/>
        </w:rPr>
        <w:t xml:space="preserve">We currently conduct substantial business in countries outside of North America. We could be materially and adversely affected by economic, legal, political and regulatory developments in the countries in which we do business in the future or in which we expand our business, particularly those countries which have historically experienced a high degree of political or economic instability. Examples of risks inherent in such non-North American activities include: </w:t>
      </w:r>
    </w:p>
    <w:p w:rsidR="000121CD" w:rsidRDefault="00590862">
      <w:pPr>
        <w:pStyle w:val="NormalWeb"/>
        <w:numPr>
          <w:ilvl w:val="0"/>
          <w:numId w:val="27"/>
        </w:numPr>
        <w:spacing w:before="90" w:beforeAutospacing="0" w:after="0" w:afterAutospacing="0"/>
        <w:rPr>
          <w:sz w:val="20"/>
          <w:szCs w:val="20"/>
        </w:rPr>
      </w:pPr>
      <w:r>
        <w:rPr>
          <w:sz w:val="20"/>
          <w:szCs w:val="20"/>
        </w:rPr>
        <w:t xml:space="preserve">changes in the political and economic conditions in the countries in which we operate, including civil uprisings and terrorist acts; </w:t>
      </w:r>
    </w:p>
    <w:p w:rsidR="000121CD" w:rsidRDefault="00590862">
      <w:pPr>
        <w:pStyle w:val="NormalWeb"/>
        <w:numPr>
          <w:ilvl w:val="0"/>
          <w:numId w:val="27"/>
        </w:numPr>
        <w:spacing w:before="90" w:beforeAutospacing="0" w:after="0" w:afterAutospacing="0"/>
        <w:rPr>
          <w:sz w:val="20"/>
          <w:szCs w:val="20"/>
        </w:rPr>
      </w:pPr>
      <w:r>
        <w:rPr>
          <w:sz w:val="20"/>
          <w:szCs w:val="20"/>
        </w:rPr>
        <w:t xml:space="preserve">unexpected changes in regulatory requirements; </w:t>
      </w:r>
    </w:p>
    <w:p w:rsidR="000121CD" w:rsidRDefault="00590862">
      <w:pPr>
        <w:pStyle w:val="NormalWeb"/>
        <w:numPr>
          <w:ilvl w:val="0"/>
          <w:numId w:val="27"/>
        </w:numPr>
        <w:spacing w:before="90" w:beforeAutospacing="0" w:after="0" w:afterAutospacing="0"/>
        <w:rPr>
          <w:sz w:val="20"/>
          <w:szCs w:val="20"/>
        </w:rPr>
      </w:pPr>
      <w:r>
        <w:rPr>
          <w:sz w:val="20"/>
          <w:szCs w:val="20"/>
        </w:rPr>
        <w:t xml:space="preserve">changes in tariffs;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adoption of foreign or domestic laws limiting exports to or imports from certain foreign countries;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fluctuations in currency exchange rates and the value of the U.S. dollar; </w:t>
      </w:r>
    </w:p>
    <w:p w:rsidR="000121CD" w:rsidRDefault="00590862">
      <w:pPr>
        <w:pStyle w:val="NormalWeb"/>
        <w:numPr>
          <w:ilvl w:val="0"/>
          <w:numId w:val="27"/>
        </w:numPr>
        <w:spacing w:before="90" w:beforeAutospacing="0" w:after="0" w:afterAutospacing="0"/>
        <w:rPr>
          <w:sz w:val="20"/>
          <w:szCs w:val="20"/>
        </w:rPr>
      </w:pPr>
      <w:r>
        <w:rPr>
          <w:sz w:val="20"/>
          <w:szCs w:val="20"/>
        </w:rPr>
        <w:lastRenderedPageBreak/>
        <w:t xml:space="preserve">restrictions on repatriation of earnings; </w:t>
      </w:r>
    </w:p>
    <w:p w:rsidR="000121CD" w:rsidRDefault="00590862">
      <w:pPr>
        <w:pStyle w:val="NormalWeb"/>
        <w:numPr>
          <w:ilvl w:val="0"/>
          <w:numId w:val="27"/>
        </w:numPr>
        <w:spacing w:before="90" w:beforeAutospacing="0" w:after="0" w:afterAutospacing="0"/>
        <w:rPr>
          <w:sz w:val="20"/>
          <w:szCs w:val="20"/>
        </w:rPr>
      </w:pPr>
      <w:r>
        <w:rPr>
          <w:sz w:val="20"/>
          <w:szCs w:val="20"/>
        </w:rPr>
        <w:t xml:space="preserve">expropriation of property without fair compensation; </w:t>
      </w:r>
    </w:p>
    <w:p w:rsidR="000121CD" w:rsidRDefault="00590862">
      <w:pPr>
        <w:pStyle w:val="NormalWeb"/>
        <w:numPr>
          <w:ilvl w:val="0"/>
          <w:numId w:val="27"/>
        </w:numPr>
        <w:spacing w:before="90" w:beforeAutospacing="0" w:after="0" w:afterAutospacing="0"/>
        <w:rPr>
          <w:sz w:val="20"/>
          <w:szCs w:val="20"/>
        </w:rPr>
      </w:pPr>
      <w:r>
        <w:rPr>
          <w:sz w:val="20"/>
          <w:szCs w:val="20"/>
        </w:rPr>
        <w:t xml:space="preserve">governmental actions that result in the deprivation of contract or proprietary rights; and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acceptance of business practices which are not consistent with or are antithetical to prevailing business practices we are accustomed to in North America including export compliance and anti-bribery practices and governmental sanctions. </w:t>
      </w:r>
    </w:p>
    <w:p w:rsidR="000121CD" w:rsidRDefault="00590862">
      <w:pPr>
        <w:pStyle w:val="NormalWeb"/>
        <w:spacing w:before="180" w:beforeAutospacing="0" w:after="0" w:afterAutospacing="0"/>
      </w:pPr>
      <w:r>
        <w:rPr>
          <w:sz w:val="20"/>
          <w:szCs w:val="20"/>
        </w:rPr>
        <w:t xml:space="preserve">If we begin doing business in a foreign country in which we do not presently operate, we may also face difficulties in operations and diversion of management time in connection with establishing our business there. </w:t>
      </w:r>
    </w:p>
    <w:p w:rsidR="000121CD" w:rsidRDefault="00590862">
      <w:pPr>
        <w:pStyle w:val="NormalWeb"/>
        <w:keepNext/>
        <w:spacing w:before="270" w:beforeAutospacing="0" w:after="0" w:afterAutospacing="0"/>
      </w:pPr>
      <w:r>
        <w:rPr>
          <w:b/>
          <w:bCs/>
          <w:i/>
          <w:iCs/>
          <w:sz w:val="20"/>
          <w:szCs w:val="20"/>
        </w:rPr>
        <w:t xml:space="preserve">We are subject to U.S. and other anti-corruption laws, trade controls, economic sanctions, and similar laws and regulations, including those in the jurisdictions where we operate. Our failure to comply with these laws and regulations could subject us to civil, criminal and administrative penalties and harm our reputation. </w:t>
      </w:r>
    </w:p>
    <w:p w:rsidR="000121CD" w:rsidRDefault="00590862">
      <w:pPr>
        <w:pStyle w:val="NormalWeb"/>
        <w:spacing w:before="90" w:beforeAutospacing="0" w:after="0" w:afterAutospacing="0"/>
      </w:pPr>
      <w:r>
        <w:rPr>
          <w:sz w:val="20"/>
          <w:szCs w:val="20"/>
        </w:rPr>
        <w:t xml:space="preserve">Doing business on a worldwide basis requires us to comply with the laws and regulations of the U.S. government and various foreign jurisdictions. These laws and regulations place restrictions on our operations, trade practices, partners and investment decisions. In particular, our operations are subject to U.S. and foreign anti-corruption and trade control laws and regulations, such as the Foreign Corrupt Practices Act (“FCPA”), export controls and economic sanctions programs, including those administered by the U.S. Treasury Department’s Office of Foreign Assets Control (“OFAC”). As a result of doing business in foreign countries and with foreign partners, we are exposed to a heightened risk of violating anti-corruption and trade control laws and sanctions regulations. </w:t>
      </w:r>
    </w:p>
    <w:p w:rsidR="000121CD" w:rsidRDefault="00590862">
      <w:pPr>
        <w:pStyle w:val="NormalWeb"/>
        <w:spacing w:before="180" w:beforeAutospacing="0" w:after="0" w:afterAutospacing="0"/>
      </w:pPr>
      <w:r>
        <w:rPr>
          <w:sz w:val="20"/>
          <w:szCs w:val="20"/>
        </w:rPr>
        <w:t xml:space="preserve">The FCPA prohibits us from providing anything of value to foreign officials for the purposes of obtaining or retaining business or securing any improper business advantage. It also requires us to keep books and records that accurately and fairly reflect the Company’s transactions. As part of our business, we may deal with state-owned business enterprises, the employees of which are considered foreign officials for purposes of the FCPA. In addition, the provisions of the United Kingdom Bribery Act (the “Bribery Act”) extend beyond bribery of foreign public officials and also apply to transactions with individuals that a government does not employ. The provisions of the Bribery Act are also more onerous than the FCPA in a number of other respects, including jurisdiction, non-exemption of facilitation payments and penalties. Some of the international locations in which we operate lack a developed legal system and have higher than normal levels of corruption. Our continued expansion outside the U.S., including in developing countries, and our development of new partnerships and joint venture relationships worldwide, could increase the risk of FCPA, OFAC or Bribery Act violations in the future. </w:t>
      </w:r>
    </w:p>
    <w:p w:rsidR="000121CD" w:rsidRDefault="00590862">
      <w:pPr>
        <w:pStyle w:val="NormalWeb"/>
        <w:spacing w:before="180" w:beforeAutospacing="0" w:after="0" w:afterAutospacing="0"/>
      </w:pPr>
      <w:r>
        <w:rPr>
          <w:sz w:val="20"/>
          <w:szCs w:val="20"/>
        </w:rPr>
        <w:t xml:space="preserve">Economic sanctions programs restrict our business dealings with certain sanctioned countries, persons and entities. In addition, because we act as a distributor, we face the risk that our customers might further distribute our products to a sanctioned person or entity, or an ultimate end-user in a sanctioned country, which might subject us to an investigation concerning compliance with OFAC or other sanctions regulations. </w:t>
      </w:r>
    </w:p>
    <w:p w:rsidR="000121CD" w:rsidRDefault="00590862">
      <w:pPr>
        <w:pStyle w:val="NormalWeb"/>
        <w:spacing w:before="180" w:beforeAutospacing="0" w:after="0" w:afterAutospacing="0"/>
      </w:pPr>
      <w:r>
        <w:rPr>
          <w:sz w:val="20"/>
          <w:szCs w:val="20"/>
        </w:rPr>
        <w:t xml:space="preserve">Violations of anti-corruption and trade control laws and sanctions regulations are punishable by civil penalties, including fines, denial of export privileges, injunctions, asset seizures, debarment from government contracts and revocations or restrictions of licenses, as well as criminal fines and imprisonment. We have established policies and procedures designed to assist our compliance with applicable U.S. and international anti-corruption and trade control laws and regulations, including the FCPA, the Bribery Act and trade controls and sanctions programs that OFAC administers, and have trained our employees to comply with these laws and regulations. However, our employees, consultants, agents or other associated persons </w:t>
      </w:r>
      <w:r w:rsidR="00D244ED">
        <w:rPr>
          <w:sz w:val="20"/>
          <w:szCs w:val="20"/>
        </w:rPr>
        <w:t xml:space="preserve">may </w:t>
      </w:r>
      <w:r>
        <w:rPr>
          <w:sz w:val="20"/>
          <w:szCs w:val="20"/>
        </w:rPr>
        <w:t xml:space="preserve">take actions in violation of our policies and these laws and regulations, and that our policies and procedures </w:t>
      </w:r>
      <w:r w:rsidR="00D244ED">
        <w:rPr>
          <w:sz w:val="20"/>
          <w:szCs w:val="20"/>
        </w:rPr>
        <w:t>may not</w:t>
      </w:r>
      <w:r>
        <w:rPr>
          <w:sz w:val="20"/>
          <w:szCs w:val="20"/>
        </w:rPr>
        <w:t xml:space="preserve"> effectively prevent us from violating these regulations in every transaction in which we may engage or provide a defense to any alleged violation. In particular, we may be held liable for the actions that our local, strategic or joint venture partners take inside or outside of the United States, even though our partners may not be subject to these laws. Such a violation, even if our policies prohibit it, could have a material adverse effect on our reputation, business, financial condition and results of operations. In addition, various state and municipal governments, universities and other investors maintain prohibitions or restrictions on investments in companies that do business with sanctioned countries, persons and entities, which could adversely affect the market for our common stock and other securities. </w:t>
      </w:r>
    </w:p>
    <w:p w:rsidR="000121CD" w:rsidRDefault="00590862">
      <w:pPr>
        <w:pStyle w:val="NormalWeb"/>
        <w:keepNext/>
        <w:spacing w:before="270" w:beforeAutospacing="0" w:after="0" w:afterAutospacing="0"/>
      </w:pPr>
      <w:r>
        <w:rPr>
          <w:b/>
          <w:bCs/>
          <w:i/>
          <w:iCs/>
          <w:sz w:val="20"/>
          <w:szCs w:val="20"/>
        </w:rPr>
        <w:t xml:space="preserve">We face risks associated with international instability and geopolitical developments. </w:t>
      </w:r>
    </w:p>
    <w:p w:rsidR="00582995" w:rsidRDefault="00590862" w:rsidP="00B541F7">
      <w:pPr>
        <w:spacing w:before="90"/>
        <w:rPr>
          <w:sz w:val="20"/>
        </w:rPr>
      </w:pPr>
      <w:r>
        <w:rPr>
          <w:sz w:val="20"/>
        </w:rPr>
        <w:t xml:space="preserve">In some countries, there is an increased chance for economic, legal or political changes that may adversely affect the performance of our services, sale of our products or repatriation of our profits. We do not know the impact that these regulatory, geopolitical and other factors may have on our business in the future and any of these factors could adversely affect us. </w:t>
      </w:r>
      <w:r w:rsidR="00582995">
        <w:rPr>
          <w:sz w:val="20"/>
        </w:rPr>
        <w:t>In addition, war, terrorist acts, civil wars or armed hostilities, or the public anticipation of these events, could negatively impact our business.</w:t>
      </w:r>
    </w:p>
    <w:p w:rsidR="000121CD" w:rsidRDefault="00590862">
      <w:pPr>
        <w:pStyle w:val="NormalWeb"/>
        <w:keepNext/>
        <w:spacing w:before="270" w:beforeAutospacing="0" w:after="0" w:afterAutospacing="0"/>
      </w:pPr>
      <w:r>
        <w:rPr>
          <w:b/>
          <w:bCs/>
          <w:i/>
          <w:iCs/>
          <w:sz w:val="20"/>
          <w:szCs w:val="20"/>
        </w:rPr>
        <w:lastRenderedPageBreak/>
        <w:t xml:space="preserve">We are exposed to risks relating to evaluations of controls required by Section 404 of the Sarbanes-Oxley Act of 2002 (the “Sarbanes-Oxley Act”). </w:t>
      </w:r>
    </w:p>
    <w:p w:rsidR="000121CD" w:rsidRDefault="00590862">
      <w:pPr>
        <w:pStyle w:val="NormalWeb"/>
        <w:spacing w:before="90" w:beforeAutospacing="0" w:after="0" w:afterAutospacing="0"/>
      </w:pPr>
      <w:r>
        <w:rPr>
          <w:sz w:val="20"/>
          <w:szCs w:val="20"/>
        </w:rPr>
        <w:t>Section 404 of the Sarbanes-Oxley Act requires us to annually evaluate our internal controls systems over financial reporting. This is not a static process as we may change our processes each year or acquire new companies that have different controls than our existing controls. Upon completion of this process each year, we may identify control deficiencies of varying degrees of severity under applicable U.S. Securities and Exchange Commission (“SEC”) and Public Company Accounting Oversight Board (“PCAOB”) rules and regulations that remain unremedi</w:t>
      </w:r>
      <w:r w:rsidR="009F575D">
        <w:rPr>
          <w:sz w:val="20"/>
          <w:szCs w:val="20"/>
        </w:rPr>
        <w:t>at</w:t>
      </w:r>
      <w:r>
        <w:rPr>
          <w:sz w:val="20"/>
          <w:szCs w:val="20"/>
        </w:rPr>
        <w:t xml:space="preserve">ed. We are required to report, among other things, control deficiencies that constitute a “material weakness” or changes in internal controls that, or that are reasonably likely to, materially affect internal controls over financial reporting. A “material weakness” is a significant deficiency or combination of significant deficiencies in internal control over financial reporting that results in a reasonable possibility that a material misstatement of the annual or interim financial statements will not be prevented or detected and corrected on a timely basis. </w:t>
      </w:r>
    </w:p>
    <w:p w:rsidR="000121CD" w:rsidRDefault="00590862">
      <w:pPr>
        <w:pStyle w:val="NormalWeb"/>
        <w:spacing w:before="180" w:beforeAutospacing="0" w:after="0" w:afterAutospacing="0"/>
      </w:pPr>
      <w:r>
        <w:rPr>
          <w:sz w:val="20"/>
          <w:szCs w:val="20"/>
        </w:rPr>
        <w:t xml:space="preserve">We could suffer a loss of confidence in the reliability of our financial statements if we or our independent registered public accounting firm reports a material weakness in our internal controls, if we do not develop and maintain effective controls and procedures or if we are otherwise unable to deliver timely and reliable financial information. Any loss of confidence in the reliability of our financial statements or other negative reaction to our failure to develop timely or adequate disclosure controls and procedures or internal controls could result in a decline in the price of our common stock. In addition, if we fail to remedy any material weakness, our financial statements may be inaccurate, we may face restricted access to the capital markets and our stock price may be adversely affected. </w:t>
      </w:r>
    </w:p>
    <w:p w:rsidR="000121CD" w:rsidRDefault="00590862">
      <w:pPr>
        <w:pStyle w:val="NormalWeb"/>
        <w:spacing w:before="270" w:beforeAutospacing="0" w:after="0" w:afterAutospacing="0"/>
      </w:pPr>
      <w:r>
        <w:rPr>
          <w:b/>
          <w:bCs/>
          <w:i/>
          <w:iCs/>
          <w:sz w:val="20"/>
          <w:szCs w:val="20"/>
        </w:rPr>
        <w:t xml:space="preserve">We do not currently intend to pay dividends to our common stockholders in the foreseeable future. </w:t>
      </w:r>
    </w:p>
    <w:p w:rsidR="000121CD" w:rsidRDefault="00590862">
      <w:pPr>
        <w:pStyle w:val="NormalWeb"/>
        <w:spacing w:before="90" w:beforeAutospacing="0" w:after="0" w:afterAutospacing="0"/>
      </w:pPr>
      <w:r>
        <w:rPr>
          <w:sz w:val="20"/>
          <w:szCs w:val="20"/>
        </w:rPr>
        <w:t>It is uncertain when, if ever, we will declare dividends to our common stockholders. We do not currently intend to pay dividends</w:t>
      </w:r>
      <w:r w:rsidR="00D244ED">
        <w:rPr>
          <w:sz w:val="20"/>
          <w:szCs w:val="20"/>
        </w:rPr>
        <w:t xml:space="preserve"> to our common stockholders</w:t>
      </w:r>
      <w:r>
        <w:rPr>
          <w:sz w:val="20"/>
          <w:szCs w:val="20"/>
        </w:rPr>
        <w:t xml:space="preserve"> in the foreseeable future. Our ability to pay dividends</w:t>
      </w:r>
      <w:r w:rsidR="00D244ED">
        <w:rPr>
          <w:sz w:val="20"/>
          <w:szCs w:val="20"/>
        </w:rPr>
        <w:t xml:space="preserve"> to our common stockholders</w:t>
      </w:r>
      <w:r>
        <w:rPr>
          <w:sz w:val="20"/>
          <w:szCs w:val="20"/>
        </w:rPr>
        <w:t xml:space="preserve"> is constrained by our holding company structure under which we are dependent on our subsidiaries for payments. Additionally, we and our subsidiaries are parties to credit agreements which restrict our ability and their ability to pay dividends. See “Item 5—Market for the Registrant’s Common Equity, Related Stockholder Matters and Issuer Purchases of Equity Securities” and “Item 7—Management’s Discussion and Analysis of Financial Condition and Results of Operations—Liquidity and Capital Resources”. </w:t>
      </w:r>
    </w:p>
    <w:p w:rsidR="000121CD" w:rsidRDefault="00590862">
      <w:pPr>
        <w:pStyle w:val="NormalWeb"/>
        <w:keepNext/>
        <w:spacing w:before="270" w:beforeAutospacing="0" w:after="0" w:afterAutospacing="0"/>
        <w:rPr>
          <w:sz w:val="20"/>
          <w:szCs w:val="20"/>
        </w:rPr>
      </w:pPr>
      <w:r>
        <w:rPr>
          <w:b/>
          <w:bCs/>
          <w:i/>
          <w:iCs/>
          <w:sz w:val="20"/>
          <w:szCs w:val="20"/>
        </w:rPr>
        <w:t>Compliance with and changes in laws and regulations in the countries in which we operate could have a significant financial impact and affect how and where we conduct our operations.</w:t>
      </w:r>
    </w:p>
    <w:p w:rsidR="000121CD" w:rsidRDefault="00590862">
      <w:pPr>
        <w:pStyle w:val="NormalWeb"/>
        <w:spacing w:before="90" w:beforeAutospacing="0" w:after="0" w:afterAutospacing="0"/>
        <w:rPr>
          <w:sz w:val="20"/>
          <w:szCs w:val="20"/>
        </w:rPr>
      </w:pPr>
      <w:r>
        <w:rPr>
          <w:sz w:val="20"/>
          <w:szCs w:val="20"/>
        </w:rPr>
        <w:t xml:space="preserve">We have operations in the U.S. and in </w:t>
      </w:r>
      <w:r w:rsidR="000B3267">
        <w:rPr>
          <w:sz w:val="20"/>
          <w:szCs w:val="20"/>
        </w:rPr>
        <w:t>19</w:t>
      </w:r>
      <w:r w:rsidR="00BD34EC">
        <w:rPr>
          <w:sz w:val="20"/>
          <w:szCs w:val="20"/>
        </w:rPr>
        <w:t xml:space="preserve"> other</w:t>
      </w:r>
      <w:r>
        <w:rPr>
          <w:sz w:val="20"/>
          <w:szCs w:val="20"/>
        </w:rPr>
        <w:t xml:space="preserve"> countries. Expected and unexpected changes in the business and legal environments in the countries in which we operate can impact us. Compliance with and changes in laws, regulations and other legal and business issues could impact our ability to manage our costs and to meet our earnings goals. Compliance related matters could also limit our ability to do business in certain countries. Changes that could have a significant cost to us include new legislation, new regulations, or a differing interpretation of existing laws and regulations, changes in tax law or tax rates, the unfavorable resolution of tax assessments or audits by various taxing authorities, changes in trade and other treaties that lead to differing tariffs and trade rules, the expansion of currency exchange controls, export controls or additional restrictions on doing business in countries subject to sanctions in which we operate or intend to operate. </w:t>
      </w:r>
    </w:p>
    <w:p w:rsidR="000121CD" w:rsidRDefault="00590862">
      <w:pPr>
        <w:pStyle w:val="NormalWeb"/>
        <w:keepNext/>
        <w:spacing w:before="270" w:beforeAutospacing="0" w:after="0" w:afterAutospacing="0"/>
        <w:ind w:left="1224" w:hanging="1224"/>
        <w:rPr>
          <w:sz w:val="20"/>
          <w:szCs w:val="20"/>
        </w:rPr>
      </w:pPr>
      <w:r>
        <w:rPr>
          <w:b/>
          <w:bCs/>
          <w:sz w:val="20"/>
          <w:szCs w:val="20"/>
        </w:rPr>
        <w:t xml:space="preserve">ITEM 1B. </w:t>
      </w:r>
      <w:bookmarkStart w:id="4" w:name="UnresolvedStaffComments"/>
      <w:r>
        <w:rPr>
          <w:bCs/>
          <w:sz w:val="20"/>
          <w:szCs w:val="20"/>
        </w:rPr>
        <w:tab/>
      </w:r>
      <w:r>
        <w:rPr>
          <w:b/>
          <w:bCs/>
          <w:sz w:val="20"/>
          <w:szCs w:val="20"/>
        </w:rPr>
        <w:t>UNRESOLVED STAFF COMMENTS</w:t>
      </w:r>
      <w:bookmarkEnd w:id="4"/>
      <w:r>
        <w:rPr>
          <w:b/>
          <w:bCs/>
          <w:sz w:val="20"/>
          <w:szCs w:val="20"/>
        </w:rPr>
        <w:t xml:space="preserve"> </w:t>
      </w:r>
    </w:p>
    <w:p w:rsidR="000121CD" w:rsidRDefault="00590862">
      <w:pPr>
        <w:pStyle w:val="NormalWeb"/>
        <w:spacing w:before="90" w:beforeAutospacing="0" w:after="0" w:afterAutospacing="0"/>
      </w:pPr>
      <w:r>
        <w:rPr>
          <w:sz w:val="20"/>
          <w:szCs w:val="20"/>
        </w:rPr>
        <w:t xml:space="preserve">Not applicable. </w:t>
      </w:r>
    </w:p>
    <w:p w:rsidR="000121CD" w:rsidRDefault="00590862">
      <w:pPr>
        <w:pStyle w:val="NormalWeb"/>
        <w:keepNext/>
        <w:spacing w:before="270" w:beforeAutospacing="0" w:after="0" w:afterAutospacing="0"/>
        <w:ind w:left="1109" w:hanging="1109"/>
      </w:pPr>
      <w:r>
        <w:rPr>
          <w:b/>
          <w:bCs/>
          <w:sz w:val="20"/>
          <w:szCs w:val="20"/>
        </w:rPr>
        <w:t>ITEM  2.</w:t>
      </w:r>
      <w:r>
        <w:rPr>
          <w:bCs/>
          <w:sz w:val="20"/>
          <w:szCs w:val="20"/>
        </w:rPr>
        <w:tab/>
      </w:r>
      <w:bookmarkStart w:id="5" w:name="Properties"/>
      <w:r>
        <w:rPr>
          <w:b/>
          <w:bCs/>
          <w:sz w:val="20"/>
          <w:szCs w:val="20"/>
        </w:rPr>
        <w:t xml:space="preserve">PROPERTIES </w:t>
      </w:r>
      <w:bookmarkEnd w:id="5"/>
    </w:p>
    <w:p w:rsidR="000121CD" w:rsidRDefault="00590862">
      <w:pPr>
        <w:pStyle w:val="NormalWeb"/>
        <w:spacing w:before="90" w:beforeAutospacing="0" w:after="0" w:afterAutospacing="0"/>
      </w:pPr>
      <w:r>
        <w:rPr>
          <w:sz w:val="20"/>
          <w:szCs w:val="20"/>
        </w:rPr>
        <w:t xml:space="preserve">In North America, we operate a hub and spoke model that is centered around our </w:t>
      </w:r>
      <w:r w:rsidR="00D244ED">
        <w:rPr>
          <w:sz w:val="20"/>
          <w:szCs w:val="20"/>
        </w:rPr>
        <w:t>seven</w:t>
      </w:r>
      <w:r>
        <w:rPr>
          <w:sz w:val="20"/>
          <w:szCs w:val="20"/>
        </w:rPr>
        <w:t xml:space="preserve"> distribution centers in the U.S. and Canada with 1</w:t>
      </w:r>
      <w:r w:rsidR="008E535A">
        <w:rPr>
          <w:sz w:val="20"/>
          <w:szCs w:val="20"/>
        </w:rPr>
        <w:t>1</w:t>
      </w:r>
      <w:r w:rsidR="000B50DA">
        <w:rPr>
          <w:sz w:val="20"/>
          <w:szCs w:val="20"/>
        </w:rPr>
        <w:t>8</w:t>
      </w:r>
      <w:r>
        <w:rPr>
          <w:sz w:val="20"/>
          <w:szCs w:val="20"/>
        </w:rPr>
        <w:t xml:space="preserve"> branch locations which have inventory and local employees and house 13 valve and engineering service centers. Our U.S. network is comprised of </w:t>
      </w:r>
      <w:r w:rsidR="008E535A">
        <w:rPr>
          <w:sz w:val="20"/>
          <w:szCs w:val="20"/>
        </w:rPr>
        <w:t>9</w:t>
      </w:r>
      <w:r w:rsidR="00BF29DD">
        <w:rPr>
          <w:sz w:val="20"/>
          <w:szCs w:val="20"/>
        </w:rPr>
        <w:t>9</w:t>
      </w:r>
      <w:r>
        <w:rPr>
          <w:sz w:val="20"/>
          <w:szCs w:val="20"/>
        </w:rPr>
        <w:t xml:space="preserve"> branch locations and </w:t>
      </w:r>
      <w:r w:rsidR="008E535A">
        <w:rPr>
          <w:sz w:val="20"/>
          <w:szCs w:val="20"/>
        </w:rPr>
        <w:t>s</w:t>
      </w:r>
      <w:r w:rsidR="00BF29DD">
        <w:rPr>
          <w:sz w:val="20"/>
          <w:szCs w:val="20"/>
        </w:rPr>
        <w:t>ix</w:t>
      </w:r>
      <w:r>
        <w:rPr>
          <w:sz w:val="20"/>
          <w:szCs w:val="20"/>
        </w:rPr>
        <w:t xml:space="preserve"> distribution centers. We own our Charleston, West Virginia corporate office. In Canada, we have </w:t>
      </w:r>
      <w:r w:rsidR="008E535A">
        <w:rPr>
          <w:sz w:val="20"/>
          <w:szCs w:val="20"/>
        </w:rPr>
        <w:t>19</w:t>
      </w:r>
      <w:r>
        <w:rPr>
          <w:sz w:val="20"/>
          <w:szCs w:val="20"/>
        </w:rPr>
        <w:t xml:space="preserve"> branch locations, and we own our one distribution center in Nisku, Alberta, Canada. We own less than 10% of our branch locations as we primarily lease these facilities. </w:t>
      </w:r>
      <w:r w:rsidR="004067D9">
        <w:rPr>
          <w:sz w:val="20"/>
          <w:szCs w:val="20"/>
        </w:rPr>
        <w:t>With the exception of Nisku, Alberta, a</w:t>
      </w:r>
      <w:r w:rsidR="0044523F">
        <w:rPr>
          <w:sz w:val="20"/>
          <w:szCs w:val="20"/>
        </w:rPr>
        <w:t>ll of our distribution centers are leased.</w:t>
      </w:r>
    </w:p>
    <w:p w:rsidR="000121CD" w:rsidRDefault="00590862">
      <w:pPr>
        <w:pStyle w:val="NormalWeb"/>
        <w:spacing w:before="180" w:beforeAutospacing="0" w:after="0" w:afterAutospacing="0"/>
      </w:pPr>
      <w:r>
        <w:rPr>
          <w:sz w:val="20"/>
          <w:szCs w:val="20"/>
        </w:rPr>
        <w:t xml:space="preserve">Outside North America, we operate through a network of </w:t>
      </w:r>
      <w:r w:rsidR="008E535A">
        <w:rPr>
          <w:sz w:val="20"/>
          <w:szCs w:val="20"/>
        </w:rPr>
        <w:t>24</w:t>
      </w:r>
      <w:r>
        <w:rPr>
          <w:sz w:val="20"/>
          <w:szCs w:val="20"/>
        </w:rPr>
        <w:t xml:space="preserve"> branch locations located throughout Europe, Asia, Australasia, the Middle East and Caspian, including six distribution centers in the United Kingdom, Norway, Singapore, the Netherlands, the United Arab Emirates and Australia. Twelve valve and engineering service centers are housed within our distribution centers and branch locations. We own our Brussels, Belgium location, and the remainder of our locations are leased. </w:t>
      </w:r>
    </w:p>
    <w:p w:rsidR="000121CD" w:rsidRDefault="00590862">
      <w:pPr>
        <w:pStyle w:val="NormalWeb"/>
        <w:keepNext/>
        <w:spacing w:before="270" w:beforeAutospacing="0" w:after="0" w:afterAutospacing="0"/>
        <w:rPr>
          <w:sz w:val="20"/>
        </w:rPr>
      </w:pPr>
      <w:r>
        <w:rPr>
          <w:sz w:val="20"/>
        </w:rPr>
        <w:t>Our Company maintains its principal executive office at 1301 McKinney Street, Suite 2300, Houston, Texas, 77010 and also maintains corporate offices in Charleston, West Virginia and La</w:t>
      </w:r>
      <w:r w:rsidR="009E1595">
        <w:rPr>
          <w:sz w:val="20"/>
        </w:rPr>
        <w:t xml:space="preserve"> </w:t>
      </w:r>
      <w:r>
        <w:rPr>
          <w:sz w:val="20"/>
        </w:rPr>
        <w:t xml:space="preserve">Porte, Texas. These locations have corporate functions such as </w:t>
      </w:r>
      <w:r>
        <w:rPr>
          <w:sz w:val="20"/>
        </w:rPr>
        <w:lastRenderedPageBreak/>
        <w:t>executive management, accounting, human resources, legal, marketing, supply chain management, business development and information technology.</w:t>
      </w:r>
    </w:p>
    <w:p w:rsidR="000121CD" w:rsidRDefault="00590862">
      <w:pPr>
        <w:pStyle w:val="NormalWeb"/>
        <w:keepNext/>
        <w:spacing w:before="270" w:beforeAutospacing="0" w:after="0" w:afterAutospacing="0"/>
        <w:ind w:left="1101" w:hanging="1102"/>
      </w:pPr>
      <w:r>
        <w:rPr>
          <w:b/>
          <w:bCs/>
          <w:sz w:val="20"/>
          <w:szCs w:val="20"/>
        </w:rPr>
        <w:t>ITEM  3.</w:t>
      </w:r>
      <w:r>
        <w:rPr>
          <w:bCs/>
          <w:sz w:val="20"/>
          <w:szCs w:val="20"/>
        </w:rPr>
        <w:tab/>
      </w:r>
      <w:bookmarkStart w:id="6" w:name="Legalproceedings"/>
      <w:r>
        <w:rPr>
          <w:b/>
          <w:bCs/>
          <w:sz w:val="20"/>
          <w:szCs w:val="20"/>
        </w:rPr>
        <w:t>LEGAL PROCEEDINGS</w:t>
      </w:r>
      <w:bookmarkEnd w:id="6"/>
      <w:r>
        <w:rPr>
          <w:b/>
          <w:bCs/>
          <w:sz w:val="20"/>
          <w:szCs w:val="20"/>
        </w:rPr>
        <w:t xml:space="preserve"> </w:t>
      </w:r>
    </w:p>
    <w:p w:rsidR="000121CD" w:rsidRDefault="00590862">
      <w:pPr>
        <w:pStyle w:val="NormalWeb"/>
        <w:spacing w:before="90" w:beforeAutospacing="0" w:after="0" w:afterAutospacing="0"/>
        <w:rPr>
          <w:sz w:val="20"/>
          <w:szCs w:val="20"/>
        </w:rPr>
      </w:pPr>
      <w:r>
        <w:rPr>
          <w:sz w:val="20"/>
          <w:szCs w:val="20"/>
        </w:rPr>
        <w:t xml:space="preserve">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upon resolution are likely to have a material effect on our business, financial condition, results of operations or cash flows. </w:t>
      </w:r>
    </w:p>
    <w:p w:rsidR="000121CD" w:rsidRDefault="00590862">
      <w:pPr>
        <w:pStyle w:val="NormalWeb"/>
        <w:spacing w:before="180" w:beforeAutospacing="0" w:after="0" w:afterAutospacing="0"/>
        <w:rPr>
          <w:sz w:val="20"/>
          <w:szCs w:val="20"/>
        </w:rPr>
      </w:pPr>
      <w:r>
        <w:rPr>
          <w:sz w:val="20"/>
          <w:szCs w:val="20"/>
        </w:rPr>
        <w:t xml:space="preserve">Also,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manufacturer for our expense. In the opinion of management, the ultimate disposition of these claims and proceedings are not expected to have a material adverse effect on our financial position, results of operations or cash flows. </w:t>
      </w:r>
    </w:p>
    <w:p w:rsidR="000121CD" w:rsidRDefault="00590862">
      <w:pPr>
        <w:pStyle w:val="NormalWeb"/>
        <w:spacing w:before="180" w:beforeAutospacing="0" w:after="0" w:afterAutospacing="0"/>
        <w:rPr>
          <w:sz w:val="20"/>
          <w:szCs w:val="20"/>
        </w:rPr>
      </w:pPr>
      <w:r>
        <w:rPr>
          <w:sz w:val="20"/>
          <w:szCs w:val="20"/>
        </w:rPr>
        <w:t>For information regarding asbestos cases in which we are a defendant and other claims and proceedings, see “Item 7—Management’s Discussion and Analysis of Financial Condition and Results of Operations—Contractual Obligations, Commitments and Contingencies—Legal Proceedings” and “Note 1</w:t>
      </w:r>
      <w:r w:rsidR="000A090A">
        <w:rPr>
          <w:sz w:val="20"/>
          <w:szCs w:val="20"/>
        </w:rPr>
        <w:t>7</w:t>
      </w:r>
      <w:r>
        <w:rPr>
          <w:sz w:val="20"/>
          <w:szCs w:val="20"/>
        </w:rPr>
        <w:t xml:space="preserve">—Commitments and Contingencies” to our audited consolidated financial statements included elsewhere in this report. </w:t>
      </w:r>
    </w:p>
    <w:p w:rsidR="000121CD" w:rsidRDefault="00590862">
      <w:pPr>
        <w:pStyle w:val="NormalWeb"/>
        <w:keepNext/>
        <w:spacing w:before="270" w:beforeAutospacing="0" w:after="0" w:afterAutospacing="0"/>
        <w:ind w:left="1101" w:hanging="1102"/>
      </w:pPr>
      <w:r>
        <w:rPr>
          <w:b/>
          <w:bCs/>
          <w:sz w:val="20"/>
          <w:szCs w:val="20"/>
        </w:rPr>
        <w:t>ITEM  4.</w:t>
      </w:r>
      <w:r>
        <w:rPr>
          <w:bCs/>
          <w:sz w:val="20"/>
          <w:szCs w:val="20"/>
        </w:rPr>
        <w:tab/>
      </w:r>
      <w:bookmarkStart w:id="7" w:name="MineSafetyDisclosures"/>
      <w:r>
        <w:rPr>
          <w:b/>
          <w:bCs/>
          <w:sz w:val="20"/>
          <w:szCs w:val="20"/>
        </w:rPr>
        <w:t>MINE SAFETY DISCLOSURES</w:t>
      </w:r>
      <w:bookmarkEnd w:id="7"/>
      <w:r>
        <w:rPr>
          <w:b/>
          <w:bCs/>
          <w:sz w:val="20"/>
          <w:szCs w:val="20"/>
        </w:rPr>
        <w:t xml:space="preserve"> </w:t>
      </w:r>
    </w:p>
    <w:p w:rsidR="000121CD" w:rsidRDefault="00590862">
      <w:pPr>
        <w:pStyle w:val="NormalWeb"/>
        <w:spacing w:before="90" w:beforeAutospacing="0" w:after="0" w:afterAutospacing="0"/>
        <w:rPr>
          <w:sz w:val="2"/>
          <w:szCs w:val="2"/>
        </w:rPr>
      </w:pPr>
      <w:r>
        <w:rPr>
          <w:sz w:val="20"/>
          <w:szCs w:val="20"/>
        </w:rPr>
        <w:t xml:space="preserve">Not applicable. </w:t>
      </w:r>
      <w:r>
        <w:rPr>
          <w:sz w:val="2"/>
          <w:szCs w:val="2"/>
        </w:rPr>
        <w:t> </w:t>
      </w:r>
    </w:p>
    <w:p w:rsidR="000121CD" w:rsidRDefault="00590862">
      <w:pPr>
        <w:pStyle w:val="NormalWeb"/>
        <w:keepNext/>
        <w:pageBreakBefore/>
        <w:spacing w:before="0" w:beforeAutospacing="0" w:after="0" w:afterAutospacing="0"/>
      </w:pPr>
      <w:bookmarkStart w:id="8" w:name="ExecutiveOfficers"/>
      <w:r>
        <w:rPr>
          <w:b/>
          <w:bCs/>
          <w:sz w:val="20"/>
          <w:szCs w:val="20"/>
        </w:rPr>
        <w:lastRenderedPageBreak/>
        <w:t>EXECUTIVE OFFICERS OF THE REGISTRANT</w:t>
      </w:r>
      <w:bookmarkEnd w:id="8"/>
      <w:r>
        <w:rPr>
          <w:b/>
          <w:bCs/>
          <w:sz w:val="20"/>
          <w:szCs w:val="20"/>
        </w:rPr>
        <w:t xml:space="preserve">  </w:t>
      </w:r>
    </w:p>
    <w:p w:rsidR="000121CD" w:rsidRDefault="000121CD">
      <w:pPr>
        <w:pStyle w:val="NormalWeb"/>
        <w:spacing w:before="0" w:beforeAutospacing="0" w:after="0" w:afterAutospacing="0"/>
        <w:rPr>
          <w:sz w:val="20"/>
          <w:szCs w:val="20"/>
        </w:rPr>
      </w:pPr>
    </w:p>
    <w:p w:rsidR="000121CD" w:rsidRDefault="00590862">
      <w:pPr>
        <w:pStyle w:val="NormalWeb"/>
        <w:spacing w:before="0" w:beforeAutospacing="0" w:after="0" w:afterAutospacing="0"/>
      </w:pPr>
      <w:r>
        <w:rPr>
          <w:sz w:val="20"/>
          <w:szCs w:val="20"/>
        </w:rPr>
        <w:t>The name, age, period of service and the title of each of our executive officers as of February 1</w:t>
      </w:r>
      <w:r w:rsidR="00D901C9">
        <w:rPr>
          <w:sz w:val="20"/>
          <w:szCs w:val="20"/>
        </w:rPr>
        <w:t>4</w:t>
      </w:r>
      <w:r>
        <w:rPr>
          <w:sz w:val="20"/>
          <w:szCs w:val="20"/>
        </w:rPr>
        <w:t>, 20</w:t>
      </w:r>
      <w:r w:rsidR="00D901C9">
        <w:rPr>
          <w:sz w:val="20"/>
          <w:szCs w:val="20"/>
        </w:rPr>
        <w:t>20</w:t>
      </w:r>
      <w:r>
        <w:rPr>
          <w:sz w:val="20"/>
          <w:szCs w:val="20"/>
        </w:rPr>
        <w:t xml:space="preserve"> are listed below. </w:t>
      </w:r>
    </w:p>
    <w:p w:rsidR="000121CD" w:rsidRDefault="000121CD">
      <w:pPr>
        <w:pStyle w:val="NormalWeb"/>
        <w:spacing w:before="0" w:beforeAutospacing="0" w:after="0" w:afterAutospacing="0"/>
        <w:rPr>
          <w:i/>
          <w:iCs/>
          <w:sz w:val="20"/>
          <w:szCs w:val="20"/>
        </w:rPr>
      </w:pPr>
    </w:p>
    <w:p w:rsidR="000121CD" w:rsidRDefault="00590862">
      <w:pPr>
        <w:pStyle w:val="NormalWeb"/>
        <w:spacing w:before="0" w:beforeAutospacing="0" w:after="0" w:afterAutospacing="0"/>
        <w:rPr>
          <w:sz w:val="20"/>
          <w:szCs w:val="20"/>
        </w:rPr>
      </w:pPr>
      <w:r>
        <w:rPr>
          <w:i/>
          <w:iCs/>
          <w:sz w:val="20"/>
          <w:szCs w:val="20"/>
        </w:rPr>
        <w:t xml:space="preserve">Andrew R. Lane, </w:t>
      </w:r>
      <w:r>
        <w:rPr>
          <w:iCs/>
          <w:sz w:val="20"/>
          <w:szCs w:val="20"/>
        </w:rPr>
        <w:t xml:space="preserve">age </w:t>
      </w:r>
      <w:r w:rsidR="002B25B7">
        <w:rPr>
          <w:iCs/>
          <w:sz w:val="20"/>
          <w:szCs w:val="20"/>
        </w:rPr>
        <w:t>6</w:t>
      </w:r>
      <w:r w:rsidR="00F82325">
        <w:rPr>
          <w:iCs/>
          <w:sz w:val="20"/>
          <w:szCs w:val="20"/>
        </w:rPr>
        <w:t>0</w:t>
      </w:r>
      <w:r>
        <w:rPr>
          <w:iCs/>
          <w:sz w:val="20"/>
          <w:szCs w:val="20"/>
        </w:rPr>
        <w:t>,</w:t>
      </w:r>
      <w:r>
        <w:rPr>
          <w:i/>
          <w:iCs/>
          <w:sz w:val="20"/>
          <w:szCs w:val="20"/>
        </w:rPr>
        <w:t xml:space="preserve"> </w:t>
      </w:r>
      <w:r>
        <w:rPr>
          <w:sz w:val="20"/>
          <w:szCs w:val="20"/>
        </w:rPr>
        <w:t xml:space="preserve">has served as our president and chief executive officer (“CEO”) since September 2008. He has also served as a director of MRC Global Inc. since September 2008 and was chairman of the board from December 2009 to April 2016. From December 2004 to December 2007, he served as executive vice president and chief operating officer of Halliburton Company, a global oilfield services company. Prior to that, he held a variety of leadership roles within Halliburton. Mr. Lane received a B.S. in mechanical engineering from Southern Methodist University in 1981 (cum laude). He also completed the Advanced Management Program at Harvard Business School in 2000. </w:t>
      </w:r>
    </w:p>
    <w:p w:rsidR="000121CD" w:rsidRDefault="000121CD">
      <w:pPr>
        <w:pStyle w:val="NormalWeb"/>
        <w:spacing w:before="0" w:beforeAutospacing="0" w:after="0" w:afterAutospacing="0"/>
        <w:rPr>
          <w:i/>
          <w:iCs/>
          <w:sz w:val="20"/>
          <w:szCs w:val="20"/>
        </w:rPr>
      </w:pPr>
    </w:p>
    <w:p w:rsidR="000121CD" w:rsidRDefault="00590862">
      <w:pPr>
        <w:pStyle w:val="NormalWeb"/>
        <w:spacing w:before="0" w:beforeAutospacing="0" w:after="0" w:afterAutospacing="0"/>
        <w:rPr>
          <w:sz w:val="20"/>
          <w:szCs w:val="20"/>
        </w:rPr>
      </w:pPr>
      <w:r>
        <w:rPr>
          <w:i/>
          <w:iCs/>
          <w:sz w:val="20"/>
          <w:szCs w:val="20"/>
        </w:rPr>
        <w:t>James E. Braun</w:t>
      </w:r>
      <w:r>
        <w:rPr>
          <w:iCs/>
          <w:sz w:val="20"/>
          <w:szCs w:val="20"/>
        </w:rPr>
        <w:t xml:space="preserve">, age </w:t>
      </w:r>
      <w:r w:rsidR="002B25B7">
        <w:rPr>
          <w:iCs/>
          <w:sz w:val="20"/>
          <w:szCs w:val="20"/>
        </w:rPr>
        <w:t>60</w:t>
      </w:r>
      <w:r>
        <w:rPr>
          <w:iCs/>
          <w:sz w:val="20"/>
          <w:szCs w:val="20"/>
        </w:rPr>
        <w:t>,</w:t>
      </w:r>
      <w:r>
        <w:rPr>
          <w:sz w:val="20"/>
          <w:szCs w:val="20"/>
        </w:rPr>
        <w:t xml:space="preserve"> has served as our executive vice president and chief financial officer since November 2011. </w:t>
      </w:r>
      <w:r w:rsidR="00600EDA">
        <w:rPr>
          <w:sz w:val="20"/>
          <w:szCs w:val="20"/>
        </w:rPr>
        <w:t xml:space="preserve">He will retire from MRC Global on March 1, 2020.  </w:t>
      </w:r>
      <w:r>
        <w:rPr>
          <w:sz w:val="20"/>
          <w:szCs w:val="20"/>
        </w:rPr>
        <w:t xml:space="preserve">In addition to financial functions, since January 2019, Mr. Braun oversees our information technology function. Prior to joining the Company, Mr. Braun served as chief financial officer of Newpark Resources, Inc. since 2006. Newpark provides drilling fluids and other products and services to the oil and gas exploration and production industry, both inside and outside of the U.S. Before joining Newpark, Mr. Braun was chief financial officer of Baker Oil Tools, one of the largest divisions of Baker Hughes </w:t>
      </w:r>
      <w:r w:rsidR="001143A5">
        <w:rPr>
          <w:sz w:val="20"/>
          <w:szCs w:val="20"/>
        </w:rPr>
        <w:t>Company</w:t>
      </w:r>
      <w:r>
        <w:rPr>
          <w:sz w:val="20"/>
          <w:szCs w:val="20"/>
        </w:rPr>
        <w:t xml:space="preserve">, a leading provider of drilling, formation evaluation, completion and production products and services to the worldwide oil and gas industry. From 1998 until 2002, he was vice president, finance and administration of Baker Petrolite, the oilfield specialty chemical business division of Baker Hughes. Previously, he served as vice president and controller of Baker Hughes. Mr. Braun is a CPA and was formerly a partner with Deloitte &amp; Touche. Mr. Braun received a B.A. in accounting from the University of Illinois at Urbana-Champaign. </w:t>
      </w:r>
    </w:p>
    <w:p w:rsidR="00F82325" w:rsidRDefault="00F82325">
      <w:pPr>
        <w:pStyle w:val="NormalWeb"/>
        <w:spacing w:before="0" w:beforeAutospacing="0" w:after="0" w:afterAutospacing="0"/>
        <w:rPr>
          <w:sz w:val="20"/>
          <w:szCs w:val="20"/>
        </w:rPr>
      </w:pPr>
    </w:p>
    <w:p w:rsidR="00F82325" w:rsidRPr="00F82325" w:rsidRDefault="00F82325">
      <w:pPr>
        <w:pStyle w:val="NormalWeb"/>
        <w:spacing w:before="0" w:beforeAutospacing="0" w:after="0" w:afterAutospacing="0"/>
        <w:rPr>
          <w:sz w:val="20"/>
          <w:szCs w:val="20"/>
        </w:rPr>
      </w:pPr>
      <w:r w:rsidRPr="00F82325">
        <w:rPr>
          <w:i/>
          <w:sz w:val="20"/>
          <w:szCs w:val="20"/>
        </w:rPr>
        <w:t>Kelly Youngblood</w:t>
      </w:r>
      <w:r>
        <w:rPr>
          <w:sz w:val="20"/>
          <w:szCs w:val="20"/>
        </w:rPr>
        <w:t xml:space="preserve">, age 54, </w:t>
      </w:r>
      <w:r>
        <w:rPr>
          <w:color w:val="333333"/>
          <w:sz w:val="20"/>
          <w:szCs w:val="20"/>
          <w:shd w:val="clear" w:color="auto" w:fill="FFFFFF"/>
        </w:rPr>
        <w:t>has served as</w:t>
      </w:r>
      <w:r w:rsidRPr="00F82325">
        <w:rPr>
          <w:color w:val="333333"/>
          <w:sz w:val="20"/>
          <w:szCs w:val="20"/>
          <w:shd w:val="clear" w:color="auto" w:fill="FFFFFF"/>
        </w:rPr>
        <w:t xml:space="preserve"> our </w:t>
      </w:r>
      <w:r w:rsidR="00736623">
        <w:rPr>
          <w:color w:val="333333"/>
          <w:sz w:val="20"/>
          <w:szCs w:val="20"/>
          <w:shd w:val="clear" w:color="auto" w:fill="FFFFFF"/>
        </w:rPr>
        <w:t>e</w:t>
      </w:r>
      <w:r w:rsidRPr="00F82325">
        <w:rPr>
          <w:color w:val="333333"/>
          <w:sz w:val="20"/>
          <w:szCs w:val="20"/>
          <w:shd w:val="clear" w:color="auto" w:fill="FFFFFF"/>
        </w:rPr>
        <w:t xml:space="preserve">xecutive </w:t>
      </w:r>
      <w:r w:rsidR="00736623">
        <w:rPr>
          <w:color w:val="333333"/>
          <w:sz w:val="20"/>
          <w:szCs w:val="20"/>
          <w:shd w:val="clear" w:color="auto" w:fill="FFFFFF"/>
        </w:rPr>
        <w:t>v</w:t>
      </w:r>
      <w:r w:rsidRPr="00F82325">
        <w:rPr>
          <w:color w:val="333333"/>
          <w:sz w:val="20"/>
          <w:szCs w:val="20"/>
          <w:shd w:val="clear" w:color="auto" w:fill="FFFFFF"/>
        </w:rPr>
        <w:t xml:space="preserve">ice </w:t>
      </w:r>
      <w:r w:rsidR="00736623">
        <w:rPr>
          <w:color w:val="333333"/>
          <w:sz w:val="20"/>
          <w:szCs w:val="20"/>
          <w:shd w:val="clear" w:color="auto" w:fill="FFFFFF"/>
        </w:rPr>
        <w:t>p</w:t>
      </w:r>
      <w:r w:rsidRPr="00F82325">
        <w:rPr>
          <w:color w:val="333333"/>
          <w:sz w:val="20"/>
          <w:szCs w:val="20"/>
          <w:shd w:val="clear" w:color="auto" w:fill="FFFFFF"/>
        </w:rPr>
        <w:t xml:space="preserve">resident </w:t>
      </w:r>
      <w:r>
        <w:rPr>
          <w:color w:val="333333"/>
          <w:sz w:val="20"/>
          <w:szCs w:val="20"/>
          <w:shd w:val="clear" w:color="auto" w:fill="FFFFFF"/>
        </w:rPr>
        <w:t xml:space="preserve">since November 2019 </w:t>
      </w:r>
      <w:r w:rsidRPr="00F82325">
        <w:rPr>
          <w:color w:val="333333"/>
          <w:sz w:val="20"/>
          <w:szCs w:val="20"/>
          <w:shd w:val="clear" w:color="auto" w:fill="FFFFFF"/>
        </w:rPr>
        <w:t xml:space="preserve">and will assume the role of </w:t>
      </w:r>
      <w:r w:rsidR="00736623">
        <w:rPr>
          <w:color w:val="333333"/>
          <w:sz w:val="20"/>
          <w:szCs w:val="20"/>
          <w:shd w:val="clear" w:color="auto" w:fill="FFFFFF"/>
        </w:rPr>
        <w:t>e</w:t>
      </w:r>
      <w:r w:rsidRPr="00F82325">
        <w:rPr>
          <w:color w:val="333333"/>
          <w:sz w:val="20"/>
          <w:szCs w:val="20"/>
          <w:shd w:val="clear" w:color="auto" w:fill="FFFFFF"/>
        </w:rPr>
        <w:t xml:space="preserve">xecutive </w:t>
      </w:r>
      <w:r w:rsidR="00736623">
        <w:rPr>
          <w:color w:val="333333"/>
          <w:sz w:val="20"/>
          <w:szCs w:val="20"/>
          <w:shd w:val="clear" w:color="auto" w:fill="FFFFFF"/>
        </w:rPr>
        <w:t>v</w:t>
      </w:r>
      <w:r w:rsidRPr="00F82325">
        <w:rPr>
          <w:color w:val="333333"/>
          <w:sz w:val="20"/>
          <w:szCs w:val="20"/>
          <w:shd w:val="clear" w:color="auto" w:fill="FFFFFF"/>
        </w:rPr>
        <w:t xml:space="preserve">ice </w:t>
      </w:r>
      <w:r w:rsidR="00D901C9">
        <w:rPr>
          <w:color w:val="333333"/>
          <w:sz w:val="20"/>
          <w:szCs w:val="20"/>
          <w:shd w:val="clear" w:color="auto" w:fill="FFFFFF"/>
        </w:rPr>
        <w:t>p</w:t>
      </w:r>
      <w:r w:rsidRPr="00F82325">
        <w:rPr>
          <w:color w:val="333333"/>
          <w:sz w:val="20"/>
          <w:szCs w:val="20"/>
          <w:shd w:val="clear" w:color="auto" w:fill="FFFFFF"/>
        </w:rPr>
        <w:t xml:space="preserve">resident </w:t>
      </w:r>
      <w:r w:rsidR="00D901C9">
        <w:rPr>
          <w:color w:val="333333"/>
          <w:sz w:val="20"/>
          <w:szCs w:val="20"/>
          <w:shd w:val="clear" w:color="auto" w:fill="FFFFFF"/>
        </w:rPr>
        <w:t>and chief</w:t>
      </w:r>
      <w:r w:rsidRPr="00F82325">
        <w:rPr>
          <w:color w:val="333333"/>
          <w:sz w:val="20"/>
          <w:szCs w:val="20"/>
          <w:shd w:val="clear" w:color="auto" w:fill="FFFFFF"/>
        </w:rPr>
        <w:t xml:space="preserve"> </w:t>
      </w:r>
      <w:r w:rsidR="00D901C9">
        <w:rPr>
          <w:color w:val="333333"/>
          <w:sz w:val="20"/>
          <w:szCs w:val="20"/>
          <w:shd w:val="clear" w:color="auto" w:fill="FFFFFF"/>
        </w:rPr>
        <w:t>f</w:t>
      </w:r>
      <w:r w:rsidRPr="00F82325">
        <w:rPr>
          <w:color w:val="333333"/>
          <w:sz w:val="20"/>
          <w:szCs w:val="20"/>
          <w:shd w:val="clear" w:color="auto" w:fill="FFFFFF"/>
        </w:rPr>
        <w:t xml:space="preserve">inancial </w:t>
      </w:r>
      <w:r w:rsidR="00D901C9">
        <w:rPr>
          <w:color w:val="333333"/>
          <w:sz w:val="20"/>
          <w:szCs w:val="20"/>
          <w:shd w:val="clear" w:color="auto" w:fill="FFFFFF"/>
        </w:rPr>
        <w:t>o</w:t>
      </w:r>
      <w:r w:rsidRPr="00F82325">
        <w:rPr>
          <w:color w:val="333333"/>
          <w:sz w:val="20"/>
          <w:szCs w:val="20"/>
          <w:shd w:val="clear" w:color="auto" w:fill="FFFFFF"/>
        </w:rPr>
        <w:t>fficer on March 1, 2020</w:t>
      </w:r>
      <w:r w:rsidR="001143A5">
        <w:rPr>
          <w:color w:val="333333"/>
          <w:sz w:val="20"/>
          <w:szCs w:val="20"/>
          <w:shd w:val="clear" w:color="auto" w:fill="FFFFFF"/>
        </w:rPr>
        <w:t>,</w:t>
      </w:r>
      <w:r w:rsidRPr="00F82325">
        <w:rPr>
          <w:color w:val="333333"/>
          <w:sz w:val="20"/>
          <w:szCs w:val="20"/>
          <w:shd w:val="clear" w:color="auto" w:fill="FFFFFF"/>
        </w:rPr>
        <w:t xml:space="preserve"> upon the retirement of James </w:t>
      </w:r>
      <w:r w:rsidR="005A76D0">
        <w:rPr>
          <w:color w:val="333333"/>
          <w:sz w:val="20"/>
          <w:szCs w:val="20"/>
          <w:shd w:val="clear" w:color="auto" w:fill="FFFFFF"/>
        </w:rPr>
        <w:t xml:space="preserve">E. </w:t>
      </w:r>
      <w:r w:rsidRPr="00F82325">
        <w:rPr>
          <w:color w:val="333333"/>
          <w:sz w:val="20"/>
          <w:szCs w:val="20"/>
          <w:shd w:val="clear" w:color="auto" w:fill="FFFFFF"/>
        </w:rPr>
        <w:t xml:space="preserve">Braun. </w:t>
      </w:r>
      <w:r w:rsidR="00D244ED">
        <w:rPr>
          <w:color w:val="333333"/>
          <w:sz w:val="20"/>
          <w:szCs w:val="20"/>
          <w:shd w:val="clear" w:color="auto" w:fill="FFFFFF"/>
        </w:rPr>
        <w:t>Mr. Youngblood</w:t>
      </w:r>
      <w:r w:rsidRPr="00F82325">
        <w:rPr>
          <w:color w:val="333333"/>
          <w:sz w:val="20"/>
          <w:szCs w:val="20"/>
          <w:shd w:val="clear" w:color="auto" w:fill="FFFFFF"/>
        </w:rPr>
        <w:t xml:space="preserve"> brings more than 30 years of extensive energy and finance expertise to MRC Global. Prior</w:t>
      </w:r>
      <w:r w:rsidR="00D901C9">
        <w:rPr>
          <w:color w:val="333333"/>
          <w:sz w:val="20"/>
          <w:szCs w:val="20"/>
          <w:shd w:val="clear" w:color="auto" w:fill="FFFFFF"/>
        </w:rPr>
        <w:t xml:space="preserve"> to joining the Company, Mr. Youngblood served as </w:t>
      </w:r>
      <w:r w:rsidR="00D867DA">
        <w:rPr>
          <w:color w:val="333333"/>
          <w:sz w:val="20"/>
          <w:szCs w:val="20"/>
          <w:shd w:val="clear" w:color="auto" w:fill="FFFFFF"/>
        </w:rPr>
        <w:t xml:space="preserve">executive vice president and </w:t>
      </w:r>
      <w:r w:rsidR="00D901C9">
        <w:rPr>
          <w:color w:val="333333"/>
          <w:sz w:val="20"/>
          <w:szCs w:val="20"/>
          <w:shd w:val="clear" w:color="auto" w:fill="FFFFFF"/>
        </w:rPr>
        <w:t>chief</w:t>
      </w:r>
      <w:r w:rsidR="00D901C9" w:rsidRPr="00F82325">
        <w:rPr>
          <w:color w:val="333333"/>
          <w:sz w:val="20"/>
          <w:szCs w:val="20"/>
          <w:shd w:val="clear" w:color="auto" w:fill="FFFFFF"/>
        </w:rPr>
        <w:t xml:space="preserve"> </w:t>
      </w:r>
      <w:r w:rsidR="00D901C9">
        <w:rPr>
          <w:color w:val="333333"/>
          <w:sz w:val="20"/>
          <w:szCs w:val="20"/>
          <w:shd w:val="clear" w:color="auto" w:fill="FFFFFF"/>
        </w:rPr>
        <w:t>f</w:t>
      </w:r>
      <w:r w:rsidR="00D901C9" w:rsidRPr="00F82325">
        <w:rPr>
          <w:color w:val="333333"/>
          <w:sz w:val="20"/>
          <w:szCs w:val="20"/>
          <w:shd w:val="clear" w:color="auto" w:fill="FFFFFF"/>
        </w:rPr>
        <w:t xml:space="preserve">inancial </w:t>
      </w:r>
      <w:r w:rsidR="00D901C9">
        <w:rPr>
          <w:color w:val="333333"/>
          <w:sz w:val="20"/>
          <w:szCs w:val="20"/>
          <w:shd w:val="clear" w:color="auto" w:fill="FFFFFF"/>
        </w:rPr>
        <w:t>o</w:t>
      </w:r>
      <w:r w:rsidR="00D901C9" w:rsidRPr="00F82325">
        <w:rPr>
          <w:color w:val="333333"/>
          <w:sz w:val="20"/>
          <w:szCs w:val="20"/>
          <w:shd w:val="clear" w:color="auto" w:fill="FFFFFF"/>
        </w:rPr>
        <w:t>fficer</w:t>
      </w:r>
      <w:r w:rsidRPr="00F82325">
        <w:rPr>
          <w:color w:val="333333"/>
          <w:sz w:val="20"/>
          <w:szCs w:val="20"/>
          <w:shd w:val="clear" w:color="auto" w:fill="FFFFFF"/>
        </w:rPr>
        <w:t xml:space="preserve"> </w:t>
      </w:r>
      <w:r w:rsidR="00D901C9">
        <w:rPr>
          <w:color w:val="333333"/>
          <w:sz w:val="20"/>
          <w:szCs w:val="20"/>
          <w:shd w:val="clear" w:color="auto" w:fill="FFFFFF"/>
        </w:rPr>
        <w:t>of</w:t>
      </w:r>
      <w:r w:rsidRPr="00F82325">
        <w:rPr>
          <w:color w:val="333333"/>
          <w:sz w:val="20"/>
          <w:szCs w:val="20"/>
          <w:shd w:val="clear" w:color="auto" w:fill="FFFFFF"/>
        </w:rPr>
        <w:t xml:space="preserve"> BJ Services, </w:t>
      </w:r>
      <w:r w:rsidR="00D867DA">
        <w:rPr>
          <w:color w:val="333333"/>
          <w:sz w:val="20"/>
          <w:szCs w:val="20"/>
          <w:shd w:val="clear" w:color="auto" w:fill="FFFFFF"/>
        </w:rPr>
        <w:t>a leading</w:t>
      </w:r>
      <w:r w:rsidRPr="00F82325">
        <w:rPr>
          <w:color w:val="333333"/>
          <w:sz w:val="20"/>
          <w:szCs w:val="20"/>
          <w:shd w:val="clear" w:color="auto" w:fill="FFFFFF"/>
        </w:rPr>
        <w:t xml:space="preserve"> pressure pumping services provider </w:t>
      </w:r>
      <w:r w:rsidR="00D867DA">
        <w:rPr>
          <w:color w:val="333333"/>
          <w:sz w:val="20"/>
          <w:szCs w:val="20"/>
          <w:shd w:val="clear" w:color="auto" w:fill="FFFFFF"/>
        </w:rPr>
        <w:t>in North America</w:t>
      </w:r>
      <w:r w:rsidR="008E37BA">
        <w:rPr>
          <w:color w:val="333333"/>
          <w:sz w:val="20"/>
          <w:szCs w:val="20"/>
          <w:shd w:val="clear" w:color="auto" w:fill="FFFFFF"/>
        </w:rPr>
        <w:t>,</w:t>
      </w:r>
      <w:r w:rsidR="00BC7177">
        <w:rPr>
          <w:color w:val="333333"/>
          <w:sz w:val="20"/>
          <w:szCs w:val="20"/>
          <w:shd w:val="clear" w:color="auto" w:fill="FFFFFF"/>
        </w:rPr>
        <w:t xml:space="preserve"> from December 2017 to November 2019 </w:t>
      </w:r>
      <w:r w:rsidRPr="00F82325">
        <w:rPr>
          <w:color w:val="333333"/>
          <w:sz w:val="20"/>
          <w:szCs w:val="20"/>
          <w:shd w:val="clear" w:color="auto" w:fill="FFFFFF"/>
        </w:rPr>
        <w:t>and</w:t>
      </w:r>
      <w:r w:rsidR="00D244ED">
        <w:rPr>
          <w:color w:val="333333"/>
          <w:sz w:val="20"/>
          <w:szCs w:val="20"/>
          <w:shd w:val="clear" w:color="auto" w:fill="FFFFFF"/>
        </w:rPr>
        <w:t xml:space="preserve"> prior to that was the</w:t>
      </w:r>
      <w:r w:rsidRPr="00F82325">
        <w:rPr>
          <w:color w:val="333333"/>
          <w:sz w:val="20"/>
          <w:szCs w:val="20"/>
          <w:shd w:val="clear" w:color="auto" w:fill="FFFFFF"/>
        </w:rPr>
        <w:t xml:space="preserve"> </w:t>
      </w:r>
      <w:r w:rsidR="00D901C9">
        <w:rPr>
          <w:color w:val="333333"/>
          <w:sz w:val="20"/>
          <w:szCs w:val="20"/>
          <w:shd w:val="clear" w:color="auto" w:fill="FFFFFF"/>
        </w:rPr>
        <w:t>s</w:t>
      </w:r>
      <w:r w:rsidRPr="00F82325">
        <w:rPr>
          <w:color w:val="333333"/>
          <w:sz w:val="20"/>
          <w:szCs w:val="20"/>
          <w:shd w:val="clear" w:color="auto" w:fill="FFFFFF"/>
        </w:rPr>
        <w:t xml:space="preserve">enior </w:t>
      </w:r>
      <w:r w:rsidR="00D901C9">
        <w:rPr>
          <w:color w:val="333333"/>
          <w:sz w:val="20"/>
          <w:szCs w:val="20"/>
          <w:shd w:val="clear" w:color="auto" w:fill="FFFFFF"/>
        </w:rPr>
        <w:t>v</w:t>
      </w:r>
      <w:r w:rsidRPr="00F82325">
        <w:rPr>
          <w:color w:val="333333"/>
          <w:sz w:val="20"/>
          <w:szCs w:val="20"/>
          <w:shd w:val="clear" w:color="auto" w:fill="FFFFFF"/>
        </w:rPr>
        <w:t xml:space="preserve">ice </w:t>
      </w:r>
      <w:r w:rsidR="00D901C9">
        <w:rPr>
          <w:color w:val="333333"/>
          <w:sz w:val="20"/>
          <w:szCs w:val="20"/>
          <w:shd w:val="clear" w:color="auto" w:fill="FFFFFF"/>
        </w:rPr>
        <w:t>p</w:t>
      </w:r>
      <w:r w:rsidRPr="00F82325">
        <w:rPr>
          <w:color w:val="333333"/>
          <w:sz w:val="20"/>
          <w:szCs w:val="20"/>
          <w:shd w:val="clear" w:color="auto" w:fill="FFFFFF"/>
        </w:rPr>
        <w:t xml:space="preserve">resident </w:t>
      </w:r>
      <w:r w:rsidR="00D901C9">
        <w:rPr>
          <w:color w:val="333333"/>
          <w:sz w:val="20"/>
          <w:szCs w:val="20"/>
          <w:shd w:val="clear" w:color="auto" w:fill="FFFFFF"/>
        </w:rPr>
        <w:t>and</w:t>
      </w:r>
      <w:r w:rsidRPr="00F82325">
        <w:rPr>
          <w:color w:val="333333"/>
          <w:sz w:val="20"/>
          <w:szCs w:val="20"/>
          <w:shd w:val="clear" w:color="auto" w:fill="FFFFFF"/>
        </w:rPr>
        <w:t xml:space="preserve"> </w:t>
      </w:r>
      <w:r w:rsidR="00D901C9">
        <w:rPr>
          <w:color w:val="333333"/>
          <w:sz w:val="20"/>
          <w:szCs w:val="20"/>
          <w:shd w:val="clear" w:color="auto" w:fill="FFFFFF"/>
        </w:rPr>
        <w:t>chief</w:t>
      </w:r>
      <w:r w:rsidR="00D901C9" w:rsidRPr="00F82325">
        <w:rPr>
          <w:color w:val="333333"/>
          <w:sz w:val="20"/>
          <w:szCs w:val="20"/>
          <w:shd w:val="clear" w:color="auto" w:fill="FFFFFF"/>
        </w:rPr>
        <w:t xml:space="preserve"> </w:t>
      </w:r>
      <w:r w:rsidR="00D901C9">
        <w:rPr>
          <w:color w:val="333333"/>
          <w:sz w:val="20"/>
          <w:szCs w:val="20"/>
          <w:shd w:val="clear" w:color="auto" w:fill="FFFFFF"/>
        </w:rPr>
        <w:t>f</w:t>
      </w:r>
      <w:r w:rsidR="00D901C9" w:rsidRPr="00F82325">
        <w:rPr>
          <w:color w:val="333333"/>
          <w:sz w:val="20"/>
          <w:szCs w:val="20"/>
          <w:shd w:val="clear" w:color="auto" w:fill="FFFFFF"/>
        </w:rPr>
        <w:t xml:space="preserve">inancial </w:t>
      </w:r>
      <w:r w:rsidR="00D901C9">
        <w:rPr>
          <w:color w:val="333333"/>
          <w:sz w:val="20"/>
          <w:szCs w:val="20"/>
          <w:shd w:val="clear" w:color="auto" w:fill="FFFFFF"/>
        </w:rPr>
        <w:t>o</w:t>
      </w:r>
      <w:r w:rsidR="00D901C9" w:rsidRPr="00F82325">
        <w:rPr>
          <w:color w:val="333333"/>
          <w:sz w:val="20"/>
          <w:szCs w:val="20"/>
          <w:shd w:val="clear" w:color="auto" w:fill="FFFFFF"/>
        </w:rPr>
        <w:t>fficer</w:t>
      </w:r>
      <w:r w:rsidRPr="00F82325">
        <w:rPr>
          <w:color w:val="333333"/>
          <w:sz w:val="20"/>
          <w:szCs w:val="20"/>
          <w:shd w:val="clear" w:color="auto" w:fill="FFFFFF"/>
        </w:rPr>
        <w:t xml:space="preserve"> at Diamond Offshore Drilling, Inc.</w:t>
      </w:r>
      <w:r w:rsidR="001143A5">
        <w:rPr>
          <w:color w:val="333333"/>
          <w:sz w:val="20"/>
          <w:szCs w:val="20"/>
          <w:shd w:val="clear" w:color="auto" w:fill="FFFFFF"/>
        </w:rPr>
        <w:t xml:space="preserve"> </w:t>
      </w:r>
      <w:r w:rsidR="00BC7177">
        <w:rPr>
          <w:color w:val="333333"/>
          <w:sz w:val="20"/>
          <w:szCs w:val="20"/>
          <w:shd w:val="clear" w:color="auto" w:fill="FFFFFF"/>
        </w:rPr>
        <w:t>from 2016 to 2017.</w:t>
      </w:r>
      <w:r w:rsidRPr="00F82325">
        <w:rPr>
          <w:color w:val="333333"/>
          <w:sz w:val="20"/>
          <w:szCs w:val="20"/>
          <w:shd w:val="clear" w:color="auto" w:fill="FFFFFF"/>
        </w:rPr>
        <w:t xml:space="preserve"> He has also held a variety of finance and accounting positions of increasing responsibility at Halliburton, including </w:t>
      </w:r>
      <w:r w:rsidR="00D901C9">
        <w:rPr>
          <w:color w:val="333333"/>
          <w:sz w:val="20"/>
          <w:szCs w:val="20"/>
          <w:shd w:val="clear" w:color="auto" w:fill="FFFFFF"/>
        </w:rPr>
        <w:t>v</w:t>
      </w:r>
      <w:r w:rsidRPr="00F82325">
        <w:rPr>
          <w:color w:val="333333"/>
          <w:sz w:val="20"/>
          <w:szCs w:val="20"/>
          <w:shd w:val="clear" w:color="auto" w:fill="FFFFFF"/>
        </w:rPr>
        <w:t xml:space="preserve">ice </w:t>
      </w:r>
      <w:r w:rsidR="00D901C9">
        <w:rPr>
          <w:color w:val="333333"/>
          <w:sz w:val="20"/>
          <w:szCs w:val="20"/>
          <w:shd w:val="clear" w:color="auto" w:fill="FFFFFF"/>
        </w:rPr>
        <w:t>p</w:t>
      </w:r>
      <w:r w:rsidRPr="00F82325">
        <w:rPr>
          <w:color w:val="333333"/>
          <w:sz w:val="20"/>
          <w:szCs w:val="20"/>
          <w:shd w:val="clear" w:color="auto" w:fill="FFFFFF"/>
        </w:rPr>
        <w:t xml:space="preserve">resident of </w:t>
      </w:r>
      <w:r w:rsidR="00D901C9">
        <w:rPr>
          <w:color w:val="333333"/>
          <w:sz w:val="20"/>
          <w:szCs w:val="20"/>
          <w:shd w:val="clear" w:color="auto" w:fill="FFFFFF"/>
        </w:rPr>
        <w:t>i</w:t>
      </w:r>
      <w:r w:rsidRPr="00F82325">
        <w:rPr>
          <w:color w:val="333333"/>
          <w:sz w:val="20"/>
          <w:szCs w:val="20"/>
          <w:shd w:val="clear" w:color="auto" w:fill="FFFFFF"/>
        </w:rPr>
        <w:t xml:space="preserve">nvestor </w:t>
      </w:r>
      <w:r w:rsidR="00D901C9">
        <w:rPr>
          <w:color w:val="333333"/>
          <w:sz w:val="20"/>
          <w:szCs w:val="20"/>
          <w:shd w:val="clear" w:color="auto" w:fill="FFFFFF"/>
        </w:rPr>
        <w:t>r</w:t>
      </w:r>
      <w:r w:rsidRPr="00F82325">
        <w:rPr>
          <w:color w:val="333333"/>
          <w:sz w:val="20"/>
          <w:szCs w:val="20"/>
          <w:shd w:val="clear" w:color="auto" w:fill="FFFFFF"/>
        </w:rPr>
        <w:t>elations</w:t>
      </w:r>
      <w:r w:rsidR="001143A5">
        <w:rPr>
          <w:color w:val="333333"/>
          <w:sz w:val="20"/>
          <w:szCs w:val="20"/>
          <w:shd w:val="clear" w:color="auto" w:fill="FFFFFF"/>
        </w:rPr>
        <w:t>.</w:t>
      </w:r>
      <w:r w:rsidRPr="00F82325">
        <w:rPr>
          <w:color w:val="333333"/>
          <w:sz w:val="20"/>
          <w:szCs w:val="20"/>
          <w:shd w:val="clear" w:color="auto" w:fill="FFFFFF"/>
        </w:rPr>
        <w:t xml:space="preserve"> </w:t>
      </w:r>
      <w:r w:rsidR="00D901C9">
        <w:rPr>
          <w:color w:val="333333"/>
          <w:sz w:val="20"/>
          <w:szCs w:val="20"/>
          <w:shd w:val="clear" w:color="auto" w:fill="FFFFFF"/>
        </w:rPr>
        <w:t>Mr. Youngblood</w:t>
      </w:r>
      <w:r w:rsidRPr="00F82325">
        <w:rPr>
          <w:color w:val="333333"/>
          <w:sz w:val="20"/>
          <w:szCs w:val="20"/>
          <w:shd w:val="clear" w:color="auto" w:fill="FFFFFF"/>
        </w:rPr>
        <w:t xml:space="preserve"> is a CPA and </w:t>
      </w:r>
      <w:r w:rsidR="00D901C9">
        <w:rPr>
          <w:color w:val="333333"/>
          <w:sz w:val="20"/>
          <w:szCs w:val="20"/>
          <w:shd w:val="clear" w:color="auto" w:fill="FFFFFF"/>
        </w:rPr>
        <w:t xml:space="preserve">received a B.A. in Accounting from </w:t>
      </w:r>
      <w:r w:rsidRPr="00F82325">
        <w:rPr>
          <w:color w:val="333333"/>
          <w:sz w:val="20"/>
          <w:szCs w:val="20"/>
          <w:shd w:val="clear" w:color="auto" w:fill="FFFFFF"/>
        </w:rPr>
        <w:t>Cameron University.</w:t>
      </w:r>
    </w:p>
    <w:p w:rsidR="000121CD" w:rsidRDefault="000121CD">
      <w:pPr>
        <w:pStyle w:val="NormalWeb"/>
        <w:spacing w:before="0" w:beforeAutospacing="0" w:after="0" w:afterAutospacing="0"/>
        <w:rPr>
          <w:i/>
          <w:iCs/>
          <w:sz w:val="20"/>
          <w:szCs w:val="20"/>
        </w:rPr>
      </w:pPr>
    </w:p>
    <w:p w:rsidR="000121CD" w:rsidRDefault="00590862">
      <w:pPr>
        <w:pStyle w:val="NormalWeb"/>
        <w:spacing w:before="0" w:beforeAutospacing="0" w:after="0" w:afterAutospacing="0"/>
        <w:rPr>
          <w:sz w:val="20"/>
          <w:szCs w:val="20"/>
        </w:rPr>
      </w:pPr>
      <w:r>
        <w:rPr>
          <w:i/>
          <w:iCs/>
          <w:sz w:val="20"/>
          <w:szCs w:val="20"/>
        </w:rPr>
        <w:t>Daniel J. Churay</w:t>
      </w:r>
      <w:r>
        <w:rPr>
          <w:iCs/>
          <w:sz w:val="20"/>
          <w:szCs w:val="20"/>
        </w:rPr>
        <w:t>, age 5</w:t>
      </w:r>
      <w:r w:rsidR="002B25B7">
        <w:rPr>
          <w:iCs/>
          <w:sz w:val="20"/>
          <w:szCs w:val="20"/>
        </w:rPr>
        <w:t>7</w:t>
      </w:r>
      <w:r>
        <w:rPr>
          <w:iCs/>
          <w:sz w:val="20"/>
          <w:szCs w:val="20"/>
        </w:rPr>
        <w:t>,</w:t>
      </w:r>
      <w:r>
        <w:rPr>
          <w:sz w:val="20"/>
          <w:szCs w:val="20"/>
        </w:rPr>
        <w:t xml:space="preserve"> has served as our executive vice president </w:t>
      </w:r>
      <w:r>
        <w:rPr>
          <w:sz w:val="20"/>
        </w:rPr>
        <w:t xml:space="preserve">– </w:t>
      </w:r>
      <w:r>
        <w:rPr>
          <w:sz w:val="20"/>
          <w:szCs w:val="20"/>
        </w:rPr>
        <w:t xml:space="preserve">corporate affairs, general counsel and corporate secretary since May 2012. In his current role, Mr. Churay manages the Company’s human resources, legal, risk and compliance, cyber security, external and government affairs and certain shared services functions. He also acts as corporate secretary to the Company’s board of directors. Prior to May 2012, Mr. Churay served as executive vice president and general counsel since August 2011 and as our corporate secretary since November 2011. From 2010 to 2011, he served as president and CEO of Rex Energy Corporation, an independent oil and gas company. From 2002 to 2010, Mr. Churay served as executive vice president, general counsel and secretary of YRC Worldwide Inc., a transportation and logistics company. </w:t>
      </w:r>
      <w:r w:rsidR="001143A5">
        <w:rPr>
          <w:sz w:val="20"/>
          <w:szCs w:val="20"/>
        </w:rPr>
        <w:t xml:space="preserve">From 1985, he served in various </w:t>
      </w:r>
      <w:r w:rsidR="00B541F7">
        <w:rPr>
          <w:sz w:val="20"/>
          <w:szCs w:val="20"/>
        </w:rPr>
        <w:t xml:space="preserve">legal </w:t>
      </w:r>
      <w:r w:rsidR="001143A5">
        <w:rPr>
          <w:sz w:val="20"/>
          <w:szCs w:val="20"/>
        </w:rPr>
        <w:t>rol</w:t>
      </w:r>
      <w:r w:rsidR="00B541F7">
        <w:rPr>
          <w:sz w:val="20"/>
          <w:szCs w:val="20"/>
        </w:rPr>
        <w:t>e</w:t>
      </w:r>
      <w:r w:rsidR="001143A5">
        <w:rPr>
          <w:sz w:val="20"/>
          <w:szCs w:val="20"/>
        </w:rPr>
        <w:t>s with increasing responsibility with Baker Hughes</w:t>
      </w:r>
      <w:r w:rsidR="00B541F7">
        <w:rPr>
          <w:sz w:val="20"/>
          <w:szCs w:val="20"/>
        </w:rPr>
        <w:t xml:space="preserve"> Company</w:t>
      </w:r>
      <w:r w:rsidR="001143A5">
        <w:rPr>
          <w:sz w:val="20"/>
          <w:szCs w:val="20"/>
        </w:rPr>
        <w:t xml:space="preserve">. </w:t>
      </w:r>
      <w:r>
        <w:rPr>
          <w:sz w:val="20"/>
          <w:szCs w:val="20"/>
        </w:rPr>
        <w:t xml:space="preserve">Mr. Churay received a bachelor’s degree in economics from the University of Texas and a juris doctorate from the University of Houston Law Center, where he was a member of the Law Review. </w:t>
      </w:r>
    </w:p>
    <w:p w:rsidR="000121CD" w:rsidRDefault="000121CD">
      <w:pPr>
        <w:pStyle w:val="NormalWeb"/>
        <w:spacing w:before="0" w:beforeAutospacing="0" w:after="0" w:afterAutospacing="0"/>
        <w:rPr>
          <w:sz w:val="20"/>
          <w:szCs w:val="20"/>
        </w:rPr>
      </w:pPr>
    </w:p>
    <w:p w:rsidR="000121CD" w:rsidRDefault="00590862">
      <w:pPr>
        <w:pStyle w:val="NormalWeb"/>
        <w:shd w:val="clear" w:color="auto" w:fill="FFFFFF"/>
        <w:spacing w:before="0" w:beforeAutospacing="0" w:after="0" w:afterAutospacing="0"/>
        <w:textAlignment w:val="baseline"/>
        <w:rPr>
          <w:sz w:val="20"/>
          <w:szCs w:val="20"/>
        </w:rPr>
      </w:pPr>
      <w:r>
        <w:rPr>
          <w:i/>
          <w:sz w:val="20"/>
        </w:rPr>
        <w:t>Grant Bates</w:t>
      </w:r>
      <w:r>
        <w:rPr>
          <w:sz w:val="20"/>
        </w:rPr>
        <w:t>, age 4</w:t>
      </w:r>
      <w:r w:rsidR="002B25B7">
        <w:rPr>
          <w:sz w:val="20"/>
        </w:rPr>
        <w:t>8</w:t>
      </w:r>
      <w:r>
        <w:rPr>
          <w:sz w:val="20"/>
          <w:szCs w:val="20"/>
        </w:rPr>
        <w:t>, is our senior vice president of operations, International and Canada, and operational excellence since January 2019. In this role, in addition to International and Canada operations, he is responsible for our global quality, safety, health and environment (QHSE) and our transportation, warehouse operations</w:t>
      </w:r>
      <w:r w:rsidR="004C04C4">
        <w:rPr>
          <w:sz w:val="20"/>
          <w:szCs w:val="20"/>
        </w:rPr>
        <w:t xml:space="preserve"> and </w:t>
      </w:r>
      <w:r>
        <w:rPr>
          <w:sz w:val="20"/>
          <w:szCs w:val="20"/>
        </w:rPr>
        <w:t xml:space="preserve">business processes teams. </w:t>
      </w:r>
      <w:r w:rsidR="004C04C4">
        <w:rPr>
          <w:sz w:val="20"/>
          <w:szCs w:val="20"/>
        </w:rPr>
        <w:t>Prior to January 2019, Mr. Bates was</w:t>
      </w:r>
      <w:r>
        <w:rPr>
          <w:sz w:val="20"/>
          <w:szCs w:val="20"/>
        </w:rPr>
        <w:t xml:space="preserve"> </w:t>
      </w:r>
      <w:r w:rsidR="004C04C4">
        <w:rPr>
          <w:sz w:val="20"/>
          <w:szCs w:val="20"/>
        </w:rPr>
        <w:t xml:space="preserve">our senior vice president and chief information officer </w:t>
      </w:r>
      <w:r>
        <w:rPr>
          <w:sz w:val="20"/>
          <w:szCs w:val="20"/>
        </w:rPr>
        <w:t xml:space="preserve">led our information systems and operational excellence functions since April 2016. Mr. Bates previously led our Canada region since March 2014 and </w:t>
      </w:r>
      <w:r w:rsidR="00D244ED">
        <w:rPr>
          <w:sz w:val="20"/>
          <w:szCs w:val="20"/>
        </w:rPr>
        <w:t xml:space="preserve">prior to that </w:t>
      </w:r>
      <w:r>
        <w:rPr>
          <w:sz w:val="20"/>
          <w:szCs w:val="20"/>
        </w:rPr>
        <w:t>served as regional vice president of the Australasian region since March 2012. Mr. Bates holds a B.E. in mechanical engineering from the University of Newcastle, a graduate diploma in management and a Master of Business Administration from Deakin University.</w:t>
      </w:r>
    </w:p>
    <w:p w:rsidR="000121CD" w:rsidRDefault="000121CD">
      <w:pPr>
        <w:rPr>
          <w:sz w:val="20"/>
        </w:rPr>
      </w:pPr>
    </w:p>
    <w:p w:rsidR="000121CD" w:rsidRDefault="00590862">
      <w:pPr>
        <w:tabs>
          <w:tab w:val="left" w:pos="1980"/>
        </w:tabs>
        <w:rPr>
          <w:sz w:val="20"/>
        </w:rPr>
      </w:pPr>
      <w:r>
        <w:rPr>
          <w:i/>
          <w:sz w:val="20"/>
        </w:rPr>
        <w:t>John L. Bowhay</w:t>
      </w:r>
      <w:r>
        <w:rPr>
          <w:sz w:val="20"/>
        </w:rPr>
        <w:t>, age 5</w:t>
      </w:r>
      <w:r w:rsidR="002B25B7">
        <w:rPr>
          <w:sz w:val="20"/>
        </w:rPr>
        <w:t>4</w:t>
      </w:r>
      <w:r>
        <w:rPr>
          <w:sz w:val="20"/>
        </w:rPr>
        <w:t>, is our senior vice president – supply chain management, valve and technical product sales since August 2015.  He previously served as senior vice president of Asia Pacific and Middle East operations since August 2014. Before that, Mr. Bowhay served as vice president of European operations since August 2013. Prior to this role, Mr. Bowhay served as the managing director for our United Kingdom operations and prior to that role, he was the vice president of sales in the U.K. He brings more than 31 years of industry experience and valve expertise to the MRC Global team. Mr. Bowhay attended the London Business School.</w:t>
      </w:r>
    </w:p>
    <w:p w:rsidR="000121CD" w:rsidRDefault="000121CD">
      <w:pPr>
        <w:pStyle w:val="NormalWeb"/>
        <w:tabs>
          <w:tab w:val="left" w:pos="1980"/>
        </w:tabs>
        <w:spacing w:before="0" w:beforeAutospacing="0" w:after="0" w:afterAutospacing="0"/>
        <w:rPr>
          <w:i/>
          <w:sz w:val="20"/>
          <w:szCs w:val="20"/>
        </w:rPr>
      </w:pPr>
    </w:p>
    <w:p w:rsidR="000121CD" w:rsidRDefault="00590862">
      <w:pPr>
        <w:pStyle w:val="NormalWeb"/>
        <w:spacing w:before="0" w:beforeAutospacing="0" w:after="0" w:afterAutospacing="0"/>
        <w:rPr>
          <w:sz w:val="20"/>
          <w:szCs w:val="20"/>
          <w:shd w:val="clear" w:color="auto" w:fill="FFFFFF"/>
        </w:rPr>
      </w:pPr>
      <w:r>
        <w:rPr>
          <w:i/>
          <w:sz w:val="20"/>
          <w:szCs w:val="20"/>
        </w:rPr>
        <w:t xml:space="preserve">Robert W. Stein, </w:t>
      </w:r>
      <w:r>
        <w:rPr>
          <w:sz w:val="20"/>
          <w:szCs w:val="20"/>
        </w:rPr>
        <w:t>age 6</w:t>
      </w:r>
      <w:r w:rsidR="002B25B7">
        <w:rPr>
          <w:sz w:val="20"/>
          <w:szCs w:val="20"/>
        </w:rPr>
        <w:t>1</w:t>
      </w:r>
      <w:r>
        <w:rPr>
          <w:sz w:val="20"/>
          <w:szCs w:val="20"/>
        </w:rPr>
        <w:t>, is</w:t>
      </w:r>
      <w:r>
        <w:rPr>
          <w:i/>
          <w:sz w:val="20"/>
          <w:szCs w:val="20"/>
        </w:rPr>
        <w:t xml:space="preserve"> </w:t>
      </w:r>
      <w:r>
        <w:rPr>
          <w:sz w:val="20"/>
          <w:szCs w:val="20"/>
          <w:shd w:val="clear" w:color="auto" w:fill="FFFFFF"/>
        </w:rPr>
        <w:t>our senior vice president of business development since April 2016. He previously led our downstream and integrated supply teams. Prior to that, Mr. Stein led our U.S. Southwestern region operations</w:t>
      </w:r>
      <w:r w:rsidR="00B541F7">
        <w:rPr>
          <w:sz w:val="20"/>
          <w:szCs w:val="20"/>
          <w:shd w:val="clear" w:color="auto" w:fill="FFFFFF"/>
        </w:rPr>
        <w:t xml:space="preserve"> since </w:t>
      </w:r>
      <w:r w:rsidR="00D020F7">
        <w:rPr>
          <w:sz w:val="20"/>
          <w:szCs w:val="20"/>
          <w:shd w:val="clear" w:color="auto" w:fill="FFFFFF"/>
        </w:rPr>
        <w:t>2014</w:t>
      </w:r>
      <w:r>
        <w:rPr>
          <w:sz w:val="20"/>
          <w:szCs w:val="20"/>
          <w:shd w:val="clear" w:color="auto" w:fill="FFFFFF"/>
        </w:rPr>
        <w:t xml:space="preserve">. He has </w:t>
      </w:r>
      <w:r w:rsidR="00780609">
        <w:rPr>
          <w:sz w:val="20"/>
          <w:szCs w:val="20"/>
          <w:shd w:val="clear" w:color="auto" w:fill="FFFFFF"/>
        </w:rPr>
        <w:t xml:space="preserve">served </w:t>
      </w:r>
      <w:r>
        <w:rPr>
          <w:sz w:val="20"/>
          <w:szCs w:val="20"/>
          <w:shd w:val="clear" w:color="auto" w:fill="FFFFFF"/>
        </w:rPr>
        <w:t>MRC Global since 1984 in a variety of roles including regional and branch management, downstream business development, project services and integrated supply. Mr. Stein received a B.B.A. in business management from Sam Houston State University.</w:t>
      </w:r>
    </w:p>
    <w:p w:rsidR="000121CD" w:rsidRDefault="000121CD">
      <w:pPr>
        <w:pStyle w:val="NormalWeb"/>
        <w:spacing w:before="0" w:beforeAutospacing="0" w:after="0" w:afterAutospacing="0"/>
        <w:rPr>
          <w:sz w:val="20"/>
          <w:szCs w:val="20"/>
          <w:shd w:val="clear" w:color="auto" w:fill="FFFFFF"/>
        </w:rPr>
      </w:pPr>
    </w:p>
    <w:p w:rsidR="000121CD" w:rsidRDefault="00590862">
      <w:pPr>
        <w:pStyle w:val="NormalWeb"/>
        <w:spacing w:before="0" w:beforeAutospacing="0" w:after="0" w:afterAutospacing="0"/>
        <w:rPr>
          <w:sz w:val="20"/>
          <w:szCs w:val="20"/>
        </w:rPr>
      </w:pPr>
      <w:r>
        <w:rPr>
          <w:i/>
          <w:sz w:val="20"/>
          <w:szCs w:val="20"/>
          <w:shd w:val="clear" w:color="auto" w:fill="FFFFFF"/>
        </w:rPr>
        <w:lastRenderedPageBreak/>
        <w:t>Karl W. Witt</w:t>
      </w:r>
      <w:r>
        <w:rPr>
          <w:sz w:val="20"/>
          <w:szCs w:val="20"/>
          <w:shd w:val="clear" w:color="auto" w:fill="FFFFFF"/>
        </w:rPr>
        <w:t>, age, 5</w:t>
      </w:r>
      <w:r w:rsidR="002B25B7">
        <w:rPr>
          <w:sz w:val="20"/>
          <w:szCs w:val="20"/>
          <w:shd w:val="clear" w:color="auto" w:fill="FFFFFF"/>
        </w:rPr>
        <w:t>9</w:t>
      </w:r>
      <w:r>
        <w:rPr>
          <w:sz w:val="20"/>
          <w:szCs w:val="20"/>
          <w:shd w:val="clear" w:color="auto" w:fill="FFFFFF"/>
        </w:rPr>
        <w:t xml:space="preserve">, is our senior vice president of U.S. </w:t>
      </w:r>
      <w:r w:rsidR="000A09C2">
        <w:rPr>
          <w:sz w:val="20"/>
          <w:szCs w:val="20"/>
          <w:shd w:val="clear" w:color="auto" w:fill="FFFFFF"/>
        </w:rPr>
        <w:t>O</w:t>
      </w:r>
      <w:r>
        <w:rPr>
          <w:sz w:val="20"/>
          <w:szCs w:val="20"/>
          <w:shd w:val="clear" w:color="auto" w:fill="FFFFFF"/>
        </w:rPr>
        <w:t>perations</w:t>
      </w:r>
      <w:r w:rsidR="00D244ED">
        <w:rPr>
          <w:sz w:val="20"/>
          <w:szCs w:val="20"/>
          <w:shd w:val="clear" w:color="auto" w:fill="FFFFFF"/>
        </w:rPr>
        <w:t xml:space="preserve"> since April 2016</w:t>
      </w:r>
      <w:r>
        <w:rPr>
          <w:sz w:val="20"/>
          <w:szCs w:val="20"/>
          <w:shd w:val="clear" w:color="auto" w:fill="FFFFFF"/>
        </w:rPr>
        <w:t xml:space="preserve">. Prior to that, he served in a variety of roles including seven years as regional vice president of the Eastern </w:t>
      </w:r>
      <w:r w:rsidR="001143A5">
        <w:rPr>
          <w:sz w:val="20"/>
          <w:szCs w:val="20"/>
          <w:shd w:val="clear" w:color="auto" w:fill="FFFFFF"/>
        </w:rPr>
        <w:t xml:space="preserve">and Gulf Coast </w:t>
      </w:r>
      <w:r>
        <w:rPr>
          <w:sz w:val="20"/>
          <w:szCs w:val="20"/>
          <w:shd w:val="clear" w:color="auto" w:fill="FFFFFF"/>
        </w:rPr>
        <w:t>region</w:t>
      </w:r>
      <w:r w:rsidR="001143A5">
        <w:rPr>
          <w:sz w:val="20"/>
          <w:szCs w:val="20"/>
          <w:shd w:val="clear" w:color="auto" w:fill="FFFFFF"/>
        </w:rPr>
        <w:t>s</w:t>
      </w:r>
      <w:r>
        <w:rPr>
          <w:sz w:val="20"/>
          <w:szCs w:val="20"/>
          <w:shd w:val="clear" w:color="auto" w:fill="FFFFFF"/>
        </w:rPr>
        <w:t xml:space="preserve"> </w:t>
      </w:r>
      <w:r w:rsidR="001143A5">
        <w:rPr>
          <w:sz w:val="20"/>
          <w:szCs w:val="20"/>
          <w:shd w:val="clear" w:color="auto" w:fill="FFFFFF"/>
        </w:rPr>
        <w:t xml:space="preserve">since 2013 </w:t>
      </w:r>
      <w:r>
        <w:rPr>
          <w:sz w:val="20"/>
          <w:szCs w:val="20"/>
          <w:shd w:val="clear" w:color="auto" w:fill="FFFFFF"/>
        </w:rPr>
        <w:t xml:space="preserve">and seven years as regional vice president of the Midwest sub-region as well as warehouse manager, outside sales representative, branch manager and vice president of operations with Joliet Valves, which was acquired by </w:t>
      </w:r>
      <w:r>
        <w:rPr>
          <w:sz w:val="20"/>
          <w:szCs w:val="20"/>
        </w:rPr>
        <w:t>the Company</w:t>
      </w:r>
      <w:r>
        <w:rPr>
          <w:sz w:val="20"/>
          <w:szCs w:val="20"/>
          <w:shd w:val="clear" w:color="auto" w:fill="FFFFFF"/>
        </w:rPr>
        <w:t xml:space="preserve"> in 2001. Mr. Witt attended South Suburban College in Chicago.</w:t>
      </w:r>
    </w:p>
    <w:p w:rsidR="000121CD" w:rsidRDefault="000121CD">
      <w:pPr>
        <w:pStyle w:val="NormalWeb"/>
        <w:spacing w:before="0" w:beforeAutospacing="0" w:after="0" w:afterAutospacing="0"/>
        <w:rPr>
          <w:i/>
          <w:sz w:val="20"/>
          <w:szCs w:val="20"/>
        </w:rPr>
      </w:pPr>
    </w:p>
    <w:p w:rsidR="000121CD" w:rsidRDefault="00590862">
      <w:pPr>
        <w:pStyle w:val="NormalWeb"/>
        <w:spacing w:before="0" w:beforeAutospacing="0" w:after="0" w:afterAutospacing="0"/>
      </w:pPr>
      <w:r>
        <w:rPr>
          <w:i/>
          <w:sz w:val="20"/>
          <w:szCs w:val="20"/>
        </w:rPr>
        <w:t>Elton Bond</w:t>
      </w:r>
      <w:r>
        <w:rPr>
          <w:sz w:val="20"/>
          <w:szCs w:val="20"/>
        </w:rPr>
        <w:t>, age 4</w:t>
      </w:r>
      <w:r w:rsidR="002B25B7">
        <w:rPr>
          <w:sz w:val="20"/>
          <w:szCs w:val="20"/>
        </w:rPr>
        <w:t>4</w:t>
      </w:r>
      <w:r>
        <w:rPr>
          <w:sz w:val="20"/>
          <w:szCs w:val="20"/>
        </w:rPr>
        <w:t>, has served as our senior vice president and chief accounting officer since May 2011. From September 2009 to May 2011, he served as senior vice president and treasurer. Prior to that, he served as vice president of finance and compliance. Before that, Mr. Bond was the director of finance and compliance. He started his career with MRC Global as the acquisition development manager in April 2006. Prior to joining MRC Global, Mr. Bond was employed with Ernst &amp; Young LLP from 1997 to 2006, serving in a variety of roles, including senior manager of assurance and advisory business services. Mr. Bond received a B.B.A. from Marshall University in 1997. He is a C.P.A., a chartered global management accountant and is a member of the American Institute of Certified Public Accountants as well as the West Virginia Society of Certified Public Accountants.</w:t>
      </w:r>
    </w:p>
    <w:p w:rsidR="000121CD" w:rsidRDefault="00590862">
      <w:pPr>
        <w:pStyle w:val="NormalWeb"/>
        <w:keepNext/>
        <w:pageBreakBefore/>
        <w:spacing w:before="0" w:beforeAutospacing="0" w:after="0" w:afterAutospacing="0"/>
        <w:jc w:val="center"/>
        <w:rPr>
          <w:sz w:val="20"/>
          <w:szCs w:val="20"/>
        </w:rPr>
      </w:pPr>
      <w:r>
        <w:rPr>
          <w:b/>
          <w:bCs/>
          <w:sz w:val="20"/>
          <w:szCs w:val="20"/>
        </w:rPr>
        <w:lastRenderedPageBreak/>
        <w:t xml:space="preserve">PART II </w:t>
      </w:r>
    </w:p>
    <w:p w:rsidR="000121CD" w:rsidRDefault="00590862">
      <w:pPr>
        <w:pStyle w:val="NormalWeb"/>
        <w:keepNext/>
        <w:spacing w:before="180" w:beforeAutospacing="0" w:after="0" w:afterAutospacing="0"/>
        <w:ind w:left="1101" w:hanging="1102"/>
        <w:rPr>
          <w:sz w:val="20"/>
          <w:szCs w:val="20"/>
        </w:rPr>
      </w:pPr>
      <w:r>
        <w:rPr>
          <w:b/>
          <w:bCs/>
          <w:sz w:val="20"/>
          <w:szCs w:val="20"/>
        </w:rPr>
        <w:t>ITEM  5.</w:t>
      </w:r>
      <w:r>
        <w:rPr>
          <w:bCs/>
          <w:sz w:val="20"/>
          <w:szCs w:val="20"/>
        </w:rPr>
        <w:tab/>
      </w:r>
      <w:bookmarkStart w:id="9" w:name="MarketforCommonEquity"/>
      <w:r>
        <w:rPr>
          <w:b/>
          <w:bCs/>
          <w:sz w:val="20"/>
          <w:szCs w:val="20"/>
        </w:rPr>
        <w:t>MARKET FOR THE REGISTRANT’S COMMON EQUITY, RELATED STOCKHOLDER MATTERS AND ISSUER PURCHASES OF EQUITY SECURITIES</w:t>
      </w:r>
      <w:bookmarkEnd w:id="9"/>
      <w:r>
        <w:rPr>
          <w:b/>
          <w:bCs/>
          <w:sz w:val="20"/>
          <w:szCs w:val="20"/>
        </w:rPr>
        <w:t xml:space="preserve"> </w:t>
      </w:r>
    </w:p>
    <w:p w:rsidR="000121CD" w:rsidRDefault="000121CD">
      <w:pPr>
        <w:pStyle w:val="NormalWeb"/>
        <w:keepNext/>
        <w:spacing w:before="0" w:beforeAutospacing="0" w:after="0" w:afterAutospacing="0"/>
        <w:rPr>
          <w:sz w:val="20"/>
          <w:szCs w:val="20"/>
        </w:rPr>
      </w:pPr>
    </w:p>
    <w:p w:rsidR="000121CD" w:rsidRDefault="00590862">
      <w:pPr>
        <w:pStyle w:val="NormalWeb"/>
        <w:keepNext/>
        <w:spacing w:before="0" w:beforeAutospacing="0" w:after="0" w:afterAutospacing="0"/>
        <w:rPr>
          <w:sz w:val="20"/>
          <w:szCs w:val="20"/>
        </w:rPr>
      </w:pPr>
      <w:r>
        <w:rPr>
          <w:sz w:val="20"/>
          <w:szCs w:val="20"/>
        </w:rPr>
        <w:t xml:space="preserve">As of February </w:t>
      </w:r>
      <w:r w:rsidR="000B3267">
        <w:rPr>
          <w:sz w:val="20"/>
          <w:szCs w:val="20"/>
        </w:rPr>
        <w:t>7</w:t>
      </w:r>
      <w:r>
        <w:rPr>
          <w:sz w:val="20"/>
          <w:szCs w:val="20"/>
        </w:rPr>
        <w:t>, 20</w:t>
      </w:r>
      <w:r w:rsidR="000B3267">
        <w:rPr>
          <w:sz w:val="20"/>
          <w:szCs w:val="20"/>
        </w:rPr>
        <w:t>20</w:t>
      </w:r>
      <w:r>
        <w:rPr>
          <w:sz w:val="20"/>
          <w:szCs w:val="20"/>
        </w:rPr>
        <w:t xml:space="preserve">, there were </w:t>
      </w:r>
      <w:r w:rsidR="00381454">
        <w:rPr>
          <w:sz w:val="20"/>
          <w:szCs w:val="20"/>
        </w:rPr>
        <w:t>153</w:t>
      </w:r>
      <w:r>
        <w:rPr>
          <w:sz w:val="20"/>
          <w:szCs w:val="20"/>
        </w:rPr>
        <w:t xml:space="preserve"> holders of record of the Company’s common stock. </w:t>
      </w:r>
    </w:p>
    <w:p w:rsidR="00D244ED" w:rsidRDefault="00D244ED">
      <w:pPr>
        <w:pStyle w:val="NormalWeb"/>
        <w:keepNext/>
        <w:spacing w:before="0" w:beforeAutospacing="0" w:after="0" w:afterAutospacing="0"/>
        <w:rPr>
          <w:sz w:val="20"/>
          <w:szCs w:val="20"/>
        </w:rPr>
      </w:pPr>
    </w:p>
    <w:p w:rsidR="00D244ED" w:rsidRDefault="00D244ED">
      <w:pPr>
        <w:pStyle w:val="NormalWeb"/>
        <w:keepNext/>
        <w:spacing w:before="0" w:beforeAutospacing="0" w:after="0" w:afterAutospacing="0"/>
        <w:rPr>
          <w:sz w:val="20"/>
          <w:szCs w:val="20"/>
        </w:rPr>
      </w:pPr>
      <w:r>
        <w:rPr>
          <w:sz w:val="20"/>
          <w:szCs w:val="20"/>
        </w:rPr>
        <w:t>The Company’s common stock is traded on the New York Stock Exchange (“NYSE”) under the symbol “MRC”.</w:t>
      </w:r>
    </w:p>
    <w:p w:rsidR="000121CD" w:rsidRDefault="00590862">
      <w:pPr>
        <w:pStyle w:val="NormalWeb"/>
        <w:spacing w:before="180" w:beforeAutospacing="0" w:after="0" w:afterAutospacing="0"/>
        <w:rPr>
          <w:sz w:val="20"/>
          <w:szCs w:val="20"/>
        </w:rPr>
      </w:pPr>
      <w:r>
        <w:rPr>
          <w:sz w:val="20"/>
          <w:szCs w:val="20"/>
        </w:rPr>
        <w:t xml:space="preserve">Our board of directors has not declared any dividends on common stock during </w:t>
      </w:r>
      <w:r w:rsidR="003627E3" w:rsidRPr="003A4344">
        <w:rPr>
          <w:sz w:val="20"/>
          <w:szCs w:val="20"/>
        </w:rPr>
        <w:t>2019</w:t>
      </w:r>
      <w:r>
        <w:rPr>
          <w:sz w:val="20"/>
          <w:szCs w:val="20"/>
        </w:rPr>
        <w:t xml:space="preserve"> or </w:t>
      </w:r>
      <w:r w:rsidR="003627E3" w:rsidRPr="003A4344">
        <w:rPr>
          <w:sz w:val="20"/>
          <w:szCs w:val="20"/>
        </w:rPr>
        <w:t>2018</w:t>
      </w:r>
      <w:r>
        <w:rPr>
          <w:sz w:val="20"/>
          <w:szCs w:val="20"/>
        </w:rPr>
        <w:t xml:space="preserve"> and currently has no intention to declare any dividends</w:t>
      </w:r>
      <w:r w:rsidR="00D244ED">
        <w:rPr>
          <w:sz w:val="20"/>
          <w:szCs w:val="20"/>
        </w:rPr>
        <w:t xml:space="preserve"> on common stock</w:t>
      </w:r>
      <w:r>
        <w:rPr>
          <w:sz w:val="20"/>
          <w:szCs w:val="20"/>
        </w:rPr>
        <w:t xml:space="preserve">. </w:t>
      </w:r>
    </w:p>
    <w:p w:rsidR="000121CD" w:rsidRDefault="00590862">
      <w:pPr>
        <w:pStyle w:val="NormalWeb"/>
        <w:spacing w:before="180" w:beforeAutospacing="0" w:after="0" w:afterAutospacing="0"/>
        <w:rPr>
          <w:sz w:val="20"/>
          <w:szCs w:val="20"/>
        </w:rPr>
      </w:pPr>
      <w:r>
        <w:rPr>
          <w:sz w:val="20"/>
          <w:szCs w:val="20"/>
        </w:rPr>
        <w:t xml:space="preserve">The Company’s Global ABL Facility, Term Loan and our 6.5% Series A Convertible Perpetual Preferred Stock restrict our ability to declare cash dividends under certain circumstances. Any future dividends declared would be at the discretion of our board of directors and would depend on our financial condition, results of operations, cash flows, contractual obligations, the terms of our financing agreements at the time a dividend is considered, and other relevant factors. </w:t>
      </w:r>
    </w:p>
    <w:p w:rsidR="000121CD" w:rsidRDefault="000121CD">
      <w:pPr>
        <w:rPr>
          <w:sz w:val="20"/>
        </w:rPr>
      </w:pPr>
    </w:p>
    <w:p w:rsidR="000121CD" w:rsidRDefault="00590862">
      <w:pPr>
        <w:rPr>
          <w:b/>
          <w:sz w:val="20"/>
        </w:rPr>
      </w:pPr>
      <w:r>
        <w:rPr>
          <w:b/>
          <w:sz w:val="20"/>
        </w:rPr>
        <w:t xml:space="preserve">Issuer Purchases of Securities </w:t>
      </w:r>
    </w:p>
    <w:p w:rsidR="000121CD" w:rsidRDefault="000121CD">
      <w:pPr>
        <w:rPr>
          <w:b/>
          <w:sz w:val="20"/>
        </w:rPr>
      </w:pPr>
    </w:p>
    <w:p w:rsidR="000121CD" w:rsidRDefault="000121CD">
      <w:pPr>
        <w:rPr>
          <w:b/>
          <w:sz w:val="2"/>
        </w:rPr>
      </w:pPr>
    </w:p>
    <w:tbl>
      <w:tblPr>
        <w:tblW w:w="5000" w:type="pct"/>
        <w:tblCellMar>
          <w:left w:w="0" w:type="dxa"/>
          <w:right w:w="0" w:type="dxa"/>
        </w:tblCellMar>
        <w:tblLook w:val="04A0" w:firstRow="1" w:lastRow="0" w:firstColumn="1" w:lastColumn="0" w:noHBand="0" w:noVBand="1"/>
      </w:tblPr>
      <w:tblGrid>
        <w:gridCol w:w="2322"/>
        <w:gridCol w:w="2322"/>
        <w:gridCol w:w="309"/>
        <w:gridCol w:w="1322"/>
        <w:gridCol w:w="309"/>
        <w:gridCol w:w="1704"/>
        <w:gridCol w:w="309"/>
        <w:gridCol w:w="2203"/>
      </w:tblGrid>
      <w:tr w:rsidR="00D76B2B" w:rsidTr="00D76B2B">
        <w:trPr>
          <w:trHeight w:hRule="exact" w:val="20"/>
        </w:trPr>
        <w:tc>
          <w:tcPr>
            <w:tcW w:w="1075" w:type="pct"/>
            <w:tcBorders>
              <w:top w:val="nil"/>
              <w:left w:val="nil"/>
              <w:bottom w:val="nil"/>
              <w:right w:val="nil"/>
            </w:tcBorders>
            <w:shd w:val="clear" w:color="auto" w:fill="auto"/>
            <w:vAlign w:val="bottom"/>
          </w:tcPr>
          <w:p w:rsidR="00D76B2B" w:rsidRDefault="00D76B2B" w:rsidP="00D76B2B">
            <w:pPr>
              <w:spacing w:before="1" w:after="1"/>
              <w:rPr>
                <w:sz w:val="2"/>
              </w:rPr>
            </w:pPr>
          </w:p>
        </w:tc>
        <w:tc>
          <w:tcPr>
            <w:tcW w:w="1075" w:type="pct"/>
            <w:tcBorders>
              <w:top w:val="nil"/>
              <w:left w:val="nil"/>
              <w:bottom w:val="nil"/>
              <w:right w:val="nil"/>
            </w:tcBorders>
            <w:shd w:val="clear" w:color="auto" w:fill="auto"/>
            <w:vAlign w:val="bottom"/>
          </w:tcPr>
          <w:p w:rsidR="00D76B2B" w:rsidRDefault="00D76B2B" w:rsidP="00D76B2B">
            <w:pPr>
              <w:spacing w:before="1" w:after="1"/>
              <w:rPr>
                <w:sz w:val="2"/>
              </w:rPr>
            </w:pPr>
          </w:p>
        </w:tc>
        <w:tc>
          <w:tcPr>
            <w:tcW w:w="143" w:type="pct"/>
            <w:tcBorders>
              <w:top w:val="nil"/>
              <w:left w:val="nil"/>
              <w:bottom w:val="nil"/>
              <w:right w:val="nil"/>
            </w:tcBorders>
            <w:shd w:val="clear" w:color="auto" w:fill="auto"/>
            <w:vAlign w:val="bottom"/>
          </w:tcPr>
          <w:p w:rsidR="00D76B2B" w:rsidRDefault="00D76B2B" w:rsidP="00D76B2B">
            <w:pPr>
              <w:spacing w:before="1" w:after="1"/>
              <w:rPr>
                <w:sz w:val="2"/>
              </w:rPr>
            </w:pPr>
          </w:p>
        </w:tc>
        <w:tc>
          <w:tcPr>
            <w:tcW w:w="612" w:type="pct"/>
            <w:tcBorders>
              <w:top w:val="nil"/>
              <w:left w:val="nil"/>
              <w:bottom w:val="nil"/>
              <w:right w:val="nil"/>
            </w:tcBorders>
            <w:shd w:val="clear" w:color="auto" w:fill="auto"/>
            <w:vAlign w:val="bottom"/>
          </w:tcPr>
          <w:p w:rsidR="00D76B2B" w:rsidRDefault="00D76B2B" w:rsidP="00D76B2B">
            <w:pPr>
              <w:spacing w:before="1" w:after="1"/>
              <w:rPr>
                <w:sz w:val="2"/>
              </w:rPr>
            </w:pPr>
          </w:p>
        </w:tc>
        <w:tc>
          <w:tcPr>
            <w:tcW w:w="143" w:type="pct"/>
            <w:tcBorders>
              <w:top w:val="nil"/>
              <w:left w:val="nil"/>
              <w:bottom w:val="nil"/>
              <w:right w:val="nil"/>
            </w:tcBorders>
            <w:shd w:val="clear" w:color="auto" w:fill="auto"/>
            <w:vAlign w:val="bottom"/>
          </w:tcPr>
          <w:p w:rsidR="00D76B2B" w:rsidRDefault="00D76B2B" w:rsidP="00D76B2B">
            <w:pPr>
              <w:spacing w:before="1" w:after="1"/>
              <w:rPr>
                <w:sz w:val="2"/>
              </w:rPr>
            </w:pPr>
          </w:p>
        </w:tc>
        <w:tc>
          <w:tcPr>
            <w:tcW w:w="789" w:type="pct"/>
            <w:tcBorders>
              <w:top w:val="nil"/>
              <w:left w:val="nil"/>
              <w:bottom w:val="nil"/>
              <w:right w:val="nil"/>
            </w:tcBorders>
            <w:shd w:val="clear" w:color="auto" w:fill="auto"/>
            <w:vAlign w:val="bottom"/>
          </w:tcPr>
          <w:p w:rsidR="00D76B2B" w:rsidRDefault="00D76B2B" w:rsidP="00D76B2B">
            <w:pPr>
              <w:spacing w:before="1" w:after="1"/>
              <w:rPr>
                <w:sz w:val="2"/>
              </w:rPr>
            </w:pPr>
          </w:p>
        </w:tc>
        <w:tc>
          <w:tcPr>
            <w:tcW w:w="143" w:type="pct"/>
            <w:tcBorders>
              <w:top w:val="nil"/>
              <w:left w:val="nil"/>
              <w:bottom w:val="nil"/>
              <w:right w:val="nil"/>
            </w:tcBorders>
            <w:shd w:val="clear" w:color="auto" w:fill="auto"/>
            <w:vAlign w:val="bottom"/>
          </w:tcPr>
          <w:p w:rsidR="00D76B2B" w:rsidRDefault="00D76B2B" w:rsidP="00D76B2B">
            <w:pPr>
              <w:spacing w:before="1" w:after="1"/>
              <w:rPr>
                <w:sz w:val="2"/>
              </w:rPr>
            </w:pPr>
          </w:p>
        </w:tc>
        <w:tc>
          <w:tcPr>
            <w:tcW w:w="1020" w:type="pct"/>
            <w:tcBorders>
              <w:top w:val="nil"/>
              <w:left w:val="nil"/>
              <w:bottom w:val="nil"/>
              <w:right w:val="nil"/>
            </w:tcBorders>
            <w:shd w:val="clear" w:color="auto" w:fill="auto"/>
          </w:tcPr>
          <w:p w:rsidR="00D76B2B" w:rsidRDefault="00D76B2B" w:rsidP="00D76B2B">
            <w:pPr>
              <w:spacing w:before="1" w:after="1"/>
              <w:rPr>
                <w:sz w:val="2"/>
              </w:rPr>
            </w:pPr>
          </w:p>
        </w:tc>
      </w:tr>
      <w:tr w:rsidR="00D76B2B" w:rsidTr="00D76B2B">
        <w:trPr>
          <w:trHeight w:hRule="exact" w:val="300"/>
        </w:trPr>
        <w:tc>
          <w:tcPr>
            <w:tcW w:w="1" w:type="pct"/>
            <w:gridSpan w:val="8"/>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r>
              <w:rPr>
                <w:sz w:val="20"/>
              </w:rPr>
              <w:t>A summary of our purchases of MRC Global Inc. common stock during the fourth quarter of fiscal year 2019 is as follows:</w:t>
            </w:r>
          </w:p>
        </w:tc>
      </w:tr>
      <w:tr w:rsidR="00D76B2B" w:rsidTr="00D76B2B">
        <w:trPr>
          <w:trHeight w:hRule="exact" w:val="315"/>
        </w:trPr>
        <w:tc>
          <w:tcPr>
            <w:tcW w:w="1075" w:type="pct"/>
            <w:tcBorders>
              <w:top w:val="nil"/>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p>
        </w:tc>
        <w:tc>
          <w:tcPr>
            <w:tcW w:w="1075" w:type="pct"/>
            <w:tcBorders>
              <w:top w:val="nil"/>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p>
        </w:tc>
        <w:tc>
          <w:tcPr>
            <w:tcW w:w="143" w:type="pct"/>
            <w:tcBorders>
              <w:top w:val="nil"/>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p>
        </w:tc>
        <w:tc>
          <w:tcPr>
            <w:tcW w:w="612" w:type="pct"/>
            <w:tcBorders>
              <w:top w:val="nil"/>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p>
        </w:tc>
        <w:tc>
          <w:tcPr>
            <w:tcW w:w="143" w:type="pct"/>
            <w:tcBorders>
              <w:top w:val="nil"/>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p>
        </w:tc>
        <w:tc>
          <w:tcPr>
            <w:tcW w:w="789" w:type="pct"/>
            <w:tcBorders>
              <w:top w:val="nil"/>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p>
        </w:tc>
        <w:tc>
          <w:tcPr>
            <w:tcW w:w="143" w:type="pct"/>
            <w:tcBorders>
              <w:top w:val="nil"/>
              <w:left w:val="nil"/>
              <w:bottom w:val="single" w:sz="12" w:space="0" w:color="000000"/>
              <w:right w:val="nil"/>
              <w:tl2br w:val="nil"/>
              <w:tr2bl w:val="nil"/>
            </w:tcBorders>
            <w:shd w:val="clear" w:color="auto" w:fill="auto"/>
            <w:vAlign w:val="bottom"/>
          </w:tcPr>
          <w:p w:rsidR="00D76B2B" w:rsidRDefault="00D76B2B" w:rsidP="00D76B2B">
            <w:pPr>
              <w:spacing w:before="1" w:after="1"/>
              <w:jc w:val="right"/>
              <w:rPr>
                <w:sz w:val="20"/>
              </w:rPr>
            </w:pPr>
          </w:p>
        </w:tc>
        <w:tc>
          <w:tcPr>
            <w:tcW w:w="1020" w:type="pct"/>
            <w:tcBorders>
              <w:top w:val="nil"/>
              <w:left w:val="nil"/>
              <w:bottom w:val="single" w:sz="12" w:space="0" w:color="000000"/>
              <w:right w:val="nil"/>
              <w:tl2br w:val="nil"/>
              <w:tr2bl w:val="nil"/>
            </w:tcBorders>
            <w:shd w:val="clear" w:color="auto" w:fill="auto"/>
          </w:tcPr>
          <w:p w:rsidR="00D76B2B" w:rsidRDefault="00D76B2B" w:rsidP="00D76B2B">
            <w:pPr>
              <w:spacing w:before="1" w:after="1"/>
              <w:jc w:val="right"/>
              <w:rPr>
                <w:sz w:val="20"/>
              </w:rPr>
            </w:pPr>
          </w:p>
        </w:tc>
      </w:tr>
      <w:tr w:rsidR="00D76B2B" w:rsidTr="00D76B2B">
        <w:trPr>
          <w:trHeight w:hRule="exact" w:val="1275"/>
        </w:trPr>
        <w:tc>
          <w:tcPr>
            <w:tcW w:w="1075" w:type="pct"/>
            <w:tcBorders>
              <w:top w:val="single" w:sz="0" w:space="0" w:color="000000"/>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1075" w:type="pct"/>
            <w:tcBorders>
              <w:top w:val="single" w:sz="0" w:space="0" w:color="000000"/>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r>
              <w:rPr>
                <w:sz w:val="20"/>
              </w:rPr>
              <w:t xml:space="preserve">Total Number of Shares Purchased </w:t>
            </w:r>
          </w:p>
        </w:tc>
        <w:tc>
          <w:tcPr>
            <w:tcW w:w="143" w:type="pct"/>
            <w:tcBorders>
              <w:top w:val="single" w:sz="0" w:space="0" w:color="000000"/>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612" w:type="pct"/>
            <w:tcBorders>
              <w:top w:val="single" w:sz="0" w:space="0" w:color="000000"/>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r>
              <w:rPr>
                <w:sz w:val="20"/>
              </w:rPr>
              <w:t>Average Price Paid per Share</w:t>
            </w:r>
          </w:p>
        </w:tc>
        <w:tc>
          <w:tcPr>
            <w:tcW w:w="143" w:type="pct"/>
            <w:tcBorders>
              <w:top w:val="single" w:sz="0" w:space="0" w:color="000000"/>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789" w:type="pct"/>
            <w:tcBorders>
              <w:top w:val="single" w:sz="0" w:space="0" w:color="000000"/>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r>
              <w:rPr>
                <w:sz w:val="20"/>
              </w:rPr>
              <w:t>Total number of Shares Purchased as Part of Publicly Announced Plans or Programs</w:t>
            </w:r>
          </w:p>
        </w:tc>
        <w:tc>
          <w:tcPr>
            <w:tcW w:w="143" w:type="pct"/>
            <w:tcBorders>
              <w:top w:val="single" w:sz="0" w:space="0" w:color="000000"/>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1020" w:type="pct"/>
            <w:tcBorders>
              <w:top w:val="single" w:sz="0" w:space="0" w:color="000000"/>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r>
              <w:rPr>
                <w:sz w:val="20"/>
              </w:rPr>
              <w:t>Maximum Dollar Value of Shares that May Yet Be Purchased Under the Plans or Programs</w:t>
            </w:r>
          </w:p>
        </w:tc>
      </w:tr>
      <w:tr w:rsidR="00D76B2B" w:rsidTr="00D76B2B">
        <w:trPr>
          <w:trHeight w:hRule="exact" w:val="255"/>
        </w:trPr>
        <w:tc>
          <w:tcPr>
            <w:tcW w:w="1075" w:type="pct"/>
            <w:tcBorders>
              <w:top w:val="nil"/>
              <w:left w:val="nil"/>
              <w:bottom w:val="nil"/>
              <w:right w:val="nil"/>
              <w:tl2br w:val="nil"/>
              <w:tr2bl w:val="nil"/>
            </w:tcBorders>
            <w:shd w:val="solid" w:color="CCEEFF" w:fill="FFFFFF"/>
            <w:vAlign w:val="bottom"/>
          </w:tcPr>
          <w:p w:rsidR="00D76B2B" w:rsidRDefault="00D76B2B" w:rsidP="00D76B2B">
            <w:pPr>
              <w:spacing w:before="1" w:after="1"/>
              <w:rPr>
                <w:sz w:val="20"/>
              </w:rPr>
            </w:pPr>
            <w:r>
              <w:rPr>
                <w:sz w:val="20"/>
              </w:rPr>
              <w:t>October 1 - October 31</w:t>
            </w:r>
          </w:p>
        </w:tc>
        <w:tc>
          <w:tcPr>
            <w:tcW w:w="1075" w:type="pct"/>
            <w:tcBorders>
              <w:top w:val="single" w:sz="0" w:space="0" w:color="000000"/>
              <w:left w:val="nil"/>
              <w:bottom w:val="nil"/>
              <w:right w:val="nil"/>
              <w:tl2br w:val="nil"/>
              <w:tr2bl w:val="nil"/>
            </w:tcBorders>
            <w:shd w:val="solid" w:color="CCEEFF" w:fill="FFFFFF"/>
            <w:vAlign w:val="bottom"/>
          </w:tcPr>
          <w:p w:rsidR="00D76B2B" w:rsidRDefault="00D76B2B" w:rsidP="00D76B2B">
            <w:pPr>
              <w:spacing w:before="1" w:after="1"/>
              <w:ind w:right="65"/>
              <w:jc w:val="right"/>
              <w:rPr>
                <w:sz w:val="20"/>
              </w:rPr>
            </w:pPr>
            <w:r>
              <w:rPr>
                <w:sz w:val="20"/>
              </w:rPr>
              <w:t xml:space="preserve"> -</w:t>
            </w:r>
          </w:p>
        </w:tc>
        <w:tc>
          <w:tcPr>
            <w:tcW w:w="143" w:type="pct"/>
            <w:tcBorders>
              <w:top w:val="nil"/>
              <w:left w:val="nil"/>
              <w:bottom w:val="nil"/>
              <w:right w:val="nil"/>
              <w:tl2br w:val="nil"/>
              <w:tr2bl w:val="nil"/>
            </w:tcBorders>
            <w:shd w:val="solid" w:color="CCEEFF" w:fill="FFFFFF"/>
            <w:vAlign w:val="bottom"/>
          </w:tcPr>
          <w:p w:rsidR="00D76B2B" w:rsidRDefault="00D76B2B" w:rsidP="00D76B2B">
            <w:pPr>
              <w:spacing w:before="1" w:after="1"/>
              <w:rPr>
                <w:sz w:val="20"/>
              </w:rPr>
            </w:pPr>
          </w:p>
        </w:tc>
        <w:tc>
          <w:tcPr>
            <w:tcW w:w="612" w:type="pct"/>
            <w:tcBorders>
              <w:top w:val="single" w:sz="0" w:space="0" w:color="000000"/>
              <w:left w:val="nil"/>
              <w:bottom w:val="nil"/>
              <w:right w:val="nil"/>
              <w:tl2br w:val="nil"/>
              <w:tr2bl w:val="nil"/>
            </w:tcBorders>
            <w:shd w:val="solid" w:color="CCEEFF" w:fill="FFFFFF"/>
            <w:vAlign w:val="bottom"/>
          </w:tcPr>
          <w:p w:rsidR="00D76B2B" w:rsidRDefault="00D76B2B" w:rsidP="00D76B2B">
            <w:pPr>
              <w:spacing w:before="1" w:after="1"/>
              <w:ind w:right="65"/>
              <w:jc w:val="right"/>
              <w:rPr>
                <w:sz w:val="20"/>
              </w:rPr>
            </w:pPr>
            <w:r>
              <w:rPr>
                <w:sz w:val="20"/>
              </w:rPr>
              <w:t>$                    -</w:t>
            </w:r>
          </w:p>
        </w:tc>
        <w:tc>
          <w:tcPr>
            <w:tcW w:w="143" w:type="pct"/>
            <w:tcBorders>
              <w:top w:val="nil"/>
              <w:left w:val="nil"/>
              <w:bottom w:val="nil"/>
              <w:right w:val="nil"/>
              <w:tl2br w:val="nil"/>
              <w:tr2bl w:val="nil"/>
            </w:tcBorders>
            <w:shd w:val="solid" w:color="CCEEFF" w:fill="FFFFFF"/>
            <w:vAlign w:val="bottom"/>
          </w:tcPr>
          <w:p w:rsidR="00D76B2B" w:rsidRDefault="00D76B2B" w:rsidP="00D76B2B">
            <w:pPr>
              <w:spacing w:before="1" w:after="1"/>
              <w:rPr>
                <w:sz w:val="20"/>
              </w:rPr>
            </w:pPr>
          </w:p>
        </w:tc>
        <w:tc>
          <w:tcPr>
            <w:tcW w:w="789" w:type="pct"/>
            <w:tcBorders>
              <w:top w:val="single" w:sz="0" w:space="0" w:color="000000"/>
              <w:left w:val="nil"/>
              <w:bottom w:val="nil"/>
              <w:right w:val="nil"/>
              <w:tl2br w:val="nil"/>
              <w:tr2bl w:val="nil"/>
            </w:tcBorders>
            <w:shd w:val="solid" w:color="CCEEFF" w:fill="FFFFFF"/>
            <w:vAlign w:val="bottom"/>
          </w:tcPr>
          <w:p w:rsidR="00D76B2B" w:rsidRDefault="00D76B2B" w:rsidP="00D76B2B">
            <w:pPr>
              <w:spacing w:before="1" w:after="1"/>
              <w:ind w:right="65"/>
              <w:jc w:val="right"/>
              <w:rPr>
                <w:sz w:val="20"/>
              </w:rPr>
            </w:pPr>
            <w:r>
              <w:rPr>
                <w:sz w:val="20"/>
              </w:rPr>
              <w:t xml:space="preserve"> -</w:t>
            </w:r>
          </w:p>
        </w:tc>
        <w:tc>
          <w:tcPr>
            <w:tcW w:w="143" w:type="pct"/>
            <w:tcBorders>
              <w:top w:val="nil"/>
              <w:left w:val="nil"/>
              <w:bottom w:val="nil"/>
              <w:right w:val="nil"/>
              <w:tl2br w:val="nil"/>
              <w:tr2bl w:val="nil"/>
            </w:tcBorders>
            <w:shd w:val="solid" w:color="CCEEFF" w:fill="FFFFFF"/>
            <w:vAlign w:val="bottom"/>
          </w:tcPr>
          <w:p w:rsidR="00D76B2B" w:rsidRDefault="00D76B2B" w:rsidP="00D76B2B">
            <w:pPr>
              <w:spacing w:before="1" w:after="1"/>
              <w:rPr>
                <w:sz w:val="20"/>
              </w:rPr>
            </w:pPr>
          </w:p>
        </w:tc>
        <w:tc>
          <w:tcPr>
            <w:tcW w:w="1020" w:type="pct"/>
            <w:tcBorders>
              <w:top w:val="single" w:sz="0" w:space="0" w:color="000000"/>
              <w:left w:val="nil"/>
              <w:bottom w:val="nil"/>
              <w:right w:val="nil"/>
              <w:tl2br w:val="nil"/>
              <w:tr2bl w:val="nil"/>
            </w:tcBorders>
            <w:shd w:val="solid" w:color="CCEEFF" w:fill="FFFFFF"/>
            <w:vAlign w:val="bottom"/>
          </w:tcPr>
          <w:p w:rsidR="00D76B2B" w:rsidRDefault="00D76B2B" w:rsidP="00D76B2B">
            <w:pPr>
              <w:spacing w:before="1" w:after="1"/>
              <w:ind w:right="65"/>
              <w:jc w:val="right"/>
              <w:rPr>
                <w:sz w:val="20"/>
              </w:rPr>
            </w:pPr>
            <w:r>
              <w:rPr>
                <w:sz w:val="20"/>
              </w:rPr>
              <w:t>$                     11,826,718</w:t>
            </w:r>
          </w:p>
        </w:tc>
      </w:tr>
      <w:tr w:rsidR="00D76B2B" w:rsidTr="00D76B2B">
        <w:trPr>
          <w:trHeight w:hRule="exact" w:val="255"/>
        </w:trPr>
        <w:tc>
          <w:tcPr>
            <w:tcW w:w="1075"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r>
              <w:rPr>
                <w:sz w:val="20"/>
              </w:rPr>
              <w:t>November 1 - November 30</w:t>
            </w:r>
          </w:p>
        </w:tc>
        <w:tc>
          <w:tcPr>
            <w:tcW w:w="1075" w:type="pct"/>
            <w:tcBorders>
              <w:top w:val="nil"/>
              <w:left w:val="nil"/>
              <w:bottom w:val="nil"/>
              <w:right w:val="nil"/>
              <w:tl2br w:val="nil"/>
              <w:tr2bl w:val="nil"/>
            </w:tcBorders>
            <w:shd w:val="clear" w:color="auto" w:fill="auto"/>
            <w:vAlign w:val="bottom"/>
          </w:tcPr>
          <w:p w:rsidR="00D76B2B" w:rsidRDefault="00D76B2B" w:rsidP="00D76B2B">
            <w:pPr>
              <w:spacing w:before="1" w:after="1"/>
              <w:ind w:right="65"/>
              <w:jc w:val="right"/>
              <w:rPr>
                <w:sz w:val="20"/>
              </w:rPr>
            </w:pPr>
            <w:r>
              <w:rPr>
                <w:sz w:val="20"/>
              </w:rPr>
              <w:t xml:space="preserve"> 780,001</w:t>
            </w:r>
          </w:p>
        </w:tc>
        <w:tc>
          <w:tcPr>
            <w:tcW w:w="143"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612" w:type="pct"/>
            <w:tcBorders>
              <w:top w:val="nil"/>
              <w:left w:val="nil"/>
              <w:bottom w:val="nil"/>
              <w:right w:val="nil"/>
              <w:tl2br w:val="nil"/>
              <w:tr2bl w:val="nil"/>
            </w:tcBorders>
            <w:shd w:val="clear" w:color="auto" w:fill="auto"/>
            <w:vAlign w:val="bottom"/>
          </w:tcPr>
          <w:p w:rsidR="00D76B2B" w:rsidRDefault="00D76B2B" w:rsidP="00D76B2B">
            <w:pPr>
              <w:spacing w:before="1" w:after="1"/>
              <w:ind w:right="65"/>
              <w:jc w:val="right"/>
              <w:rPr>
                <w:sz w:val="20"/>
              </w:rPr>
            </w:pPr>
            <w:r>
              <w:rPr>
                <w:sz w:val="20"/>
              </w:rPr>
              <w:t>$            15.15</w:t>
            </w:r>
          </w:p>
        </w:tc>
        <w:tc>
          <w:tcPr>
            <w:tcW w:w="143"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789" w:type="pct"/>
            <w:tcBorders>
              <w:top w:val="nil"/>
              <w:left w:val="nil"/>
              <w:bottom w:val="nil"/>
              <w:right w:val="nil"/>
              <w:tl2br w:val="nil"/>
              <w:tr2bl w:val="nil"/>
            </w:tcBorders>
            <w:shd w:val="clear" w:color="auto" w:fill="auto"/>
            <w:vAlign w:val="bottom"/>
          </w:tcPr>
          <w:p w:rsidR="00D76B2B" w:rsidRDefault="00D76B2B" w:rsidP="00D76B2B">
            <w:pPr>
              <w:spacing w:before="1" w:after="1"/>
              <w:ind w:right="65"/>
              <w:jc w:val="right"/>
              <w:rPr>
                <w:sz w:val="20"/>
              </w:rPr>
            </w:pPr>
            <w:r>
              <w:rPr>
                <w:sz w:val="20"/>
              </w:rPr>
              <w:t xml:space="preserve"> 780,001</w:t>
            </w:r>
          </w:p>
        </w:tc>
        <w:tc>
          <w:tcPr>
            <w:tcW w:w="143"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1020" w:type="pct"/>
            <w:tcBorders>
              <w:top w:val="nil"/>
              <w:left w:val="nil"/>
              <w:bottom w:val="nil"/>
              <w:right w:val="nil"/>
              <w:tl2br w:val="nil"/>
              <w:tr2bl w:val="nil"/>
            </w:tcBorders>
            <w:shd w:val="clear" w:color="auto" w:fill="auto"/>
            <w:vAlign w:val="bottom"/>
          </w:tcPr>
          <w:p w:rsidR="00D76B2B" w:rsidRDefault="00D76B2B" w:rsidP="00D76B2B">
            <w:pPr>
              <w:spacing w:before="1" w:after="1"/>
              <w:ind w:right="65"/>
              <w:jc w:val="right"/>
              <w:rPr>
                <w:sz w:val="20"/>
              </w:rPr>
            </w:pPr>
            <w:r>
              <w:rPr>
                <w:sz w:val="20"/>
              </w:rPr>
              <w:t>$                                      -</w:t>
            </w:r>
          </w:p>
        </w:tc>
      </w:tr>
      <w:tr w:rsidR="00D76B2B" w:rsidTr="00D76B2B">
        <w:trPr>
          <w:trHeight w:hRule="exact" w:val="255"/>
        </w:trPr>
        <w:tc>
          <w:tcPr>
            <w:tcW w:w="1075" w:type="pct"/>
            <w:tcBorders>
              <w:top w:val="nil"/>
              <w:left w:val="nil"/>
              <w:bottom w:val="nil"/>
              <w:right w:val="nil"/>
              <w:tl2br w:val="nil"/>
              <w:tr2bl w:val="nil"/>
            </w:tcBorders>
            <w:shd w:val="solid" w:color="CCEEFF" w:fill="FFFFFF"/>
            <w:vAlign w:val="bottom"/>
          </w:tcPr>
          <w:p w:rsidR="00D76B2B" w:rsidRDefault="00D76B2B" w:rsidP="00D76B2B">
            <w:pPr>
              <w:spacing w:before="1" w:after="1"/>
              <w:rPr>
                <w:sz w:val="20"/>
              </w:rPr>
            </w:pPr>
            <w:r>
              <w:rPr>
                <w:sz w:val="20"/>
              </w:rPr>
              <w:t>December 1 - December 31</w:t>
            </w:r>
          </w:p>
        </w:tc>
        <w:tc>
          <w:tcPr>
            <w:tcW w:w="1075" w:type="pct"/>
            <w:tcBorders>
              <w:top w:val="nil"/>
              <w:left w:val="nil"/>
              <w:bottom w:val="nil"/>
              <w:right w:val="nil"/>
              <w:tl2br w:val="nil"/>
              <w:tr2bl w:val="nil"/>
            </w:tcBorders>
            <w:shd w:val="solid" w:color="CCEEFF" w:fill="FFFFFF"/>
            <w:vAlign w:val="bottom"/>
          </w:tcPr>
          <w:p w:rsidR="00D76B2B" w:rsidRDefault="00D76B2B" w:rsidP="00D76B2B">
            <w:pPr>
              <w:spacing w:before="1" w:after="1"/>
              <w:ind w:right="65"/>
              <w:jc w:val="right"/>
              <w:rPr>
                <w:sz w:val="20"/>
              </w:rPr>
            </w:pPr>
            <w:r>
              <w:rPr>
                <w:sz w:val="20"/>
              </w:rPr>
              <w:t xml:space="preserve"> -</w:t>
            </w:r>
          </w:p>
        </w:tc>
        <w:tc>
          <w:tcPr>
            <w:tcW w:w="143" w:type="pct"/>
            <w:tcBorders>
              <w:top w:val="nil"/>
              <w:left w:val="nil"/>
              <w:bottom w:val="nil"/>
              <w:right w:val="nil"/>
              <w:tl2br w:val="nil"/>
              <w:tr2bl w:val="nil"/>
            </w:tcBorders>
            <w:shd w:val="solid" w:color="CCEEFF" w:fill="FFFFFF"/>
            <w:vAlign w:val="bottom"/>
          </w:tcPr>
          <w:p w:rsidR="00D76B2B" w:rsidRDefault="00D76B2B" w:rsidP="00D76B2B">
            <w:pPr>
              <w:spacing w:before="1" w:after="1"/>
              <w:rPr>
                <w:sz w:val="20"/>
              </w:rPr>
            </w:pPr>
          </w:p>
        </w:tc>
        <w:tc>
          <w:tcPr>
            <w:tcW w:w="612" w:type="pct"/>
            <w:tcBorders>
              <w:top w:val="nil"/>
              <w:left w:val="nil"/>
              <w:bottom w:val="nil"/>
              <w:right w:val="nil"/>
              <w:tl2br w:val="nil"/>
              <w:tr2bl w:val="nil"/>
            </w:tcBorders>
            <w:shd w:val="solid" w:color="CCEEFF" w:fill="FFFFFF"/>
            <w:vAlign w:val="bottom"/>
          </w:tcPr>
          <w:p w:rsidR="00D76B2B" w:rsidRDefault="00D76B2B" w:rsidP="00D76B2B">
            <w:pPr>
              <w:spacing w:before="1" w:after="1"/>
              <w:ind w:right="65"/>
              <w:jc w:val="right"/>
              <w:rPr>
                <w:sz w:val="20"/>
              </w:rPr>
            </w:pPr>
            <w:r>
              <w:rPr>
                <w:sz w:val="20"/>
              </w:rPr>
              <w:t>$                    -</w:t>
            </w:r>
          </w:p>
        </w:tc>
        <w:tc>
          <w:tcPr>
            <w:tcW w:w="143" w:type="pct"/>
            <w:tcBorders>
              <w:top w:val="nil"/>
              <w:left w:val="nil"/>
              <w:bottom w:val="nil"/>
              <w:right w:val="nil"/>
              <w:tl2br w:val="nil"/>
              <w:tr2bl w:val="nil"/>
            </w:tcBorders>
            <w:shd w:val="solid" w:color="CCEEFF" w:fill="FFFFFF"/>
            <w:vAlign w:val="bottom"/>
          </w:tcPr>
          <w:p w:rsidR="00D76B2B" w:rsidRDefault="00D76B2B" w:rsidP="00D76B2B">
            <w:pPr>
              <w:spacing w:before="1" w:after="1"/>
              <w:rPr>
                <w:sz w:val="20"/>
              </w:rPr>
            </w:pPr>
          </w:p>
        </w:tc>
        <w:tc>
          <w:tcPr>
            <w:tcW w:w="789" w:type="pct"/>
            <w:tcBorders>
              <w:top w:val="nil"/>
              <w:left w:val="nil"/>
              <w:bottom w:val="nil"/>
              <w:right w:val="nil"/>
              <w:tl2br w:val="nil"/>
              <w:tr2bl w:val="nil"/>
            </w:tcBorders>
            <w:shd w:val="solid" w:color="CCEEFF" w:fill="FFFFFF"/>
            <w:vAlign w:val="bottom"/>
          </w:tcPr>
          <w:p w:rsidR="00D76B2B" w:rsidRDefault="00D76B2B" w:rsidP="00D76B2B">
            <w:pPr>
              <w:spacing w:before="1" w:after="1"/>
              <w:ind w:right="65"/>
              <w:jc w:val="right"/>
              <w:rPr>
                <w:sz w:val="20"/>
              </w:rPr>
            </w:pPr>
            <w:r>
              <w:rPr>
                <w:sz w:val="20"/>
              </w:rPr>
              <w:t xml:space="preserve"> -</w:t>
            </w:r>
          </w:p>
        </w:tc>
        <w:tc>
          <w:tcPr>
            <w:tcW w:w="143" w:type="pct"/>
            <w:tcBorders>
              <w:top w:val="nil"/>
              <w:left w:val="nil"/>
              <w:bottom w:val="nil"/>
              <w:right w:val="nil"/>
              <w:tl2br w:val="nil"/>
              <w:tr2bl w:val="nil"/>
            </w:tcBorders>
            <w:shd w:val="solid" w:color="CCEEFF" w:fill="FFFFFF"/>
            <w:vAlign w:val="bottom"/>
          </w:tcPr>
          <w:p w:rsidR="00D76B2B" w:rsidRDefault="00D76B2B" w:rsidP="00D76B2B">
            <w:pPr>
              <w:spacing w:before="1" w:after="1"/>
              <w:rPr>
                <w:sz w:val="20"/>
              </w:rPr>
            </w:pPr>
          </w:p>
        </w:tc>
        <w:tc>
          <w:tcPr>
            <w:tcW w:w="1020" w:type="pct"/>
            <w:tcBorders>
              <w:top w:val="nil"/>
              <w:left w:val="nil"/>
              <w:bottom w:val="nil"/>
              <w:right w:val="nil"/>
              <w:tl2br w:val="nil"/>
              <w:tr2bl w:val="nil"/>
            </w:tcBorders>
            <w:shd w:val="solid" w:color="CCEEFF" w:fill="FFFFFF"/>
            <w:vAlign w:val="bottom"/>
          </w:tcPr>
          <w:p w:rsidR="00D76B2B" w:rsidRDefault="00D76B2B" w:rsidP="00D76B2B">
            <w:pPr>
              <w:spacing w:before="1" w:after="1"/>
              <w:ind w:right="65"/>
              <w:jc w:val="right"/>
              <w:rPr>
                <w:sz w:val="20"/>
              </w:rPr>
            </w:pPr>
            <w:r>
              <w:rPr>
                <w:sz w:val="20"/>
              </w:rPr>
              <w:t>$                                      -</w:t>
            </w:r>
          </w:p>
        </w:tc>
      </w:tr>
      <w:tr w:rsidR="00D76B2B" w:rsidTr="00D76B2B">
        <w:trPr>
          <w:trHeight w:hRule="exact" w:val="255"/>
        </w:trPr>
        <w:tc>
          <w:tcPr>
            <w:tcW w:w="1075"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1075" w:type="pct"/>
            <w:tcBorders>
              <w:top w:val="nil"/>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p>
        </w:tc>
        <w:tc>
          <w:tcPr>
            <w:tcW w:w="143"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612"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143"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789"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143"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1020"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r>
      <w:tr w:rsidR="00D76B2B" w:rsidTr="00D76B2B">
        <w:trPr>
          <w:trHeight w:hRule="exact" w:val="255"/>
        </w:trPr>
        <w:tc>
          <w:tcPr>
            <w:tcW w:w="1075"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1075" w:type="pct"/>
            <w:tcBorders>
              <w:top w:val="single" w:sz="0" w:space="0" w:color="000000"/>
              <w:left w:val="nil"/>
              <w:bottom w:val="single" w:sz="12" w:space="0" w:color="000000"/>
              <w:right w:val="nil"/>
              <w:tl2br w:val="nil"/>
              <w:tr2bl w:val="nil"/>
            </w:tcBorders>
            <w:shd w:val="clear" w:color="auto" w:fill="auto"/>
            <w:vAlign w:val="bottom"/>
          </w:tcPr>
          <w:p w:rsidR="00D76B2B" w:rsidRDefault="00D76B2B" w:rsidP="00D76B2B">
            <w:pPr>
              <w:spacing w:before="1" w:after="1"/>
              <w:ind w:right="65"/>
              <w:jc w:val="right"/>
              <w:rPr>
                <w:sz w:val="20"/>
              </w:rPr>
            </w:pPr>
            <w:r>
              <w:rPr>
                <w:sz w:val="20"/>
              </w:rPr>
              <w:t xml:space="preserve"> 780,001</w:t>
            </w:r>
          </w:p>
        </w:tc>
        <w:tc>
          <w:tcPr>
            <w:tcW w:w="143"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612"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143"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789"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143"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c>
          <w:tcPr>
            <w:tcW w:w="1020" w:type="pct"/>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r>
      <w:tr w:rsidR="00D76B2B" w:rsidTr="00D76B2B">
        <w:trPr>
          <w:trHeight w:hRule="exact" w:val="255"/>
        </w:trPr>
        <w:tc>
          <w:tcPr>
            <w:tcW w:w="1075" w:type="pct"/>
            <w:tcBorders>
              <w:top w:val="nil"/>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p>
        </w:tc>
        <w:tc>
          <w:tcPr>
            <w:tcW w:w="1075" w:type="pct"/>
            <w:tcBorders>
              <w:top w:val="single" w:sz="0" w:space="0" w:color="000000"/>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p>
        </w:tc>
        <w:tc>
          <w:tcPr>
            <w:tcW w:w="143" w:type="pct"/>
            <w:tcBorders>
              <w:top w:val="nil"/>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p>
        </w:tc>
        <w:tc>
          <w:tcPr>
            <w:tcW w:w="612" w:type="pct"/>
            <w:tcBorders>
              <w:top w:val="nil"/>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p>
        </w:tc>
        <w:tc>
          <w:tcPr>
            <w:tcW w:w="143" w:type="pct"/>
            <w:tcBorders>
              <w:top w:val="nil"/>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p>
        </w:tc>
        <w:tc>
          <w:tcPr>
            <w:tcW w:w="789" w:type="pct"/>
            <w:tcBorders>
              <w:top w:val="nil"/>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p>
        </w:tc>
        <w:tc>
          <w:tcPr>
            <w:tcW w:w="143" w:type="pct"/>
            <w:tcBorders>
              <w:top w:val="nil"/>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p>
        </w:tc>
        <w:tc>
          <w:tcPr>
            <w:tcW w:w="1020" w:type="pct"/>
            <w:tcBorders>
              <w:top w:val="nil"/>
              <w:left w:val="nil"/>
              <w:bottom w:val="single" w:sz="12" w:space="0" w:color="000000"/>
              <w:right w:val="nil"/>
              <w:tl2br w:val="nil"/>
              <w:tr2bl w:val="nil"/>
            </w:tcBorders>
            <w:shd w:val="clear" w:color="auto" w:fill="auto"/>
            <w:vAlign w:val="bottom"/>
          </w:tcPr>
          <w:p w:rsidR="00D76B2B" w:rsidRDefault="00D76B2B" w:rsidP="00D76B2B">
            <w:pPr>
              <w:spacing w:before="1" w:after="1"/>
              <w:rPr>
                <w:sz w:val="20"/>
              </w:rPr>
            </w:pPr>
          </w:p>
        </w:tc>
      </w:tr>
      <w:tr w:rsidR="00D76B2B" w:rsidTr="00D76B2B">
        <w:trPr>
          <w:trHeight w:hRule="exact" w:val="255"/>
        </w:trPr>
        <w:tc>
          <w:tcPr>
            <w:tcW w:w="1" w:type="pct"/>
            <w:gridSpan w:val="8"/>
            <w:tcBorders>
              <w:top w:val="nil"/>
              <w:left w:val="nil"/>
              <w:bottom w:val="nil"/>
              <w:right w:val="nil"/>
              <w:tl2br w:val="nil"/>
              <w:tr2bl w:val="nil"/>
            </w:tcBorders>
            <w:shd w:val="clear" w:color="auto" w:fill="auto"/>
            <w:vAlign w:val="bottom"/>
          </w:tcPr>
          <w:p w:rsidR="00D76B2B" w:rsidRDefault="00D76B2B" w:rsidP="00D76B2B">
            <w:pPr>
              <w:spacing w:before="1" w:after="1"/>
              <w:rPr>
                <w:sz w:val="20"/>
              </w:rPr>
            </w:pPr>
          </w:p>
        </w:tc>
      </w:tr>
    </w:tbl>
    <w:p w:rsidR="000121CD" w:rsidRDefault="00590862">
      <w:pPr>
        <w:pStyle w:val="NormalWeb"/>
        <w:keepNext/>
        <w:keepLines/>
        <w:spacing w:before="180" w:beforeAutospacing="0" w:after="0" w:afterAutospacing="0"/>
        <w:rPr>
          <w:sz w:val="20"/>
          <w:szCs w:val="20"/>
        </w:rPr>
      </w:pPr>
      <w:r>
        <w:rPr>
          <w:b/>
          <w:bCs/>
          <w:sz w:val="20"/>
          <w:szCs w:val="20"/>
        </w:rPr>
        <w:lastRenderedPageBreak/>
        <w:t xml:space="preserve">PERFORMANCE GRAPH </w:t>
      </w:r>
    </w:p>
    <w:p w:rsidR="000121CD" w:rsidRDefault="00590862">
      <w:pPr>
        <w:pStyle w:val="NormalWeb"/>
        <w:keepNext/>
        <w:keepLines/>
        <w:spacing w:before="90" w:beforeAutospacing="0" w:after="0" w:afterAutospacing="0"/>
        <w:rPr>
          <w:sz w:val="20"/>
          <w:szCs w:val="20"/>
        </w:rPr>
      </w:pPr>
      <w:r>
        <w:rPr>
          <w:sz w:val="20"/>
          <w:szCs w:val="20"/>
        </w:rPr>
        <w:t xml:space="preserve">The graph below compares the cumulative total shareholder return on our common stock to the S&amp;P 500 Index and the </w:t>
      </w:r>
      <w:r w:rsidR="001143A5">
        <w:rPr>
          <w:sz w:val="20"/>
          <w:szCs w:val="20"/>
        </w:rPr>
        <w:t xml:space="preserve">Philadelphia </w:t>
      </w:r>
      <w:r>
        <w:rPr>
          <w:sz w:val="20"/>
          <w:szCs w:val="20"/>
        </w:rPr>
        <w:t>Oil Service Sector Index. The total shareholder return assumes $100 invested on December 31, 201</w:t>
      </w:r>
      <w:r w:rsidR="0090423E">
        <w:rPr>
          <w:sz w:val="20"/>
          <w:szCs w:val="20"/>
        </w:rPr>
        <w:t>4</w:t>
      </w:r>
      <w:r>
        <w:rPr>
          <w:sz w:val="20"/>
          <w:szCs w:val="20"/>
        </w:rPr>
        <w:t xml:space="preserve">, in MRC Global Inc., the S&amp;P 500 Index and the </w:t>
      </w:r>
      <w:r w:rsidR="001143A5">
        <w:rPr>
          <w:sz w:val="20"/>
          <w:szCs w:val="20"/>
        </w:rPr>
        <w:t xml:space="preserve">Philadelphia </w:t>
      </w:r>
      <w:r>
        <w:rPr>
          <w:sz w:val="20"/>
          <w:szCs w:val="20"/>
        </w:rPr>
        <w:t xml:space="preserve">Oil Service Sector Index. It also assumes reinvestment of all dividends. The results shown in the graph below are not necessarily indicative of future performance. </w:t>
      </w:r>
    </w:p>
    <w:p w:rsidR="000121CD" w:rsidRDefault="00590862">
      <w:pPr>
        <w:pStyle w:val="NormalWeb"/>
        <w:keepNext/>
        <w:keepLines/>
        <w:spacing w:before="90" w:beforeAutospacing="0" w:after="0" w:afterAutospacing="0"/>
        <w:jc w:val="center"/>
        <w:rPr>
          <w:sz w:val="20"/>
          <w:szCs w:val="20"/>
        </w:rPr>
      </w:pPr>
      <w:r>
        <w:rPr>
          <w:b/>
          <w:bCs/>
          <w:sz w:val="20"/>
          <w:szCs w:val="20"/>
        </w:rPr>
        <w:t>Comparison of Cumulative Total Return</w:t>
      </w:r>
    </w:p>
    <w:p w:rsidR="000121CD" w:rsidRDefault="005C0200">
      <w:pPr>
        <w:pStyle w:val="NormalWeb"/>
        <w:keepNext/>
        <w:keepLines/>
        <w:spacing w:before="270" w:beforeAutospacing="0" w:after="0" w:afterAutospacing="0"/>
        <w:jc w:val="center"/>
        <w:rPr>
          <w:sz w:val="20"/>
          <w:szCs w:val="20"/>
        </w:rPr>
      </w:pPr>
      <w:r>
        <w:rPr>
          <w:b/>
          <w:bCs/>
          <w:noProof/>
          <w:sz w:val="20"/>
          <w:szCs w:val="20"/>
        </w:rPr>
        <w:drawing>
          <wp:inline distT="0" distB="0" distL="0" distR="0" wp14:anchorId="7C881002">
            <wp:extent cx="6400800" cy="3554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554095"/>
                    </a:xfrm>
                    <a:prstGeom prst="rect">
                      <a:avLst/>
                    </a:prstGeom>
                    <a:noFill/>
                  </pic:spPr>
                </pic:pic>
              </a:graphicData>
            </a:graphic>
          </wp:inline>
        </w:drawing>
      </w:r>
      <w:r w:rsidR="00590862">
        <w:rPr>
          <w:b/>
          <w:bCs/>
          <w:sz w:val="20"/>
          <w:szCs w:val="20"/>
        </w:rPr>
        <w:t xml:space="preserve"> </w:t>
      </w:r>
    </w:p>
    <w:p w:rsidR="000121CD" w:rsidRDefault="00590862">
      <w:pPr>
        <w:pStyle w:val="NormalWeb"/>
        <w:keepNext/>
        <w:keepLines/>
        <w:spacing w:before="0" w:beforeAutospacing="0" w:after="0" w:afterAutospacing="0"/>
        <w:rPr>
          <w:sz w:val="20"/>
          <w:szCs w:val="20"/>
        </w:rPr>
      </w:pPr>
      <w:r>
        <w:rPr>
          <w:sz w:val="20"/>
          <w:szCs w:val="20"/>
        </w:rPr>
        <w:t> </w:t>
      </w:r>
    </w:p>
    <w:p w:rsidR="000121CD" w:rsidRDefault="00590862">
      <w:pPr>
        <w:pStyle w:val="NormalWeb"/>
        <w:keepNext/>
        <w:keepLines/>
        <w:spacing w:before="180" w:beforeAutospacing="0" w:after="0" w:afterAutospacing="0"/>
        <w:rPr>
          <w:sz w:val="20"/>
          <w:szCs w:val="20"/>
        </w:rPr>
      </w:pPr>
      <w:r>
        <w:rPr>
          <w:sz w:val="20"/>
          <w:szCs w:val="20"/>
        </w:rPr>
        <w:t xml:space="preserve">This information shall not be deemed to be ‘‘soliciting material’’ or to be ‘‘filed’’ with the SEC or subject to Regulation 14A (17 CFR 240.14a-1-240.14a-104), other than as provided in Item 201(e) of Regulation S-K, or to the liabilities of Section 18 of the Exchange Act (15 U.S.C. 78r). </w:t>
      </w:r>
    </w:p>
    <w:p w:rsidR="000121CD" w:rsidRDefault="00590862">
      <w:pPr>
        <w:pStyle w:val="NormalWeb"/>
        <w:spacing w:before="180" w:beforeAutospacing="0" w:after="0" w:afterAutospacing="0"/>
        <w:rPr>
          <w:sz w:val="20"/>
          <w:szCs w:val="20"/>
        </w:rPr>
      </w:pPr>
      <w:r>
        <w:rPr>
          <w:sz w:val="20"/>
          <w:szCs w:val="20"/>
        </w:rPr>
        <w:t> </w:t>
      </w:r>
    </w:p>
    <w:p w:rsidR="000121CD" w:rsidRDefault="00590862">
      <w:pPr>
        <w:pStyle w:val="NormalWeb"/>
        <w:keepNext/>
        <w:pageBreakBefore/>
        <w:spacing w:before="0" w:beforeAutospacing="0" w:after="0" w:afterAutospacing="0"/>
        <w:ind w:left="1101" w:hanging="1102"/>
        <w:rPr>
          <w:sz w:val="20"/>
          <w:szCs w:val="20"/>
        </w:rPr>
      </w:pPr>
      <w:r>
        <w:rPr>
          <w:b/>
          <w:bCs/>
          <w:sz w:val="20"/>
          <w:szCs w:val="20"/>
        </w:rPr>
        <w:lastRenderedPageBreak/>
        <w:t xml:space="preserve">ITEM 6. </w:t>
      </w:r>
      <w:r>
        <w:rPr>
          <w:bCs/>
          <w:sz w:val="20"/>
          <w:szCs w:val="20"/>
        </w:rPr>
        <w:tab/>
      </w:r>
      <w:bookmarkStart w:id="10" w:name="SelectedFinancialData"/>
      <w:r>
        <w:rPr>
          <w:b/>
          <w:bCs/>
          <w:caps/>
          <w:sz w:val="20"/>
          <w:szCs w:val="20"/>
        </w:rPr>
        <w:t>SELECTED FINANCIAL DATA</w:t>
      </w:r>
      <w:bookmarkEnd w:id="10"/>
      <w:r>
        <w:rPr>
          <w:b/>
          <w:bCs/>
          <w:caps/>
          <w:sz w:val="20"/>
          <w:szCs w:val="20"/>
        </w:rPr>
        <w:t xml:space="preserve"> </w:t>
      </w:r>
    </w:p>
    <w:p w:rsidR="000121CD" w:rsidRDefault="00590862">
      <w:pPr>
        <w:pStyle w:val="NormalWeb"/>
        <w:spacing w:before="90" w:beforeAutospacing="0" w:after="0" w:afterAutospacing="0"/>
        <w:rPr>
          <w:sz w:val="20"/>
          <w:szCs w:val="20"/>
        </w:rPr>
      </w:pPr>
      <w:r>
        <w:rPr>
          <w:sz w:val="20"/>
          <w:szCs w:val="20"/>
        </w:rPr>
        <w:t xml:space="preserve">The selected financial data presented below have been derived from the consolidated financial statements of MRC Global Inc. that </w:t>
      </w:r>
      <w:r w:rsidR="006D4618">
        <w:rPr>
          <w:sz w:val="20"/>
          <w:szCs w:val="20"/>
        </w:rPr>
        <w:t>have been</w:t>
      </w:r>
      <w:r>
        <w:rPr>
          <w:sz w:val="20"/>
          <w:szCs w:val="20"/>
        </w:rPr>
        <w:t xml:space="preserve"> prepared using accounting principles generally accepted in the United States of America</w:t>
      </w:r>
      <w:r w:rsidR="008E37BA">
        <w:rPr>
          <w:sz w:val="20"/>
          <w:szCs w:val="20"/>
        </w:rPr>
        <w:t>.</w:t>
      </w:r>
      <w:r w:rsidR="006D4618">
        <w:rPr>
          <w:sz w:val="20"/>
          <w:szCs w:val="20"/>
        </w:rPr>
        <w:t xml:space="preserve"> </w:t>
      </w:r>
      <w:r>
        <w:rPr>
          <w:sz w:val="20"/>
          <w:szCs w:val="20"/>
        </w:rPr>
        <w:t>Ernst &amp; Young LLP, our independent registered public accounting firm</w:t>
      </w:r>
      <w:r w:rsidR="001143A5">
        <w:rPr>
          <w:sz w:val="20"/>
          <w:szCs w:val="20"/>
        </w:rPr>
        <w:t>, has audited these statements</w:t>
      </w:r>
      <w:r>
        <w:rPr>
          <w:sz w:val="20"/>
          <w:szCs w:val="20"/>
        </w:rPr>
        <w:t>. This data should be read in conjunction with “Item 7—Management’s Discussion and Analysis of Financial Condition and Results of Operations” and the consolidated financial statements, related notes and other financial information included elsewhere in this report.  </w:t>
      </w:r>
    </w:p>
    <w:tbl>
      <w:tblPr>
        <w:tblW w:w="5000" w:type="pct"/>
        <w:tblCellMar>
          <w:left w:w="0" w:type="dxa"/>
          <w:right w:w="0" w:type="dxa"/>
        </w:tblCellMar>
        <w:tblLook w:val="04A0" w:firstRow="1" w:lastRow="0" w:firstColumn="1" w:lastColumn="0" w:noHBand="0" w:noVBand="1"/>
      </w:tblPr>
      <w:tblGrid>
        <w:gridCol w:w="3995"/>
        <w:gridCol w:w="144"/>
        <w:gridCol w:w="239"/>
        <w:gridCol w:w="229"/>
        <w:gridCol w:w="769"/>
        <w:gridCol w:w="372"/>
        <w:gridCol w:w="229"/>
        <w:gridCol w:w="756"/>
        <w:gridCol w:w="372"/>
        <w:gridCol w:w="229"/>
        <w:gridCol w:w="756"/>
        <w:gridCol w:w="372"/>
        <w:gridCol w:w="229"/>
        <w:gridCol w:w="756"/>
        <w:gridCol w:w="372"/>
        <w:gridCol w:w="229"/>
        <w:gridCol w:w="752"/>
      </w:tblGrid>
      <w:tr w:rsidR="0018024C" w:rsidTr="0018024C">
        <w:trPr>
          <w:trHeight w:hRule="exact" w:val="20"/>
        </w:trPr>
        <w:tc>
          <w:tcPr>
            <w:tcW w:w="1850" w:type="pct"/>
            <w:tcBorders>
              <w:top w:val="nil"/>
              <w:left w:val="nil"/>
              <w:bottom w:val="nil"/>
              <w:right w:val="nil"/>
            </w:tcBorders>
            <w:shd w:val="clear" w:color="auto" w:fill="auto"/>
            <w:vAlign w:val="bottom"/>
          </w:tcPr>
          <w:p w:rsidR="0018024C" w:rsidRDefault="0018024C" w:rsidP="0018024C">
            <w:pPr>
              <w:rPr>
                <w:sz w:val="2"/>
              </w:rPr>
            </w:pPr>
          </w:p>
        </w:tc>
        <w:tc>
          <w:tcPr>
            <w:tcW w:w="67" w:type="pct"/>
            <w:tcBorders>
              <w:top w:val="nil"/>
              <w:left w:val="nil"/>
              <w:bottom w:val="nil"/>
              <w:right w:val="nil"/>
            </w:tcBorders>
            <w:shd w:val="clear" w:color="auto" w:fill="auto"/>
            <w:vAlign w:val="bottom"/>
          </w:tcPr>
          <w:p w:rsidR="0018024C" w:rsidRDefault="0018024C" w:rsidP="0018024C">
            <w:pPr>
              <w:rPr>
                <w:sz w:val="2"/>
              </w:rPr>
            </w:pPr>
          </w:p>
        </w:tc>
        <w:tc>
          <w:tcPr>
            <w:tcW w:w="111" w:type="pct"/>
            <w:tcBorders>
              <w:top w:val="nil"/>
              <w:left w:val="nil"/>
              <w:bottom w:val="nil"/>
              <w:right w:val="nil"/>
            </w:tcBorders>
            <w:shd w:val="clear" w:color="auto" w:fill="auto"/>
            <w:vAlign w:val="bottom"/>
          </w:tcPr>
          <w:p w:rsidR="0018024C" w:rsidRDefault="0018024C" w:rsidP="0018024C">
            <w:pPr>
              <w:rPr>
                <w:sz w:val="2"/>
              </w:rPr>
            </w:pPr>
          </w:p>
        </w:tc>
        <w:tc>
          <w:tcPr>
            <w:tcW w:w="106" w:type="pct"/>
            <w:tcBorders>
              <w:top w:val="nil"/>
              <w:left w:val="nil"/>
              <w:bottom w:val="nil"/>
              <w:right w:val="nil"/>
            </w:tcBorders>
            <w:shd w:val="clear" w:color="auto" w:fill="auto"/>
            <w:vAlign w:val="bottom"/>
          </w:tcPr>
          <w:p w:rsidR="0018024C" w:rsidRDefault="0018024C" w:rsidP="0018024C">
            <w:pPr>
              <w:rPr>
                <w:sz w:val="2"/>
              </w:rPr>
            </w:pPr>
          </w:p>
        </w:tc>
        <w:tc>
          <w:tcPr>
            <w:tcW w:w="356" w:type="pct"/>
            <w:tcBorders>
              <w:top w:val="nil"/>
              <w:left w:val="nil"/>
              <w:bottom w:val="nil"/>
              <w:right w:val="nil"/>
            </w:tcBorders>
            <w:shd w:val="clear" w:color="auto" w:fill="auto"/>
            <w:vAlign w:val="bottom"/>
          </w:tcPr>
          <w:p w:rsidR="0018024C" w:rsidRDefault="0018024C" w:rsidP="0018024C">
            <w:pPr>
              <w:rPr>
                <w:sz w:val="2"/>
              </w:rPr>
            </w:pPr>
          </w:p>
        </w:tc>
        <w:tc>
          <w:tcPr>
            <w:tcW w:w="172" w:type="pct"/>
            <w:tcBorders>
              <w:top w:val="nil"/>
              <w:left w:val="nil"/>
              <w:bottom w:val="nil"/>
              <w:right w:val="nil"/>
            </w:tcBorders>
            <w:shd w:val="clear" w:color="auto" w:fill="auto"/>
            <w:vAlign w:val="bottom"/>
          </w:tcPr>
          <w:p w:rsidR="0018024C" w:rsidRDefault="0018024C" w:rsidP="0018024C">
            <w:pPr>
              <w:rPr>
                <w:sz w:val="2"/>
              </w:rPr>
            </w:pPr>
          </w:p>
        </w:tc>
        <w:tc>
          <w:tcPr>
            <w:tcW w:w="106" w:type="pct"/>
            <w:tcBorders>
              <w:top w:val="nil"/>
              <w:left w:val="nil"/>
              <w:bottom w:val="nil"/>
              <w:right w:val="nil"/>
            </w:tcBorders>
            <w:shd w:val="clear" w:color="auto" w:fill="auto"/>
            <w:vAlign w:val="bottom"/>
          </w:tcPr>
          <w:p w:rsidR="0018024C" w:rsidRDefault="0018024C" w:rsidP="0018024C">
            <w:pPr>
              <w:rPr>
                <w:sz w:val="2"/>
              </w:rPr>
            </w:pPr>
          </w:p>
        </w:tc>
        <w:tc>
          <w:tcPr>
            <w:tcW w:w="350" w:type="pct"/>
            <w:tcBorders>
              <w:top w:val="nil"/>
              <w:left w:val="nil"/>
              <w:bottom w:val="nil"/>
              <w:right w:val="nil"/>
            </w:tcBorders>
            <w:shd w:val="clear" w:color="auto" w:fill="auto"/>
            <w:vAlign w:val="bottom"/>
          </w:tcPr>
          <w:p w:rsidR="0018024C" w:rsidRDefault="0018024C" w:rsidP="0018024C">
            <w:pPr>
              <w:rPr>
                <w:sz w:val="2"/>
              </w:rPr>
            </w:pPr>
          </w:p>
        </w:tc>
        <w:tc>
          <w:tcPr>
            <w:tcW w:w="172" w:type="pct"/>
            <w:tcBorders>
              <w:top w:val="nil"/>
              <w:left w:val="nil"/>
              <w:bottom w:val="nil"/>
              <w:right w:val="nil"/>
            </w:tcBorders>
            <w:shd w:val="clear" w:color="auto" w:fill="auto"/>
            <w:vAlign w:val="bottom"/>
          </w:tcPr>
          <w:p w:rsidR="0018024C" w:rsidRDefault="0018024C" w:rsidP="0018024C">
            <w:pPr>
              <w:rPr>
                <w:sz w:val="2"/>
              </w:rPr>
            </w:pPr>
          </w:p>
        </w:tc>
        <w:tc>
          <w:tcPr>
            <w:tcW w:w="106" w:type="pct"/>
            <w:tcBorders>
              <w:top w:val="nil"/>
              <w:left w:val="nil"/>
              <w:bottom w:val="nil"/>
              <w:right w:val="nil"/>
            </w:tcBorders>
            <w:shd w:val="clear" w:color="auto" w:fill="auto"/>
            <w:vAlign w:val="bottom"/>
          </w:tcPr>
          <w:p w:rsidR="0018024C" w:rsidRDefault="0018024C" w:rsidP="0018024C">
            <w:pPr>
              <w:rPr>
                <w:sz w:val="2"/>
              </w:rPr>
            </w:pPr>
          </w:p>
        </w:tc>
        <w:tc>
          <w:tcPr>
            <w:tcW w:w="350" w:type="pct"/>
            <w:tcBorders>
              <w:top w:val="nil"/>
              <w:left w:val="nil"/>
              <w:bottom w:val="nil"/>
              <w:right w:val="nil"/>
            </w:tcBorders>
            <w:shd w:val="clear" w:color="auto" w:fill="auto"/>
            <w:vAlign w:val="bottom"/>
          </w:tcPr>
          <w:p w:rsidR="0018024C" w:rsidRDefault="0018024C" w:rsidP="0018024C">
            <w:pPr>
              <w:rPr>
                <w:sz w:val="2"/>
              </w:rPr>
            </w:pPr>
          </w:p>
        </w:tc>
        <w:tc>
          <w:tcPr>
            <w:tcW w:w="172" w:type="pct"/>
            <w:tcBorders>
              <w:top w:val="nil"/>
              <w:left w:val="nil"/>
              <w:bottom w:val="nil"/>
              <w:right w:val="nil"/>
            </w:tcBorders>
            <w:shd w:val="clear" w:color="auto" w:fill="auto"/>
            <w:vAlign w:val="bottom"/>
          </w:tcPr>
          <w:p w:rsidR="0018024C" w:rsidRDefault="0018024C" w:rsidP="0018024C">
            <w:pPr>
              <w:rPr>
                <w:sz w:val="2"/>
              </w:rPr>
            </w:pPr>
          </w:p>
        </w:tc>
        <w:tc>
          <w:tcPr>
            <w:tcW w:w="106" w:type="pct"/>
            <w:tcBorders>
              <w:top w:val="nil"/>
              <w:left w:val="nil"/>
              <w:bottom w:val="nil"/>
              <w:right w:val="nil"/>
            </w:tcBorders>
            <w:shd w:val="clear" w:color="auto" w:fill="auto"/>
            <w:vAlign w:val="bottom"/>
          </w:tcPr>
          <w:p w:rsidR="0018024C" w:rsidRDefault="0018024C" w:rsidP="0018024C">
            <w:pPr>
              <w:rPr>
                <w:sz w:val="2"/>
              </w:rPr>
            </w:pPr>
          </w:p>
        </w:tc>
        <w:tc>
          <w:tcPr>
            <w:tcW w:w="350" w:type="pct"/>
            <w:tcBorders>
              <w:top w:val="nil"/>
              <w:left w:val="nil"/>
              <w:bottom w:val="nil"/>
              <w:right w:val="nil"/>
            </w:tcBorders>
            <w:shd w:val="clear" w:color="auto" w:fill="auto"/>
            <w:vAlign w:val="bottom"/>
          </w:tcPr>
          <w:p w:rsidR="0018024C" w:rsidRDefault="0018024C" w:rsidP="0018024C">
            <w:pPr>
              <w:rPr>
                <w:sz w:val="2"/>
              </w:rPr>
            </w:pPr>
          </w:p>
        </w:tc>
        <w:tc>
          <w:tcPr>
            <w:tcW w:w="172" w:type="pct"/>
            <w:tcBorders>
              <w:top w:val="nil"/>
              <w:left w:val="nil"/>
              <w:bottom w:val="nil"/>
              <w:right w:val="nil"/>
            </w:tcBorders>
            <w:shd w:val="clear" w:color="auto" w:fill="auto"/>
            <w:vAlign w:val="bottom"/>
          </w:tcPr>
          <w:p w:rsidR="0018024C" w:rsidRDefault="0018024C" w:rsidP="0018024C">
            <w:pPr>
              <w:rPr>
                <w:sz w:val="2"/>
              </w:rPr>
            </w:pPr>
          </w:p>
        </w:tc>
        <w:tc>
          <w:tcPr>
            <w:tcW w:w="106" w:type="pct"/>
            <w:tcBorders>
              <w:top w:val="nil"/>
              <w:left w:val="nil"/>
              <w:bottom w:val="nil"/>
              <w:right w:val="nil"/>
            </w:tcBorders>
            <w:shd w:val="clear" w:color="auto" w:fill="auto"/>
            <w:vAlign w:val="bottom"/>
          </w:tcPr>
          <w:p w:rsidR="0018024C" w:rsidRDefault="0018024C" w:rsidP="0018024C">
            <w:pPr>
              <w:rPr>
                <w:sz w:val="2"/>
              </w:rPr>
            </w:pPr>
          </w:p>
        </w:tc>
        <w:tc>
          <w:tcPr>
            <w:tcW w:w="348" w:type="pct"/>
            <w:tcBorders>
              <w:top w:val="nil"/>
              <w:left w:val="nil"/>
              <w:bottom w:val="nil"/>
              <w:right w:val="nil"/>
            </w:tcBorders>
            <w:shd w:val="clear" w:color="auto" w:fill="auto"/>
            <w:vAlign w:val="bottom"/>
          </w:tcPr>
          <w:p w:rsidR="0018024C" w:rsidRDefault="0018024C" w:rsidP="0018024C">
            <w:pPr>
              <w:rPr>
                <w:sz w:val="2"/>
              </w:rPr>
            </w:pPr>
          </w:p>
        </w:tc>
      </w:tr>
      <w:tr w:rsidR="0018024C" w:rsidTr="0018024C">
        <w:trPr>
          <w:trHeight w:hRule="exact" w:val="240"/>
        </w:trPr>
        <w:tc>
          <w:tcPr>
            <w:tcW w:w="1850"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67"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1" w:type="pct"/>
            <w:gridSpan w:val="14"/>
            <w:tcBorders>
              <w:top w:val="nil"/>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Year Ended December 31,</w:t>
            </w:r>
          </w:p>
        </w:tc>
      </w:tr>
      <w:tr w:rsidR="0018024C" w:rsidTr="0018024C">
        <w:trPr>
          <w:trHeight w:hRule="exact" w:val="240"/>
        </w:trPr>
        <w:tc>
          <w:tcPr>
            <w:tcW w:w="1850"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67"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2019</w:t>
            </w:r>
          </w:p>
        </w:tc>
        <w:tc>
          <w:tcPr>
            <w:tcW w:w="172" w:type="pct"/>
            <w:tcBorders>
              <w:top w:val="single" w:sz="0" w:space="0" w:color="000000"/>
              <w:left w:val="nil"/>
              <w:bottom w:val="nil"/>
              <w:right w:val="nil"/>
              <w:tl2br w:val="nil"/>
              <w:tr2bl w:val="nil"/>
            </w:tcBorders>
            <w:shd w:val="clear" w:color="auto" w:fill="auto"/>
            <w:vAlign w:val="bottom"/>
          </w:tcPr>
          <w:p w:rsidR="0018024C" w:rsidRDefault="0018024C" w:rsidP="0018024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2018</w:t>
            </w:r>
          </w:p>
        </w:tc>
        <w:tc>
          <w:tcPr>
            <w:tcW w:w="172" w:type="pct"/>
            <w:tcBorders>
              <w:top w:val="single" w:sz="0" w:space="0" w:color="000000"/>
              <w:left w:val="nil"/>
              <w:bottom w:val="nil"/>
              <w:right w:val="nil"/>
              <w:tl2br w:val="nil"/>
              <w:tr2bl w:val="nil"/>
            </w:tcBorders>
            <w:shd w:val="clear" w:color="auto" w:fill="auto"/>
            <w:vAlign w:val="bottom"/>
          </w:tcPr>
          <w:p w:rsidR="0018024C" w:rsidRDefault="0018024C" w:rsidP="0018024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2017</w:t>
            </w:r>
          </w:p>
        </w:tc>
        <w:tc>
          <w:tcPr>
            <w:tcW w:w="172" w:type="pct"/>
            <w:tcBorders>
              <w:top w:val="single" w:sz="0" w:space="0" w:color="000000"/>
              <w:left w:val="nil"/>
              <w:bottom w:val="nil"/>
              <w:right w:val="nil"/>
              <w:tl2br w:val="nil"/>
              <w:tr2bl w:val="nil"/>
            </w:tcBorders>
            <w:shd w:val="clear" w:color="auto" w:fill="auto"/>
            <w:vAlign w:val="bottom"/>
          </w:tcPr>
          <w:p w:rsidR="0018024C" w:rsidRDefault="0018024C" w:rsidP="0018024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2016</w:t>
            </w:r>
          </w:p>
        </w:tc>
        <w:tc>
          <w:tcPr>
            <w:tcW w:w="172" w:type="pct"/>
            <w:tcBorders>
              <w:top w:val="single" w:sz="0" w:space="0" w:color="000000"/>
              <w:left w:val="nil"/>
              <w:bottom w:val="nil"/>
              <w:right w:val="nil"/>
              <w:tl2br w:val="nil"/>
              <w:tr2bl w:val="nil"/>
            </w:tcBorders>
            <w:shd w:val="clear" w:color="auto" w:fill="auto"/>
            <w:vAlign w:val="bottom"/>
          </w:tcPr>
          <w:p w:rsidR="0018024C" w:rsidRDefault="0018024C" w:rsidP="0018024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2015</w:t>
            </w:r>
          </w:p>
        </w:tc>
      </w:tr>
      <w:tr w:rsidR="0018024C" w:rsidTr="0018024C">
        <w:trPr>
          <w:trHeight w:hRule="exact" w:val="240"/>
        </w:trPr>
        <w:tc>
          <w:tcPr>
            <w:tcW w:w="1850"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67"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auto"/>
            <w:vAlign w:val="bottom"/>
          </w:tcPr>
          <w:p w:rsidR="0018024C" w:rsidRDefault="0018024C" w:rsidP="0018024C">
            <w:pPr>
              <w:rPr>
                <w:b/>
                <w:sz w:val="20"/>
              </w:rPr>
            </w:pPr>
          </w:p>
        </w:tc>
        <w:tc>
          <w:tcPr>
            <w:tcW w:w="1" w:type="pct"/>
            <w:gridSpan w:val="13"/>
            <w:tcBorders>
              <w:top w:val="nil"/>
              <w:left w:val="nil"/>
              <w:bottom w:val="nil"/>
              <w:right w:val="nil"/>
              <w:tl2br w:val="nil"/>
              <w:tr2bl w:val="nil"/>
            </w:tcBorders>
            <w:shd w:val="clear" w:color="auto" w:fill="auto"/>
            <w:vAlign w:val="bottom"/>
          </w:tcPr>
          <w:p w:rsidR="0018024C" w:rsidRDefault="0018024C" w:rsidP="0018024C">
            <w:pPr>
              <w:jc w:val="center"/>
              <w:rPr>
                <w:b/>
                <w:sz w:val="20"/>
              </w:rPr>
            </w:pPr>
            <w:r>
              <w:rPr>
                <w:b/>
                <w:sz w:val="20"/>
              </w:rPr>
              <w:t>(in millions, except per share amounts)</w:t>
            </w: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rPr>
                <w:b/>
                <w:sz w:val="20"/>
              </w:rPr>
            </w:pPr>
            <w:r>
              <w:rPr>
                <w:b/>
                <w:sz w:val="20"/>
              </w:rPr>
              <w:t>Statement of Operations Data:</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b/>
                <w:sz w:val="20"/>
              </w:rPr>
            </w:pPr>
          </w:p>
        </w:tc>
        <w:tc>
          <w:tcPr>
            <w:tcW w:w="35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48" w:type="pct"/>
            <w:tcBorders>
              <w:top w:val="nil"/>
              <w:left w:val="nil"/>
              <w:bottom w:val="nil"/>
              <w:right w:val="nil"/>
              <w:tl2br w:val="nil"/>
              <w:tr2bl w:val="nil"/>
            </w:tcBorders>
            <w:shd w:val="clear" w:color="auto" w:fill="CCEEFF"/>
            <w:vAlign w:val="bottom"/>
          </w:tcPr>
          <w:p w:rsidR="0018024C" w:rsidRDefault="0018024C" w:rsidP="0018024C">
            <w:pPr>
              <w:rPr>
                <w:sz w:val="20"/>
              </w:rPr>
            </w:pPr>
          </w:p>
        </w:tc>
      </w:tr>
      <w:tr w:rsidR="0018024C" w:rsidTr="0018024C">
        <w:trPr>
          <w:trHeight w:hRule="exact" w:val="240"/>
        </w:trPr>
        <w:tc>
          <w:tcPr>
            <w:tcW w:w="1850" w:type="pct"/>
            <w:tcBorders>
              <w:top w:val="nil"/>
              <w:left w:val="nil"/>
              <w:bottom w:val="nil"/>
              <w:right w:val="nil"/>
              <w:tl2br w:val="nil"/>
              <w:tr2bl w:val="nil"/>
            </w:tcBorders>
            <w:vAlign w:val="bottom"/>
          </w:tcPr>
          <w:p w:rsidR="0018024C" w:rsidRDefault="0018024C" w:rsidP="0018024C">
            <w:pPr>
              <w:rPr>
                <w:sz w:val="20"/>
              </w:rPr>
            </w:pPr>
            <w:r>
              <w:rPr>
                <w:sz w:val="20"/>
              </w:rPr>
              <w:t>Sales</w:t>
            </w:r>
          </w:p>
        </w:tc>
        <w:tc>
          <w:tcPr>
            <w:tcW w:w="67"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b/>
                <w:sz w:val="20"/>
              </w:rPr>
            </w:pPr>
            <w:r>
              <w:rPr>
                <w:b/>
                <w:sz w:val="20"/>
              </w:rPr>
              <w:t>$</w:t>
            </w:r>
          </w:p>
        </w:tc>
        <w:tc>
          <w:tcPr>
            <w:tcW w:w="356" w:type="pct"/>
            <w:tcBorders>
              <w:top w:val="nil"/>
              <w:left w:val="nil"/>
              <w:bottom w:val="nil"/>
              <w:right w:val="nil"/>
              <w:tl2br w:val="nil"/>
              <w:tr2bl w:val="nil"/>
            </w:tcBorders>
            <w:vAlign w:val="bottom"/>
          </w:tcPr>
          <w:p w:rsidR="0018024C" w:rsidRDefault="0018024C" w:rsidP="0018024C">
            <w:pPr>
              <w:ind w:right="63"/>
              <w:jc w:val="right"/>
              <w:rPr>
                <w:b/>
                <w:sz w:val="20"/>
              </w:rPr>
            </w:pPr>
            <w:r>
              <w:rPr>
                <w:b/>
                <w:sz w:val="20"/>
              </w:rPr>
              <w:t xml:space="preserve"> 3,662</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r>
              <w:rPr>
                <w:sz w:val="20"/>
              </w:rPr>
              <w:t>$</w:t>
            </w: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4,172</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r>
              <w:rPr>
                <w:sz w:val="20"/>
              </w:rPr>
              <w:t>$</w:t>
            </w: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3,646</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r>
              <w:rPr>
                <w:sz w:val="20"/>
              </w:rPr>
              <w:t>$</w:t>
            </w: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3,041</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r>
              <w:rPr>
                <w:sz w:val="20"/>
              </w:rPr>
              <w:t>$</w:t>
            </w:r>
          </w:p>
        </w:tc>
        <w:tc>
          <w:tcPr>
            <w:tcW w:w="348"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4,529</w:t>
            </w: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Cost of sales</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shd w:val="clear" w:color="auto" w:fill="CCEEFF"/>
            <w:vAlign w:val="bottom"/>
          </w:tcPr>
          <w:p w:rsidR="0018024C" w:rsidRDefault="0018024C" w:rsidP="0018024C">
            <w:pPr>
              <w:rPr>
                <w:b/>
                <w:sz w:val="20"/>
              </w:rPr>
            </w:pPr>
          </w:p>
        </w:tc>
        <w:tc>
          <w:tcPr>
            <w:tcW w:w="356" w:type="pct"/>
            <w:tcBorders>
              <w:top w:val="nil"/>
              <w:left w:val="nil"/>
              <w:bottom w:val="single" w:sz="12" w:space="0" w:color="000000"/>
              <w:right w:val="nil"/>
              <w:tl2br w:val="nil"/>
              <w:tr2bl w:val="nil"/>
            </w:tcBorders>
            <w:shd w:val="clear" w:color="auto" w:fill="CCEEFF"/>
            <w:vAlign w:val="bottom"/>
          </w:tcPr>
          <w:p w:rsidR="0018024C" w:rsidRDefault="0018024C" w:rsidP="0018024C">
            <w:pPr>
              <w:ind w:right="63"/>
              <w:jc w:val="right"/>
              <w:rPr>
                <w:b/>
                <w:sz w:val="20"/>
              </w:rPr>
            </w:pPr>
            <w:r>
              <w:rPr>
                <w:b/>
                <w:sz w:val="20"/>
              </w:rPr>
              <w:t xml:space="preserve"> 3,009</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single" w:sz="12" w:space="0" w:color="000000"/>
              <w:right w:val="nil"/>
              <w:tl2br w:val="nil"/>
              <w:tr2bl w:val="nil"/>
            </w:tcBorders>
            <w:shd w:val="clear" w:color="auto" w:fill="CCEEFF"/>
            <w:vAlign w:val="bottom"/>
          </w:tcPr>
          <w:p w:rsidR="0018024C" w:rsidRDefault="0018024C" w:rsidP="0018024C">
            <w:pPr>
              <w:ind w:right="65"/>
              <w:jc w:val="right"/>
              <w:rPr>
                <w:sz w:val="20"/>
              </w:rPr>
            </w:pPr>
            <w:r>
              <w:rPr>
                <w:sz w:val="20"/>
              </w:rPr>
              <w:t xml:space="preserve"> 3,483</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single" w:sz="12" w:space="0" w:color="000000"/>
              <w:right w:val="nil"/>
              <w:tl2br w:val="nil"/>
              <w:tr2bl w:val="nil"/>
            </w:tcBorders>
            <w:shd w:val="clear" w:color="auto" w:fill="CCEEFF"/>
            <w:vAlign w:val="bottom"/>
          </w:tcPr>
          <w:p w:rsidR="0018024C" w:rsidRDefault="0018024C" w:rsidP="0018024C">
            <w:pPr>
              <w:ind w:right="65"/>
              <w:jc w:val="right"/>
              <w:rPr>
                <w:sz w:val="20"/>
              </w:rPr>
            </w:pPr>
            <w:r>
              <w:rPr>
                <w:sz w:val="20"/>
              </w:rPr>
              <w:t xml:space="preserve"> 3,064</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single" w:sz="12" w:space="0" w:color="000000"/>
              <w:right w:val="nil"/>
              <w:tl2br w:val="nil"/>
              <w:tr2bl w:val="nil"/>
            </w:tcBorders>
            <w:shd w:val="clear" w:color="auto" w:fill="CCEEFF"/>
            <w:vAlign w:val="bottom"/>
          </w:tcPr>
          <w:p w:rsidR="0018024C" w:rsidRDefault="0018024C" w:rsidP="0018024C">
            <w:pPr>
              <w:ind w:right="65"/>
              <w:jc w:val="right"/>
              <w:rPr>
                <w:sz w:val="20"/>
              </w:rPr>
            </w:pPr>
            <w:r>
              <w:rPr>
                <w:sz w:val="20"/>
              </w:rPr>
              <w:t xml:space="preserve"> 2,573</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shd w:val="clear" w:color="auto" w:fill="CCEEFF"/>
            <w:vAlign w:val="bottom"/>
          </w:tcPr>
          <w:p w:rsidR="0018024C" w:rsidRDefault="0018024C" w:rsidP="0018024C">
            <w:pPr>
              <w:rPr>
                <w:sz w:val="20"/>
              </w:rPr>
            </w:pPr>
          </w:p>
        </w:tc>
        <w:tc>
          <w:tcPr>
            <w:tcW w:w="348" w:type="pct"/>
            <w:tcBorders>
              <w:top w:val="nil"/>
              <w:left w:val="nil"/>
              <w:bottom w:val="single" w:sz="12" w:space="0" w:color="000000"/>
              <w:right w:val="nil"/>
              <w:tl2br w:val="nil"/>
              <w:tr2bl w:val="nil"/>
            </w:tcBorders>
            <w:shd w:val="clear" w:color="auto" w:fill="CCEEFF"/>
            <w:vAlign w:val="bottom"/>
          </w:tcPr>
          <w:p w:rsidR="0018024C" w:rsidRDefault="0018024C" w:rsidP="0018024C">
            <w:pPr>
              <w:ind w:right="65"/>
              <w:jc w:val="right"/>
              <w:rPr>
                <w:sz w:val="20"/>
              </w:rPr>
            </w:pPr>
            <w:r>
              <w:rPr>
                <w:sz w:val="20"/>
              </w:rPr>
              <w:t xml:space="preserve"> 3,743</w:t>
            </w:r>
          </w:p>
        </w:tc>
      </w:tr>
      <w:tr w:rsidR="0018024C" w:rsidTr="0018024C">
        <w:trPr>
          <w:trHeight w:hRule="exact" w:val="240"/>
        </w:trPr>
        <w:tc>
          <w:tcPr>
            <w:tcW w:w="1850" w:type="pct"/>
            <w:tcBorders>
              <w:top w:val="nil"/>
              <w:left w:val="nil"/>
              <w:bottom w:val="nil"/>
              <w:right w:val="nil"/>
              <w:tl2br w:val="nil"/>
              <w:tr2bl w:val="nil"/>
            </w:tcBorders>
            <w:vAlign w:val="bottom"/>
          </w:tcPr>
          <w:p w:rsidR="0018024C" w:rsidRDefault="0018024C" w:rsidP="0018024C">
            <w:pPr>
              <w:rPr>
                <w:sz w:val="20"/>
              </w:rPr>
            </w:pPr>
            <w:r>
              <w:rPr>
                <w:sz w:val="20"/>
              </w:rPr>
              <w:t>Gross profit</w:t>
            </w:r>
          </w:p>
        </w:tc>
        <w:tc>
          <w:tcPr>
            <w:tcW w:w="67"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vAlign w:val="bottom"/>
          </w:tcPr>
          <w:p w:rsidR="0018024C" w:rsidRDefault="0018024C" w:rsidP="0018024C">
            <w:pPr>
              <w:rPr>
                <w:b/>
                <w:sz w:val="20"/>
              </w:rPr>
            </w:pPr>
          </w:p>
        </w:tc>
        <w:tc>
          <w:tcPr>
            <w:tcW w:w="356" w:type="pct"/>
            <w:tcBorders>
              <w:top w:val="single" w:sz="0" w:space="0" w:color="000000"/>
              <w:left w:val="nil"/>
              <w:bottom w:val="nil"/>
              <w:right w:val="nil"/>
              <w:tl2br w:val="nil"/>
              <w:tr2bl w:val="nil"/>
            </w:tcBorders>
            <w:vAlign w:val="bottom"/>
          </w:tcPr>
          <w:p w:rsidR="0018024C" w:rsidRDefault="0018024C" w:rsidP="0018024C">
            <w:pPr>
              <w:ind w:right="63"/>
              <w:jc w:val="right"/>
              <w:rPr>
                <w:b/>
                <w:sz w:val="20"/>
              </w:rPr>
            </w:pPr>
            <w:r>
              <w:rPr>
                <w:b/>
                <w:sz w:val="20"/>
              </w:rPr>
              <w:t xml:space="preserve"> 653</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vAlign w:val="bottom"/>
          </w:tcPr>
          <w:p w:rsidR="0018024C" w:rsidRDefault="0018024C" w:rsidP="0018024C">
            <w:pPr>
              <w:ind w:right="65"/>
              <w:jc w:val="right"/>
              <w:rPr>
                <w:sz w:val="20"/>
              </w:rPr>
            </w:pPr>
            <w:r>
              <w:rPr>
                <w:sz w:val="20"/>
              </w:rPr>
              <w:t xml:space="preserve"> 689</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vAlign w:val="bottom"/>
          </w:tcPr>
          <w:p w:rsidR="0018024C" w:rsidRDefault="0018024C" w:rsidP="0018024C">
            <w:pPr>
              <w:ind w:right="65"/>
              <w:jc w:val="right"/>
              <w:rPr>
                <w:sz w:val="20"/>
              </w:rPr>
            </w:pPr>
            <w:r>
              <w:rPr>
                <w:sz w:val="20"/>
              </w:rPr>
              <w:t xml:space="preserve"> 582</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vAlign w:val="bottom"/>
          </w:tcPr>
          <w:p w:rsidR="0018024C" w:rsidRDefault="0018024C" w:rsidP="0018024C">
            <w:pPr>
              <w:ind w:right="65"/>
              <w:jc w:val="right"/>
              <w:rPr>
                <w:sz w:val="20"/>
              </w:rPr>
            </w:pPr>
            <w:r>
              <w:rPr>
                <w:sz w:val="20"/>
              </w:rPr>
              <w:t xml:space="preserve"> 468</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vAlign w:val="bottom"/>
          </w:tcPr>
          <w:p w:rsidR="0018024C" w:rsidRDefault="0018024C" w:rsidP="0018024C">
            <w:pPr>
              <w:rPr>
                <w:sz w:val="20"/>
              </w:rPr>
            </w:pPr>
          </w:p>
        </w:tc>
        <w:tc>
          <w:tcPr>
            <w:tcW w:w="348" w:type="pct"/>
            <w:tcBorders>
              <w:top w:val="single" w:sz="0" w:space="0" w:color="000000"/>
              <w:left w:val="nil"/>
              <w:bottom w:val="nil"/>
              <w:right w:val="nil"/>
              <w:tl2br w:val="nil"/>
              <w:tr2bl w:val="nil"/>
            </w:tcBorders>
            <w:vAlign w:val="bottom"/>
          </w:tcPr>
          <w:p w:rsidR="0018024C" w:rsidRDefault="0018024C" w:rsidP="0018024C">
            <w:pPr>
              <w:ind w:right="65"/>
              <w:jc w:val="right"/>
              <w:rPr>
                <w:sz w:val="20"/>
              </w:rPr>
            </w:pPr>
            <w:r>
              <w:rPr>
                <w:sz w:val="20"/>
              </w:rPr>
              <w:t xml:space="preserve"> 786</w:t>
            </w: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Selling, general and administrative expenses</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b/>
                <w:sz w:val="20"/>
              </w:rPr>
            </w:pPr>
          </w:p>
        </w:tc>
        <w:tc>
          <w:tcPr>
            <w:tcW w:w="356" w:type="pct"/>
            <w:tcBorders>
              <w:top w:val="nil"/>
              <w:left w:val="nil"/>
              <w:bottom w:val="nil"/>
              <w:right w:val="nil"/>
              <w:tl2br w:val="nil"/>
              <w:tr2bl w:val="nil"/>
            </w:tcBorders>
            <w:shd w:val="clear" w:color="auto" w:fill="CCEEFF"/>
            <w:vAlign w:val="bottom"/>
          </w:tcPr>
          <w:p w:rsidR="0018024C" w:rsidRDefault="0018024C" w:rsidP="0018024C">
            <w:pPr>
              <w:ind w:right="63"/>
              <w:jc w:val="right"/>
              <w:rPr>
                <w:b/>
                <w:sz w:val="20"/>
              </w:rPr>
            </w:pPr>
            <w:r>
              <w:rPr>
                <w:b/>
                <w:sz w:val="20"/>
              </w:rPr>
              <w:t xml:space="preserve"> 550</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562</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536</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524</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48"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606</w:t>
            </w:r>
          </w:p>
        </w:tc>
      </w:tr>
      <w:tr w:rsidR="0018024C" w:rsidTr="0018024C">
        <w:trPr>
          <w:trHeight w:hRule="exact" w:val="240"/>
        </w:trPr>
        <w:tc>
          <w:tcPr>
            <w:tcW w:w="1850" w:type="pct"/>
            <w:tcBorders>
              <w:top w:val="nil"/>
              <w:left w:val="nil"/>
              <w:bottom w:val="nil"/>
              <w:right w:val="nil"/>
              <w:tl2br w:val="nil"/>
              <w:tr2bl w:val="nil"/>
            </w:tcBorders>
            <w:vAlign w:val="bottom"/>
          </w:tcPr>
          <w:p w:rsidR="0018024C" w:rsidRDefault="0018024C" w:rsidP="0018024C">
            <w:pPr>
              <w:rPr>
                <w:sz w:val="20"/>
              </w:rPr>
            </w:pPr>
            <w:r>
              <w:rPr>
                <w:sz w:val="20"/>
              </w:rPr>
              <w:t xml:space="preserve">Goodwill and intangible asset impairment </w:t>
            </w:r>
          </w:p>
        </w:tc>
        <w:tc>
          <w:tcPr>
            <w:tcW w:w="67"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b/>
                <w:sz w:val="20"/>
              </w:rPr>
            </w:pPr>
          </w:p>
        </w:tc>
        <w:tc>
          <w:tcPr>
            <w:tcW w:w="356" w:type="pct"/>
            <w:tcBorders>
              <w:top w:val="nil"/>
              <w:left w:val="nil"/>
              <w:bottom w:val="single" w:sz="12" w:space="0" w:color="000000"/>
              <w:right w:val="nil"/>
              <w:tl2br w:val="nil"/>
              <w:tr2bl w:val="nil"/>
            </w:tcBorders>
            <w:vAlign w:val="bottom"/>
          </w:tcPr>
          <w:p w:rsidR="0018024C" w:rsidRDefault="0018024C" w:rsidP="0018024C">
            <w:pPr>
              <w:ind w:right="63"/>
              <w:jc w:val="right"/>
              <w:rPr>
                <w:b/>
                <w:sz w:val="20"/>
              </w:rPr>
            </w:pPr>
            <w:r>
              <w:rPr>
                <w:b/>
                <w:sz w:val="20"/>
              </w:rPr>
              <w:t xml:space="preserve"> -</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350" w:type="pct"/>
            <w:tcBorders>
              <w:top w:val="nil"/>
              <w:left w:val="nil"/>
              <w:bottom w:val="single" w:sz="12" w:space="0" w:color="000000"/>
              <w:right w:val="nil"/>
              <w:tl2br w:val="nil"/>
              <w:tr2bl w:val="nil"/>
            </w:tcBorders>
            <w:vAlign w:val="bottom"/>
          </w:tcPr>
          <w:p w:rsidR="0018024C" w:rsidRDefault="0018024C" w:rsidP="0018024C">
            <w:pPr>
              <w:ind w:right="65"/>
              <w:jc w:val="right"/>
              <w:rPr>
                <w:sz w:val="20"/>
              </w:rPr>
            </w:pPr>
            <w:r>
              <w:rPr>
                <w:sz w:val="20"/>
              </w:rPr>
              <w:t xml:space="preserve"> -</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350" w:type="pct"/>
            <w:tcBorders>
              <w:top w:val="nil"/>
              <w:left w:val="nil"/>
              <w:bottom w:val="single" w:sz="12" w:space="0" w:color="000000"/>
              <w:right w:val="nil"/>
              <w:tl2br w:val="nil"/>
              <w:tr2bl w:val="nil"/>
            </w:tcBorders>
            <w:vAlign w:val="bottom"/>
          </w:tcPr>
          <w:p w:rsidR="0018024C" w:rsidRDefault="0018024C" w:rsidP="0018024C">
            <w:pPr>
              <w:ind w:right="65"/>
              <w:jc w:val="right"/>
              <w:rPr>
                <w:sz w:val="20"/>
              </w:rPr>
            </w:pPr>
            <w:r>
              <w:rPr>
                <w:sz w:val="20"/>
              </w:rPr>
              <w:t xml:space="preserve"> -</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350" w:type="pct"/>
            <w:tcBorders>
              <w:top w:val="nil"/>
              <w:left w:val="nil"/>
              <w:bottom w:val="single" w:sz="12" w:space="0" w:color="000000"/>
              <w:right w:val="nil"/>
              <w:tl2br w:val="nil"/>
              <w:tr2bl w:val="nil"/>
            </w:tcBorders>
            <w:vAlign w:val="bottom"/>
          </w:tcPr>
          <w:p w:rsidR="0018024C" w:rsidRDefault="0018024C" w:rsidP="0018024C">
            <w:pPr>
              <w:ind w:right="65"/>
              <w:jc w:val="right"/>
              <w:rPr>
                <w:sz w:val="20"/>
              </w:rPr>
            </w:pPr>
            <w:r>
              <w:rPr>
                <w:sz w:val="20"/>
              </w:rPr>
              <w:t xml:space="preserve"> -</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348" w:type="pct"/>
            <w:tcBorders>
              <w:top w:val="nil"/>
              <w:left w:val="nil"/>
              <w:bottom w:val="single" w:sz="12" w:space="0" w:color="000000"/>
              <w:right w:val="nil"/>
              <w:tl2br w:val="nil"/>
              <w:tr2bl w:val="nil"/>
            </w:tcBorders>
            <w:vAlign w:val="bottom"/>
          </w:tcPr>
          <w:p w:rsidR="0018024C" w:rsidRDefault="0018024C" w:rsidP="0018024C">
            <w:pPr>
              <w:ind w:right="65"/>
              <w:jc w:val="right"/>
              <w:rPr>
                <w:sz w:val="20"/>
              </w:rPr>
            </w:pPr>
            <w:r>
              <w:rPr>
                <w:sz w:val="20"/>
              </w:rPr>
              <w:t xml:space="preserve"> 462</w:t>
            </w: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 xml:space="preserve">Operating income (loss) </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b/>
                <w:sz w:val="20"/>
              </w:rPr>
            </w:pPr>
          </w:p>
        </w:tc>
        <w:tc>
          <w:tcPr>
            <w:tcW w:w="356"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63"/>
              <w:jc w:val="right"/>
              <w:rPr>
                <w:b/>
                <w:sz w:val="20"/>
              </w:rPr>
            </w:pPr>
            <w:r>
              <w:rPr>
                <w:b/>
                <w:sz w:val="20"/>
              </w:rPr>
              <w:t xml:space="preserve"> 103</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127</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46</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3"/>
              <w:jc w:val="right"/>
              <w:rPr>
                <w:sz w:val="20"/>
              </w:rPr>
            </w:pPr>
            <w:r>
              <w:rPr>
                <w:sz w:val="20"/>
              </w:rPr>
              <w:t xml:space="preserve"> (56)</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48"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3"/>
              <w:jc w:val="right"/>
              <w:rPr>
                <w:sz w:val="20"/>
              </w:rPr>
            </w:pPr>
            <w:r>
              <w:rPr>
                <w:sz w:val="20"/>
              </w:rPr>
              <w:t xml:space="preserve"> (282)</w:t>
            </w:r>
          </w:p>
        </w:tc>
      </w:tr>
      <w:tr w:rsidR="0018024C" w:rsidTr="0018024C">
        <w:trPr>
          <w:trHeight w:hRule="exact" w:val="240"/>
        </w:trPr>
        <w:tc>
          <w:tcPr>
            <w:tcW w:w="1850" w:type="pct"/>
            <w:tcBorders>
              <w:top w:val="nil"/>
              <w:left w:val="nil"/>
              <w:bottom w:val="nil"/>
              <w:right w:val="nil"/>
              <w:tl2br w:val="nil"/>
              <w:tr2bl w:val="nil"/>
            </w:tcBorders>
            <w:vAlign w:val="bottom"/>
          </w:tcPr>
          <w:p w:rsidR="0018024C" w:rsidRDefault="0018024C" w:rsidP="0018024C">
            <w:pPr>
              <w:rPr>
                <w:sz w:val="20"/>
              </w:rPr>
            </w:pPr>
            <w:r>
              <w:rPr>
                <w:sz w:val="20"/>
              </w:rPr>
              <w:t>Other expenses:</w:t>
            </w:r>
          </w:p>
        </w:tc>
        <w:tc>
          <w:tcPr>
            <w:tcW w:w="67"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b/>
                <w:sz w:val="20"/>
              </w:rPr>
            </w:pPr>
          </w:p>
        </w:tc>
        <w:tc>
          <w:tcPr>
            <w:tcW w:w="356" w:type="pct"/>
            <w:tcBorders>
              <w:top w:val="nil"/>
              <w:left w:val="nil"/>
              <w:bottom w:val="nil"/>
              <w:right w:val="nil"/>
              <w:tl2br w:val="nil"/>
              <w:tr2bl w:val="nil"/>
            </w:tcBorders>
            <w:vAlign w:val="bottom"/>
          </w:tcPr>
          <w:p w:rsidR="0018024C" w:rsidRDefault="0018024C" w:rsidP="0018024C">
            <w:pPr>
              <w:rPr>
                <w:b/>
                <w:sz w:val="20"/>
              </w:rPr>
            </w:pP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rPr>
                <w:sz w:val="20"/>
              </w:rPr>
            </w:pP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rPr>
                <w:sz w:val="20"/>
              </w:rPr>
            </w:pP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rPr>
                <w:sz w:val="20"/>
              </w:rPr>
            </w:pP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48" w:type="pct"/>
            <w:tcBorders>
              <w:top w:val="nil"/>
              <w:left w:val="nil"/>
              <w:bottom w:val="nil"/>
              <w:right w:val="nil"/>
              <w:tl2br w:val="nil"/>
              <w:tr2bl w:val="nil"/>
            </w:tcBorders>
            <w:vAlign w:val="bottom"/>
          </w:tcPr>
          <w:p w:rsidR="0018024C" w:rsidRDefault="0018024C" w:rsidP="0018024C">
            <w:pPr>
              <w:rPr>
                <w:sz w:val="20"/>
              </w:rPr>
            </w:pP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Interest expense</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b/>
                <w:sz w:val="20"/>
              </w:rPr>
            </w:pPr>
          </w:p>
        </w:tc>
        <w:tc>
          <w:tcPr>
            <w:tcW w:w="356" w:type="pct"/>
            <w:tcBorders>
              <w:top w:val="nil"/>
              <w:left w:val="nil"/>
              <w:bottom w:val="nil"/>
              <w:right w:val="nil"/>
              <w:tl2br w:val="nil"/>
              <w:tr2bl w:val="nil"/>
            </w:tcBorders>
            <w:shd w:val="clear" w:color="auto" w:fill="CCEEFF"/>
            <w:vAlign w:val="bottom"/>
          </w:tcPr>
          <w:p w:rsidR="0018024C" w:rsidRDefault="0018024C" w:rsidP="0018024C">
            <w:pPr>
              <w:jc w:val="right"/>
              <w:rPr>
                <w:b/>
                <w:sz w:val="20"/>
              </w:rPr>
            </w:pPr>
            <w:r>
              <w:rPr>
                <w:b/>
                <w:sz w:val="20"/>
              </w:rPr>
              <w:t xml:space="preserve"> (40)</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3"/>
              <w:jc w:val="right"/>
              <w:rPr>
                <w:sz w:val="20"/>
              </w:rPr>
            </w:pPr>
            <w:r>
              <w:rPr>
                <w:sz w:val="20"/>
              </w:rPr>
              <w:t xml:space="preserve"> (38)</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3"/>
              <w:jc w:val="right"/>
              <w:rPr>
                <w:sz w:val="20"/>
              </w:rPr>
            </w:pPr>
            <w:r>
              <w:rPr>
                <w:sz w:val="20"/>
              </w:rPr>
              <w:t xml:space="preserve"> (31)</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3"/>
              <w:jc w:val="right"/>
              <w:rPr>
                <w:sz w:val="20"/>
              </w:rPr>
            </w:pPr>
            <w:r>
              <w:rPr>
                <w:sz w:val="20"/>
              </w:rPr>
              <w:t xml:space="preserve"> (35)</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48" w:type="pct"/>
            <w:tcBorders>
              <w:top w:val="nil"/>
              <w:left w:val="nil"/>
              <w:bottom w:val="nil"/>
              <w:right w:val="nil"/>
              <w:tl2br w:val="nil"/>
              <w:tr2bl w:val="nil"/>
            </w:tcBorders>
            <w:shd w:val="clear" w:color="auto" w:fill="CCEEFF"/>
            <w:vAlign w:val="bottom"/>
          </w:tcPr>
          <w:p w:rsidR="0018024C" w:rsidRDefault="0018024C" w:rsidP="0018024C">
            <w:pPr>
              <w:ind w:right="3"/>
              <w:jc w:val="right"/>
              <w:rPr>
                <w:sz w:val="20"/>
              </w:rPr>
            </w:pPr>
            <w:r>
              <w:rPr>
                <w:sz w:val="20"/>
              </w:rPr>
              <w:t xml:space="preserve"> (48)</w:t>
            </w:r>
          </w:p>
        </w:tc>
      </w:tr>
      <w:tr w:rsidR="0018024C" w:rsidTr="0018024C">
        <w:trPr>
          <w:trHeight w:hRule="exact" w:val="240"/>
        </w:trPr>
        <w:tc>
          <w:tcPr>
            <w:tcW w:w="1850" w:type="pct"/>
            <w:tcBorders>
              <w:top w:val="nil"/>
              <w:left w:val="nil"/>
              <w:bottom w:val="nil"/>
              <w:right w:val="nil"/>
              <w:tl2br w:val="nil"/>
              <w:tr2bl w:val="nil"/>
            </w:tcBorders>
            <w:vAlign w:val="bottom"/>
          </w:tcPr>
          <w:p w:rsidR="0018024C" w:rsidRDefault="0018024C" w:rsidP="0018024C">
            <w:pPr>
              <w:rPr>
                <w:sz w:val="20"/>
              </w:rPr>
            </w:pPr>
            <w:r>
              <w:rPr>
                <w:sz w:val="20"/>
              </w:rPr>
              <w:t>Other, net</w:t>
            </w:r>
          </w:p>
        </w:tc>
        <w:tc>
          <w:tcPr>
            <w:tcW w:w="67"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b/>
                <w:sz w:val="20"/>
              </w:rPr>
            </w:pPr>
          </w:p>
        </w:tc>
        <w:tc>
          <w:tcPr>
            <w:tcW w:w="356" w:type="pct"/>
            <w:tcBorders>
              <w:top w:val="nil"/>
              <w:left w:val="nil"/>
              <w:bottom w:val="single" w:sz="12" w:space="0" w:color="000000"/>
              <w:right w:val="nil"/>
              <w:tl2br w:val="nil"/>
              <w:tr2bl w:val="nil"/>
            </w:tcBorders>
            <w:vAlign w:val="bottom"/>
          </w:tcPr>
          <w:p w:rsidR="0018024C" w:rsidRDefault="0018024C" w:rsidP="0018024C">
            <w:pPr>
              <w:ind w:right="63"/>
              <w:jc w:val="right"/>
              <w:rPr>
                <w:b/>
                <w:sz w:val="20"/>
              </w:rPr>
            </w:pPr>
            <w:r>
              <w:rPr>
                <w:b/>
                <w:sz w:val="20"/>
              </w:rPr>
              <w:t xml:space="preserve"> 3</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350" w:type="pct"/>
            <w:tcBorders>
              <w:top w:val="nil"/>
              <w:left w:val="nil"/>
              <w:bottom w:val="single" w:sz="12" w:space="0" w:color="000000"/>
              <w:right w:val="nil"/>
              <w:tl2br w:val="nil"/>
              <w:tr2bl w:val="nil"/>
            </w:tcBorders>
            <w:vAlign w:val="bottom"/>
          </w:tcPr>
          <w:p w:rsidR="0018024C" w:rsidRDefault="0018024C" w:rsidP="0018024C">
            <w:pPr>
              <w:ind w:right="65"/>
              <w:jc w:val="right"/>
              <w:rPr>
                <w:sz w:val="20"/>
              </w:rPr>
            </w:pPr>
            <w:r>
              <w:rPr>
                <w:sz w:val="20"/>
              </w:rPr>
              <w:t xml:space="preserve"> 6</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350" w:type="pct"/>
            <w:tcBorders>
              <w:top w:val="nil"/>
              <w:left w:val="nil"/>
              <w:bottom w:val="single" w:sz="12" w:space="0" w:color="000000"/>
              <w:right w:val="nil"/>
              <w:tl2br w:val="nil"/>
              <w:tr2bl w:val="nil"/>
            </w:tcBorders>
            <w:vAlign w:val="bottom"/>
          </w:tcPr>
          <w:p w:rsidR="0018024C" w:rsidRDefault="0018024C" w:rsidP="0018024C">
            <w:pPr>
              <w:ind w:right="3"/>
              <w:jc w:val="right"/>
              <w:rPr>
                <w:sz w:val="20"/>
              </w:rPr>
            </w:pPr>
            <w:r>
              <w:rPr>
                <w:sz w:val="20"/>
              </w:rPr>
              <w:t xml:space="preserve"> (8)</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350" w:type="pct"/>
            <w:tcBorders>
              <w:top w:val="nil"/>
              <w:left w:val="nil"/>
              <w:bottom w:val="single" w:sz="12" w:space="0" w:color="000000"/>
              <w:right w:val="nil"/>
              <w:tl2br w:val="nil"/>
              <w:tr2bl w:val="nil"/>
            </w:tcBorders>
            <w:vAlign w:val="bottom"/>
          </w:tcPr>
          <w:p w:rsidR="0018024C" w:rsidRDefault="0018024C" w:rsidP="0018024C">
            <w:pPr>
              <w:ind w:right="65"/>
              <w:jc w:val="right"/>
              <w:rPr>
                <w:sz w:val="20"/>
              </w:rPr>
            </w:pPr>
            <w:r>
              <w:rPr>
                <w:sz w:val="20"/>
              </w:rPr>
              <w:t xml:space="preserve"> -</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348" w:type="pct"/>
            <w:tcBorders>
              <w:top w:val="nil"/>
              <w:left w:val="nil"/>
              <w:bottom w:val="single" w:sz="12" w:space="0" w:color="000000"/>
              <w:right w:val="nil"/>
              <w:tl2br w:val="nil"/>
              <w:tr2bl w:val="nil"/>
            </w:tcBorders>
            <w:vAlign w:val="bottom"/>
          </w:tcPr>
          <w:p w:rsidR="0018024C" w:rsidRDefault="0018024C" w:rsidP="0018024C">
            <w:pPr>
              <w:ind w:right="3"/>
              <w:jc w:val="right"/>
              <w:rPr>
                <w:sz w:val="20"/>
              </w:rPr>
            </w:pPr>
            <w:r>
              <w:rPr>
                <w:sz w:val="20"/>
              </w:rPr>
              <w:t xml:space="preserve"> (12)</w:t>
            </w: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Income (loss) before income taxes</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b/>
                <w:sz w:val="20"/>
              </w:rPr>
            </w:pPr>
          </w:p>
        </w:tc>
        <w:tc>
          <w:tcPr>
            <w:tcW w:w="356"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63"/>
              <w:jc w:val="right"/>
              <w:rPr>
                <w:b/>
                <w:sz w:val="20"/>
              </w:rPr>
            </w:pPr>
            <w:r>
              <w:rPr>
                <w:b/>
                <w:sz w:val="20"/>
              </w:rPr>
              <w:t xml:space="preserve"> 66</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95</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7</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3"/>
              <w:jc w:val="right"/>
              <w:rPr>
                <w:sz w:val="20"/>
              </w:rPr>
            </w:pPr>
            <w:r>
              <w:rPr>
                <w:sz w:val="20"/>
              </w:rPr>
              <w:t xml:space="preserve"> (91)</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48"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3"/>
              <w:jc w:val="right"/>
              <w:rPr>
                <w:sz w:val="20"/>
              </w:rPr>
            </w:pPr>
            <w:r>
              <w:rPr>
                <w:sz w:val="20"/>
              </w:rPr>
              <w:t xml:space="preserve"> (342)</w:t>
            </w:r>
          </w:p>
        </w:tc>
      </w:tr>
      <w:tr w:rsidR="0018024C" w:rsidTr="0018024C">
        <w:trPr>
          <w:trHeight w:hRule="exact" w:val="240"/>
        </w:trPr>
        <w:tc>
          <w:tcPr>
            <w:tcW w:w="1850" w:type="pct"/>
            <w:tcBorders>
              <w:top w:val="nil"/>
              <w:left w:val="nil"/>
              <w:bottom w:val="nil"/>
              <w:right w:val="nil"/>
              <w:tl2br w:val="nil"/>
              <w:tr2bl w:val="nil"/>
            </w:tcBorders>
            <w:vAlign w:val="bottom"/>
          </w:tcPr>
          <w:p w:rsidR="0018024C" w:rsidRDefault="0018024C" w:rsidP="0018024C">
            <w:pPr>
              <w:rPr>
                <w:sz w:val="20"/>
              </w:rPr>
            </w:pPr>
            <w:r>
              <w:rPr>
                <w:sz w:val="20"/>
              </w:rPr>
              <w:t>Income tax expense (benefit)</w:t>
            </w:r>
          </w:p>
        </w:tc>
        <w:tc>
          <w:tcPr>
            <w:tcW w:w="67"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b/>
                <w:sz w:val="20"/>
              </w:rPr>
            </w:pPr>
          </w:p>
        </w:tc>
        <w:tc>
          <w:tcPr>
            <w:tcW w:w="356" w:type="pct"/>
            <w:tcBorders>
              <w:top w:val="nil"/>
              <w:left w:val="nil"/>
              <w:bottom w:val="single" w:sz="12" w:space="0" w:color="000000"/>
              <w:right w:val="nil"/>
              <w:tl2br w:val="nil"/>
              <w:tr2bl w:val="nil"/>
            </w:tcBorders>
            <w:vAlign w:val="bottom"/>
          </w:tcPr>
          <w:p w:rsidR="0018024C" w:rsidRDefault="0018024C" w:rsidP="0018024C">
            <w:pPr>
              <w:ind w:right="63"/>
              <w:jc w:val="right"/>
              <w:rPr>
                <w:b/>
                <w:sz w:val="20"/>
              </w:rPr>
            </w:pPr>
            <w:r>
              <w:rPr>
                <w:b/>
                <w:sz w:val="20"/>
              </w:rPr>
              <w:t xml:space="preserve"> 27</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350" w:type="pct"/>
            <w:tcBorders>
              <w:top w:val="nil"/>
              <w:left w:val="nil"/>
              <w:bottom w:val="single" w:sz="12" w:space="0" w:color="000000"/>
              <w:right w:val="nil"/>
              <w:tl2br w:val="nil"/>
              <w:tr2bl w:val="nil"/>
            </w:tcBorders>
            <w:vAlign w:val="bottom"/>
          </w:tcPr>
          <w:p w:rsidR="0018024C" w:rsidRDefault="0018024C" w:rsidP="0018024C">
            <w:pPr>
              <w:ind w:right="65"/>
              <w:jc w:val="right"/>
              <w:rPr>
                <w:sz w:val="20"/>
              </w:rPr>
            </w:pPr>
            <w:r>
              <w:rPr>
                <w:sz w:val="20"/>
              </w:rPr>
              <w:t xml:space="preserve"> 21</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350" w:type="pct"/>
            <w:tcBorders>
              <w:top w:val="nil"/>
              <w:left w:val="nil"/>
              <w:bottom w:val="single" w:sz="12" w:space="0" w:color="000000"/>
              <w:right w:val="nil"/>
              <w:tl2br w:val="nil"/>
              <w:tr2bl w:val="nil"/>
            </w:tcBorders>
            <w:vAlign w:val="bottom"/>
          </w:tcPr>
          <w:p w:rsidR="0018024C" w:rsidRDefault="0018024C" w:rsidP="0018024C">
            <w:pPr>
              <w:ind w:right="3"/>
              <w:jc w:val="right"/>
              <w:rPr>
                <w:sz w:val="20"/>
              </w:rPr>
            </w:pPr>
            <w:r>
              <w:rPr>
                <w:sz w:val="20"/>
              </w:rPr>
              <w:t xml:space="preserve"> (43)</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350" w:type="pct"/>
            <w:tcBorders>
              <w:top w:val="nil"/>
              <w:left w:val="nil"/>
              <w:bottom w:val="single" w:sz="12" w:space="0" w:color="000000"/>
              <w:right w:val="nil"/>
              <w:tl2br w:val="nil"/>
              <w:tr2bl w:val="nil"/>
            </w:tcBorders>
            <w:vAlign w:val="bottom"/>
          </w:tcPr>
          <w:p w:rsidR="0018024C" w:rsidRDefault="0018024C" w:rsidP="0018024C">
            <w:pPr>
              <w:ind w:right="3"/>
              <w:jc w:val="right"/>
              <w:rPr>
                <w:sz w:val="20"/>
              </w:rPr>
            </w:pPr>
            <w:r>
              <w:rPr>
                <w:sz w:val="20"/>
              </w:rPr>
              <w:t xml:space="preserve"> (8)</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348" w:type="pct"/>
            <w:tcBorders>
              <w:top w:val="nil"/>
              <w:left w:val="nil"/>
              <w:bottom w:val="single" w:sz="12" w:space="0" w:color="000000"/>
              <w:right w:val="nil"/>
              <w:tl2br w:val="nil"/>
              <w:tr2bl w:val="nil"/>
            </w:tcBorders>
            <w:vAlign w:val="bottom"/>
          </w:tcPr>
          <w:p w:rsidR="0018024C" w:rsidRDefault="0018024C" w:rsidP="0018024C">
            <w:pPr>
              <w:ind w:right="3"/>
              <w:jc w:val="right"/>
              <w:rPr>
                <w:sz w:val="20"/>
              </w:rPr>
            </w:pPr>
            <w:r>
              <w:rPr>
                <w:sz w:val="20"/>
              </w:rPr>
              <w:t xml:space="preserve"> (11)</w:t>
            </w: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 xml:space="preserve">Net income (loss) </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b/>
                <w:sz w:val="20"/>
              </w:rPr>
            </w:pPr>
          </w:p>
        </w:tc>
        <w:tc>
          <w:tcPr>
            <w:tcW w:w="356"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63"/>
              <w:jc w:val="right"/>
              <w:rPr>
                <w:b/>
                <w:sz w:val="20"/>
              </w:rPr>
            </w:pPr>
            <w:r>
              <w:rPr>
                <w:b/>
                <w:sz w:val="20"/>
              </w:rPr>
              <w:t xml:space="preserve"> 39</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74</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50</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3"/>
              <w:jc w:val="right"/>
              <w:rPr>
                <w:sz w:val="20"/>
              </w:rPr>
            </w:pPr>
            <w:r>
              <w:rPr>
                <w:sz w:val="20"/>
              </w:rPr>
              <w:t xml:space="preserve"> (83)</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48"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3"/>
              <w:jc w:val="right"/>
              <w:rPr>
                <w:sz w:val="20"/>
              </w:rPr>
            </w:pPr>
            <w:r>
              <w:rPr>
                <w:sz w:val="20"/>
              </w:rPr>
              <w:t xml:space="preserve"> (331)</w:t>
            </w:r>
          </w:p>
        </w:tc>
      </w:tr>
      <w:tr w:rsidR="0018024C" w:rsidTr="0018024C">
        <w:trPr>
          <w:trHeight w:hRule="exact" w:val="240"/>
        </w:trPr>
        <w:tc>
          <w:tcPr>
            <w:tcW w:w="1850" w:type="pct"/>
            <w:tcBorders>
              <w:top w:val="nil"/>
              <w:left w:val="nil"/>
              <w:bottom w:val="nil"/>
              <w:right w:val="nil"/>
              <w:tl2br w:val="nil"/>
              <w:tr2bl w:val="nil"/>
            </w:tcBorders>
            <w:vAlign w:val="bottom"/>
          </w:tcPr>
          <w:p w:rsidR="0018024C" w:rsidRDefault="0018024C" w:rsidP="0018024C">
            <w:pPr>
              <w:rPr>
                <w:sz w:val="20"/>
              </w:rPr>
            </w:pPr>
            <w:r>
              <w:rPr>
                <w:sz w:val="20"/>
              </w:rPr>
              <w:t>Series A preferred stock dividends</w:t>
            </w:r>
          </w:p>
        </w:tc>
        <w:tc>
          <w:tcPr>
            <w:tcW w:w="67"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b/>
                <w:sz w:val="20"/>
              </w:rPr>
            </w:pPr>
          </w:p>
        </w:tc>
        <w:tc>
          <w:tcPr>
            <w:tcW w:w="356" w:type="pct"/>
            <w:tcBorders>
              <w:top w:val="nil"/>
              <w:left w:val="nil"/>
              <w:bottom w:val="single" w:sz="12" w:space="0" w:color="000000"/>
              <w:right w:val="nil"/>
              <w:tl2br w:val="nil"/>
              <w:tr2bl w:val="nil"/>
            </w:tcBorders>
            <w:vAlign w:val="bottom"/>
          </w:tcPr>
          <w:p w:rsidR="0018024C" w:rsidRDefault="0018024C" w:rsidP="0018024C">
            <w:pPr>
              <w:ind w:right="63"/>
              <w:jc w:val="right"/>
              <w:rPr>
                <w:b/>
                <w:sz w:val="20"/>
              </w:rPr>
            </w:pPr>
            <w:r>
              <w:rPr>
                <w:b/>
                <w:sz w:val="20"/>
              </w:rPr>
              <w:t xml:space="preserve"> 24</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350" w:type="pct"/>
            <w:tcBorders>
              <w:top w:val="nil"/>
              <w:left w:val="nil"/>
              <w:bottom w:val="single" w:sz="12" w:space="0" w:color="000000"/>
              <w:right w:val="nil"/>
              <w:tl2br w:val="nil"/>
              <w:tr2bl w:val="nil"/>
            </w:tcBorders>
            <w:vAlign w:val="bottom"/>
          </w:tcPr>
          <w:p w:rsidR="0018024C" w:rsidRDefault="0018024C" w:rsidP="0018024C">
            <w:pPr>
              <w:ind w:right="65"/>
              <w:jc w:val="right"/>
              <w:rPr>
                <w:sz w:val="20"/>
              </w:rPr>
            </w:pPr>
            <w:r>
              <w:rPr>
                <w:sz w:val="20"/>
              </w:rPr>
              <w:t xml:space="preserve"> 24</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350" w:type="pct"/>
            <w:tcBorders>
              <w:top w:val="nil"/>
              <w:left w:val="nil"/>
              <w:bottom w:val="single" w:sz="12" w:space="0" w:color="000000"/>
              <w:right w:val="nil"/>
              <w:tl2br w:val="nil"/>
              <w:tr2bl w:val="nil"/>
            </w:tcBorders>
            <w:vAlign w:val="bottom"/>
          </w:tcPr>
          <w:p w:rsidR="0018024C" w:rsidRDefault="0018024C" w:rsidP="0018024C">
            <w:pPr>
              <w:ind w:right="65"/>
              <w:jc w:val="right"/>
              <w:rPr>
                <w:sz w:val="20"/>
              </w:rPr>
            </w:pPr>
            <w:r>
              <w:rPr>
                <w:sz w:val="20"/>
              </w:rPr>
              <w:t xml:space="preserve"> 24</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350" w:type="pct"/>
            <w:tcBorders>
              <w:top w:val="nil"/>
              <w:left w:val="nil"/>
              <w:bottom w:val="single" w:sz="12" w:space="0" w:color="000000"/>
              <w:right w:val="nil"/>
              <w:tl2br w:val="nil"/>
              <w:tr2bl w:val="nil"/>
            </w:tcBorders>
            <w:vAlign w:val="bottom"/>
          </w:tcPr>
          <w:p w:rsidR="0018024C" w:rsidRDefault="0018024C" w:rsidP="0018024C">
            <w:pPr>
              <w:ind w:right="65"/>
              <w:jc w:val="right"/>
              <w:rPr>
                <w:sz w:val="20"/>
              </w:rPr>
            </w:pPr>
            <w:r>
              <w:rPr>
                <w:sz w:val="20"/>
              </w:rPr>
              <w:t xml:space="preserve"> 24</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348" w:type="pct"/>
            <w:tcBorders>
              <w:top w:val="nil"/>
              <w:left w:val="nil"/>
              <w:bottom w:val="single" w:sz="12" w:space="0" w:color="000000"/>
              <w:right w:val="nil"/>
              <w:tl2br w:val="nil"/>
              <w:tr2bl w:val="nil"/>
            </w:tcBorders>
            <w:vAlign w:val="bottom"/>
          </w:tcPr>
          <w:p w:rsidR="0018024C" w:rsidRDefault="0018024C" w:rsidP="0018024C">
            <w:pPr>
              <w:ind w:right="65"/>
              <w:jc w:val="right"/>
              <w:rPr>
                <w:sz w:val="20"/>
              </w:rPr>
            </w:pPr>
            <w:r>
              <w:rPr>
                <w:sz w:val="20"/>
              </w:rPr>
              <w:t xml:space="preserve"> 13</w:t>
            </w: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Net income (loss) attributable to common stockholders</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rPr>
                <w:b/>
                <w:sz w:val="20"/>
              </w:rPr>
            </w:pPr>
            <w:r>
              <w:rPr>
                <w:b/>
                <w:sz w:val="20"/>
              </w:rPr>
              <w:t>$</w:t>
            </w:r>
          </w:p>
        </w:tc>
        <w:tc>
          <w:tcPr>
            <w:tcW w:w="356"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ind w:right="63"/>
              <w:jc w:val="right"/>
              <w:rPr>
                <w:b/>
                <w:sz w:val="20"/>
              </w:rPr>
            </w:pPr>
            <w:r>
              <w:rPr>
                <w:b/>
                <w:sz w:val="20"/>
              </w:rPr>
              <w:t xml:space="preserve"> 15</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rPr>
                <w:sz w:val="20"/>
              </w:rPr>
            </w:pPr>
            <w:r>
              <w:rPr>
                <w:sz w:val="20"/>
              </w:rPr>
              <w:t>$</w:t>
            </w:r>
          </w:p>
        </w:tc>
        <w:tc>
          <w:tcPr>
            <w:tcW w:w="350"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ind w:right="65"/>
              <w:jc w:val="right"/>
              <w:rPr>
                <w:sz w:val="20"/>
              </w:rPr>
            </w:pPr>
            <w:r>
              <w:rPr>
                <w:sz w:val="20"/>
              </w:rPr>
              <w:t xml:space="preserve"> 50</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rPr>
                <w:sz w:val="20"/>
              </w:rPr>
            </w:pPr>
            <w:r>
              <w:rPr>
                <w:sz w:val="20"/>
              </w:rPr>
              <w:t>$</w:t>
            </w:r>
          </w:p>
        </w:tc>
        <w:tc>
          <w:tcPr>
            <w:tcW w:w="350"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ind w:right="65"/>
              <w:jc w:val="right"/>
              <w:rPr>
                <w:sz w:val="20"/>
              </w:rPr>
            </w:pPr>
            <w:r>
              <w:rPr>
                <w:sz w:val="20"/>
              </w:rPr>
              <w:t xml:space="preserve"> 26</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rPr>
                <w:sz w:val="20"/>
              </w:rPr>
            </w:pPr>
            <w:r>
              <w:rPr>
                <w:sz w:val="20"/>
              </w:rPr>
              <w:t>$</w:t>
            </w:r>
          </w:p>
        </w:tc>
        <w:tc>
          <w:tcPr>
            <w:tcW w:w="350"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ind w:right="3"/>
              <w:jc w:val="right"/>
              <w:rPr>
                <w:sz w:val="20"/>
              </w:rPr>
            </w:pPr>
            <w:r>
              <w:rPr>
                <w:sz w:val="20"/>
              </w:rPr>
              <w:t xml:space="preserve"> (107)</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rPr>
                <w:sz w:val="20"/>
              </w:rPr>
            </w:pPr>
            <w:r>
              <w:rPr>
                <w:sz w:val="20"/>
              </w:rPr>
              <w:t>$</w:t>
            </w:r>
          </w:p>
        </w:tc>
        <w:tc>
          <w:tcPr>
            <w:tcW w:w="348"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ind w:right="3"/>
              <w:jc w:val="right"/>
              <w:rPr>
                <w:sz w:val="20"/>
              </w:rPr>
            </w:pPr>
            <w:r>
              <w:rPr>
                <w:sz w:val="20"/>
              </w:rPr>
              <w:t xml:space="preserve"> (344)</w:t>
            </w:r>
          </w:p>
        </w:tc>
      </w:tr>
      <w:tr w:rsidR="0018024C" w:rsidTr="0018024C">
        <w:trPr>
          <w:trHeight w:hRule="exact" w:val="240"/>
        </w:trPr>
        <w:tc>
          <w:tcPr>
            <w:tcW w:w="1850" w:type="pct"/>
            <w:tcBorders>
              <w:top w:val="nil"/>
              <w:left w:val="nil"/>
              <w:bottom w:val="nil"/>
              <w:right w:val="nil"/>
              <w:tl2br w:val="nil"/>
              <w:tr2bl w:val="nil"/>
            </w:tcBorders>
            <w:vAlign w:val="bottom"/>
          </w:tcPr>
          <w:p w:rsidR="0018024C" w:rsidRDefault="0018024C" w:rsidP="0018024C">
            <w:pPr>
              <w:rPr>
                <w:sz w:val="20"/>
              </w:rPr>
            </w:pPr>
            <w:r>
              <w:rPr>
                <w:sz w:val="20"/>
              </w:rPr>
              <w:t>Earnings (loss) per share amounts:</w:t>
            </w:r>
          </w:p>
        </w:tc>
        <w:tc>
          <w:tcPr>
            <w:tcW w:w="67"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b/>
                <w:sz w:val="20"/>
              </w:rPr>
            </w:pPr>
          </w:p>
        </w:tc>
        <w:tc>
          <w:tcPr>
            <w:tcW w:w="356" w:type="pct"/>
            <w:tcBorders>
              <w:top w:val="nil"/>
              <w:left w:val="nil"/>
              <w:bottom w:val="nil"/>
              <w:right w:val="nil"/>
              <w:tl2br w:val="nil"/>
              <w:tr2bl w:val="nil"/>
            </w:tcBorders>
            <w:vAlign w:val="bottom"/>
          </w:tcPr>
          <w:p w:rsidR="0018024C" w:rsidRDefault="0018024C" w:rsidP="0018024C">
            <w:pPr>
              <w:rPr>
                <w:b/>
                <w:sz w:val="20"/>
              </w:rPr>
            </w:pP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rPr>
                <w:sz w:val="20"/>
              </w:rPr>
            </w:pP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rPr>
                <w:sz w:val="20"/>
              </w:rPr>
            </w:pP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rPr>
                <w:sz w:val="20"/>
              </w:rPr>
            </w:pP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48" w:type="pct"/>
            <w:tcBorders>
              <w:top w:val="nil"/>
              <w:left w:val="nil"/>
              <w:bottom w:val="nil"/>
              <w:right w:val="nil"/>
              <w:tl2br w:val="nil"/>
              <w:tr2bl w:val="nil"/>
            </w:tcBorders>
            <w:vAlign w:val="bottom"/>
          </w:tcPr>
          <w:p w:rsidR="0018024C" w:rsidRDefault="0018024C" w:rsidP="0018024C">
            <w:pPr>
              <w:rPr>
                <w:sz w:val="20"/>
              </w:rPr>
            </w:pP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ind w:left="360"/>
              <w:rPr>
                <w:sz w:val="20"/>
              </w:rPr>
            </w:pPr>
            <w:r>
              <w:rPr>
                <w:sz w:val="20"/>
              </w:rPr>
              <w:t>Basic</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b/>
                <w:sz w:val="20"/>
              </w:rPr>
            </w:pPr>
            <w:r>
              <w:rPr>
                <w:b/>
                <w:sz w:val="20"/>
              </w:rPr>
              <w:t>$</w:t>
            </w:r>
          </w:p>
        </w:tc>
        <w:tc>
          <w:tcPr>
            <w:tcW w:w="356" w:type="pct"/>
            <w:tcBorders>
              <w:top w:val="nil"/>
              <w:left w:val="nil"/>
              <w:bottom w:val="nil"/>
              <w:right w:val="nil"/>
              <w:tl2br w:val="nil"/>
              <w:tr2bl w:val="nil"/>
            </w:tcBorders>
            <w:shd w:val="clear" w:color="auto" w:fill="CCEEFF"/>
            <w:vAlign w:val="bottom"/>
          </w:tcPr>
          <w:p w:rsidR="0018024C" w:rsidRDefault="0018024C" w:rsidP="0018024C">
            <w:pPr>
              <w:ind w:right="63"/>
              <w:jc w:val="right"/>
              <w:rPr>
                <w:b/>
                <w:sz w:val="20"/>
              </w:rPr>
            </w:pPr>
            <w:r>
              <w:rPr>
                <w:b/>
                <w:sz w:val="20"/>
              </w:rPr>
              <w:t xml:space="preserve"> 0.18</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w:t>
            </w: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0.55</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w:t>
            </w: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0.28</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w:t>
            </w: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3"/>
              <w:jc w:val="right"/>
              <w:rPr>
                <w:sz w:val="20"/>
              </w:rPr>
            </w:pPr>
            <w:r>
              <w:rPr>
                <w:sz w:val="20"/>
              </w:rPr>
              <w:t xml:space="preserve"> (1.10)</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w:t>
            </w:r>
          </w:p>
        </w:tc>
        <w:tc>
          <w:tcPr>
            <w:tcW w:w="348" w:type="pct"/>
            <w:tcBorders>
              <w:top w:val="nil"/>
              <w:left w:val="nil"/>
              <w:bottom w:val="nil"/>
              <w:right w:val="nil"/>
              <w:tl2br w:val="nil"/>
              <w:tr2bl w:val="nil"/>
            </w:tcBorders>
            <w:shd w:val="clear" w:color="auto" w:fill="CCEEFF"/>
            <w:vAlign w:val="bottom"/>
          </w:tcPr>
          <w:p w:rsidR="0018024C" w:rsidRDefault="0018024C" w:rsidP="0018024C">
            <w:pPr>
              <w:ind w:right="3"/>
              <w:jc w:val="right"/>
              <w:rPr>
                <w:sz w:val="20"/>
              </w:rPr>
            </w:pPr>
            <w:r>
              <w:rPr>
                <w:sz w:val="20"/>
              </w:rPr>
              <w:t xml:space="preserve"> (3.38)</w:t>
            </w:r>
          </w:p>
        </w:tc>
      </w:tr>
      <w:tr w:rsidR="0018024C" w:rsidTr="0018024C">
        <w:trPr>
          <w:trHeight w:hRule="exact" w:val="240"/>
        </w:trPr>
        <w:tc>
          <w:tcPr>
            <w:tcW w:w="1850" w:type="pct"/>
            <w:tcBorders>
              <w:top w:val="nil"/>
              <w:left w:val="nil"/>
              <w:bottom w:val="nil"/>
              <w:right w:val="nil"/>
              <w:tl2br w:val="nil"/>
              <w:tr2bl w:val="nil"/>
            </w:tcBorders>
            <w:vAlign w:val="bottom"/>
          </w:tcPr>
          <w:p w:rsidR="0018024C" w:rsidRDefault="0018024C" w:rsidP="0018024C">
            <w:pPr>
              <w:ind w:left="360"/>
              <w:rPr>
                <w:sz w:val="20"/>
              </w:rPr>
            </w:pPr>
            <w:r>
              <w:rPr>
                <w:sz w:val="20"/>
              </w:rPr>
              <w:t>Diluted</w:t>
            </w:r>
          </w:p>
        </w:tc>
        <w:tc>
          <w:tcPr>
            <w:tcW w:w="67"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b/>
                <w:sz w:val="20"/>
              </w:rPr>
            </w:pPr>
            <w:r>
              <w:rPr>
                <w:b/>
                <w:sz w:val="20"/>
              </w:rPr>
              <w:t>$</w:t>
            </w:r>
          </w:p>
        </w:tc>
        <w:tc>
          <w:tcPr>
            <w:tcW w:w="356" w:type="pct"/>
            <w:tcBorders>
              <w:top w:val="nil"/>
              <w:left w:val="nil"/>
              <w:bottom w:val="nil"/>
              <w:right w:val="nil"/>
              <w:tl2br w:val="nil"/>
              <w:tr2bl w:val="nil"/>
            </w:tcBorders>
            <w:vAlign w:val="bottom"/>
          </w:tcPr>
          <w:p w:rsidR="0018024C" w:rsidRDefault="0018024C" w:rsidP="0018024C">
            <w:pPr>
              <w:ind w:right="63"/>
              <w:jc w:val="right"/>
              <w:rPr>
                <w:b/>
                <w:sz w:val="20"/>
              </w:rPr>
            </w:pPr>
            <w:r>
              <w:rPr>
                <w:b/>
                <w:sz w:val="20"/>
              </w:rPr>
              <w:t xml:space="preserve"> 0.18</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r>
              <w:rPr>
                <w:sz w:val="20"/>
              </w:rPr>
              <w:t>$</w:t>
            </w: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0.54</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r>
              <w:rPr>
                <w:sz w:val="20"/>
              </w:rPr>
              <w:t>$</w:t>
            </w: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0.27</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r>
              <w:rPr>
                <w:sz w:val="20"/>
              </w:rPr>
              <w:t>$</w:t>
            </w:r>
          </w:p>
        </w:tc>
        <w:tc>
          <w:tcPr>
            <w:tcW w:w="350" w:type="pct"/>
            <w:tcBorders>
              <w:top w:val="nil"/>
              <w:left w:val="nil"/>
              <w:bottom w:val="nil"/>
              <w:right w:val="nil"/>
              <w:tl2br w:val="nil"/>
              <w:tr2bl w:val="nil"/>
            </w:tcBorders>
            <w:vAlign w:val="bottom"/>
          </w:tcPr>
          <w:p w:rsidR="0018024C" w:rsidRDefault="0018024C" w:rsidP="0018024C">
            <w:pPr>
              <w:ind w:right="3"/>
              <w:jc w:val="right"/>
              <w:rPr>
                <w:sz w:val="20"/>
              </w:rPr>
            </w:pPr>
            <w:r>
              <w:rPr>
                <w:sz w:val="20"/>
              </w:rPr>
              <w:t xml:space="preserve"> (1.10)</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r>
              <w:rPr>
                <w:sz w:val="20"/>
              </w:rPr>
              <w:t>$</w:t>
            </w:r>
          </w:p>
        </w:tc>
        <w:tc>
          <w:tcPr>
            <w:tcW w:w="348" w:type="pct"/>
            <w:tcBorders>
              <w:top w:val="nil"/>
              <w:left w:val="nil"/>
              <w:bottom w:val="nil"/>
              <w:right w:val="nil"/>
              <w:tl2br w:val="nil"/>
              <w:tr2bl w:val="nil"/>
            </w:tcBorders>
            <w:vAlign w:val="bottom"/>
          </w:tcPr>
          <w:p w:rsidR="0018024C" w:rsidRDefault="0018024C" w:rsidP="0018024C">
            <w:pPr>
              <w:ind w:right="3"/>
              <w:jc w:val="right"/>
              <w:rPr>
                <w:sz w:val="20"/>
              </w:rPr>
            </w:pPr>
            <w:r>
              <w:rPr>
                <w:sz w:val="20"/>
              </w:rPr>
              <w:t xml:space="preserve"> (3.38)</w:t>
            </w: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ind w:left="360"/>
              <w:rPr>
                <w:sz w:val="20"/>
              </w:rPr>
            </w:pPr>
            <w:r>
              <w:rPr>
                <w:sz w:val="20"/>
              </w:rPr>
              <w:t>Weighted-average shares, basic</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b/>
                <w:sz w:val="20"/>
              </w:rPr>
            </w:pPr>
          </w:p>
        </w:tc>
        <w:tc>
          <w:tcPr>
            <w:tcW w:w="356" w:type="pct"/>
            <w:tcBorders>
              <w:top w:val="nil"/>
              <w:left w:val="nil"/>
              <w:bottom w:val="nil"/>
              <w:right w:val="nil"/>
              <w:tl2br w:val="nil"/>
              <w:tr2bl w:val="nil"/>
            </w:tcBorders>
            <w:shd w:val="clear" w:color="auto" w:fill="CCEEFF"/>
            <w:vAlign w:val="bottom"/>
          </w:tcPr>
          <w:p w:rsidR="0018024C" w:rsidRDefault="0018024C" w:rsidP="0018024C">
            <w:pPr>
              <w:ind w:right="63"/>
              <w:jc w:val="right"/>
              <w:rPr>
                <w:b/>
                <w:sz w:val="20"/>
              </w:rPr>
            </w:pPr>
            <w:r>
              <w:rPr>
                <w:b/>
                <w:sz w:val="20"/>
              </w:rPr>
              <w:t xml:space="preserve"> 83.0</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90.1</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94.3</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97.3</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48"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102.1</w:t>
            </w:r>
          </w:p>
        </w:tc>
      </w:tr>
      <w:tr w:rsidR="0018024C" w:rsidTr="0018024C">
        <w:trPr>
          <w:trHeight w:hRule="exact" w:val="240"/>
        </w:trPr>
        <w:tc>
          <w:tcPr>
            <w:tcW w:w="1850" w:type="pct"/>
            <w:tcBorders>
              <w:top w:val="nil"/>
              <w:left w:val="nil"/>
              <w:bottom w:val="nil"/>
              <w:right w:val="nil"/>
              <w:tl2br w:val="nil"/>
              <w:tr2bl w:val="nil"/>
            </w:tcBorders>
            <w:vAlign w:val="bottom"/>
          </w:tcPr>
          <w:p w:rsidR="0018024C" w:rsidRDefault="0018024C" w:rsidP="0018024C">
            <w:pPr>
              <w:ind w:left="360"/>
              <w:rPr>
                <w:sz w:val="20"/>
              </w:rPr>
            </w:pPr>
            <w:r>
              <w:rPr>
                <w:sz w:val="20"/>
              </w:rPr>
              <w:t>Weighted-average shares, diluted</w:t>
            </w:r>
          </w:p>
        </w:tc>
        <w:tc>
          <w:tcPr>
            <w:tcW w:w="67"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b/>
                <w:sz w:val="20"/>
              </w:rPr>
            </w:pPr>
          </w:p>
        </w:tc>
        <w:tc>
          <w:tcPr>
            <w:tcW w:w="356" w:type="pct"/>
            <w:tcBorders>
              <w:top w:val="nil"/>
              <w:left w:val="nil"/>
              <w:bottom w:val="nil"/>
              <w:right w:val="nil"/>
              <w:tl2br w:val="nil"/>
              <w:tr2bl w:val="nil"/>
            </w:tcBorders>
            <w:vAlign w:val="bottom"/>
          </w:tcPr>
          <w:p w:rsidR="0018024C" w:rsidRDefault="0018024C" w:rsidP="0018024C">
            <w:pPr>
              <w:ind w:right="63"/>
              <w:jc w:val="right"/>
              <w:rPr>
                <w:b/>
                <w:sz w:val="20"/>
              </w:rPr>
            </w:pPr>
            <w:r>
              <w:rPr>
                <w:b/>
                <w:sz w:val="20"/>
              </w:rPr>
              <w:t xml:space="preserve"> 83.9</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91.8</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95.6</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97.3</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48"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102.1</w:t>
            </w: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ind w:left="360"/>
              <w:rPr>
                <w:sz w:val="20"/>
              </w:rPr>
            </w:pPr>
            <w:r>
              <w:rPr>
                <w:sz w:val="20"/>
              </w:rPr>
              <w:t>Dividends (common)</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b/>
                <w:sz w:val="20"/>
              </w:rPr>
            </w:pPr>
          </w:p>
        </w:tc>
        <w:tc>
          <w:tcPr>
            <w:tcW w:w="356" w:type="pct"/>
            <w:tcBorders>
              <w:top w:val="nil"/>
              <w:left w:val="nil"/>
              <w:bottom w:val="nil"/>
              <w:right w:val="nil"/>
              <w:tl2br w:val="nil"/>
              <w:tr2bl w:val="nil"/>
            </w:tcBorders>
            <w:shd w:val="clear" w:color="auto" w:fill="CCEEFF"/>
            <w:vAlign w:val="bottom"/>
          </w:tcPr>
          <w:p w:rsidR="0018024C" w:rsidRDefault="0018024C" w:rsidP="0018024C">
            <w:pPr>
              <w:ind w:right="63"/>
              <w:jc w:val="right"/>
              <w:rPr>
                <w:b/>
                <w:sz w:val="20"/>
              </w:rPr>
            </w:pPr>
            <w:r>
              <w:rPr>
                <w:b/>
                <w:sz w:val="20"/>
              </w:rPr>
              <w:t xml:space="preserve"> -</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48"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w:t>
            </w:r>
          </w:p>
        </w:tc>
      </w:tr>
    </w:tbl>
    <w:p w:rsidR="000121CD" w:rsidRDefault="000121CD"/>
    <w:p w:rsidR="000121CD" w:rsidRDefault="000121CD">
      <w:pPr>
        <w:rPr>
          <w:sz w:val="2"/>
        </w:rPr>
      </w:pPr>
    </w:p>
    <w:tbl>
      <w:tblPr>
        <w:tblW w:w="5000" w:type="pct"/>
        <w:tblCellMar>
          <w:left w:w="0" w:type="dxa"/>
          <w:right w:w="0" w:type="dxa"/>
        </w:tblCellMar>
        <w:tblLook w:val="04A0" w:firstRow="1" w:lastRow="0" w:firstColumn="1" w:lastColumn="0" w:noHBand="0" w:noVBand="1"/>
      </w:tblPr>
      <w:tblGrid>
        <w:gridCol w:w="3995"/>
        <w:gridCol w:w="144"/>
        <w:gridCol w:w="239"/>
        <w:gridCol w:w="229"/>
        <w:gridCol w:w="769"/>
        <w:gridCol w:w="372"/>
        <w:gridCol w:w="229"/>
        <w:gridCol w:w="756"/>
        <w:gridCol w:w="372"/>
        <w:gridCol w:w="229"/>
        <w:gridCol w:w="756"/>
        <w:gridCol w:w="372"/>
        <w:gridCol w:w="229"/>
        <w:gridCol w:w="756"/>
        <w:gridCol w:w="372"/>
        <w:gridCol w:w="229"/>
        <w:gridCol w:w="752"/>
      </w:tblGrid>
      <w:tr w:rsidR="0018024C" w:rsidTr="0018024C">
        <w:trPr>
          <w:trHeight w:hRule="exact" w:val="20"/>
        </w:trPr>
        <w:tc>
          <w:tcPr>
            <w:tcW w:w="1850" w:type="pct"/>
            <w:tcBorders>
              <w:top w:val="nil"/>
              <w:left w:val="nil"/>
              <w:bottom w:val="nil"/>
              <w:right w:val="nil"/>
            </w:tcBorders>
            <w:shd w:val="clear" w:color="auto" w:fill="auto"/>
            <w:vAlign w:val="bottom"/>
          </w:tcPr>
          <w:p w:rsidR="0018024C" w:rsidRDefault="0018024C" w:rsidP="0018024C">
            <w:pPr>
              <w:rPr>
                <w:sz w:val="2"/>
              </w:rPr>
            </w:pPr>
            <w:r>
              <w:rPr>
                <w:sz w:val="2"/>
              </w:rPr>
              <w:t>LOL</w:t>
            </w:r>
          </w:p>
        </w:tc>
        <w:tc>
          <w:tcPr>
            <w:tcW w:w="67" w:type="pct"/>
            <w:tcBorders>
              <w:top w:val="nil"/>
              <w:left w:val="nil"/>
              <w:bottom w:val="nil"/>
              <w:right w:val="nil"/>
            </w:tcBorders>
            <w:shd w:val="clear" w:color="auto" w:fill="auto"/>
            <w:vAlign w:val="bottom"/>
          </w:tcPr>
          <w:p w:rsidR="0018024C" w:rsidRDefault="0018024C" w:rsidP="0018024C">
            <w:pPr>
              <w:rPr>
                <w:sz w:val="2"/>
              </w:rPr>
            </w:pPr>
          </w:p>
        </w:tc>
        <w:tc>
          <w:tcPr>
            <w:tcW w:w="111" w:type="pct"/>
            <w:tcBorders>
              <w:top w:val="nil"/>
              <w:left w:val="nil"/>
              <w:bottom w:val="nil"/>
              <w:right w:val="nil"/>
            </w:tcBorders>
            <w:shd w:val="clear" w:color="auto" w:fill="auto"/>
            <w:vAlign w:val="bottom"/>
          </w:tcPr>
          <w:p w:rsidR="0018024C" w:rsidRDefault="0018024C" w:rsidP="0018024C">
            <w:pPr>
              <w:rPr>
                <w:sz w:val="2"/>
              </w:rPr>
            </w:pPr>
          </w:p>
        </w:tc>
        <w:tc>
          <w:tcPr>
            <w:tcW w:w="106" w:type="pct"/>
            <w:tcBorders>
              <w:top w:val="nil"/>
              <w:left w:val="nil"/>
              <w:bottom w:val="nil"/>
              <w:right w:val="nil"/>
            </w:tcBorders>
            <w:shd w:val="clear" w:color="auto" w:fill="auto"/>
            <w:vAlign w:val="bottom"/>
          </w:tcPr>
          <w:p w:rsidR="0018024C" w:rsidRDefault="0018024C" w:rsidP="0018024C">
            <w:pPr>
              <w:rPr>
                <w:sz w:val="2"/>
              </w:rPr>
            </w:pPr>
          </w:p>
        </w:tc>
        <w:tc>
          <w:tcPr>
            <w:tcW w:w="356" w:type="pct"/>
            <w:tcBorders>
              <w:top w:val="nil"/>
              <w:left w:val="nil"/>
              <w:bottom w:val="nil"/>
              <w:right w:val="nil"/>
            </w:tcBorders>
            <w:shd w:val="clear" w:color="auto" w:fill="auto"/>
            <w:vAlign w:val="bottom"/>
          </w:tcPr>
          <w:p w:rsidR="0018024C" w:rsidRDefault="0018024C" w:rsidP="0018024C">
            <w:pPr>
              <w:rPr>
                <w:sz w:val="2"/>
              </w:rPr>
            </w:pPr>
          </w:p>
        </w:tc>
        <w:tc>
          <w:tcPr>
            <w:tcW w:w="172" w:type="pct"/>
            <w:tcBorders>
              <w:top w:val="nil"/>
              <w:left w:val="nil"/>
              <w:bottom w:val="nil"/>
              <w:right w:val="nil"/>
            </w:tcBorders>
            <w:shd w:val="clear" w:color="auto" w:fill="auto"/>
            <w:vAlign w:val="bottom"/>
          </w:tcPr>
          <w:p w:rsidR="0018024C" w:rsidRDefault="0018024C" w:rsidP="0018024C">
            <w:pPr>
              <w:rPr>
                <w:sz w:val="2"/>
              </w:rPr>
            </w:pPr>
          </w:p>
        </w:tc>
        <w:tc>
          <w:tcPr>
            <w:tcW w:w="106" w:type="pct"/>
            <w:tcBorders>
              <w:top w:val="nil"/>
              <w:left w:val="nil"/>
              <w:bottom w:val="nil"/>
              <w:right w:val="nil"/>
            </w:tcBorders>
            <w:shd w:val="clear" w:color="auto" w:fill="auto"/>
            <w:vAlign w:val="bottom"/>
          </w:tcPr>
          <w:p w:rsidR="0018024C" w:rsidRDefault="0018024C" w:rsidP="0018024C">
            <w:pPr>
              <w:rPr>
                <w:sz w:val="2"/>
              </w:rPr>
            </w:pPr>
          </w:p>
        </w:tc>
        <w:tc>
          <w:tcPr>
            <w:tcW w:w="350" w:type="pct"/>
            <w:tcBorders>
              <w:top w:val="nil"/>
              <w:left w:val="nil"/>
              <w:bottom w:val="nil"/>
              <w:right w:val="nil"/>
            </w:tcBorders>
            <w:shd w:val="clear" w:color="auto" w:fill="auto"/>
            <w:vAlign w:val="bottom"/>
          </w:tcPr>
          <w:p w:rsidR="0018024C" w:rsidRDefault="0018024C" w:rsidP="0018024C">
            <w:pPr>
              <w:rPr>
                <w:sz w:val="2"/>
              </w:rPr>
            </w:pPr>
          </w:p>
        </w:tc>
        <w:tc>
          <w:tcPr>
            <w:tcW w:w="172" w:type="pct"/>
            <w:tcBorders>
              <w:top w:val="nil"/>
              <w:left w:val="nil"/>
              <w:bottom w:val="nil"/>
              <w:right w:val="nil"/>
            </w:tcBorders>
            <w:shd w:val="clear" w:color="auto" w:fill="auto"/>
            <w:vAlign w:val="bottom"/>
          </w:tcPr>
          <w:p w:rsidR="0018024C" w:rsidRDefault="0018024C" w:rsidP="0018024C">
            <w:pPr>
              <w:rPr>
                <w:sz w:val="2"/>
              </w:rPr>
            </w:pPr>
          </w:p>
        </w:tc>
        <w:tc>
          <w:tcPr>
            <w:tcW w:w="106" w:type="pct"/>
            <w:tcBorders>
              <w:top w:val="nil"/>
              <w:left w:val="nil"/>
              <w:bottom w:val="nil"/>
              <w:right w:val="nil"/>
            </w:tcBorders>
            <w:shd w:val="clear" w:color="auto" w:fill="auto"/>
            <w:vAlign w:val="bottom"/>
          </w:tcPr>
          <w:p w:rsidR="0018024C" w:rsidRDefault="0018024C" w:rsidP="0018024C">
            <w:pPr>
              <w:rPr>
                <w:sz w:val="2"/>
              </w:rPr>
            </w:pPr>
          </w:p>
        </w:tc>
        <w:tc>
          <w:tcPr>
            <w:tcW w:w="350" w:type="pct"/>
            <w:tcBorders>
              <w:top w:val="nil"/>
              <w:left w:val="nil"/>
              <w:bottom w:val="nil"/>
              <w:right w:val="nil"/>
            </w:tcBorders>
            <w:shd w:val="clear" w:color="auto" w:fill="auto"/>
            <w:vAlign w:val="bottom"/>
          </w:tcPr>
          <w:p w:rsidR="0018024C" w:rsidRDefault="0018024C" w:rsidP="0018024C">
            <w:pPr>
              <w:rPr>
                <w:sz w:val="2"/>
              </w:rPr>
            </w:pPr>
          </w:p>
        </w:tc>
        <w:tc>
          <w:tcPr>
            <w:tcW w:w="172" w:type="pct"/>
            <w:tcBorders>
              <w:top w:val="nil"/>
              <w:left w:val="nil"/>
              <w:bottom w:val="nil"/>
              <w:right w:val="nil"/>
            </w:tcBorders>
            <w:shd w:val="clear" w:color="auto" w:fill="auto"/>
            <w:vAlign w:val="bottom"/>
          </w:tcPr>
          <w:p w:rsidR="0018024C" w:rsidRDefault="0018024C" w:rsidP="0018024C">
            <w:pPr>
              <w:rPr>
                <w:sz w:val="2"/>
              </w:rPr>
            </w:pPr>
          </w:p>
        </w:tc>
        <w:tc>
          <w:tcPr>
            <w:tcW w:w="106" w:type="pct"/>
            <w:tcBorders>
              <w:top w:val="nil"/>
              <w:left w:val="nil"/>
              <w:bottom w:val="nil"/>
              <w:right w:val="nil"/>
            </w:tcBorders>
            <w:shd w:val="clear" w:color="auto" w:fill="auto"/>
            <w:vAlign w:val="bottom"/>
          </w:tcPr>
          <w:p w:rsidR="0018024C" w:rsidRDefault="0018024C" w:rsidP="0018024C">
            <w:pPr>
              <w:rPr>
                <w:sz w:val="2"/>
              </w:rPr>
            </w:pPr>
          </w:p>
        </w:tc>
        <w:tc>
          <w:tcPr>
            <w:tcW w:w="350" w:type="pct"/>
            <w:tcBorders>
              <w:top w:val="nil"/>
              <w:left w:val="nil"/>
              <w:bottom w:val="nil"/>
              <w:right w:val="nil"/>
            </w:tcBorders>
            <w:shd w:val="clear" w:color="auto" w:fill="auto"/>
            <w:vAlign w:val="bottom"/>
          </w:tcPr>
          <w:p w:rsidR="0018024C" w:rsidRDefault="0018024C" w:rsidP="0018024C">
            <w:pPr>
              <w:rPr>
                <w:sz w:val="2"/>
              </w:rPr>
            </w:pPr>
          </w:p>
        </w:tc>
        <w:tc>
          <w:tcPr>
            <w:tcW w:w="172" w:type="pct"/>
            <w:tcBorders>
              <w:top w:val="nil"/>
              <w:left w:val="nil"/>
              <w:bottom w:val="nil"/>
              <w:right w:val="nil"/>
            </w:tcBorders>
            <w:shd w:val="clear" w:color="auto" w:fill="auto"/>
            <w:vAlign w:val="bottom"/>
          </w:tcPr>
          <w:p w:rsidR="0018024C" w:rsidRDefault="0018024C" w:rsidP="0018024C">
            <w:pPr>
              <w:rPr>
                <w:sz w:val="2"/>
              </w:rPr>
            </w:pPr>
          </w:p>
        </w:tc>
        <w:tc>
          <w:tcPr>
            <w:tcW w:w="106" w:type="pct"/>
            <w:tcBorders>
              <w:top w:val="nil"/>
              <w:left w:val="nil"/>
              <w:bottom w:val="nil"/>
              <w:right w:val="nil"/>
            </w:tcBorders>
            <w:shd w:val="clear" w:color="auto" w:fill="auto"/>
            <w:vAlign w:val="bottom"/>
          </w:tcPr>
          <w:p w:rsidR="0018024C" w:rsidRDefault="0018024C" w:rsidP="0018024C">
            <w:pPr>
              <w:rPr>
                <w:sz w:val="2"/>
              </w:rPr>
            </w:pPr>
          </w:p>
        </w:tc>
        <w:tc>
          <w:tcPr>
            <w:tcW w:w="348" w:type="pct"/>
            <w:tcBorders>
              <w:top w:val="nil"/>
              <w:left w:val="nil"/>
              <w:bottom w:val="nil"/>
              <w:right w:val="nil"/>
            </w:tcBorders>
            <w:shd w:val="clear" w:color="auto" w:fill="auto"/>
            <w:vAlign w:val="bottom"/>
          </w:tcPr>
          <w:p w:rsidR="0018024C" w:rsidRDefault="0018024C" w:rsidP="0018024C">
            <w:pPr>
              <w:rPr>
                <w:sz w:val="2"/>
              </w:rPr>
            </w:pPr>
          </w:p>
        </w:tc>
      </w:tr>
      <w:tr w:rsidR="0018024C" w:rsidTr="0018024C">
        <w:trPr>
          <w:trHeight w:hRule="exact" w:val="240"/>
        </w:trPr>
        <w:tc>
          <w:tcPr>
            <w:tcW w:w="1850"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67"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1" w:type="pct"/>
            <w:gridSpan w:val="14"/>
            <w:tcBorders>
              <w:top w:val="nil"/>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Year Ended December 31,</w:t>
            </w:r>
          </w:p>
        </w:tc>
      </w:tr>
      <w:tr w:rsidR="0018024C" w:rsidTr="0018024C">
        <w:trPr>
          <w:trHeight w:hRule="exact" w:val="240"/>
        </w:trPr>
        <w:tc>
          <w:tcPr>
            <w:tcW w:w="1850"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67"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2019</w:t>
            </w:r>
          </w:p>
        </w:tc>
        <w:tc>
          <w:tcPr>
            <w:tcW w:w="172" w:type="pct"/>
            <w:tcBorders>
              <w:top w:val="single" w:sz="0" w:space="0" w:color="000000"/>
              <w:left w:val="nil"/>
              <w:bottom w:val="nil"/>
              <w:right w:val="nil"/>
              <w:tl2br w:val="nil"/>
              <w:tr2bl w:val="nil"/>
            </w:tcBorders>
            <w:shd w:val="clear" w:color="auto" w:fill="auto"/>
            <w:vAlign w:val="bottom"/>
          </w:tcPr>
          <w:p w:rsidR="0018024C" w:rsidRDefault="0018024C" w:rsidP="0018024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2018</w:t>
            </w:r>
          </w:p>
        </w:tc>
        <w:tc>
          <w:tcPr>
            <w:tcW w:w="172" w:type="pct"/>
            <w:tcBorders>
              <w:top w:val="single" w:sz="0" w:space="0" w:color="000000"/>
              <w:left w:val="nil"/>
              <w:bottom w:val="nil"/>
              <w:right w:val="nil"/>
              <w:tl2br w:val="nil"/>
              <w:tr2bl w:val="nil"/>
            </w:tcBorders>
            <w:shd w:val="clear" w:color="auto" w:fill="auto"/>
            <w:vAlign w:val="bottom"/>
          </w:tcPr>
          <w:p w:rsidR="0018024C" w:rsidRDefault="0018024C" w:rsidP="0018024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2017</w:t>
            </w:r>
          </w:p>
        </w:tc>
        <w:tc>
          <w:tcPr>
            <w:tcW w:w="172" w:type="pct"/>
            <w:tcBorders>
              <w:top w:val="single" w:sz="0" w:space="0" w:color="000000"/>
              <w:left w:val="nil"/>
              <w:bottom w:val="nil"/>
              <w:right w:val="nil"/>
              <w:tl2br w:val="nil"/>
              <w:tr2bl w:val="nil"/>
            </w:tcBorders>
            <w:shd w:val="clear" w:color="auto" w:fill="auto"/>
            <w:vAlign w:val="bottom"/>
          </w:tcPr>
          <w:p w:rsidR="0018024C" w:rsidRDefault="0018024C" w:rsidP="0018024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2016</w:t>
            </w:r>
          </w:p>
        </w:tc>
        <w:tc>
          <w:tcPr>
            <w:tcW w:w="172" w:type="pct"/>
            <w:tcBorders>
              <w:top w:val="single" w:sz="0" w:space="0" w:color="000000"/>
              <w:left w:val="nil"/>
              <w:bottom w:val="nil"/>
              <w:right w:val="nil"/>
              <w:tl2br w:val="nil"/>
              <w:tr2bl w:val="nil"/>
            </w:tcBorders>
            <w:shd w:val="clear" w:color="auto" w:fill="auto"/>
            <w:vAlign w:val="bottom"/>
          </w:tcPr>
          <w:p w:rsidR="0018024C" w:rsidRDefault="0018024C" w:rsidP="0018024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2015</w:t>
            </w: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rPr>
                <w:b/>
                <w:sz w:val="20"/>
              </w:rPr>
            </w:pPr>
            <w:r>
              <w:rPr>
                <w:b/>
                <w:sz w:val="20"/>
              </w:rPr>
              <w:t>Balance Sheet Data:</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b/>
                <w:sz w:val="20"/>
              </w:rPr>
            </w:pPr>
          </w:p>
        </w:tc>
        <w:tc>
          <w:tcPr>
            <w:tcW w:w="35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48"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r>
      <w:tr w:rsidR="0018024C" w:rsidTr="0018024C">
        <w:trPr>
          <w:trHeight w:hRule="exact" w:val="240"/>
        </w:trPr>
        <w:tc>
          <w:tcPr>
            <w:tcW w:w="1850" w:type="pct"/>
            <w:tcBorders>
              <w:top w:val="nil"/>
              <w:left w:val="nil"/>
              <w:bottom w:val="nil"/>
              <w:right w:val="nil"/>
              <w:tl2br w:val="nil"/>
              <w:tr2bl w:val="nil"/>
            </w:tcBorders>
            <w:vAlign w:val="bottom"/>
          </w:tcPr>
          <w:p w:rsidR="0018024C" w:rsidRDefault="0018024C" w:rsidP="0018024C">
            <w:pPr>
              <w:rPr>
                <w:sz w:val="20"/>
              </w:rPr>
            </w:pPr>
            <w:r>
              <w:rPr>
                <w:sz w:val="20"/>
              </w:rPr>
              <w:t>Cash</w:t>
            </w:r>
          </w:p>
        </w:tc>
        <w:tc>
          <w:tcPr>
            <w:tcW w:w="67"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b/>
                <w:sz w:val="20"/>
              </w:rPr>
            </w:pPr>
            <w:r>
              <w:rPr>
                <w:b/>
                <w:sz w:val="20"/>
              </w:rPr>
              <w:t>$</w:t>
            </w:r>
          </w:p>
        </w:tc>
        <w:tc>
          <w:tcPr>
            <w:tcW w:w="356" w:type="pct"/>
            <w:tcBorders>
              <w:top w:val="nil"/>
              <w:left w:val="nil"/>
              <w:bottom w:val="nil"/>
              <w:right w:val="nil"/>
              <w:tl2br w:val="nil"/>
              <w:tr2bl w:val="nil"/>
            </w:tcBorders>
            <w:vAlign w:val="bottom"/>
          </w:tcPr>
          <w:p w:rsidR="0018024C" w:rsidRDefault="0018024C" w:rsidP="0018024C">
            <w:pPr>
              <w:ind w:right="63"/>
              <w:jc w:val="right"/>
              <w:rPr>
                <w:b/>
                <w:sz w:val="20"/>
              </w:rPr>
            </w:pPr>
            <w:r>
              <w:rPr>
                <w:b/>
                <w:sz w:val="20"/>
              </w:rPr>
              <w:t xml:space="preserve"> 32</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r>
              <w:rPr>
                <w:sz w:val="20"/>
              </w:rPr>
              <w:t>$</w:t>
            </w: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43</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r>
              <w:rPr>
                <w:sz w:val="20"/>
              </w:rPr>
              <w:t>$</w:t>
            </w: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48</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r>
              <w:rPr>
                <w:sz w:val="20"/>
              </w:rPr>
              <w:t>$</w:t>
            </w: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109</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r>
              <w:rPr>
                <w:sz w:val="20"/>
              </w:rPr>
              <w:t>$</w:t>
            </w:r>
          </w:p>
        </w:tc>
        <w:tc>
          <w:tcPr>
            <w:tcW w:w="348"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69</w:t>
            </w: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Working capital (1)</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b/>
                <w:sz w:val="20"/>
              </w:rPr>
            </w:pPr>
          </w:p>
        </w:tc>
        <w:tc>
          <w:tcPr>
            <w:tcW w:w="356" w:type="pct"/>
            <w:tcBorders>
              <w:top w:val="nil"/>
              <w:left w:val="nil"/>
              <w:bottom w:val="nil"/>
              <w:right w:val="nil"/>
              <w:tl2br w:val="nil"/>
              <w:tr2bl w:val="nil"/>
            </w:tcBorders>
            <w:shd w:val="clear" w:color="auto" w:fill="CCEEFF"/>
            <w:vAlign w:val="bottom"/>
          </w:tcPr>
          <w:p w:rsidR="0018024C" w:rsidRDefault="0018024C" w:rsidP="0018024C">
            <w:pPr>
              <w:ind w:right="63"/>
              <w:jc w:val="right"/>
              <w:rPr>
                <w:b/>
                <w:sz w:val="20"/>
              </w:rPr>
            </w:pPr>
            <w:r>
              <w:rPr>
                <w:b/>
                <w:sz w:val="20"/>
              </w:rPr>
              <w:t xml:space="preserve"> 732</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896</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756</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684</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48"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960</w:t>
            </w:r>
          </w:p>
        </w:tc>
      </w:tr>
      <w:tr w:rsidR="0018024C" w:rsidTr="0018024C">
        <w:trPr>
          <w:trHeight w:hRule="exact" w:val="240"/>
        </w:trPr>
        <w:tc>
          <w:tcPr>
            <w:tcW w:w="1850" w:type="pct"/>
            <w:tcBorders>
              <w:top w:val="nil"/>
              <w:left w:val="nil"/>
              <w:bottom w:val="nil"/>
              <w:right w:val="nil"/>
              <w:tl2br w:val="nil"/>
              <w:tr2bl w:val="nil"/>
            </w:tcBorders>
            <w:vAlign w:val="bottom"/>
          </w:tcPr>
          <w:p w:rsidR="0018024C" w:rsidRDefault="0018024C" w:rsidP="0018024C">
            <w:pPr>
              <w:rPr>
                <w:sz w:val="20"/>
              </w:rPr>
            </w:pPr>
            <w:r>
              <w:rPr>
                <w:sz w:val="20"/>
              </w:rPr>
              <w:t>Total assets</w:t>
            </w:r>
          </w:p>
        </w:tc>
        <w:tc>
          <w:tcPr>
            <w:tcW w:w="67"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b/>
                <w:sz w:val="20"/>
              </w:rPr>
            </w:pPr>
          </w:p>
        </w:tc>
        <w:tc>
          <w:tcPr>
            <w:tcW w:w="356" w:type="pct"/>
            <w:tcBorders>
              <w:top w:val="nil"/>
              <w:left w:val="nil"/>
              <w:bottom w:val="nil"/>
              <w:right w:val="nil"/>
              <w:tl2br w:val="nil"/>
              <w:tr2bl w:val="nil"/>
            </w:tcBorders>
            <w:vAlign w:val="bottom"/>
          </w:tcPr>
          <w:p w:rsidR="0018024C" w:rsidRDefault="0018024C" w:rsidP="0018024C">
            <w:pPr>
              <w:ind w:right="63"/>
              <w:jc w:val="right"/>
              <w:rPr>
                <w:b/>
                <w:sz w:val="20"/>
              </w:rPr>
            </w:pPr>
            <w:r>
              <w:rPr>
                <w:b/>
                <w:sz w:val="20"/>
              </w:rPr>
              <w:t xml:space="preserve"> 2,325</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2,434</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2,340</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2,164</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48"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2,497</w:t>
            </w: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Long-term debt (2)</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b/>
                <w:sz w:val="20"/>
              </w:rPr>
            </w:pPr>
          </w:p>
        </w:tc>
        <w:tc>
          <w:tcPr>
            <w:tcW w:w="356" w:type="pct"/>
            <w:tcBorders>
              <w:top w:val="nil"/>
              <w:left w:val="nil"/>
              <w:bottom w:val="nil"/>
              <w:right w:val="nil"/>
              <w:tl2br w:val="nil"/>
              <w:tr2bl w:val="nil"/>
            </w:tcBorders>
            <w:shd w:val="clear" w:color="auto" w:fill="CCEEFF"/>
            <w:vAlign w:val="bottom"/>
          </w:tcPr>
          <w:p w:rsidR="0018024C" w:rsidRDefault="0018024C" w:rsidP="0018024C">
            <w:pPr>
              <w:ind w:right="63"/>
              <w:jc w:val="right"/>
              <w:rPr>
                <w:b/>
                <w:sz w:val="20"/>
              </w:rPr>
            </w:pPr>
            <w:r>
              <w:rPr>
                <w:b/>
                <w:sz w:val="20"/>
              </w:rPr>
              <w:t xml:space="preserve"> 551</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684</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526</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414</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48"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519</w:t>
            </w:r>
          </w:p>
        </w:tc>
      </w:tr>
      <w:tr w:rsidR="0018024C" w:rsidTr="0018024C">
        <w:trPr>
          <w:trHeight w:hRule="exact" w:val="240"/>
        </w:trPr>
        <w:tc>
          <w:tcPr>
            <w:tcW w:w="1850" w:type="pct"/>
            <w:tcBorders>
              <w:top w:val="nil"/>
              <w:left w:val="nil"/>
              <w:bottom w:val="nil"/>
              <w:right w:val="nil"/>
              <w:tl2br w:val="nil"/>
              <w:tr2bl w:val="nil"/>
            </w:tcBorders>
            <w:vAlign w:val="bottom"/>
          </w:tcPr>
          <w:p w:rsidR="0018024C" w:rsidRDefault="0018024C" w:rsidP="0018024C">
            <w:pPr>
              <w:rPr>
                <w:sz w:val="20"/>
              </w:rPr>
            </w:pPr>
            <w:r>
              <w:rPr>
                <w:sz w:val="20"/>
              </w:rPr>
              <w:t>Redeemable preferred stock</w:t>
            </w:r>
          </w:p>
        </w:tc>
        <w:tc>
          <w:tcPr>
            <w:tcW w:w="67"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b/>
                <w:sz w:val="20"/>
              </w:rPr>
            </w:pPr>
          </w:p>
        </w:tc>
        <w:tc>
          <w:tcPr>
            <w:tcW w:w="356" w:type="pct"/>
            <w:tcBorders>
              <w:top w:val="nil"/>
              <w:left w:val="nil"/>
              <w:bottom w:val="nil"/>
              <w:right w:val="nil"/>
              <w:tl2br w:val="nil"/>
              <w:tr2bl w:val="nil"/>
            </w:tcBorders>
            <w:vAlign w:val="bottom"/>
          </w:tcPr>
          <w:p w:rsidR="0018024C" w:rsidRDefault="0018024C" w:rsidP="0018024C">
            <w:pPr>
              <w:ind w:right="63"/>
              <w:jc w:val="right"/>
              <w:rPr>
                <w:b/>
                <w:sz w:val="20"/>
              </w:rPr>
            </w:pPr>
            <w:r>
              <w:rPr>
                <w:b/>
                <w:sz w:val="20"/>
              </w:rPr>
              <w:t xml:space="preserve"> 355</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355</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355</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355</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48"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355</w:t>
            </w: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Stockholders' equity</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b/>
                <w:sz w:val="20"/>
              </w:rPr>
            </w:pPr>
          </w:p>
        </w:tc>
        <w:tc>
          <w:tcPr>
            <w:tcW w:w="356" w:type="pct"/>
            <w:tcBorders>
              <w:top w:val="nil"/>
              <w:left w:val="nil"/>
              <w:bottom w:val="nil"/>
              <w:right w:val="nil"/>
              <w:tl2br w:val="nil"/>
              <w:tr2bl w:val="nil"/>
            </w:tcBorders>
            <w:shd w:val="clear" w:color="auto" w:fill="CCEEFF"/>
            <w:vAlign w:val="bottom"/>
          </w:tcPr>
          <w:p w:rsidR="0018024C" w:rsidRDefault="0018024C" w:rsidP="0018024C">
            <w:pPr>
              <w:ind w:right="63"/>
              <w:jc w:val="right"/>
              <w:rPr>
                <w:b/>
                <w:sz w:val="20"/>
              </w:rPr>
            </w:pPr>
            <w:r>
              <w:rPr>
                <w:b/>
                <w:sz w:val="20"/>
              </w:rPr>
              <w:t xml:space="preserve"> 642</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692</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759</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763</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48"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956</w:t>
            </w:r>
          </w:p>
        </w:tc>
      </w:tr>
    </w:tbl>
    <w:p w:rsidR="000121CD" w:rsidRDefault="000121CD"/>
    <w:p w:rsidR="000121CD" w:rsidRDefault="000121CD">
      <w:pPr>
        <w:rPr>
          <w:sz w:val="2"/>
        </w:rPr>
      </w:pPr>
    </w:p>
    <w:tbl>
      <w:tblPr>
        <w:tblW w:w="5000" w:type="pct"/>
        <w:tblCellMar>
          <w:left w:w="0" w:type="dxa"/>
          <w:right w:w="0" w:type="dxa"/>
        </w:tblCellMar>
        <w:tblLook w:val="04A0" w:firstRow="1" w:lastRow="0" w:firstColumn="1" w:lastColumn="0" w:noHBand="0" w:noVBand="1"/>
      </w:tblPr>
      <w:tblGrid>
        <w:gridCol w:w="3995"/>
        <w:gridCol w:w="144"/>
        <w:gridCol w:w="239"/>
        <w:gridCol w:w="229"/>
        <w:gridCol w:w="769"/>
        <w:gridCol w:w="372"/>
        <w:gridCol w:w="229"/>
        <w:gridCol w:w="756"/>
        <w:gridCol w:w="372"/>
        <w:gridCol w:w="229"/>
        <w:gridCol w:w="756"/>
        <w:gridCol w:w="372"/>
        <w:gridCol w:w="229"/>
        <w:gridCol w:w="756"/>
        <w:gridCol w:w="372"/>
        <w:gridCol w:w="229"/>
        <w:gridCol w:w="752"/>
      </w:tblGrid>
      <w:tr w:rsidR="0018024C" w:rsidTr="0018024C">
        <w:trPr>
          <w:trHeight w:hRule="exact" w:val="20"/>
        </w:trPr>
        <w:tc>
          <w:tcPr>
            <w:tcW w:w="1850" w:type="pct"/>
            <w:tcBorders>
              <w:top w:val="nil"/>
              <w:left w:val="nil"/>
              <w:bottom w:val="nil"/>
              <w:right w:val="nil"/>
            </w:tcBorders>
            <w:shd w:val="clear" w:color="auto" w:fill="auto"/>
            <w:vAlign w:val="bottom"/>
          </w:tcPr>
          <w:p w:rsidR="0018024C" w:rsidRDefault="0018024C" w:rsidP="0018024C">
            <w:pPr>
              <w:rPr>
                <w:sz w:val="2"/>
              </w:rPr>
            </w:pPr>
          </w:p>
        </w:tc>
        <w:tc>
          <w:tcPr>
            <w:tcW w:w="67" w:type="pct"/>
            <w:tcBorders>
              <w:top w:val="nil"/>
              <w:left w:val="nil"/>
              <w:bottom w:val="nil"/>
              <w:right w:val="nil"/>
            </w:tcBorders>
            <w:shd w:val="clear" w:color="auto" w:fill="auto"/>
            <w:vAlign w:val="bottom"/>
          </w:tcPr>
          <w:p w:rsidR="0018024C" w:rsidRDefault="0018024C" w:rsidP="0018024C">
            <w:pPr>
              <w:rPr>
                <w:sz w:val="2"/>
              </w:rPr>
            </w:pPr>
          </w:p>
        </w:tc>
        <w:tc>
          <w:tcPr>
            <w:tcW w:w="111" w:type="pct"/>
            <w:tcBorders>
              <w:top w:val="nil"/>
              <w:left w:val="nil"/>
              <w:bottom w:val="nil"/>
              <w:right w:val="nil"/>
            </w:tcBorders>
            <w:shd w:val="clear" w:color="auto" w:fill="auto"/>
            <w:vAlign w:val="bottom"/>
          </w:tcPr>
          <w:p w:rsidR="0018024C" w:rsidRDefault="0018024C" w:rsidP="0018024C">
            <w:pPr>
              <w:rPr>
                <w:sz w:val="2"/>
              </w:rPr>
            </w:pPr>
          </w:p>
        </w:tc>
        <w:tc>
          <w:tcPr>
            <w:tcW w:w="106" w:type="pct"/>
            <w:tcBorders>
              <w:top w:val="nil"/>
              <w:left w:val="nil"/>
              <w:bottom w:val="nil"/>
              <w:right w:val="nil"/>
            </w:tcBorders>
            <w:shd w:val="clear" w:color="auto" w:fill="auto"/>
            <w:vAlign w:val="bottom"/>
          </w:tcPr>
          <w:p w:rsidR="0018024C" w:rsidRDefault="0018024C" w:rsidP="0018024C">
            <w:pPr>
              <w:rPr>
                <w:sz w:val="2"/>
              </w:rPr>
            </w:pPr>
          </w:p>
        </w:tc>
        <w:tc>
          <w:tcPr>
            <w:tcW w:w="356" w:type="pct"/>
            <w:tcBorders>
              <w:top w:val="nil"/>
              <w:left w:val="nil"/>
              <w:bottom w:val="nil"/>
              <w:right w:val="nil"/>
            </w:tcBorders>
            <w:shd w:val="clear" w:color="auto" w:fill="auto"/>
            <w:vAlign w:val="bottom"/>
          </w:tcPr>
          <w:p w:rsidR="0018024C" w:rsidRDefault="0018024C" w:rsidP="0018024C">
            <w:pPr>
              <w:rPr>
                <w:sz w:val="2"/>
              </w:rPr>
            </w:pPr>
          </w:p>
        </w:tc>
        <w:tc>
          <w:tcPr>
            <w:tcW w:w="172" w:type="pct"/>
            <w:tcBorders>
              <w:top w:val="nil"/>
              <w:left w:val="nil"/>
              <w:bottom w:val="nil"/>
              <w:right w:val="nil"/>
            </w:tcBorders>
            <w:shd w:val="clear" w:color="auto" w:fill="auto"/>
            <w:vAlign w:val="bottom"/>
          </w:tcPr>
          <w:p w:rsidR="0018024C" w:rsidRDefault="0018024C" w:rsidP="0018024C">
            <w:pPr>
              <w:rPr>
                <w:sz w:val="2"/>
              </w:rPr>
            </w:pPr>
          </w:p>
        </w:tc>
        <w:tc>
          <w:tcPr>
            <w:tcW w:w="106" w:type="pct"/>
            <w:tcBorders>
              <w:top w:val="nil"/>
              <w:left w:val="nil"/>
              <w:bottom w:val="nil"/>
              <w:right w:val="nil"/>
            </w:tcBorders>
            <w:shd w:val="clear" w:color="auto" w:fill="auto"/>
            <w:vAlign w:val="bottom"/>
          </w:tcPr>
          <w:p w:rsidR="0018024C" w:rsidRDefault="0018024C" w:rsidP="0018024C">
            <w:pPr>
              <w:rPr>
                <w:sz w:val="2"/>
              </w:rPr>
            </w:pPr>
          </w:p>
        </w:tc>
        <w:tc>
          <w:tcPr>
            <w:tcW w:w="350" w:type="pct"/>
            <w:tcBorders>
              <w:top w:val="nil"/>
              <w:left w:val="nil"/>
              <w:bottom w:val="nil"/>
              <w:right w:val="nil"/>
            </w:tcBorders>
            <w:shd w:val="clear" w:color="auto" w:fill="auto"/>
            <w:vAlign w:val="bottom"/>
          </w:tcPr>
          <w:p w:rsidR="0018024C" w:rsidRDefault="0018024C" w:rsidP="0018024C">
            <w:pPr>
              <w:rPr>
                <w:sz w:val="2"/>
              </w:rPr>
            </w:pPr>
          </w:p>
        </w:tc>
        <w:tc>
          <w:tcPr>
            <w:tcW w:w="172" w:type="pct"/>
            <w:tcBorders>
              <w:top w:val="nil"/>
              <w:left w:val="nil"/>
              <w:bottom w:val="nil"/>
              <w:right w:val="nil"/>
            </w:tcBorders>
            <w:shd w:val="clear" w:color="auto" w:fill="auto"/>
            <w:vAlign w:val="bottom"/>
          </w:tcPr>
          <w:p w:rsidR="0018024C" w:rsidRDefault="0018024C" w:rsidP="0018024C">
            <w:pPr>
              <w:rPr>
                <w:sz w:val="2"/>
              </w:rPr>
            </w:pPr>
          </w:p>
        </w:tc>
        <w:tc>
          <w:tcPr>
            <w:tcW w:w="106" w:type="pct"/>
            <w:tcBorders>
              <w:top w:val="nil"/>
              <w:left w:val="nil"/>
              <w:bottom w:val="nil"/>
              <w:right w:val="nil"/>
            </w:tcBorders>
            <w:shd w:val="clear" w:color="auto" w:fill="auto"/>
            <w:vAlign w:val="bottom"/>
          </w:tcPr>
          <w:p w:rsidR="0018024C" w:rsidRDefault="0018024C" w:rsidP="0018024C">
            <w:pPr>
              <w:rPr>
                <w:sz w:val="2"/>
              </w:rPr>
            </w:pPr>
          </w:p>
        </w:tc>
        <w:tc>
          <w:tcPr>
            <w:tcW w:w="350" w:type="pct"/>
            <w:tcBorders>
              <w:top w:val="nil"/>
              <w:left w:val="nil"/>
              <w:bottom w:val="nil"/>
              <w:right w:val="nil"/>
            </w:tcBorders>
            <w:shd w:val="clear" w:color="auto" w:fill="auto"/>
            <w:vAlign w:val="bottom"/>
          </w:tcPr>
          <w:p w:rsidR="0018024C" w:rsidRDefault="0018024C" w:rsidP="0018024C">
            <w:pPr>
              <w:rPr>
                <w:sz w:val="2"/>
              </w:rPr>
            </w:pPr>
          </w:p>
        </w:tc>
        <w:tc>
          <w:tcPr>
            <w:tcW w:w="172" w:type="pct"/>
            <w:tcBorders>
              <w:top w:val="nil"/>
              <w:left w:val="nil"/>
              <w:bottom w:val="nil"/>
              <w:right w:val="nil"/>
            </w:tcBorders>
            <w:shd w:val="clear" w:color="auto" w:fill="auto"/>
            <w:vAlign w:val="bottom"/>
          </w:tcPr>
          <w:p w:rsidR="0018024C" w:rsidRDefault="0018024C" w:rsidP="0018024C">
            <w:pPr>
              <w:rPr>
                <w:sz w:val="2"/>
              </w:rPr>
            </w:pPr>
          </w:p>
        </w:tc>
        <w:tc>
          <w:tcPr>
            <w:tcW w:w="106" w:type="pct"/>
            <w:tcBorders>
              <w:top w:val="nil"/>
              <w:left w:val="nil"/>
              <w:bottom w:val="nil"/>
              <w:right w:val="nil"/>
            </w:tcBorders>
            <w:shd w:val="clear" w:color="auto" w:fill="auto"/>
            <w:vAlign w:val="bottom"/>
          </w:tcPr>
          <w:p w:rsidR="0018024C" w:rsidRDefault="0018024C" w:rsidP="0018024C">
            <w:pPr>
              <w:rPr>
                <w:sz w:val="2"/>
              </w:rPr>
            </w:pPr>
          </w:p>
        </w:tc>
        <w:tc>
          <w:tcPr>
            <w:tcW w:w="350" w:type="pct"/>
            <w:tcBorders>
              <w:top w:val="nil"/>
              <w:left w:val="nil"/>
              <w:bottom w:val="nil"/>
              <w:right w:val="nil"/>
            </w:tcBorders>
            <w:shd w:val="clear" w:color="auto" w:fill="auto"/>
            <w:vAlign w:val="bottom"/>
          </w:tcPr>
          <w:p w:rsidR="0018024C" w:rsidRDefault="0018024C" w:rsidP="0018024C">
            <w:pPr>
              <w:rPr>
                <w:sz w:val="2"/>
              </w:rPr>
            </w:pPr>
          </w:p>
        </w:tc>
        <w:tc>
          <w:tcPr>
            <w:tcW w:w="172" w:type="pct"/>
            <w:tcBorders>
              <w:top w:val="nil"/>
              <w:left w:val="nil"/>
              <w:bottom w:val="nil"/>
              <w:right w:val="nil"/>
            </w:tcBorders>
            <w:shd w:val="clear" w:color="auto" w:fill="auto"/>
            <w:vAlign w:val="bottom"/>
          </w:tcPr>
          <w:p w:rsidR="0018024C" w:rsidRDefault="0018024C" w:rsidP="0018024C">
            <w:pPr>
              <w:rPr>
                <w:sz w:val="2"/>
              </w:rPr>
            </w:pPr>
          </w:p>
        </w:tc>
        <w:tc>
          <w:tcPr>
            <w:tcW w:w="106" w:type="pct"/>
            <w:tcBorders>
              <w:top w:val="nil"/>
              <w:left w:val="nil"/>
              <w:bottom w:val="nil"/>
              <w:right w:val="nil"/>
            </w:tcBorders>
            <w:shd w:val="clear" w:color="auto" w:fill="auto"/>
            <w:vAlign w:val="bottom"/>
          </w:tcPr>
          <w:p w:rsidR="0018024C" w:rsidRDefault="0018024C" w:rsidP="0018024C">
            <w:pPr>
              <w:rPr>
                <w:sz w:val="2"/>
              </w:rPr>
            </w:pPr>
          </w:p>
        </w:tc>
        <w:tc>
          <w:tcPr>
            <w:tcW w:w="348" w:type="pct"/>
            <w:tcBorders>
              <w:top w:val="nil"/>
              <w:left w:val="nil"/>
              <w:bottom w:val="nil"/>
              <w:right w:val="nil"/>
            </w:tcBorders>
            <w:shd w:val="clear" w:color="auto" w:fill="auto"/>
            <w:vAlign w:val="bottom"/>
          </w:tcPr>
          <w:p w:rsidR="0018024C" w:rsidRDefault="0018024C" w:rsidP="0018024C">
            <w:pPr>
              <w:rPr>
                <w:sz w:val="2"/>
              </w:rPr>
            </w:pPr>
          </w:p>
        </w:tc>
      </w:tr>
      <w:tr w:rsidR="0018024C" w:rsidTr="0018024C">
        <w:trPr>
          <w:trHeight w:hRule="exact" w:val="240"/>
        </w:trPr>
        <w:tc>
          <w:tcPr>
            <w:tcW w:w="1850"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67"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1" w:type="pct"/>
            <w:gridSpan w:val="14"/>
            <w:tcBorders>
              <w:top w:val="nil"/>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Year Ended December 31,</w:t>
            </w:r>
          </w:p>
        </w:tc>
      </w:tr>
      <w:tr w:rsidR="0018024C" w:rsidTr="0018024C">
        <w:trPr>
          <w:trHeight w:hRule="exact" w:val="240"/>
        </w:trPr>
        <w:tc>
          <w:tcPr>
            <w:tcW w:w="1850"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67"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2019</w:t>
            </w:r>
          </w:p>
        </w:tc>
        <w:tc>
          <w:tcPr>
            <w:tcW w:w="172" w:type="pct"/>
            <w:tcBorders>
              <w:top w:val="single" w:sz="0" w:space="0" w:color="000000"/>
              <w:left w:val="nil"/>
              <w:bottom w:val="nil"/>
              <w:right w:val="nil"/>
              <w:tl2br w:val="nil"/>
              <w:tr2bl w:val="nil"/>
            </w:tcBorders>
            <w:shd w:val="clear" w:color="auto" w:fill="auto"/>
            <w:vAlign w:val="bottom"/>
          </w:tcPr>
          <w:p w:rsidR="0018024C" w:rsidRDefault="0018024C" w:rsidP="0018024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2018</w:t>
            </w:r>
          </w:p>
        </w:tc>
        <w:tc>
          <w:tcPr>
            <w:tcW w:w="172" w:type="pct"/>
            <w:tcBorders>
              <w:top w:val="single" w:sz="0" w:space="0" w:color="000000"/>
              <w:left w:val="nil"/>
              <w:bottom w:val="nil"/>
              <w:right w:val="nil"/>
              <w:tl2br w:val="nil"/>
              <w:tr2bl w:val="nil"/>
            </w:tcBorders>
            <w:shd w:val="clear" w:color="auto" w:fill="auto"/>
            <w:vAlign w:val="bottom"/>
          </w:tcPr>
          <w:p w:rsidR="0018024C" w:rsidRDefault="0018024C" w:rsidP="0018024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2017</w:t>
            </w:r>
          </w:p>
        </w:tc>
        <w:tc>
          <w:tcPr>
            <w:tcW w:w="172" w:type="pct"/>
            <w:tcBorders>
              <w:top w:val="single" w:sz="0" w:space="0" w:color="000000"/>
              <w:left w:val="nil"/>
              <w:bottom w:val="nil"/>
              <w:right w:val="nil"/>
              <w:tl2br w:val="nil"/>
              <w:tr2bl w:val="nil"/>
            </w:tcBorders>
            <w:shd w:val="clear" w:color="auto" w:fill="auto"/>
            <w:vAlign w:val="bottom"/>
          </w:tcPr>
          <w:p w:rsidR="0018024C" w:rsidRDefault="0018024C" w:rsidP="0018024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2016</w:t>
            </w:r>
          </w:p>
        </w:tc>
        <w:tc>
          <w:tcPr>
            <w:tcW w:w="172" w:type="pct"/>
            <w:tcBorders>
              <w:top w:val="single" w:sz="0" w:space="0" w:color="000000"/>
              <w:left w:val="nil"/>
              <w:bottom w:val="nil"/>
              <w:right w:val="nil"/>
              <w:tl2br w:val="nil"/>
              <w:tr2bl w:val="nil"/>
            </w:tcBorders>
            <w:shd w:val="clear" w:color="auto" w:fill="auto"/>
            <w:vAlign w:val="bottom"/>
          </w:tcPr>
          <w:p w:rsidR="0018024C" w:rsidRDefault="0018024C" w:rsidP="0018024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2015</w:t>
            </w: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rPr>
                <w:b/>
                <w:sz w:val="20"/>
              </w:rPr>
            </w:pPr>
            <w:r>
              <w:rPr>
                <w:b/>
                <w:sz w:val="20"/>
              </w:rPr>
              <w:t>Other Financial Data:</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b/>
                <w:sz w:val="20"/>
              </w:rPr>
            </w:pPr>
          </w:p>
        </w:tc>
        <w:tc>
          <w:tcPr>
            <w:tcW w:w="35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348"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r>
      <w:tr w:rsidR="0018024C" w:rsidTr="0018024C">
        <w:trPr>
          <w:trHeight w:hRule="exact" w:val="240"/>
        </w:trPr>
        <w:tc>
          <w:tcPr>
            <w:tcW w:w="1850" w:type="pct"/>
            <w:tcBorders>
              <w:top w:val="nil"/>
              <w:left w:val="nil"/>
              <w:bottom w:val="nil"/>
              <w:right w:val="nil"/>
              <w:tl2br w:val="nil"/>
              <w:tr2bl w:val="nil"/>
            </w:tcBorders>
            <w:vAlign w:val="bottom"/>
          </w:tcPr>
          <w:p w:rsidR="0018024C" w:rsidRDefault="0018024C" w:rsidP="0018024C">
            <w:pPr>
              <w:rPr>
                <w:sz w:val="20"/>
              </w:rPr>
            </w:pPr>
            <w:r>
              <w:rPr>
                <w:sz w:val="20"/>
              </w:rPr>
              <w:t>Net cash flow:</w:t>
            </w:r>
          </w:p>
        </w:tc>
        <w:tc>
          <w:tcPr>
            <w:tcW w:w="67"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b/>
                <w:sz w:val="20"/>
              </w:rPr>
            </w:pPr>
          </w:p>
        </w:tc>
        <w:tc>
          <w:tcPr>
            <w:tcW w:w="356" w:type="pct"/>
            <w:tcBorders>
              <w:top w:val="nil"/>
              <w:left w:val="nil"/>
              <w:bottom w:val="nil"/>
              <w:right w:val="nil"/>
              <w:tl2br w:val="nil"/>
              <w:tr2bl w:val="nil"/>
            </w:tcBorders>
            <w:vAlign w:val="bottom"/>
          </w:tcPr>
          <w:p w:rsidR="0018024C" w:rsidRDefault="0018024C" w:rsidP="0018024C">
            <w:pPr>
              <w:rPr>
                <w:b/>
                <w:sz w:val="20"/>
              </w:rPr>
            </w:pP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rPr>
                <w:sz w:val="20"/>
              </w:rPr>
            </w:pP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rPr>
                <w:sz w:val="20"/>
              </w:rPr>
            </w:pP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rPr>
                <w:sz w:val="20"/>
              </w:rPr>
            </w:pP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48" w:type="pct"/>
            <w:tcBorders>
              <w:top w:val="nil"/>
              <w:left w:val="nil"/>
              <w:bottom w:val="nil"/>
              <w:right w:val="nil"/>
              <w:tl2br w:val="nil"/>
              <w:tr2bl w:val="nil"/>
            </w:tcBorders>
            <w:vAlign w:val="bottom"/>
          </w:tcPr>
          <w:p w:rsidR="0018024C" w:rsidRDefault="0018024C" w:rsidP="0018024C">
            <w:pPr>
              <w:rPr>
                <w:sz w:val="20"/>
              </w:rPr>
            </w:pP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ind w:left="360"/>
              <w:rPr>
                <w:sz w:val="20"/>
              </w:rPr>
            </w:pPr>
            <w:r>
              <w:rPr>
                <w:sz w:val="20"/>
              </w:rPr>
              <w:t>Operating activities</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b/>
                <w:sz w:val="20"/>
              </w:rPr>
            </w:pPr>
            <w:r>
              <w:rPr>
                <w:b/>
                <w:sz w:val="20"/>
              </w:rPr>
              <w:t>$</w:t>
            </w:r>
          </w:p>
        </w:tc>
        <w:tc>
          <w:tcPr>
            <w:tcW w:w="356" w:type="pct"/>
            <w:tcBorders>
              <w:top w:val="nil"/>
              <w:left w:val="nil"/>
              <w:bottom w:val="nil"/>
              <w:right w:val="nil"/>
              <w:tl2br w:val="nil"/>
              <w:tr2bl w:val="nil"/>
            </w:tcBorders>
            <w:shd w:val="clear" w:color="auto" w:fill="CCEEFF"/>
            <w:vAlign w:val="bottom"/>
          </w:tcPr>
          <w:p w:rsidR="0018024C" w:rsidRDefault="0018024C" w:rsidP="0018024C">
            <w:pPr>
              <w:ind w:right="63"/>
              <w:jc w:val="right"/>
              <w:rPr>
                <w:b/>
                <w:sz w:val="20"/>
              </w:rPr>
            </w:pPr>
            <w:r>
              <w:rPr>
                <w:b/>
                <w:sz w:val="20"/>
              </w:rPr>
              <w:t xml:space="preserve"> 242</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w:t>
            </w: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3"/>
              <w:jc w:val="right"/>
              <w:rPr>
                <w:sz w:val="20"/>
              </w:rPr>
            </w:pPr>
            <w:r>
              <w:rPr>
                <w:sz w:val="20"/>
              </w:rPr>
              <w:t xml:space="preserve"> (11)</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w:t>
            </w: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3"/>
              <w:jc w:val="right"/>
              <w:rPr>
                <w:sz w:val="20"/>
              </w:rPr>
            </w:pPr>
            <w:r>
              <w:rPr>
                <w:sz w:val="20"/>
              </w:rPr>
              <w:t xml:space="preserve"> (48)</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w:t>
            </w: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253</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w:t>
            </w:r>
          </w:p>
        </w:tc>
        <w:tc>
          <w:tcPr>
            <w:tcW w:w="348"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690</w:t>
            </w:r>
          </w:p>
        </w:tc>
      </w:tr>
      <w:tr w:rsidR="0018024C" w:rsidTr="0018024C">
        <w:trPr>
          <w:trHeight w:hRule="exact" w:val="240"/>
        </w:trPr>
        <w:tc>
          <w:tcPr>
            <w:tcW w:w="1850" w:type="pct"/>
            <w:tcBorders>
              <w:top w:val="nil"/>
              <w:left w:val="nil"/>
              <w:bottom w:val="nil"/>
              <w:right w:val="nil"/>
              <w:tl2br w:val="nil"/>
              <w:tr2bl w:val="nil"/>
            </w:tcBorders>
            <w:vAlign w:val="bottom"/>
          </w:tcPr>
          <w:p w:rsidR="0018024C" w:rsidRDefault="0018024C" w:rsidP="0018024C">
            <w:pPr>
              <w:ind w:left="360"/>
              <w:rPr>
                <w:sz w:val="20"/>
              </w:rPr>
            </w:pPr>
            <w:r>
              <w:rPr>
                <w:sz w:val="20"/>
              </w:rPr>
              <w:t>Investing activities</w:t>
            </w:r>
          </w:p>
        </w:tc>
        <w:tc>
          <w:tcPr>
            <w:tcW w:w="67"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b/>
                <w:sz w:val="20"/>
              </w:rPr>
            </w:pPr>
          </w:p>
        </w:tc>
        <w:tc>
          <w:tcPr>
            <w:tcW w:w="356" w:type="pct"/>
            <w:tcBorders>
              <w:top w:val="nil"/>
              <w:left w:val="nil"/>
              <w:bottom w:val="nil"/>
              <w:right w:val="nil"/>
              <w:tl2br w:val="nil"/>
              <w:tr2bl w:val="nil"/>
            </w:tcBorders>
            <w:vAlign w:val="bottom"/>
          </w:tcPr>
          <w:p w:rsidR="0018024C" w:rsidRDefault="0018024C" w:rsidP="0018024C">
            <w:pPr>
              <w:jc w:val="right"/>
              <w:rPr>
                <w:b/>
                <w:sz w:val="20"/>
              </w:rPr>
            </w:pPr>
            <w:r>
              <w:rPr>
                <w:b/>
                <w:sz w:val="20"/>
              </w:rPr>
              <w:t xml:space="preserve"> (16)</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ind w:right="3"/>
              <w:jc w:val="right"/>
              <w:rPr>
                <w:sz w:val="20"/>
              </w:rPr>
            </w:pPr>
            <w:r>
              <w:rPr>
                <w:sz w:val="20"/>
              </w:rPr>
              <w:t xml:space="preserve"> (14)</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ind w:right="3"/>
              <w:jc w:val="right"/>
              <w:rPr>
                <w:sz w:val="20"/>
              </w:rPr>
            </w:pPr>
            <w:r>
              <w:rPr>
                <w:sz w:val="20"/>
              </w:rPr>
              <w:t xml:space="preserve"> (27)</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16</w:t>
            </w: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48" w:type="pct"/>
            <w:tcBorders>
              <w:top w:val="nil"/>
              <w:left w:val="nil"/>
              <w:bottom w:val="nil"/>
              <w:right w:val="nil"/>
              <w:tl2br w:val="nil"/>
              <w:tr2bl w:val="nil"/>
            </w:tcBorders>
            <w:vAlign w:val="bottom"/>
          </w:tcPr>
          <w:p w:rsidR="0018024C" w:rsidRDefault="0018024C" w:rsidP="0018024C">
            <w:pPr>
              <w:ind w:right="3"/>
              <w:jc w:val="right"/>
              <w:rPr>
                <w:sz w:val="20"/>
              </w:rPr>
            </w:pPr>
            <w:r>
              <w:rPr>
                <w:sz w:val="20"/>
              </w:rPr>
              <w:t xml:space="preserve"> (41)</w:t>
            </w:r>
          </w:p>
        </w:tc>
      </w:tr>
      <w:tr w:rsidR="0018024C" w:rsidTr="0018024C">
        <w:trPr>
          <w:trHeight w:hRule="exact" w:val="240"/>
        </w:trPr>
        <w:tc>
          <w:tcPr>
            <w:tcW w:w="1850" w:type="pct"/>
            <w:tcBorders>
              <w:top w:val="nil"/>
              <w:left w:val="nil"/>
              <w:bottom w:val="nil"/>
              <w:right w:val="nil"/>
              <w:tl2br w:val="nil"/>
              <w:tr2bl w:val="nil"/>
            </w:tcBorders>
            <w:shd w:val="clear" w:color="auto" w:fill="CCEEFF"/>
            <w:vAlign w:val="bottom"/>
          </w:tcPr>
          <w:p w:rsidR="0018024C" w:rsidRDefault="0018024C" w:rsidP="0018024C">
            <w:pPr>
              <w:ind w:left="360"/>
              <w:rPr>
                <w:sz w:val="20"/>
              </w:rPr>
            </w:pPr>
            <w:r>
              <w:rPr>
                <w:sz w:val="20"/>
              </w:rPr>
              <w:t>Financing activities</w:t>
            </w:r>
          </w:p>
        </w:tc>
        <w:tc>
          <w:tcPr>
            <w:tcW w:w="67"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b/>
                <w:sz w:val="20"/>
              </w:rPr>
            </w:pPr>
          </w:p>
        </w:tc>
        <w:tc>
          <w:tcPr>
            <w:tcW w:w="356" w:type="pct"/>
            <w:tcBorders>
              <w:top w:val="nil"/>
              <w:left w:val="nil"/>
              <w:bottom w:val="nil"/>
              <w:right w:val="nil"/>
              <w:tl2br w:val="nil"/>
              <w:tr2bl w:val="nil"/>
            </w:tcBorders>
            <w:shd w:val="clear" w:color="auto" w:fill="CCEEFF"/>
            <w:vAlign w:val="bottom"/>
          </w:tcPr>
          <w:p w:rsidR="0018024C" w:rsidRDefault="0018024C" w:rsidP="0018024C">
            <w:pPr>
              <w:jc w:val="right"/>
              <w:rPr>
                <w:b/>
                <w:sz w:val="20"/>
              </w:rPr>
            </w:pPr>
            <w:r>
              <w:rPr>
                <w:b/>
                <w:sz w:val="20"/>
              </w:rPr>
              <w:t xml:space="preserve"> (238)</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24</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9</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50" w:type="pct"/>
            <w:tcBorders>
              <w:top w:val="nil"/>
              <w:left w:val="nil"/>
              <w:bottom w:val="nil"/>
              <w:right w:val="nil"/>
              <w:tl2br w:val="nil"/>
              <w:tr2bl w:val="nil"/>
            </w:tcBorders>
            <w:shd w:val="clear" w:color="auto" w:fill="CCEEFF"/>
            <w:vAlign w:val="bottom"/>
          </w:tcPr>
          <w:p w:rsidR="0018024C" w:rsidRDefault="0018024C" w:rsidP="0018024C">
            <w:pPr>
              <w:ind w:right="3"/>
              <w:jc w:val="right"/>
              <w:rPr>
                <w:sz w:val="20"/>
              </w:rPr>
            </w:pPr>
            <w:r>
              <w:rPr>
                <w:sz w:val="20"/>
              </w:rPr>
              <w:t xml:space="preserve"> (226)</w:t>
            </w:r>
          </w:p>
        </w:tc>
        <w:tc>
          <w:tcPr>
            <w:tcW w:w="172"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348" w:type="pct"/>
            <w:tcBorders>
              <w:top w:val="nil"/>
              <w:left w:val="nil"/>
              <w:bottom w:val="nil"/>
              <w:right w:val="nil"/>
              <w:tl2br w:val="nil"/>
              <w:tr2bl w:val="nil"/>
            </w:tcBorders>
            <w:shd w:val="clear" w:color="auto" w:fill="CCEEFF"/>
            <w:vAlign w:val="bottom"/>
          </w:tcPr>
          <w:p w:rsidR="0018024C" w:rsidRDefault="0018024C" w:rsidP="0018024C">
            <w:pPr>
              <w:ind w:right="3"/>
              <w:jc w:val="right"/>
              <w:rPr>
                <w:sz w:val="20"/>
              </w:rPr>
            </w:pPr>
            <w:r>
              <w:rPr>
                <w:sz w:val="20"/>
              </w:rPr>
              <w:t xml:space="preserve"> (599)</w:t>
            </w:r>
          </w:p>
        </w:tc>
      </w:tr>
      <w:tr w:rsidR="0018024C" w:rsidTr="0018024C">
        <w:trPr>
          <w:trHeight w:hRule="exact" w:val="150"/>
        </w:trPr>
        <w:tc>
          <w:tcPr>
            <w:tcW w:w="1850" w:type="pct"/>
            <w:tcBorders>
              <w:top w:val="nil"/>
              <w:left w:val="nil"/>
              <w:bottom w:val="nil"/>
              <w:right w:val="nil"/>
              <w:tl2br w:val="nil"/>
              <w:tr2bl w:val="nil"/>
            </w:tcBorders>
            <w:vAlign w:val="bottom"/>
          </w:tcPr>
          <w:p w:rsidR="0018024C" w:rsidRDefault="0018024C" w:rsidP="0018024C">
            <w:pPr>
              <w:rPr>
                <w:sz w:val="20"/>
              </w:rPr>
            </w:pPr>
          </w:p>
        </w:tc>
        <w:tc>
          <w:tcPr>
            <w:tcW w:w="67"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b/>
                <w:sz w:val="20"/>
              </w:rPr>
            </w:pPr>
          </w:p>
        </w:tc>
        <w:tc>
          <w:tcPr>
            <w:tcW w:w="356" w:type="pct"/>
            <w:tcBorders>
              <w:top w:val="nil"/>
              <w:left w:val="nil"/>
              <w:bottom w:val="nil"/>
              <w:right w:val="nil"/>
              <w:tl2br w:val="nil"/>
              <w:tr2bl w:val="nil"/>
            </w:tcBorders>
            <w:vAlign w:val="bottom"/>
          </w:tcPr>
          <w:p w:rsidR="0018024C" w:rsidRDefault="0018024C" w:rsidP="0018024C">
            <w:pPr>
              <w:rPr>
                <w:sz w:val="20"/>
              </w:rPr>
            </w:pP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rPr>
                <w:sz w:val="20"/>
              </w:rPr>
            </w:pP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rPr>
                <w:sz w:val="20"/>
              </w:rPr>
            </w:pP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50" w:type="pct"/>
            <w:tcBorders>
              <w:top w:val="nil"/>
              <w:left w:val="nil"/>
              <w:bottom w:val="nil"/>
              <w:right w:val="nil"/>
              <w:tl2br w:val="nil"/>
              <w:tr2bl w:val="nil"/>
            </w:tcBorders>
            <w:vAlign w:val="bottom"/>
          </w:tcPr>
          <w:p w:rsidR="0018024C" w:rsidRDefault="0018024C" w:rsidP="0018024C">
            <w:pPr>
              <w:rPr>
                <w:sz w:val="20"/>
              </w:rPr>
            </w:pPr>
          </w:p>
        </w:tc>
        <w:tc>
          <w:tcPr>
            <w:tcW w:w="172" w:type="pct"/>
            <w:tcBorders>
              <w:top w:val="nil"/>
              <w:left w:val="nil"/>
              <w:bottom w:val="nil"/>
              <w:right w:val="nil"/>
              <w:tl2br w:val="nil"/>
              <w:tr2bl w:val="nil"/>
            </w:tcBorders>
            <w:vAlign w:val="bottom"/>
          </w:tcPr>
          <w:p w:rsidR="0018024C" w:rsidRDefault="0018024C" w:rsidP="0018024C">
            <w:pPr>
              <w:rPr>
                <w:sz w:val="20"/>
              </w:rPr>
            </w:pPr>
          </w:p>
        </w:tc>
        <w:tc>
          <w:tcPr>
            <w:tcW w:w="106" w:type="pct"/>
            <w:tcBorders>
              <w:top w:val="nil"/>
              <w:left w:val="nil"/>
              <w:bottom w:val="nil"/>
              <w:right w:val="nil"/>
              <w:tl2br w:val="nil"/>
              <w:tr2bl w:val="nil"/>
            </w:tcBorders>
            <w:vAlign w:val="bottom"/>
          </w:tcPr>
          <w:p w:rsidR="0018024C" w:rsidRDefault="0018024C" w:rsidP="0018024C">
            <w:pPr>
              <w:rPr>
                <w:sz w:val="20"/>
              </w:rPr>
            </w:pPr>
          </w:p>
        </w:tc>
        <w:tc>
          <w:tcPr>
            <w:tcW w:w="348" w:type="pct"/>
            <w:tcBorders>
              <w:top w:val="nil"/>
              <w:left w:val="nil"/>
              <w:bottom w:val="nil"/>
              <w:right w:val="nil"/>
              <w:tl2br w:val="nil"/>
              <w:tr2bl w:val="nil"/>
            </w:tcBorders>
            <w:vAlign w:val="bottom"/>
          </w:tcPr>
          <w:p w:rsidR="0018024C" w:rsidRDefault="0018024C" w:rsidP="0018024C">
            <w:pPr>
              <w:rPr>
                <w:sz w:val="20"/>
              </w:rPr>
            </w:pPr>
          </w:p>
        </w:tc>
      </w:tr>
    </w:tbl>
    <w:p w:rsidR="000121CD" w:rsidRDefault="000121CD"/>
    <w:p w:rsidR="000121CD" w:rsidRDefault="00590862">
      <w:pPr>
        <w:pStyle w:val="NormalWeb"/>
        <w:spacing w:before="0" w:beforeAutospacing="0" w:after="0" w:afterAutospacing="0"/>
        <w:ind w:left="489" w:hanging="490"/>
        <w:rPr>
          <w:sz w:val="20"/>
          <w:szCs w:val="20"/>
        </w:rPr>
      </w:pPr>
      <w:r>
        <w:rPr>
          <w:sz w:val="20"/>
          <w:szCs w:val="20"/>
        </w:rPr>
        <w:t>(1)</w:t>
      </w:r>
      <w:r>
        <w:rPr>
          <w:sz w:val="20"/>
          <w:szCs w:val="20"/>
        </w:rPr>
        <w:tab/>
        <w:t xml:space="preserve">Working capital is defined as current assets less current liabilities. </w:t>
      </w:r>
    </w:p>
    <w:p w:rsidR="000121CD" w:rsidRDefault="00590862">
      <w:pPr>
        <w:pStyle w:val="NormalWeb"/>
        <w:spacing w:before="0" w:beforeAutospacing="0" w:after="0" w:afterAutospacing="0"/>
        <w:ind w:left="489" w:hanging="490"/>
        <w:rPr>
          <w:sz w:val="20"/>
          <w:szCs w:val="20"/>
        </w:rPr>
      </w:pPr>
      <w:r>
        <w:rPr>
          <w:sz w:val="20"/>
          <w:szCs w:val="20"/>
        </w:rPr>
        <w:t>(2)</w:t>
      </w:r>
      <w:r>
        <w:rPr>
          <w:sz w:val="20"/>
          <w:szCs w:val="20"/>
        </w:rPr>
        <w:tab/>
        <w:t xml:space="preserve">Includes current portion of long-term debt. </w:t>
      </w:r>
    </w:p>
    <w:p w:rsidR="000121CD" w:rsidRDefault="00590862">
      <w:pPr>
        <w:pStyle w:val="NormalWeb"/>
        <w:keepNext/>
        <w:pageBreakBefore/>
        <w:spacing w:before="0" w:beforeAutospacing="0" w:after="0" w:afterAutospacing="0"/>
        <w:ind w:left="1101" w:hanging="1102"/>
        <w:rPr>
          <w:sz w:val="20"/>
          <w:szCs w:val="20"/>
        </w:rPr>
      </w:pPr>
      <w:r>
        <w:rPr>
          <w:b/>
          <w:bCs/>
          <w:sz w:val="20"/>
          <w:szCs w:val="20"/>
        </w:rPr>
        <w:lastRenderedPageBreak/>
        <w:t xml:space="preserve">ITEM 7. </w:t>
      </w:r>
      <w:r>
        <w:rPr>
          <w:bCs/>
          <w:sz w:val="20"/>
          <w:szCs w:val="20"/>
        </w:rPr>
        <w:tab/>
      </w:r>
      <w:bookmarkStart w:id="11" w:name="MDA"/>
      <w:r>
        <w:rPr>
          <w:b/>
          <w:bCs/>
          <w:sz w:val="20"/>
          <w:szCs w:val="20"/>
        </w:rPr>
        <w:t>MANAGEMENT’S DISCUSSION AND ANALYSIS OF FINANCIAL CONDITION AND RESULTS OF OPERATIONS</w:t>
      </w:r>
      <w:bookmarkEnd w:id="11"/>
      <w:r>
        <w:rPr>
          <w:b/>
          <w:bCs/>
          <w:sz w:val="20"/>
          <w:szCs w:val="20"/>
        </w:rPr>
        <w:t xml:space="preserve"> </w:t>
      </w:r>
    </w:p>
    <w:p w:rsidR="000121CD" w:rsidRDefault="00590862">
      <w:pPr>
        <w:pStyle w:val="NormalWeb"/>
        <w:spacing w:before="90" w:beforeAutospacing="0" w:after="0" w:afterAutospacing="0"/>
        <w:rPr>
          <w:sz w:val="20"/>
          <w:szCs w:val="20"/>
        </w:rPr>
      </w:pPr>
      <w:r>
        <w:rPr>
          <w:i/>
          <w:iCs/>
          <w:sz w:val="20"/>
          <w:szCs w:val="20"/>
        </w:rPr>
        <w:t xml:space="preserve">You should read the following discussion and analysis of our financial condition and results of operations in conjunction with our financial statements and related notes included elsewhere in this report. This discussion and analysis contains forward-looking statements that involve risks, uncertainties and assumptions. Our actual results may differ materially from those anticipated in these forward-looking statements as a result of a number of factors, including, but not limited to, those set forth under “Cautionary Note Regarding Forward-Looking Statements” and “Item 1A—Risk Factors” and elsewhere in this report. </w:t>
      </w:r>
    </w:p>
    <w:p w:rsidR="000121CD" w:rsidRDefault="00590862">
      <w:pPr>
        <w:pStyle w:val="NormalWeb"/>
        <w:keepNext/>
        <w:spacing w:before="270" w:beforeAutospacing="0" w:after="0" w:afterAutospacing="0"/>
        <w:rPr>
          <w:sz w:val="20"/>
          <w:szCs w:val="20"/>
        </w:rPr>
      </w:pPr>
      <w:r>
        <w:rPr>
          <w:b/>
          <w:bCs/>
          <w:sz w:val="20"/>
          <w:szCs w:val="20"/>
        </w:rPr>
        <w:t xml:space="preserve">Cautionary Note Regarding Forward-Looking Statements </w:t>
      </w:r>
    </w:p>
    <w:p w:rsidR="00DA2A30" w:rsidRDefault="00DA2A30" w:rsidP="00DA2A30">
      <w:pPr>
        <w:pStyle w:val="NormalWeb"/>
        <w:keepNext/>
        <w:spacing w:before="90" w:after="0"/>
        <w:rPr>
          <w:rFonts w:cs="Arial"/>
          <w:sz w:val="20"/>
          <w:szCs w:val="20"/>
        </w:rPr>
      </w:pPr>
      <w:r>
        <w:rPr>
          <w:sz w:val="20"/>
        </w:rPr>
        <w:t>Management’s Discussion and Analysis of Financial Condition and Results of Operations (</w:t>
      </w:r>
      <w:r>
        <w:rPr>
          <w:rFonts w:cs="Arial"/>
          <w:sz w:val="20"/>
          <w:szCs w:val="20"/>
        </w:rPr>
        <w:t xml:space="preserve">as well as other sections of this </w:t>
      </w:r>
      <w:r w:rsidR="00A5004E">
        <w:rPr>
          <w:rFonts w:cs="Arial"/>
          <w:sz w:val="20"/>
          <w:szCs w:val="20"/>
        </w:rPr>
        <w:t>Annual</w:t>
      </w:r>
      <w:r>
        <w:rPr>
          <w:rFonts w:cs="Arial"/>
          <w:sz w:val="20"/>
          <w:szCs w:val="20"/>
        </w:rPr>
        <w:t xml:space="preserve"> Report on Form 10-</w:t>
      </w:r>
      <w:r w:rsidR="00C56181">
        <w:rPr>
          <w:rFonts w:cs="Arial"/>
          <w:sz w:val="20"/>
          <w:szCs w:val="20"/>
        </w:rPr>
        <w:t>K</w:t>
      </w:r>
      <w:r>
        <w:rPr>
          <w:sz w:val="20"/>
        </w:rPr>
        <w:t>) contain forward-looking statements</w:t>
      </w:r>
      <w:r>
        <w:rPr>
          <w:i/>
          <w:iCs/>
          <w:sz w:val="20"/>
        </w:rPr>
        <w:t xml:space="preserve"> </w:t>
      </w:r>
      <w:r>
        <w:rPr>
          <w:iCs/>
          <w:sz w:val="20"/>
        </w:rPr>
        <w:t>within the meaning of Section 27A of the Securities Act of 1933, as amended (the “Securities Act”), and Section 21E of the Securities Exchange Act of 1934, as amended (the “Exchange Act”). Forward-looking statements include those preceded by, followed by or including the words “will,” “expect,” “intended,” “anticipated,” “believe,” “project,” “forecast,” “propose,” “plan,” “estimate,” “enable,” and similar expressions</w:t>
      </w:r>
      <w:r>
        <w:rPr>
          <w:sz w:val="20"/>
        </w:rPr>
        <w:t>, including, for example, statements about our business strategy, our industry, our future profitability, growth in the industry sectors we serve, our expectations, beliefs, plans, strategies, objectives, prospects and assumptions, and estimates and projections of future activity and trends in the oil and natural gas industry. These forward-looking statements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under “</w:t>
      </w:r>
      <w:r w:rsidR="00C56181">
        <w:rPr>
          <w:sz w:val="20"/>
        </w:rPr>
        <w:t xml:space="preserve">Item 1A. </w:t>
      </w:r>
      <w:r>
        <w:rPr>
          <w:sz w:val="20"/>
        </w:rPr>
        <w:t>Risk Factors,” that may cause our actual results and performance to be materially different from any future results or performance expressed or implied by these forward-looking statements. Such risks and uncertainties include, among other things</w:t>
      </w:r>
      <w:r>
        <w:rPr>
          <w:sz w:val="20"/>
          <w:szCs w:val="20"/>
        </w:rPr>
        <w:t xml:space="preserve">: </w:t>
      </w:r>
    </w:p>
    <w:p w:rsidR="000121CD" w:rsidRDefault="00590862" w:rsidP="00DA2A30">
      <w:pPr>
        <w:pStyle w:val="NormalWeb"/>
        <w:numPr>
          <w:ilvl w:val="0"/>
          <w:numId w:val="27"/>
        </w:numPr>
        <w:spacing w:before="90" w:beforeAutospacing="0" w:after="0" w:afterAutospacing="0"/>
        <w:rPr>
          <w:sz w:val="20"/>
          <w:szCs w:val="20"/>
        </w:rPr>
      </w:pPr>
      <w:r>
        <w:rPr>
          <w:sz w:val="20"/>
          <w:szCs w:val="20"/>
        </w:rPr>
        <w:t>decreases in oil and natural gas prices;</w:t>
      </w:r>
    </w:p>
    <w:p w:rsidR="000121CD" w:rsidRDefault="00590862">
      <w:pPr>
        <w:pStyle w:val="NormalWeb"/>
        <w:numPr>
          <w:ilvl w:val="0"/>
          <w:numId w:val="27"/>
        </w:numPr>
        <w:spacing w:before="90" w:beforeAutospacing="0" w:after="0" w:afterAutospacing="0"/>
        <w:rPr>
          <w:sz w:val="20"/>
          <w:szCs w:val="20"/>
        </w:rPr>
      </w:pPr>
      <w:r>
        <w:rPr>
          <w:sz w:val="20"/>
          <w:szCs w:val="20"/>
        </w:rPr>
        <w:t xml:space="preserve">decreases in oil and natural gas industry expenditure levels, which may result from decreased oil and natural gas prices or other factors; </w:t>
      </w:r>
    </w:p>
    <w:p w:rsidR="000121CD" w:rsidRDefault="00590862">
      <w:pPr>
        <w:pStyle w:val="NormalWeb"/>
        <w:numPr>
          <w:ilvl w:val="0"/>
          <w:numId w:val="27"/>
        </w:numPr>
        <w:spacing w:before="90" w:beforeAutospacing="0" w:after="0" w:afterAutospacing="0"/>
        <w:rPr>
          <w:sz w:val="20"/>
          <w:szCs w:val="20"/>
        </w:rPr>
      </w:pPr>
      <w:r>
        <w:rPr>
          <w:sz w:val="20"/>
          <w:szCs w:val="20"/>
        </w:rPr>
        <w:t xml:space="preserve">U.S. and international general economic conditions; </w:t>
      </w:r>
    </w:p>
    <w:p w:rsidR="000121CD" w:rsidRDefault="00590862">
      <w:pPr>
        <w:pStyle w:val="NormalWeb"/>
        <w:numPr>
          <w:ilvl w:val="0"/>
          <w:numId w:val="27"/>
        </w:numPr>
        <w:spacing w:before="90" w:beforeAutospacing="0" w:after="0" w:afterAutospacing="0"/>
        <w:rPr>
          <w:sz w:val="20"/>
          <w:szCs w:val="20"/>
        </w:rPr>
      </w:pPr>
      <w:r>
        <w:rPr>
          <w:sz w:val="20"/>
          <w:szCs w:val="20"/>
        </w:rPr>
        <w:t xml:space="preserve">our ability to compete successfully with other companies in our industry;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risk that manufacturers of the products we distribute will sell a substantial amount of goods directly to end users in the industry sectors we serve; </w:t>
      </w:r>
    </w:p>
    <w:p w:rsidR="000121CD" w:rsidRDefault="00590862">
      <w:pPr>
        <w:pStyle w:val="NormalWeb"/>
        <w:numPr>
          <w:ilvl w:val="0"/>
          <w:numId w:val="27"/>
        </w:numPr>
        <w:spacing w:before="90" w:beforeAutospacing="0" w:after="0" w:afterAutospacing="0"/>
        <w:rPr>
          <w:sz w:val="20"/>
          <w:szCs w:val="20"/>
        </w:rPr>
      </w:pPr>
      <w:r>
        <w:rPr>
          <w:sz w:val="20"/>
          <w:szCs w:val="20"/>
        </w:rPr>
        <w:t xml:space="preserve">unexpected supply shortages;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cost increases by our suppliers; </w:t>
      </w:r>
    </w:p>
    <w:p w:rsidR="000121CD" w:rsidRDefault="00590862">
      <w:pPr>
        <w:pStyle w:val="NormalWeb"/>
        <w:numPr>
          <w:ilvl w:val="0"/>
          <w:numId w:val="27"/>
        </w:numPr>
        <w:spacing w:before="90" w:beforeAutospacing="0" w:after="0" w:afterAutospacing="0"/>
        <w:rPr>
          <w:sz w:val="20"/>
          <w:szCs w:val="20"/>
        </w:rPr>
      </w:pPr>
      <w:r>
        <w:rPr>
          <w:sz w:val="20"/>
          <w:szCs w:val="20"/>
        </w:rPr>
        <w:t xml:space="preserve">our lack of long-term contracts with most of our suppliers;  </w:t>
      </w:r>
    </w:p>
    <w:p w:rsidR="000121CD" w:rsidRDefault="00590862">
      <w:pPr>
        <w:pStyle w:val="NormalWeb"/>
        <w:numPr>
          <w:ilvl w:val="0"/>
          <w:numId w:val="27"/>
        </w:numPr>
        <w:spacing w:before="90" w:beforeAutospacing="0" w:after="0" w:afterAutospacing="0"/>
        <w:rPr>
          <w:sz w:val="20"/>
          <w:szCs w:val="20"/>
        </w:rPr>
      </w:pPr>
      <w:r>
        <w:rPr>
          <w:sz w:val="20"/>
          <w:szCs w:val="20"/>
        </w:rPr>
        <w:t xml:space="preserve">suppliers’ price reductions of products that we sell, which could cause the value of our inventory to decline; </w:t>
      </w:r>
    </w:p>
    <w:p w:rsidR="000121CD" w:rsidRDefault="00590862">
      <w:pPr>
        <w:pStyle w:val="NormalWeb"/>
        <w:numPr>
          <w:ilvl w:val="0"/>
          <w:numId w:val="27"/>
        </w:numPr>
        <w:spacing w:before="90" w:beforeAutospacing="0" w:after="0" w:afterAutospacing="0"/>
        <w:rPr>
          <w:sz w:val="20"/>
          <w:szCs w:val="20"/>
        </w:rPr>
      </w:pPr>
      <w:r>
        <w:rPr>
          <w:sz w:val="20"/>
          <w:szCs w:val="20"/>
        </w:rPr>
        <w:t xml:space="preserve">decreases in steel prices, which could significantly lower our profit; </w:t>
      </w:r>
    </w:p>
    <w:p w:rsidR="000121CD" w:rsidRDefault="00590862">
      <w:pPr>
        <w:pStyle w:val="NormalWeb"/>
        <w:numPr>
          <w:ilvl w:val="0"/>
          <w:numId w:val="27"/>
        </w:numPr>
        <w:spacing w:before="90" w:beforeAutospacing="0" w:after="0" w:afterAutospacing="0"/>
        <w:rPr>
          <w:sz w:val="20"/>
          <w:szCs w:val="20"/>
        </w:rPr>
      </w:pPr>
      <w:r>
        <w:rPr>
          <w:sz w:val="20"/>
          <w:szCs w:val="20"/>
        </w:rPr>
        <w:t xml:space="preserve">increases in steel prices, which we may be unable to pass along to our customers which could significantly lower our profit; </w:t>
      </w:r>
    </w:p>
    <w:p w:rsidR="000121CD" w:rsidRDefault="00590862">
      <w:pPr>
        <w:pStyle w:val="NormalWeb"/>
        <w:numPr>
          <w:ilvl w:val="0"/>
          <w:numId w:val="27"/>
        </w:numPr>
        <w:spacing w:before="90" w:beforeAutospacing="0" w:after="0" w:afterAutospacing="0"/>
        <w:rPr>
          <w:sz w:val="20"/>
          <w:szCs w:val="20"/>
        </w:rPr>
      </w:pPr>
      <w:r>
        <w:rPr>
          <w:sz w:val="20"/>
          <w:szCs w:val="20"/>
        </w:rPr>
        <w:t xml:space="preserve">our lack of long-term contracts with many of our customers and our lack of contracts with customers that require minimum purchase volumes; </w:t>
      </w:r>
    </w:p>
    <w:p w:rsidR="000121CD" w:rsidRDefault="00590862">
      <w:pPr>
        <w:pStyle w:val="NormalWeb"/>
        <w:numPr>
          <w:ilvl w:val="0"/>
          <w:numId w:val="27"/>
        </w:numPr>
        <w:spacing w:before="90" w:beforeAutospacing="0" w:after="0" w:afterAutospacing="0"/>
        <w:rPr>
          <w:sz w:val="20"/>
          <w:szCs w:val="20"/>
        </w:rPr>
      </w:pPr>
      <w:r>
        <w:rPr>
          <w:sz w:val="20"/>
          <w:szCs w:val="20"/>
        </w:rPr>
        <w:t xml:space="preserve">changes in our customer and product mix; </w:t>
      </w:r>
    </w:p>
    <w:p w:rsidR="000121CD" w:rsidRDefault="00590862">
      <w:pPr>
        <w:pStyle w:val="NormalWeb"/>
        <w:numPr>
          <w:ilvl w:val="0"/>
          <w:numId w:val="27"/>
        </w:numPr>
        <w:spacing w:before="90" w:beforeAutospacing="0" w:after="0" w:afterAutospacing="0"/>
        <w:rPr>
          <w:sz w:val="20"/>
          <w:szCs w:val="20"/>
        </w:rPr>
      </w:pPr>
      <w:r>
        <w:rPr>
          <w:sz w:val="20"/>
          <w:szCs w:val="20"/>
        </w:rPr>
        <w:t xml:space="preserve">risks related to our customers’ creditworthiness; </w:t>
      </w:r>
    </w:p>
    <w:p w:rsidR="000121CD" w:rsidRDefault="00590862">
      <w:pPr>
        <w:pStyle w:val="NormalWeb"/>
        <w:numPr>
          <w:ilvl w:val="0"/>
          <w:numId w:val="27"/>
        </w:numPr>
        <w:spacing w:before="90" w:beforeAutospacing="0" w:after="0" w:afterAutospacing="0"/>
        <w:rPr>
          <w:sz w:val="20"/>
          <w:szCs w:val="20"/>
        </w:rPr>
      </w:pPr>
      <w:r>
        <w:rPr>
          <w:sz w:val="20"/>
          <w:szCs w:val="20"/>
        </w:rPr>
        <w:t>the success of our acquisition strategies;</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potential adverse effects associated with integrating acquisitions into our business and whether these acquisitions will yield their intended benefits; </w:t>
      </w:r>
    </w:p>
    <w:p w:rsidR="000121CD" w:rsidRDefault="00590862">
      <w:pPr>
        <w:pStyle w:val="NormalWeb"/>
        <w:numPr>
          <w:ilvl w:val="0"/>
          <w:numId w:val="27"/>
        </w:numPr>
        <w:spacing w:before="90" w:beforeAutospacing="0" w:after="0" w:afterAutospacing="0"/>
        <w:rPr>
          <w:sz w:val="20"/>
          <w:szCs w:val="20"/>
        </w:rPr>
      </w:pPr>
      <w:r>
        <w:rPr>
          <w:sz w:val="20"/>
          <w:szCs w:val="20"/>
        </w:rPr>
        <w:t xml:space="preserve">our significant indebtedness;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dependence on our subsidiaries for cash to meet our obligations; </w:t>
      </w:r>
    </w:p>
    <w:p w:rsidR="000121CD" w:rsidRDefault="00590862">
      <w:pPr>
        <w:pStyle w:val="NormalWeb"/>
        <w:numPr>
          <w:ilvl w:val="0"/>
          <w:numId w:val="27"/>
        </w:numPr>
        <w:spacing w:before="90" w:beforeAutospacing="0" w:after="0" w:afterAutospacing="0"/>
        <w:rPr>
          <w:sz w:val="20"/>
          <w:szCs w:val="20"/>
        </w:rPr>
      </w:pPr>
      <w:r>
        <w:rPr>
          <w:sz w:val="20"/>
          <w:szCs w:val="20"/>
        </w:rPr>
        <w:t xml:space="preserve">changes in our credit profile; </w:t>
      </w:r>
    </w:p>
    <w:p w:rsidR="000121CD" w:rsidRPr="001143A5" w:rsidRDefault="00DA2A30" w:rsidP="001143A5">
      <w:pPr>
        <w:pStyle w:val="NormalWeb"/>
        <w:numPr>
          <w:ilvl w:val="0"/>
          <w:numId w:val="27"/>
        </w:numPr>
        <w:spacing w:before="90" w:beforeAutospacing="0" w:after="0" w:afterAutospacing="0"/>
        <w:rPr>
          <w:sz w:val="20"/>
          <w:szCs w:val="20"/>
        </w:rPr>
      </w:pPr>
      <w:r w:rsidRPr="00DA2A30">
        <w:rPr>
          <w:sz w:val="20"/>
          <w:szCs w:val="20"/>
        </w:rPr>
        <w:t>a decline in demand for or adverse change in the value of certain of the products we distribute if tariffs and duties on thes</w:t>
      </w:r>
      <w:r w:rsidR="00825487">
        <w:rPr>
          <w:sz w:val="20"/>
          <w:szCs w:val="20"/>
        </w:rPr>
        <w:t>e p</w:t>
      </w:r>
      <w:r w:rsidRPr="001143A5">
        <w:rPr>
          <w:sz w:val="20"/>
          <w:szCs w:val="20"/>
        </w:rPr>
        <w:t>roducts are imposed or lifted</w:t>
      </w:r>
      <w:r w:rsidR="00590862" w:rsidRPr="001143A5">
        <w:rPr>
          <w:sz w:val="20"/>
          <w:szCs w:val="20"/>
        </w:rPr>
        <w:t xml:space="preserve">; </w:t>
      </w:r>
    </w:p>
    <w:p w:rsidR="00825487" w:rsidRDefault="00825487">
      <w:pPr>
        <w:pStyle w:val="NormalWeb"/>
        <w:numPr>
          <w:ilvl w:val="0"/>
          <w:numId w:val="27"/>
        </w:numPr>
        <w:spacing w:before="90" w:beforeAutospacing="0" w:after="0" w:afterAutospacing="0"/>
        <w:rPr>
          <w:sz w:val="20"/>
          <w:szCs w:val="20"/>
        </w:rPr>
      </w:pPr>
      <w:r>
        <w:rPr>
          <w:sz w:val="20"/>
          <w:szCs w:val="20"/>
        </w:rPr>
        <w:lastRenderedPageBreak/>
        <w:t>significant substitution of alternative fuels for oil and gas</w:t>
      </w:r>
      <w:r w:rsidR="00B541F7">
        <w:rPr>
          <w:sz w:val="20"/>
          <w:szCs w:val="20"/>
        </w:rPr>
        <w:t>;</w:t>
      </w:r>
    </w:p>
    <w:p w:rsidR="000121CD" w:rsidRDefault="00590862">
      <w:pPr>
        <w:pStyle w:val="NormalWeb"/>
        <w:numPr>
          <w:ilvl w:val="0"/>
          <w:numId w:val="27"/>
        </w:numPr>
        <w:spacing w:before="90" w:beforeAutospacing="0" w:after="0" w:afterAutospacing="0"/>
        <w:rPr>
          <w:sz w:val="20"/>
          <w:szCs w:val="20"/>
        </w:rPr>
      </w:pPr>
      <w:r>
        <w:rPr>
          <w:sz w:val="20"/>
          <w:szCs w:val="20"/>
        </w:rPr>
        <w:t xml:space="preserve">environmental, health and safety laws and regulations and the interpretation or implementation thereof;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sufficiency of our insurance policies to cover losses, including liabilities arising from litigation; </w:t>
      </w:r>
    </w:p>
    <w:p w:rsidR="000121CD" w:rsidRDefault="00590862">
      <w:pPr>
        <w:pStyle w:val="NormalWeb"/>
        <w:numPr>
          <w:ilvl w:val="0"/>
          <w:numId w:val="27"/>
        </w:numPr>
        <w:spacing w:before="90" w:beforeAutospacing="0" w:after="0" w:afterAutospacing="0"/>
        <w:rPr>
          <w:sz w:val="20"/>
          <w:szCs w:val="20"/>
        </w:rPr>
      </w:pPr>
      <w:r>
        <w:rPr>
          <w:sz w:val="20"/>
          <w:szCs w:val="20"/>
        </w:rPr>
        <w:t xml:space="preserve">product liability claims against us; </w:t>
      </w:r>
    </w:p>
    <w:p w:rsidR="000121CD" w:rsidRDefault="00590862">
      <w:pPr>
        <w:pStyle w:val="NormalWeb"/>
        <w:numPr>
          <w:ilvl w:val="0"/>
          <w:numId w:val="27"/>
        </w:numPr>
        <w:spacing w:before="90" w:beforeAutospacing="0" w:after="0" w:afterAutospacing="0"/>
        <w:rPr>
          <w:sz w:val="20"/>
          <w:szCs w:val="20"/>
        </w:rPr>
      </w:pPr>
      <w:r>
        <w:rPr>
          <w:sz w:val="20"/>
          <w:szCs w:val="20"/>
        </w:rPr>
        <w:t xml:space="preserve">pending or future asbestos-related claims against us; </w:t>
      </w:r>
    </w:p>
    <w:p w:rsidR="000121CD" w:rsidRDefault="00590862">
      <w:pPr>
        <w:pStyle w:val="NormalWeb"/>
        <w:numPr>
          <w:ilvl w:val="0"/>
          <w:numId w:val="27"/>
        </w:numPr>
        <w:spacing w:before="90" w:beforeAutospacing="0" w:after="0" w:afterAutospacing="0"/>
        <w:rPr>
          <w:sz w:val="20"/>
          <w:szCs w:val="20"/>
        </w:rPr>
      </w:pPr>
      <w:r>
        <w:rPr>
          <w:sz w:val="20"/>
          <w:szCs w:val="20"/>
        </w:rPr>
        <w:t xml:space="preserve">the potential loss of key personnel; </w:t>
      </w:r>
    </w:p>
    <w:p w:rsidR="00825487" w:rsidRDefault="004C04C4">
      <w:pPr>
        <w:pStyle w:val="NormalWeb"/>
        <w:numPr>
          <w:ilvl w:val="0"/>
          <w:numId w:val="27"/>
        </w:numPr>
        <w:spacing w:before="90" w:beforeAutospacing="0" w:after="0" w:afterAutospacing="0"/>
        <w:rPr>
          <w:sz w:val="20"/>
          <w:szCs w:val="20"/>
        </w:rPr>
      </w:pPr>
      <w:r>
        <w:rPr>
          <w:sz w:val="20"/>
          <w:szCs w:val="20"/>
        </w:rPr>
        <w:t>adverse health events, such as a pandemic</w:t>
      </w:r>
      <w:r w:rsidR="00B541F7">
        <w:rPr>
          <w:sz w:val="20"/>
          <w:szCs w:val="20"/>
        </w:rPr>
        <w:t>;</w:t>
      </w:r>
    </w:p>
    <w:p w:rsidR="000121CD" w:rsidRDefault="00590862">
      <w:pPr>
        <w:pStyle w:val="NormalWeb"/>
        <w:numPr>
          <w:ilvl w:val="0"/>
          <w:numId w:val="27"/>
        </w:numPr>
        <w:spacing w:before="90" w:beforeAutospacing="0" w:after="0" w:afterAutospacing="0"/>
        <w:rPr>
          <w:sz w:val="20"/>
          <w:szCs w:val="20"/>
        </w:rPr>
      </w:pPr>
      <w:r>
        <w:rPr>
          <w:sz w:val="20"/>
          <w:szCs w:val="20"/>
        </w:rPr>
        <w:t xml:space="preserve">interruption in the proper functioning of our information systems; </w:t>
      </w:r>
    </w:p>
    <w:p w:rsidR="000121CD" w:rsidRDefault="00590862">
      <w:pPr>
        <w:pStyle w:val="NormalWeb"/>
        <w:numPr>
          <w:ilvl w:val="0"/>
          <w:numId w:val="27"/>
        </w:numPr>
        <w:spacing w:before="90" w:beforeAutospacing="0" w:after="0" w:afterAutospacing="0"/>
        <w:rPr>
          <w:sz w:val="20"/>
          <w:szCs w:val="20"/>
        </w:rPr>
      </w:pPr>
      <w:r>
        <w:rPr>
          <w:sz w:val="20"/>
          <w:szCs w:val="20"/>
        </w:rPr>
        <w:t>the occurrence of cybersecurity incidents;</w:t>
      </w:r>
    </w:p>
    <w:p w:rsidR="000121CD" w:rsidRDefault="00590862">
      <w:pPr>
        <w:pStyle w:val="NormalWeb"/>
        <w:numPr>
          <w:ilvl w:val="0"/>
          <w:numId w:val="27"/>
        </w:numPr>
        <w:spacing w:before="90" w:beforeAutospacing="0" w:after="0" w:afterAutospacing="0"/>
        <w:rPr>
          <w:sz w:val="20"/>
          <w:szCs w:val="20"/>
        </w:rPr>
      </w:pPr>
      <w:r>
        <w:rPr>
          <w:sz w:val="20"/>
          <w:szCs w:val="20"/>
        </w:rPr>
        <w:t>loss of third-party transportation providers;</w:t>
      </w:r>
    </w:p>
    <w:p w:rsidR="000121CD" w:rsidRDefault="00590862">
      <w:pPr>
        <w:pStyle w:val="NormalWeb"/>
        <w:numPr>
          <w:ilvl w:val="0"/>
          <w:numId w:val="27"/>
        </w:numPr>
        <w:spacing w:before="90" w:beforeAutospacing="0" w:after="0" w:afterAutospacing="0"/>
        <w:rPr>
          <w:sz w:val="20"/>
          <w:szCs w:val="20"/>
        </w:rPr>
      </w:pPr>
      <w:r>
        <w:rPr>
          <w:sz w:val="20"/>
          <w:szCs w:val="20"/>
        </w:rPr>
        <w:t xml:space="preserve">potential inability to obtain necessary capital; </w:t>
      </w:r>
    </w:p>
    <w:p w:rsidR="000121CD" w:rsidRDefault="00590862">
      <w:pPr>
        <w:pStyle w:val="NormalWeb"/>
        <w:numPr>
          <w:ilvl w:val="0"/>
          <w:numId w:val="27"/>
        </w:numPr>
        <w:spacing w:before="90" w:beforeAutospacing="0" w:after="0" w:afterAutospacing="0"/>
        <w:rPr>
          <w:sz w:val="20"/>
          <w:szCs w:val="20"/>
        </w:rPr>
      </w:pPr>
      <w:r>
        <w:rPr>
          <w:sz w:val="20"/>
          <w:szCs w:val="20"/>
        </w:rPr>
        <w:t xml:space="preserve">risks related to adverse weather events or natural disasters; </w:t>
      </w:r>
    </w:p>
    <w:p w:rsidR="000121CD" w:rsidRDefault="00590862">
      <w:pPr>
        <w:pStyle w:val="NormalWeb"/>
        <w:numPr>
          <w:ilvl w:val="0"/>
          <w:numId w:val="27"/>
        </w:numPr>
        <w:spacing w:before="90" w:beforeAutospacing="0" w:after="0" w:afterAutospacing="0"/>
        <w:rPr>
          <w:sz w:val="20"/>
          <w:szCs w:val="20"/>
        </w:rPr>
      </w:pPr>
      <w:r>
        <w:rPr>
          <w:sz w:val="20"/>
          <w:szCs w:val="20"/>
        </w:rPr>
        <w:t xml:space="preserve">impairment of our goodwill or other intangible assets; </w:t>
      </w:r>
    </w:p>
    <w:p w:rsidR="000121CD" w:rsidRDefault="00590862">
      <w:pPr>
        <w:pStyle w:val="NormalWeb"/>
        <w:numPr>
          <w:ilvl w:val="0"/>
          <w:numId w:val="27"/>
        </w:numPr>
        <w:spacing w:before="90" w:beforeAutospacing="0" w:after="0" w:afterAutospacing="0"/>
        <w:rPr>
          <w:sz w:val="20"/>
          <w:szCs w:val="20"/>
        </w:rPr>
      </w:pPr>
      <w:r>
        <w:rPr>
          <w:sz w:val="20"/>
          <w:szCs w:val="20"/>
        </w:rPr>
        <w:t xml:space="preserve">adverse changes in political or economic conditions in the countries in which we operate; </w:t>
      </w:r>
    </w:p>
    <w:p w:rsidR="000121CD" w:rsidRDefault="00590862">
      <w:pPr>
        <w:pStyle w:val="NormalWeb"/>
        <w:numPr>
          <w:ilvl w:val="0"/>
          <w:numId w:val="27"/>
        </w:numPr>
        <w:spacing w:before="90" w:beforeAutospacing="0" w:after="0" w:afterAutospacing="0"/>
        <w:rPr>
          <w:sz w:val="20"/>
          <w:szCs w:val="20"/>
        </w:rPr>
      </w:pPr>
      <w:r>
        <w:rPr>
          <w:sz w:val="20"/>
          <w:szCs w:val="20"/>
        </w:rPr>
        <w:t xml:space="preserve">exposure to U.S. and international laws and regulations, including the Foreign Corrupt Practices Act and the U.K. Bribery Act and other economic sanctions programs; </w:t>
      </w:r>
    </w:p>
    <w:p w:rsidR="000121CD" w:rsidRDefault="00590862">
      <w:pPr>
        <w:pStyle w:val="NormalWeb"/>
        <w:numPr>
          <w:ilvl w:val="0"/>
          <w:numId w:val="27"/>
        </w:numPr>
        <w:spacing w:before="90" w:beforeAutospacing="0" w:after="0" w:afterAutospacing="0"/>
        <w:rPr>
          <w:sz w:val="20"/>
          <w:szCs w:val="20"/>
        </w:rPr>
      </w:pPr>
      <w:r>
        <w:rPr>
          <w:sz w:val="20"/>
          <w:szCs w:val="20"/>
        </w:rPr>
        <w:t>risks associated with international instability and geopolitical developments</w:t>
      </w:r>
      <w:r w:rsidR="00825487">
        <w:rPr>
          <w:sz w:val="20"/>
          <w:szCs w:val="20"/>
        </w:rPr>
        <w:t>, including armed conflicts and terrorism</w:t>
      </w:r>
      <w:r>
        <w:rPr>
          <w:sz w:val="20"/>
          <w:szCs w:val="20"/>
        </w:rPr>
        <w:t>;</w:t>
      </w:r>
    </w:p>
    <w:p w:rsidR="000121CD" w:rsidRDefault="00590862">
      <w:pPr>
        <w:pStyle w:val="NormalWeb"/>
        <w:numPr>
          <w:ilvl w:val="0"/>
          <w:numId w:val="27"/>
        </w:numPr>
        <w:spacing w:before="90" w:beforeAutospacing="0" w:after="0" w:afterAutospacing="0"/>
        <w:rPr>
          <w:sz w:val="20"/>
          <w:szCs w:val="20"/>
        </w:rPr>
      </w:pPr>
      <w:r>
        <w:rPr>
          <w:sz w:val="20"/>
          <w:szCs w:val="20"/>
        </w:rPr>
        <w:t xml:space="preserve">risks relating to ongoing evaluations of internal controls required by Section 404 of the Sarbanes-Oxley Act; </w:t>
      </w:r>
    </w:p>
    <w:p w:rsidR="000121CD" w:rsidRDefault="00590862">
      <w:pPr>
        <w:pStyle w:val="NormalWeb"/>
        <w:numPr>
          <w:ilvl w:val="0"/>
          <w:numId w:val="27"/>
        </w:numPr>
        <w:spacing w:before="90" w:beforeAutospacing="0" w:after="0" w:afterAutospacing="0"/>
        <w:rPr>
          <w:sz w:val="20"/>
          <w:szCs w:val="20"/>
        </w:rPr>
      </w:pPr>
      <w:r>
        <w:rPr>
          <w:sz w:val="20"/>
          <w:szCs w:val="20"/>
        </w:rPr>
        <w:t>our intention not to pay dividends; and</w:t>
      </w:r>
    </w:p>
    <w:p w:rsidR="000121CD" w:rsidRDefault="00590862">
      <w:pPr>
        <w:pStyle w:val="NormalWeb"/>
        <w:numPr>
          <w:ilvl w:val="0"/>
          <w:numId w:val="27"/>
        </w:numPr>
        <w:spacing w:before="90" w:beforeAutospacing="0" w:after="0" w:afterAutospacing="0"/>
        <w:rPr>
          <w:sz w:val="20"/>
          <w:szCs w:val="20"/>
        </w:rPr>
      </w:pPr>
      <w:r>
        <w:rPr>
          <w:sz w:val="20"/>
          <w:szCs w:val="20"/>
        </w:rPr>
        <w:t>risks related to changing laws and regulations including trade policies and tariffs.</w:t>
      </w:r>
    </w:p>
    <w:p w:rsidR="00B81399" w:rsidRDefault="00B81399">
      <w:pPr>
        <w:pStyle w:val="NormalWeb"/>
        <w:keepNext/>
        <w:spacing w:before="270" w:beforeAutospacing="0" w:after="0" w:afterAutospacing="0"/>
        <w:rPr>
          <w:sz w:val="20"/>
          <w:szCs w:val="20"/>
        </w:rPr>
      </w:pPr>
      <w:r w:rsidRPr="00B81399">
        <w:rPr>
          <w:sz w:val="20"/>
          <w:szCs w:val="20"/>
        </w:rPr>
        <w:t xml:space="preserve">Undue reliance should not be placed on our forward-looking statements. Although forward-looking statements reflect our good faith beliefs, reliance should not be placed on forward-looking statements because they involve known and unknown risks, uncertainties and other factors, which may cause our actual results, performance or achievements to differ materially from anticipated future results, performance or achievements expressed or implied by such forward-looking statements. We undertake no obligation to publicly update or revise any forward-looking statement, whether as a result of new information, future events, changed circumstances or otherwise, except to the extent law requires. </w:t>
      </w:r>
    </w:p>
    <w:p w:rsidR="000121CD" w:rsidRDefault="00590862">
      <w:pPr>
        <w:pStyle w:val="NormalWeb"/>
        <w:keepNext/>
        <w:spacing w:before="270" w:beforeAutospacing="0" w:after="0" w:afterAutospacing="0"/>
        <w:rPr>
          <w:sz w:val="20"/>
          <w:szCs w:val="20"/>
        </w:rPr>
      </w:pPr>
      <w:r>
        <w:rPr>
          <w:b/>
          <w:bCs/>
          <w:sz w:val="20"/>
          <w:szCs w:val="20"/>
        </w:rPr>
        <w:t xml:space="preserve">Overview </w:t>
      </w:r>
    </w:p>
    <w:p w:rsidR="00BD34EC" w:rsidRDefault="00BD34EC" w:rsidP="00BD34EC">
      <w:pPr>
        <w:pStyle w:val="NormalWeb"/>
        <w:rPr>
          <w:b/>
          <w:bCs/>
        </w:rPr>
      </w:pPr>
      <w:r>
        <w:rPr>
          <w:sz w:val="20"/>
          <w:szCs w:val="20"/>
        </w:rPr>
        <w:t xml:space="preserve">We are the largest distributor of pipe, valves, and fittings (“PVF”) and </w:t>
      </w:r>
      <w:r w:rsidR="005A74F9">
        <w:rPr>
          <w:sz w:val="20"/>
          <w:szCs w:val="20"/>
        </w:rPr>
        <w:t>other</w:t>
      </w:r>
      <w:r>
        <w:rPr>
          <w:sz w:val="20"/>
          <w:szCs w:val="20"/>
        </w:rPr>
        <w:t xml:space="preserve"> infrastructure products and services to the energy industry, based on sales.  We provide innovative supply chain solutions and technical product expertise to customers globally through our leading position across each of our diversified end-markets including the upstream (exploration, production and extraction of underground oil and natural gas), midstream (gathering and transmission of oil and natural gas, natural gas utilities and the storage and distribution of oil and natural gas) and downstream (crude oil refining, petrochemical and chemical, processing and general industrials) sectors. We offer over 200,000 SKUs, including an extensive array of PVF, oilfield supply, valve automation and modification, measurement, instrumentation and other general and specialty products from our global network of over 10,000 suppliers. With nearly 100 years of history, our 3,200 employees serve our approximately 14,000 customers through </w:t>
      </w:r>
      <w:r w:rsidR="00755004">
        <w:rPr>
          <w:sz w:val="20"/>
          <w:szCs w:val="20"/>
        </w:rPr>
        <w:t>approximately 260</w:t>
      </w:r>
      <w:r>
        <w:rPr>
          <w:sz w:val="20"/>
          <w:szCs w:val="20"/>
        </w:rPr>
        <w:t xml:space="preserve"> service locations including regional distribution centers, branches, corporate offices and third party pipe yards, where we often deploy pipe near customer locations. We seek to provide best-in-class service to our customers by satisfying the most complex, multi-site needs of many of the largest companies in the energy sector as their primary PVF supplier. We believe the critical role we play in our customers’ supply chain, together with our extensive product and service offerings, broad global presence, customer-linked scalable information systems and efficient distribution capabilities, serve to solidify our long-standing customer relationships and drive our growth. As a result, we have an average relationship of over 25 years with our 25 largest customers.</w:t>
      </w:r>
    </w:p>
    <w:p w:rsidR="00BD34EC" w:rsidRDefault="00BD34EC" w:rsidP="00BD34EC">
      <w:pPr>
        <w:pStyle w:val="NormalWeb"/>
        <w:keepNext/>
        <w:spacing w:before="240" w:beforeAutospacing="0" w:after="0" w:afterAutospacing="0"/>
        <w:rPr>
          <w:b/>
          <w:bCs/>
          <w:sz w:val="20"/>
          <w:szCs w:val="20"/>
        </w:rPr>
      </w:pPr>
      <w:r>
        <w:rPr>
          <w:b/>
          <w:bCs/>
          <w:sz w:val="20"/>
          <w:szCs w:val="20"/>
        </w:rPr>
        <w:t xml:space="preserve">Key Drivers of Our Business </w:t>
      </w:r>
    </w:p>
    <w:p w:rsidR="00BD34EC" w:rsidRDefault="00BD34EC" w:rsidP="00BD34EC">
      <w:pPr>
        <w:pStyle w:val="NormalWeb"/>
        <w:keepNext/>
        <w:spacing w:before="240" w:beforeAutospacing="0" w:after="0" w:afterAutospacing="0"/>
        <w:rPr>
          <w:sz w:val="20"/>
          <w:szCs w:val="20"/>
        </w:rPr>
      </w:pPr>
      <w:r>
        <w:rPr>
          <w:sz w:val="20"/>
        </w:rPr>
        <w:t xml:space="preserve">Our revenue is predominantly derived from the sale of PVF and other oilfield and industrial supplies to the energy sector globally. Our business is, therefore, dependent upon both the current conditions and future prospects in the energy industry and, in particular, maintenance and expansionary operating and capital expenditures by our customers in the upstream, midstream and downstream sectors of the industry. Long-term growth in spending has been driven by several factors, including demand growth for petroleum and </w:t>
      </w:r>
      <w:r>
        <w:rPr>
          <w:sz w:val="20"/>
        </w:rPr>
        <w:lastRenderedPageBreak/>
        <w:t xml:space="preserve">petroleum derived products, underinvestment in global energy infrastructure, growth in shale and unconventional exploration and production (“E&amp;P”) activity, and anticipated strength in the oil, natural gas, refined products and petrochemical sectors. </w:t>
      </w:r>
      <w:r>
        <w:rPr>
          <w:sz w:val="20"/>
          <w:szCs w:val="20"/>
        </w:rPr>
        <w:t xml:space="preserve">The outlook for future oil, natural gas, refined products and petrochemical PVF spending is influenced by numerous factors, including the following: </w:t>
      </w:r>
    </w:p>
    <w:p w:rsidR="00BD34EC" w:rsidRDefault="00BD34EC" w:rsidP="00BD34EC">
      <w:pPr>
        <w:pStyle w:val="NormalWeb"/>
        <w:keepNext/>
        <w:spacing w:before="0" w:beforeAutospacing="0" w:after="0" w:afterAutospacing="0"/>
        <w:rPr>
          <w:sz w:val="20"/>
          <w:szCs w:val="20"/>
        </w:rPr>
      </w:pPr>
    </w:p>
    <w:p w:rsidR="00BD34EC" w:rsidRDefault="00BD34EC" w:rsidP="00BD34EC">
      <w:pPr>
        <w:pStyle w:val="NormalWeb"/>
        <w:numPr>
          <w:ilvl w:val="0"/>
          <w:numId w:val="34"/>
        </w:numPr>
        <w:spacing w:before="90" w:beforeAutospacing="0" w:after="0" w:afterAutospacing="0"/>
        <w:rPr>
          <w:sz w:val="20"/>
          <w:szCs w:val="20"/>
        </w:rPr>
      </w:pPr>
      <w:r w:rsidRPr="00825487">
        <w:rPr>
          <w:i/>
          <w:sz w:val="20"/>
          <w:szCs w:val="20"/>
        </w:rPr>
        <w:t>Oil and Natural Gas Prices</w:t>
      </w:r>
      <w:r>
        <w:rPr>
          <w:sz w:val="20"/>
          <w:szCs w:val="20"/>
        </w:rPr>
        <w:t xml:space="preserve">. Sales of PVF and related products to the oil and natural gas industry constitute over 90% of our sales. As a result, we depend upon the oil and natural gas industry and its ability and willingness to make maintenance and capital expenditures to explore for, produce and process oil, natural gas and refined products. Oil and natural gas prices, both current and projected, along with the costs necessary to produce oil and gas, impact other drivers of our business, including capital spending by customers, additions to and maintenance of pipelines, refinery utilization and petrochemical processing activity. </w:t>
      </w:r>
    </w:p>
    <w:p w:rsidR="00BD34EC" w:rsidRDefault="00BD34EC" w:rsidP="00BD34EC">
      <w:pPr>
        <w:pStyle w:val="NormalWeb"/>
        <w:numPr>
          <w:ilvl w:val="0"/>
          <w:numId w:val="34"/>
        </w:numPr>
        <w:spacing w:before="90" w:beforeAutospacing="0" w:after="0" w:afterAutospacing="0"/>
        <w:rPr>
          <w:sz w:val="20"/>
          <w:szCs w:val="20"/>
        </w:rPr>
      </w:pPr>
      <w:r w:rsidRPr="00825487">
        <w:rPr>
          <w:i/>
          <w:sz w:val="20"/>
          <w:szCs w:val="20"/>
        </w:rPr>
        <w:t>Economic Conditions</w:t>
      </w:r>
      <w:r>
        <w:rPr>
          <w:sz w:val="20"/>
          <w:szCs w:val="20"/>
        </w:rPr>
        <w:t xml:space="preserve">. The demand for the products we distribute is dependent on the general economy, the energy sector and other factors. Changes in the general economy or in the energy sector (domestically or internationally) can cause demand for the products we distribute to materially change. </w:t>
      </w:r>
    </w:p>
    <w:p w:rsidR="00BD34EC" w:rsidRDefault="00BD34EC" w:rsidP="00BD34EC">
      <w:pPr>
        <w:pStyle w:val="NormalWeb"/>
        <w:numPr>
          <w:ilvl w:val="0"/>
          <w:numId w:val="34"/>
        </w:numPr>
        <w:spacing w:before="90" w:beforeAutospacing="0" w:after="0" w:afterAutospacing="0"/>
        <w:rPr>
          <w:sz w:val="20"/>
          <w:szCs w:val="20"/>
        </w:rPr>
      </w:pPr>
      <w:r w:rsidRPr="00825487">
        <w:rPr>
          <w:i/>
          <w:sz w:val="20"/>
          <w:szCs w:val="20"/>
        </w:rPr>
        <w:t>Manufacturer and Distributor Inventory Levels of PVF and Related Products</w:t>
      </w:r>
      <w:r>
        <w:rPr>
          <w:sz w:val="20"/>
          <w:szCs w:val="20"/>
        </w:rPr>
        <w:t xml:space="preserve">. Manufacturer and distributor inventory levels of PVF and related products can change significantly from period to period. Increased inventory levels by manufacturers or other distributors can cause an oversupply of PVF and related products in the industry sectors we serve and reduce the prices that we are able to charge for the products we distribute. Reduced prices, in turn, would likely reduce our profitability. Conversely, decreased manufacturer inventory levels may ultimately lead to increased demand for our products and would likely result in increased sales volumes and overall profitability. </w:t>
      </w:r>
    </w:p>
    <w:p w:rsidR="00BD34EC" w:rsidRDefault="00BD34EC" w:rsidP="00BD34EC">
      <w:pPr>
        <w:pStyle w:val="NormalWeb"/>
        <w:numPr>
          <w:ilvl w:val="0"/>
          <w:numId w:val="34"/>
        </w:numPr>
        <w:spacing w:before="90" w:beforeAutospacing="0" w:after="0" w:afterAutospacing="0"/>
        <w:rPr>
          <w:sz w:val="20"/>
          <w:szCs w:val="20"/>
        </w:rPr>
      </w:pPr>
      <w:r w:rsidRPr="00825487">
        <w:rPr>
          <w:i/>
          <w:sz w:val="20"/>
          <w:szCs w:val="20"/>
        </w:rPr>
        <w:t>Steel Prices, Availability and Supply and Demand</w:t>
      </w:r>
      <w:r>
        <w:rPr>
          <w:sz w:val="20"/>
          <w:szCs w:val="20"/>
        </w:rPr>
        <w:t xml:space="preserve">. Fluctuations in steel prices can lead to volatility in the pricing of the products we distribute, especially carbon steel line pipe products, which can influence the buying patterns of our customers. A majority of the products we distribute contain various types of steel. The worldwide supply and demand for these products, or other steel products that we do not supply, impacts the pricing and availability of our products and, ultimately, our sales and operating profitability. </w:t>
      </w:r>
    </w:p>
    <w:p w:rsidR="00BD34EC" w:rsidRDefault="00BD34EC" w:rsidP="00BD34EC">
      <w:pPr>
        <w:pStyle w:val="NormalWeb"/>
        <w:keepNext/>
        <w:spacing w:before="240" w:beforeAutospacing="0" w:after="0" w:afterAutospacing="0"/>
        <w:rPr>
          <w:sz w:val="20"/>
          <w:szCs w:val="20"/>
        </w:rPr>
      </w:pPr>
      <w:r>
        <w:rPr>
          <w:b/>
          <w:bCs/>
          <w:sz w:val="20"/>
          <w:szCs w:val="20"/>
        </w:rPr>
        <w:t xml:space="preserve">Recent Trends and Outlook </w:t>
      </w:r>
    </w:p>
    <w:p w:rsidR="00BD34EC" w:rsidRDefault="00BD34EC" w:rsidP="00780609">
      <w:pPr>
        <w:pStyle w:val="NormalWeb"/>
        <w:keepNext/>
        <w:spacing w:before="180" w:beforeAutospacing="0" w:after="0" w:afterAutospacing="0"/>
        <w:rPr>
          <w:sz w:val="20"/>
          <w:szCs w:val="20"/>
        </w:rPr>
      </w:pPr>
      <w:r>
        <w:rPr>
          <w:sz w:val="20"/>
          <w:szCs w:val="20"/>
        </w:rPr>
        <w:t>During 2019, the average oil price of West Texas Intermediate (“WTI”) decreased to $</w:t>
      </w:r>
      <w:r w:rsidR="000F76FB">
        <w:rPr>
          <w:sz w:val="20"/>
          <w:szCs w:val="20"/>
        </w:rPr>
        <w:t>56</w:t>
      </w:r>
      <w:r>
        <w:rPr>
          <w:sz w:val="20"/>
          <w:szCs w:val="20"/>
        </w:rPr>
        <w:t>.</w:t>
      </w:r>
      <w:r w:rsidR="000F76FB">
        <w:rPr>
          <w:sz w:val="20"/>
          <w:szCs w:val="20"/>
        </w:rPr>
        <w:t>98</w:t>
      </w:r>
      <w:r>
        <w:rPr>
          <w:sz w:val="20"/>
          <w:szCs w:val="20"/>
        </w:rPr>
        <w:t xml:space="preserve"> per barrel </w:t>
      </w:r>
      <w:r w:rsidR="00263ABA">
        <w:rPr>
          <w:sz w:val="20"/>
          <w:szCs w:val="20"/>
        </w:rPr>
        <w:t>from</w:t>
      </w:r>
      <w:r>
        <w:rPr>
          <w:sz w:val="20"/>
          <w:szCs w:val="20"/>
        </w:rPr>
        <w:t xml:space="preserve"> $65.23 per barrel in 2018. Natural gas prices decreased to an average price of $2.56/Mcf (Henry Hub) for 2019 compared to $3.15/Mcf (Henry Hub) for 2018. North American drilling rig activity decreased 12% in 2019 compared to 2018. U.S. well completions were up </w:t>
      </w:r>
      <w:r w:rsidR="00825487">
        <w:rPr>
          <w:sz w:val="20"/>
          <w:szCs w:val="20"/>
        </w:rPr>
        <w:t>7</w:t>
      </w:r>
      <w:r>
        <w:rPr>
          <w:sz w:val="20"/>
          <w:szCs w:val="20"/>
        </w:rPr>
        <w:t xml:space="preserve">% in 2019 as compared to 2018. </w:t>
      </w:r>
    </w:p>
    <w:p w:rsidR="00BD34EC" w:rsidRDefault="00BD34EC" w:rsidP="00BD34EC">
      <w:pPr>
        <w:pStyle w:val="NormalWeb"/>
        <w:keepNext/>
        <w:spacing w:before="0" w:beforeAutospacing="0" w:after="0" w:afterAutospacing="0"/>
        <w:rPr>
          <w:sz w:val="20"/>
          <w:szCs w:val="20"/>
        </w:rPr>
      </w:pPr>
    </w:p>
    <w:p w:rsidR="00BD34EC" w:rsidRDefault="00BD34EC" w:rsidP="00BD34EC">
      <w:pPr>
        <w:pStyle w:val="NormalWeb"/>
        <w:keepNext/>
        <w:spacing w:before="0" w:beforeAutospacing="0" w:after="0" w:afterAutospacing="0"/>
        <w:rPr>
          <w:sz w:val="20"/>
          <w:szCs w:val="20"/>
        </w:rPr>
      </w:pPr>
      <w:r>
        <w:rPr>
          <w:sz w:val="20"/>
          <w:szCs w:val="20"/>
        </w:rPr>
        <w:t xml:space="preserve">The energy industry, and our business in turn, is cyclical in nature.  Following two years of growth, in 2019, our customers demonstrated an increased focus on returns on invested capital, which drove a more disciplined approach to spending that has impacted each of our business sectors.  Although commodity prices have been relatively stable, with oil moderating around the $50-$60 per barrel level during 2019, global spending surveys are projecting further contraction in 2020, particularly in the North America market.  </w:t>
      </w:r>
      <w:r w:rsidR="00D867DA">
        <w:rPr>
          <w:sz w:val="20"/>
          <w:szCs w:val="20"/>
        </w:rPr>
        <w:t xml:space="preserve">Recent spending plan estimates by sell-side research analysts </w:t>
      </w:r>
      <w:r>
        <w:rPr>
          <w:sz w:val="20"/>
          <w:szCs w:val="20"/>
        </w:rPr>
        <w:t xml:space="preserve">indicate a 7%-12% decrease in </w:t>
      </w:r>
      <w:r w:rsidR="00466DD8">
        <w:rPr>
          <w:sz w:val="20"/>
          <w:szCs w:val="20"/>
        </w:rPr>
        <w:t xml:space="preserve">upstream </w:t>
      </w:r>
      <w:r>
        <w:rPr>
          <w:sz w:val="20"/>
          <w:szCs w:val="20"/>
        </w:rPr>
        <w:t>spending in the U.S. in 2020 offset by a 3%-5% increase internationally. In addition, low natural gas prices, which are currently around $2.00/MMBtu (Henry Hub), are also contributing to lower spending expectations. Given the</w:t>
      </w:r>
      <w:r w:rsidR="00A834E4">
        <w:rPr>
          <w:sz w:val="20"/>
          <w:szCs w:val="20"/>
        </w:rPr>
        <w:t xml:space="preserve"> continuing</w:t>
      </w:r>
      <w:r>
        <w:rPr>
          <w:sz w:val="20"/>
          <w:szCs w:val="20"/>
        </w:rPr>
        <w:t xml:space="preserve"> focus on capital discipline by E&amp;P operators</w:t>
      </w:r>
      <w:r w:rsidR="008C77AE">
        <w:rPr>
          <w:sz w:val="20"/>
          <w:szCs w:val="20"/>
        </w:rPr>
        <w:t xml:space="preserve"> and</w:t>
      </w:r>
      <w:r>
        <w:rPr>
          <w:sz w:val="20"/>
          <w:szCs w:val="20"/>
        </w:rPr>
        <w:t xml:space="preserve"> low natural gas prices, we expect revenue in 2020 will be lower than 2019.</w:t>
      </w:r>
    </w:p>
    <w:p w:rsidR="00BD34EC" w:rsidRDefault="00BD34EC" w:rsidP="00BD34EC">
      <w:pPr>
        <w:pStyle w:val="NormalWeb"/>
        <w:keepNext/>
        <w:spacing w:before="0" w:beforeAutospacing="0" w:after="0" w:afterAutospacing="0"/>
        <w:rPr>
          <w:sz w:val="20"/>
          <w:szCs w:val="20"/>
        </w:rPr>
      </w:pPr>
    </w:p>
    <w:p w:rsidR="00BD34EC" w:rsidRDefault="00BD34EC" w:rsidP="00BD34EC">
      <w:pPr>
        <w:pStyle w:val="NormalWeb"/>
        <w:keepNext/>
        <w:spacing w:before="0" w:beforeAutospacing="0" w:after="0" w:afterAutospacing="0"/>
        <w:rPr>
          <w:sz w:val="20"/>
          <w:szCs w:val="20"/>
        </w:rPr>
      </w:pPr>
      <w:r>
        <w:rPr>
          <w:sz w:val="20"/>
          <w:szCs w:val="20"/>
        </w:rPr>
        <w:t xml:space="preserve">Because we expect further contraction in 2020, we have taken steps in 2019 to reduce our operating costs.  We implemented a hiring freeze and have reduced our headcount by approximately 250 </w:t>
      </w:r>
      <w:r w:rsidR="005A76D0">
        <w:rPr>
          <w:sz w:val="20"/>
          <w:szCs w:val="20"/>
        </w:rPr>
        <w:t>in the second half of 2019</w:t>
      </w:r>
      <w:r>
        <w:rPr>
          <w:sz w:val="20"/>
          <w:szCs w:val="20"/>
        </w:rPr>
        <w:t>.  As a result of these actions, we recorded pre-tax severance</w:t>
      </w:r>
      <w:r w:rsidR="004C04C4">
        <w:rPr>
          <w:sz w:val="20"/>
          <w:szCs w:val="20"/>
        </w:rPr>
        <w:t xml:space="preserve"> and restructuring</w:t>
      </w:r>
      <w:r>
        <w:rPr>
          <w:sz w:val="20"/>
          <w:szCs w:val="20"/>
        </w:rPr>
        <w:t xml:space="preserve"> charges of approximately $9 million during in 2019.  Since the end of 2018, we have reduced our headcount by 360, or 10%</w:t>
      </w:r>
      <w:r w:rsidR="008E37BA">
        <w:rPr>
          <w:sz w:val="20"/>
          <w:szCs w:val="20"/>
        </w:rPr>
        <w:t>,</w:t>
      </w:r>
      <w:r w:rsidR="00466DD8">
        <w:rPr>
          <w:sz w:val="20"/>
          <w:szCs w:val="20"/>
        </w:rPr>
        <w:t xml:space="preserve"> and closed six service locations</w:t>
      </w:r>
      <w:r>
        <w:rPr>
          <w:sz w:val="20"/>
          <w:szCs w:val="20"/>
        </w:rPr>
        <w:t>.  Additionally, we announced that two of our U.S. regional distribution centers will close in 2020.  We will continue to monitor the business outlook, manage our cost structure, including hiring limitations, and adjust our distribution network as required.  In addition to these efforts, we are actively managing our investment in working capital to an appropriate level, which will allow us to generate cash and reduce our indebtedness.</w:t>
      </w:r>
    </w:p>
    <w:p w:rsidR="00BD34EC" w:rsidRDefault="00BD34EC" w:rsidP="00BD34EC">
      <w:pPr>
        <w:rPr>
          <w:sz w:val="20"/>
          <w:lang w:val="am-ET"/>
        </w:rPr>
      </w:pPr>
    </w:p>
    <w:p w:rsidR="00BD34EC" w:rsidRDefault="00BD34EC" w:rsidP="00BD34EC">
      <w:pPr>
        <w:rPr>
          <w:sz w:val="20"/>
        </w:rPr>
      </w:pPr>
      <w:r>
        <w:rPr>
          <w:sz w:val="20"/>
        </w:rPr>
        <w:t xml:space="preserve">In 2018, the United States imposed tariffs ranging from </w:t>
      </w:r>
      <w:r w:rsidR="00780609">
        <w:rPr>
          <w:sz w:val="20"/>
        </w:rPr>
        <w:t>7</w:t>
      </w:r>
      <w:r>
        <w:rPr>
          <w:sz w:val="20"/>
        </w:rPr>
        <w:t>%-</w:t>
      </w:r>
      <w:r w:rsidR="00CB3043">
        <w:rPr>
          <w:sz w:val="20"/>
        </w:rPr>
        <w:t>2</w:t>
      </w:r>
      <w:r>
        <w:rPr>
          <w:sz w:val="20"/>
        </w:rPr>
        <w:t>5% on imports of some product</w:t>
      </w:r>
      <w:r w:rsidR="004C04C4">
        <w:rPr>
          <w:sz w:val="20"/>
        </w:rPr>
        <w:t>s</w:t>
      </w:r>
      <w:r>
        <w:rPr>
          <w:sz w:val="20"/>
        </w:rPr>
        <w:t xml:space="preserve"> that we distribute. Although these actions generally cause the price we pay for products to increase, we are generally able to leverage long-standing relationships with our suppliers and the volume of our purchases to receive market competitive pricing. In addition, our contracts with customers generally allow us to react quickly to price increases through mechanisms that enable us to pass those increases along to customers as they occur. These issues are dynamic and continue to evolve. To the extent our products are further impacted by higher prices caused by tariffs and quotas, the ultimate impact on our revenue and cost of sales, which is determined using the last-in, first-out (“LIFO”) inventory costing methodology, remains subject to uncertainty and volatility.</w:t>
      </w:r>
    </w:p>
    <w:p w:rsidR="00BD34EC" w:rsidRDefault="00BD34EC" w:rsidP="00BD34EC">
      <w:pPr>
        <w:keepNext/>
        <w:keepLines/>
        <w:rPr>
          <w:sz w:val="20"/>
        </w:rPr>
      </w:pPr>
    </w:p>
    <w:p w:rsidR="00BD34EC" w:rsidRDefault="008E37BA" w:rsidP="00BD34EC">
      <w:pPr>
        <w:keepNext/>
        <w:keepLines/>
        <w:rPr>
          <w:sz w:val="20"/>
        </w:rPr>
      </w:pPr>
      <w:r>
        <w:rPr>
          <w:sz w:val="20"/>
        </w:rPr>
        <w:t>Effective January 31, 2020</w:t>
      </w:r>
      <w:r w:rsidR="00E6298E">
        <w:rPr>
          <w:sz w:val="20"/>
        </w:rPr>
        <w:t>,</w:t>
      </w:r>
      <w:r>
        <w:rPr>
          <w:sz w:val="20"/>
        </w:rPr>
        <w:t xml:space="preserve"> the United Kingdom formally exited the European Union (“EU”). </w:t>
      </w:r>
      <w:r w:rsidR="00825487">
        <w:rPr>
          <w:sz w:val="20"/>
        </w:rPr>
        <w:t xml:space="preserve">Following the exit, there will be a transition period until December 31, 2020.  During the transition period, the UK's trading relationship with the EU will remain the same while the two sides negotiate a free trade deal. At the same time, many other aspects of the UK's future relationship with the EU - including law enforcement, data sharing and security - will also be negotiated.  If a trade agreement is timely completed, the UK's new trading relationship with the EU can begin immediately after the transition. If not, there would be no trade agreement, which could </w:t>
      </w:r>
      <w:r w:rsidR="004C04C4">
        <w:rPr>
          <w:sz w:val="20"/>
        </w:rPr>
        <w:t xml:space="preserve">negatively </w:t>
      </w:r>
      <w:r w:rsidR="00825487">
        <w:rPr>
          <w:sz w:val="20"/>
        </w:rPr>
        <w:t xml:space="preserve">impact our business, including any commodity pricing, transfer pricing, and other cross border issues. </w:t>
      </w:r>
      <w:r w:rsidR="00BD34EC">
        <w:rPr>
          <w:sz w:val="20"/>
        </w:rPr>
        <w:t>However, we have a physical presence in both the U.K. and EU member states that would allow us to continue to operate and to serve our customers as needed. In 2019, 2.4% of our revenue has been derived from our U.K. business.</w:t>
      </w:r>
    </w:p>
    <w:p w:rsidR="00A06140" w:rsidRDefault="00A06140" w:rsidP="004D5CF1">
      <w:pPr>
        <w:keepNext/>
        <w:keepLines/>
        <w:rPr>
          <w:sz w:val="20"/>
        </w:rPr>
      </w:pPr>
    </w:p>
    <w:p w:rsidR="000121CD" w:rsidRDefault="00590862" w:rsidP="004D5CF1">
      <w:pPr>
        <w:rPr>
          <w:sz w:val="20"/>
        </w:rPr>
      </w:pPr>
      <w:r w:rsidRPr="004D5CF1">
        <w:rPr>
          <w:sz w:val="20"/>
        </w:rPr>
        <w:t>We determine backlog by the amount of unshipped customer orders, either specific or general in nature, which the customer may revise or cancel in certain instances. The table below details our backlog by segment (in millions):</w:t>
      </w:r>
    </w:p>
    <w:tbl>
      <w:tblPr>
        <w:tblW w:w="5000" w:type="pct"/>
        <w:tblCellMar>
          <w:left w:w="0" w:type="dxa"/>
          <w:right w:w="0" w:type="dxa"/>
        </w:tblCellMar>
        <w:tblLook w:val="04A0" w:firstRow="1" w:lastRow="0" w:firstColumn="1" w:lastColumn="0" w:noHBand="0" w:noVBand="1"/>
      </w:tblPr>
      <w:tblGrid>
        <w:gridCol w:w="4604"/>
        <w:gridCol w:w="408"/>
        <w:gridCol w:w="1486"/>
        <w:gridCol w:w="259"/>
        <w:gridCol w:w="408"/>
        <w:gridCol w:w="1484"/>
        <w:gridCol w:w="259"/>
        <w:gridCol w:w="408"/>
        <w:gridCol w:w="1484"/>
      </w:tblGrid>
      <w:tr w:rsidR="0018024C" w:rsidTr="0018024C">
        <w:trPr>
          <w:trHeight w:hRule="exact" w:val="20"/>
        </w:trPr>
        <w:tc>
          <w:tcPr>
            <w:tcW w:w="2131"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189"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688"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120"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189"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687"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120"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189"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687"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r>
      <w:tr w:rsidR="0018024C" w:rsidTr="0018024C">
        <w:trPr>
          <w:trHeight w:hRule="exact" w:val="315"/>
        </w:trPr>
        <w:tc>
          <w:tcPr>
            <w:tcW w:w="2131" w:type="pct"/>
            <w:tcBorders>
              <w:top w:val="nil"/>
              <w:left w:val="nil"/>
              <w:bottom w:val="nil"/>
              <w:right w:val="nil"/>
              <w:tl2br w:val="nil"/>
              <w:tr2bl w:val="nil"/>
            </w:tcBorders>
            <w:shd w:val="clear" w:color="auto" w:fill="auto"/>
            <w:vAlign w:val="bottom"/>
          </w:tcPr>
          <w:p w:rsidR="0018024C" w:rsidRDefault="0018024C" w:rsidP="0018024C">
            <w:pPr>
              <w:keepNext/>
              <w:keepLines/>
              <w:spacing w:before="1" w:after="1"/>
              <w:rPr>
                <w:sz w:val="20"/>
              </w:rPr>
            </w:pPr>
          </w:p>
        </w:tc>
        <w:tc>
          <w:tcPr>
            <w:tcW w:w="189" w:type="pct"/>
            <w:tcBorders>
              <w:top w:val="nil"/>
              <w:left w:val="nil"/>
              <w:bottom w:val="single" w:sz="12" w:space="0" w:color="000000"/>
              <w:right w:val="nil"/>
              <w:tl2br w:val="nil"/>
              <w:tr2bl w:val="nil"/>
            </w:tcBorders>
            <w:shd w:val="clear" w:color="auto" w:fill="auto"/>
            <w:vAlign w:val="bottom"/>
          </w:tcPr>
          <w:p w:rsidR="0018024C" w:rsidRDefault="0018024C" w:rsidP="0018024C">
            <w:pPr>
              <w:keepNext/>
              <w:keepLines/>
              <w:spacing w:before="1" w:after="1"/>
              <w:rPr>
                <w:sz w:val="20"/>
              </w:rPr>
            </w:pPr>
          </w:p>
        </w:tc>
        <w:tc>
          <w:tcPr>
            <w:tcW w:w="1" w:type="pct"/>
            <w:gridSpan w:val="7"/>
            <w:tcBorders>
              <w:top w:val="nil"/>
              <w:left w:val="nil"/>
              <w:bottom w:val="single" w:sz="12" w:space="0" w:color="000000"/>
              <w:right w:val="nil"/>
              <w:tl2br w:val="nil"/>
              <w:tr2bl w:val="nil"/>
            </w:tcBorders>
            <w:shd w:val="clear" w:color="auto" w:fill="auto"/>
            <w:vAlign w:val="bottom"/>
          </w:tcPr>
          <w:p w:rsidR="0018024C" w:rsidRDefault="0018024C" w:rsidP="0018024C">
            <w:pPr>
              <w:keepNext/>
              <w:keepLines/>
              <w:spacing w:before="1" w:after="1"/>
              <w:jc w:val="center"/>
              <w:rPr>
                <w:b/>
                <w:sz w:val="20"/>
              </w:rPr>
            </w:pPr>
            <w:r>
              <w:rPr>
                <w:b/>
                <w:sz w:val="20"/>
              </w:rPr>
              <w:t>Year Ended December 31,</w:t>
            </w:r>
          </w:p>
        </w:tc>
      </w:tr>
      <w:tr w:rsidR="0018024C" w:rsidTr="0018024C">
        <w:trPr>
          <w:trHeight w:hRule="exact" w:val="255"/>
        </w:trPr>
        <w:tc>
          <w:tcPr>
            <w:tcW w:w="2131" w:type="pct"/>
            <w:tcBorders>
              <w:top w:val="nil"/>
              <w:left w:val="nil"/>
              <w:bottom w:val="nil"/>
              <w:right w:val="nil"/>
              <w:tl2br w:val="nil"/>
              <w:tr2bl w:val="nil"/>
            </w:tcBorders>
            <w:shd w:val="clear" w:color="auto" w:fill="auto"/>
            <w:vAlign w:val="bottom"/>
          </w:tcPr>
          <w:p w:rsidR="0018024C" w:rsidRDefault="0018024C" w:rsidP="0018024C">
            <w:pPr>
              <w:keepNext/>
              <w:keepLines/>
              <w:spacing w:before="1" w:after="1"/>
              <w:rPr>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keepLines/>
              <w:spacing w:before="1" w:after="1"/>
              <w:rPr>
                <w:sz w:val="20"/>
              </w:rPr>
            </w:pPr>
          </w:p>
        </w:tc>
        <w:tc>
          <w:tcPr>
            <w:tcW w:w="688"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keepLines/>
              <w:spacing w:before="1" w:after="1"/>
              <w:jc w:val="center"/>
              <w:rPr>
                <w:b/>
                <w:sz w:val="20"/>
              </w:rPr>
            </w:pPr>
            <w:r>
              <w:rPr>
                <w:b/>
                <w:sz w:val="20"/>
              </w:rPr>
              <w:t>2019</w:t>
            </w:r>
          </w:p>
        </w:tc>
        <w:tc>
          <w:tcPr>
            <w:tcW w:w="120" w:type="pct"/>
            <w:tcBorders>
              <w:top w:val="single" w:sz="0" w:space="0" w:color="000000"/>
              <w:left w:val="nil"/>
              <w:bottom w:val="nil"/>
              <w:right w:val="nil"/>
              <w:tl2br w:val="nil"/>
              <w:tr2bl w:val="nil"/>
            </w:tcBorders>
            <w:shd w:val="clear" w:color="auto" w:fill="auto"/>
            <w:vAlign w:val="bottom"/>
          </w:tcPr>
          <w:p w:rsidR="0018024C" w:rsidRDefault="0018024C" w:rsidP="0018024C">
            <w:pPr>
              <w:keepNext/>
              <w:keepLines/>
              <w:spacing w:before="1" w:after="1"/>
              <w:rPr>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keepLines/>
              <w:spacing w:before="1" w:after="1"/>
              <w:rPr>
                <w:sz w:val="20"/>
              </w:rPr>
            </w:pPr>
          </w:p>
        </w:tc>
        <w:tc>
          <w:tcPr>
            <w:tcW w:w="687"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keepLines/>
              <w:spacing w:before="1" w:after="1"/>
              <w:jc w:val="center"/>
              <w:rPr>
                <w:b/>
                <w:sz w:val="20"/>
              </w:rPr>
            </w:pPr>
            <w:r>
              <w:rPr>
                <w:b/>
                <w:sz w:val="20"/>
              </w:rPr>
              <w:t>2018</w:t>
            </w:r>
          </w:p>
        </w:tc>
        <w:tc>
          <w:tcPr>
            <w:tcW w:w="120" w:type="pct"/>
            <w:tcBorders>
              <w:top w:val="nil"/>
              <w:left w:val="nil"/>
              <w:bottom w:val="nil"/>
              <w:right w:val="nil"/>
              <w:tl2br w:val="nil"/>
              <w:tr2bl w:val="nil"/>
            </w:tcBorders>
            <w:shd w:val="clear" w:color="auto" w:fill="auto"/>
            <w:vAlign w:val="bottom"/>
          </w:tcPr>
          <w:p w:rsidR="0018024C" w:rsidRDefault="0018024C" w:rsidP="0018024C">
            <w:pPr>
              <w:keepNext/>
              <w:keepLines/>
              <w:spacing w:before="1" w:after="1"/>
              <w:jc w:val="center"/>
              <w:rPr>
                <w:b/>
                <w:sz w:val="20"/>
              </w:rPr>
            </w:pPr>
          </w:p>
        </w:tc>
        <w:tc>
          <w:tcPr>
            <w:tcW w:w="189"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keepLines/>
              <w:spacing w:before="1" w:after="1"/>
              <w:rPr>
                <w:sz w:val="20"/>
              </w:rPr>
            </w:pPr>
          </w:p>
        </w:tc>
        <w:tc>
          <w:tcPr>
            <w:tcW w:w="687"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keepLines/>
              <w:spacing w:before="1" w:after="1"/>
              <w:jc w:val="center"/>
              <w:rPr>
                <w:b/>
                <w:sz w:val="20"/>
              </w:rPr>
            </w:pPr>
            <w:r>
              <w:rPr>
                <w:b/>
                <w:sz w:val="20"/>
              </w:rPr>
              <w:t>2017</w:t>
            </w:r>
          </w:p>
        </w:tc>
      </w:tr>
      <w:tr w:rsidR="0018024C" w:rsidTr="0018024C">
        <w:trPr>
          <w:trHeight w:hRule="exact" w:val="255"/>
        </w:trPr>
        <w:tc>
          <w:tcPr>
            <w:tcW w:w="2131" w:type="pct"/>
            <w:tcBorders>
              <w:top w:val="nil"/>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r>
              <w:rPr>
                <w:sz w:val="20"/>
              </w:rPr>
              <w:t>U.S.</w:t>
            </w:r>
          </w:p>
        </w:tc>
        <w:tc>
          <w:tcPr>
            <w:tcW w:w="189"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rPr>
                <w:b/>
                <w:sz w:val="20"/>
              </w:rPr>
            </w:pPr>
            <w:r>
              <w:rPr>
                <w:b/>
                <w:sz w:val="20"/>
              </w:rPr>
              <w:t>$</w:t>
            </w:r>
          </w:p>
        </w:tc>
        <w:tc>
          <w:tcPr>
            <w:tcW w:w="688"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ind w:right="63"/>
              <w:jc w:val="right"/>
              <w:rPr>
                <w:b/>
                <w:sz w:val="20"/>
              </w:rPr>
            </w:pPr>
            <w:r>
              <w:rPr>
                <w:b/>
                <w:sz w:val="20"/>
              </w:rPr>
              <w:t xml:space="preserve"> 301</w:t>
            </w:r>
          </w:p>
        </w:tc>
        <w:tc>
          <w:tcPr>
            <w:tcW w:w="120" w:type="pct"/>
            <w:tcBorders>
              <w:top w:val="nil"/>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p>
        </w:tc>
        <w:tc>
          <w:tcPr>
            <w:tcW w:w="189"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r>
              <w:rPr>
                <w:sz w:val="20"/>
              </w:rPr>
              <w:t>$</w:t>
            </w:r>
          </w:p>
        </w:tc>
        <w:tc>
          <w:tcPr>
            <w:tcW w:w="687"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ind w:right="65"/>
              <w:jc w:val="right"/>
              <w:rPr>
                <w:sz w:val="20"/>
              </w:rPr>
            </w:pPr>
            <w:r>
              <w:rPr>
                <w:sz w:val="20"/>
              </w:rPr>
              <w:t xml:space="preserve"> 426</w:t>
            </w:r>
          </w:p>
        </w:tc>
        <w:tc>
          <w:tcPr>
            <w:tcW w:w="120" w:type="pct"/>
            <w:tcBorders>
              <w:top w:val="nil"/>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p>
        </w:tc>
        <w:tc>
          <w:tcPr>
            <w:tcW w:w="189"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r>
              <w:rPr>
                <w:sz w:val="20"/>
              </w:rPr>
              <w:t>$</w:t>
            </w:r>
          </w:p>
        </w:tc>
        <w:tc>
          <w:tcPr>
            <w:tcW w:w="687"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ind w:right="65"/>
              <w:jc w:val="right"/>
              <w:rPr>
                <w:sz w:val="20"/>
              </w:rPr>
            </w:pPr>
            <w:r>
              <w:rPr>
                <w:sz w:val="20"/>
              </w:rPr>
              <w:t xml:space="preserve"> 559</w:t>
            </w:r>
          </w:p>
        </w:tc>
      </w:tr>
      <w:tr w:rsidR="0018024C" w:rsidTr="0018024C">
        <w:trPr>
          <w:trHeight w:hRule="exact" w:val="255"/>
        </w:trPr>
        <w:tc>
          <w:tcPr>
            <w:tcW w:w="2131" w:type="pct"/>
            <w:tcBorders>
              <w:top w:val="nil"/>
              <w:left w:val="nil"/>
              <w:bottom w:val="nil"/>
              <w:right w:val="nil"/>
              <w:tl2br w:val="nil"/>
              <w:tr2bl w:val="nil"/>
            </w:tcBorders>
            <w:vAlign w:val="bottom"/>
          </w:tcPr>
          <w:p w:rsidR="0018024C" w:rsidRDefault="0018024C" w:rsidP="0018024C">
            <w:pPr>
              <w:keepNext/>
              <w:keepLines/>
              <w:spacing w:before="1" w:after="1"/>
              <w:rPr>
                <w:sz w:val="20"/>
              </w:rPr>
            </w:pPr>
            <w:r>
              <w:rPr>
                <w:sz w:val="20"/>
              </w:rPr>
              <w:t>Canada</w:t>
            </w:r>
          </w:p>
        </w:tc>
        <w:tc>
          <w:tcPr>
            <w:tcW w:w="189" w:type="pct"/>
            <w:tcBorders>
              <w:top w:val="nil"/>
              <w:left w:val="nil"/>
              <w:bottom w:val="nil"/>
              <w:right w:val="nil"/>
              <w:tl2br w:val="nil"/>
              <w:tr2bl w:val="nil"/>
            </w:tcBorders>
            <w:vAlign w:val="bottom"/>
          </w:tcPr>
          <w:p w:rsidR="0018024C" w:rsidRDefault="0018024C" w:rsidP="0018024C">
            <w:pPr>
              <w:keepNext/>
              <w:keepLines/>
              <w:spacing w:before="1" w:after="1"/>
              <w:rPr>
                <w:b/>
                <w:sz w:val="20"/>
              </w:rPr>
            </w:pPr>
          </w:p>
        </w:tc>
        <w:tc>
          <w:tcPr>
            <w:tcW w:w="688" w:type="pct"/>
            <w:tcBorders>
              <w:top w:val="nil"/>
              <w:left w:val="nil"/>
              <w:bottom w:val="nil"/>
              <w:right w:val="nil"/>
              <w:tl2br w:val="nil"/>
              <w:tr2bl w:val="nil"/>
            </w:tcBorders>
            <w:vAlign w:val="bottom"/>
          </w:tcPr>
          <w:p w:rsidR="0018024C" w:rsidRDefault="0018024C" w:rsidP="0018024C">
            <w:pPr>
              <w:keepNext/>
              <w:keepLines/>
              <w:spacing w:before="1" w:after="1"/>
              <w:ind w:right="63"/>
              <w:jc w:val="right"/>
              <w:rPr>
                <w:b/>
                <w:sz w:val="20"/>
              </w:rPr>
            </w:pPr>
            <w:r>
              <w:rPr>
                <w:b/>
                <w:sz w:val="20"/>
              </w:rPr>
              <w:t xml:space="preserve"> 34</w:t>
            </w:r>
          </w:p>
        </w:tc>
        <w:tc>
          <w:tcPr>
            <w:tcW w:w="120"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189"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687" w:type="pct"/>
            <w:tcBorders>
              <w:top w:val="nil"/>
              <w:left w:val="nil"/>
              <w:bottom w:val="nil"/>
              <w:right w:val="nil"/>
              <w:tl2br w:val="nil"/>
              <w:tr2bl w:val="nil"/>
            </w:tcBorders>
            <w:vAlign w:val="bottom"/>
          </w:tcPr>
          <w:p w:rsidR="0018024C" w:rsidRDefault="0018024C" w:rsidP="0018024C">
            <w:pPr>
              <w:keepNext/>
              <w:keepLines/>
              <w:spacing w:before="1" w:after="1"/>
              <w:ind w:right="65"/>
              <w:jc w:val="right"/>
              <w:rPr>
                <w:sz w:val="20"/>
              </w:rPr>
            </w:pPr>
            <w:r>
              <w:rPr>
                <w:sz w:val="20"/>
              </w:rPr>
              <w:t xml:space="preserve"> 35</w:t>
            </w:r>
          </w:p>
        </w:tc>
        <w:tc>
          <w:tcPr>
            <w:tcW w:w="120"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189"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687" w:type="pct"/>
            <w:tcBorders>
              <w:top w:val="nil"/>
              <w:left w:val="nil"/>
              <w:bottom w:val="nil"/>
              <w:right w:val="nil"/>
              <w:tl2br w:val="nil"/>
              <w:tr2bl w:val="nil"/>
            </w:tcBorders>
            <w:vAlign w:val="bottom"/>
          </w:tcPr>
          <w:p w:rsidR="0018024C" w:rsidRDefault="0018024C" w:rsidP="0018024C">
            <w:pPr>
              <w:keepNext/>
              <w:keepLines/>
              <w:spacing w:before="1" w:after="1"/>
              <w:ind w:right="65"/>
              <w:jc w:val="right"/>
              <w:rPr>
                <w:sz w:val="20"/>
              </w:rPr>
            </w:pPr>
            <w:r>
              <w:rPr>
                <w:sz w:val="20"/>
              </w:rPr>
              <w:t xml:space="preserve"> 40</w:t>
            </w:r>
          </w:p>
        </w:tc>
      </w:tr>
      <w:tr w:rsidR="0018024C" w:rsidTr="0018024C">
        <w:trPr>
          <w:trHeight w:hRule="exact" w:val="255"/>
        </w:trPr>
        <w:tc>
          <w:tcPr>
            <w:tcW w:w="2131" w:type="pct"/>
            <w:tcBorders>
              <w:top w:val="nil"/>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r>
              <w:rPr>
                <w:sz w:val="20"/>
              </w:rPr>
              <w:t>International</w:t>
            </w:r>
          </w:p>
        </w:tc>
        <w:tc>
          <w:tcPr>
            <w:tcW w:w="189"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keepLines/>
              <w:spacing w:before="1" w:after="1"/>
              <w:rPr>
                <w:b/>
                <w:sz w:val="20"/>
              </w:rPr>
            </w:pPr>
          </w:p>
        </w:tc>
        <w:tc>
          <w:tcPr>
            <w:tcW w:w="688"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keepLines/>
              <w:spacing w:before="1" w:after="1"/>
              <w:ind w:right="63"/>
              <w:jc w:val="right"/>
              <w:rPr>
                <w:b/>
                <w:sz w:val="20"/>
              </w:rPr>
            </w:pPr>
            <w:r>
              <w:rPr>
                <w:b/>
                <w:sz w:val="20"/>
              </w:rPr>
              <w:t xml:space="preserve"> 174</w:t>
            </w:r>
          </w:p>
        </w:tc>
        <w:tc>
          <w:tcPr>
            <w:tcW w:w="120" w:type="pct"/>
            <w:tcBorders>
              <w:top w:val="nil"/>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p>
        </w:tc>
        <w:tc>
          <w:tcPr>
            <w:tcW w:w="189"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keepLines/>
              <w:spacing w:before="1" w:after="1"/>
              <w:rPr>
                <w:sz w:val="20"/>
              </w:rPr>
            </w:pPr>
          </w:p>
        </w:tc>
        <w:tc>
          <w:tcPr>
            <w:tcW w:w="687"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keepLines/>
              <w:spacing w:before="1" w:after="1"/>
              <w:ind w:right="65"/>
              <w:jc w:val="right"/>
              <w:rPr>
                <w:sz w:val="20"/>
              </w:rPr>
            </w:pPr>
            <w:r>
              <w:rPr>
                <w:sz w:val="20"/>
              </w:rPr>
              <w:t xml:space="preserve"> 177</w:t>
            </w:r>
          </w:p>
        </w:tc>
        <w:tc>
          <w:tcPr>
            <w:tcW w:w="120" w:type="pct"/>
            <w:tcBorders>
              <w:top w:val="nil"/>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p>
        </w:tc>
        <w:tc>
          <w:tcPr>
            <w:tcW w:w="189"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keepLines/>
              <w:spacing w:before="1" w:after="1"/>
              <w:rPr>
                <w:sz w:val="20"/>
              </w:rPr>
            </w:pPr>
          </w:p>
        </w:tc>
        <w:tc>
          <w:tcPr>
            <w:tcW w:w="687"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keepLines/>
              <w:spacing w:before="1" w:after="1"/>
              <w:ind w:right="65"/>
              <w:jc w:val="right"/>
              <w:rPr>
                <w:sz w:val="20"/>
              </w:rPr>
            </w:pPr>
            <w:r>
              <w:rPr>
                <w:sz w:val="20"/>
              </w:rPr>
              <w:t xml:space="preserve"> 233</w:t>
            </w:r>
          </w:p>
        </w:tc>
      </w:tr>
      <w:tr w:rsidR="0018024C" w:rsidTr="0018024C">
        <w:trPr>
          <w:trHeight w:hRule="exact" w:val="255"/>
        </w:trPr>
        <w:tc>
          <w:tcPr>
            <w:tcW w:w="2131"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18024C" w:rsidRDefault="0018024C" w:rsidP="0018024C">
            <w:pPr>
              <w:keepNext/>
              <w:keepLines/>
              <w:spacing w:before="1" w:after="1"/>
              <w:rPr>
                <w:b/>
                <w:sz w:val="20"/>
              </w:rPr>
            </w:pPr>
            <w:r>
              <w:rPr>
                <w:b/>
                <w:sz w:val="20"/>
              </w:rPr>
              <w:t>$</w:t>
            </w:r>
          </w:p>
        </w:tc>
        <w:tc>
          <w:tcPr>
            <w:tcW w:w="688" w:type="pct"/>
            <w:tcBorders>
              <w:top w:val="single" w:sz="0" w:space="0" w:color="000000"/>
              <w:left w:val="nil"/>
              <w:bottom w:val="double" w:sz="4" w:space="0" w:color="000000"/>
              <w:right w:val="nil"/>
              <w:tl2br w:val="nil"/>
              <w:tr2bl w:val="nil"/>
            </w:tcBorders>
            <w:vAlign w:val="bottom"/>
          </w:tcPr>
          <w:p w:rsidR="0018024C" w:rsidRDefault="0018024C" w:rsidP="0018024C">
            <w:pPr>
              <w:keepNext/>
              <w:keepLines/>
              <w:spacing w:before="1" w:after="1"/>
              <w:ind w:right="63"/>
              <w:jc w:val="right"/>
              <w:rPr>
                <w:b/>
                <w:sz w:val="20"/>
              </w:rPr>
            </w:pPr>
            <w:r>
              <w:rPr>
                <w:b/>
                <w:sz w:val="20"/>
              </w:rPr>
              <w:t xml:space="preserve"> 509</w:t>
            </w:r>
          </w:p>
        </w:tc>
        <w:tc>
          <w:tcPr>
            <w:tcW w:w="120"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18024C" w:rsidRDefault="0018024C" w:rsidP="0018024C">
            <w:pPr>
              <w:keepNext/>
              <w:keepLines/>
              <w:spacing w:before="1" w:after="1"/>
              <w:rPr>
                <w:sz w:val="20"/>
              </w:rPr>
            </w:pPr>
            <w:r>
              <w:rPr>
                <w:sz w:val="20"/>
              </w:rPr>
              <w:t>$</w:t>
            </w:r>
          </w:p>
        </w:tc>
        <w:tc>
          <w:tcPr>
            <w:tcW w:w="687" w:type="pct"/>
            <w:tcBorders>
              <w:top w:val="single" w:sz="0" w:space="0" w:color="000000"/>
              <w:left w:val="nil"/>
              <w:bottom w:val="double" w:sz="4" w:space="0" w:color="000000"/>
              <w:right w:val="nil"/>
              <w:tl2br w:val="nil"/>
              <w:tr2bl w:val="nil"/>
            </w:tcBorders>
            <w:vAlign w:val="bottom"/>
          </w:tcPr>
          <w:p w:rsidR="0018024C" w:rsidRDefault="0018024C" w:rsidP="0018024C">
            <w:pPr>
              <w:keepNext/>
              <w:keepLines/>
              <w:spacing w:before="1" w:after="1"/>
              <w:ind w:right="65"/>
              <w:jc w:val="right"/>
              <w:rPr>
                <w:sz w:val="20"/>
              </w:rPr>
            </w:pPr>
            <w:r>
              <w:rPr>
                <w:sz w:val="20"/>
              </w:rPr>
              <w:t xml:space="preserve"> 638</w:t>
            </w:r>
          </w:p>
        </w:tc>
        <w:tc>
          <w:tcPr>
            <w:tcW w:w="120"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189" w:type="pct"/>
            <w:tcBorders>
              <w:top w:val="single" w:sz="0" w:space="0" w:color="000000"/>
              <w:left w:val="nil"/>
              <w:bottom w:val="double" w:sz="4" w:space="0" w:color="000000"/>
              <w:right w:val="nil"/>
              <w:tl2br w:val="nil"/>
              <w:tr2bl w:val="nil"/>
            </w:tcBorders>
            <w:vAlign w:val="bottom"/>
          </w:tcPr>
          <w:p w:rsidR="0018024C" w:rsidRDefault="0018024C" w:rsidP="0018024C">
            <w:pPr>
              <w:keepNext/>
              <w:keepLines/>
              <w:spacing w:before="1" w:after="1"/>
              <w:rPr>
                <w:sz w:val="20"/>
              </w:rPr>
            </w:pPr>
            <w:r>
              <w:rPr>
                <w:sz w:val="20"/>
              </w:rPr>
              <w:t>$</w:t>
            </w:r>
          </w:p>
        </w:tc>
        <w:tc>
          <w:tcPr>
            <w:tcW w:w="687" w:type="pct"/>
            <w:tcBorders>
              <w:top w:val="single" w:sz="0" w:space="0" w:color="000000"/>
              <w:left w:val="nil"/>
              <w:bottom w:val="double" w:sz="4" w:space="0" w:color="000000"/>
              <w:right w:val="nil"/>
              <w:tl2br w:val="nil"/>
              <w:tr2bl w:val="nil"/>
            </w:tcBorders>
            <w:vAlign w:val="bottom"/>
          </w:tcPr>
          <w:p w:rsidR="0018024C" w:rsidRDefault="0018024C" w:rsidP="0018024C">
            <w:pPr>
              <w:keepNext/>
              <w:keepLines/>
              <w:spacing w:before="1" w:after="1"/>
              <w:ind w:right="65"/>
              <w:jc w:val="right"/>
              <w:rPr>
                <w:sz w:val="20"/>
              </w:rPr>
            </w:pPr>
            <w:r>
              <w:rPr>
                <w:sz w:val="20"/>
              </w:rPr>
              <w:t xml:space="preserve"> 832</w:t>
            </w:r>
          </w:p>
        </w:tc>
      </w:tr>
    </w:tbl>
    <w:p w:rsidR="000121CD" w:rsidRDefault="00590862">
      <w:pPr>
        <w:pStyle w:val="NormalWeb"/>
        <w:spacing w:before="180" w:beforeAutospacing="0" w:after="0" w:afterAutospacing="0"/>
        <w:rPr>
          <w:sz w:val="20"/>
          <w:szCs w:val="20"/>
        </w:rPr>
      </w:pPr>
      <w:r>
        <w:rPr>
          <w:sz w:val="20"/>
          <w:szCs w:val="20"/>
        </w:rPr>
        <w:t xml:space="preserve">As of December 31, </w:t>
      </w:r>
      <w:r w:rsidR="007B3A58" w:rsidRPr="003A4344">
        <w:rPr>
          <w:sz w:val="20"/>
          <w:szCs w:val="20"/>
        </w:rPr>
        <w:t>2018</w:t>
      </w:r>
      <w:r>
        <w:rPr>
          <w:sz w:val="20"/>
          <w:szCs w:val="20"/>
        </w:rPr>
        <w:t xml:space="preserve"> and </w:t>
      </w:r>
      <w:r w:rsidR="007B3A58" w:rsidRPr="003A4344">
        <w:rPr>
          <w:sz w:val="20"/>
          <w:szCs w:val="20"/>
        </w:rPr>
        <w:t>2017</w:t>
      </w:r>
      <w:r>
        <w:rPr>
          <w:sz w:val="20"/>
          <w:szCs w:val="20"/>
        </w:rPr>
        <w:t xml:space="preserve">, respectively, approximately </w:t>
      </w:r>
      <w:r w:rsidR="007B3A58">
        <w:rPr>
          <w:sz w:val="20"/>
          <w:szCs w:val="20"/>
        </w:rPr>
        <w:t>7</w:t>
      </w:r>
      <w:r>
        <w:rPr>
          <w:sz w:val="20"/>
          <w:szCs w:val="20"/>
        </w:rPr>
        <w:t xml:space="preserve">% and </w:t>
      </w:r>
      <w:r w:rsidR="007B3A58">
        <w:rPr>
          <w:sz w:val="20"/>
          <w:szCs w:val="20"/>
        </w:rPr>
        <w:t>2</w:t>
      </w:r>
      <w:r>
        <w:rPr>
          <w:sz w:val="20"/>
          <w:szCs w:val="20"/>
        </w:rPr>
        <w:t>3% of our ending backlog was associated with two customers in our U.S</w:t>
      </w:r>
      <w:r w:rsidR="000F76FB">
        <w:rPr>
          <w:sz w:val="20"/>
          <w:szCs w:val="20"/>
        </w:rPr>
        <w:t>.</w:t>
      </w:r>
      <w:r>
        <w:rPr>
          <w:sz w:val="20"/>
          <w:szCs w:val="20"/>
        </w:rPr>
        <w:t xml:space="preserve"> segment. In addition, approximately </w:t>
      </w:r>
      <w:r w:rsidR="007B3A58">
        <w:rPr>
          <w:sz w:val="20"/>
          <w:szCs w:val="20"/>
        </w:rPr>
        <w:t>5</w:t>
      </w:r>
      <w:r>
        <w:rPr>
          <w:sz w:val="20"/>
          <w:szCs w:val="20"/>
        </w:rPr>
        <w:t>% and 1</w:t>
      </w:r>
      <w:r w:rsidR="007B3A58">
        <w:rPr>
          <w:sz w:val="20"/>
          <w:szCs w:val="20"/>
        </w:rPr>
        <w:t>4</w:t>
      </w:r>
      <w:r>
        <w:rPr>
          <w:sz w:val="20"/>
          <w:szCs w:val="20"/>
        </w:rPr>
        <w:t xml:space="preserve">% of our ending backlog for </w:t>
      </w:r>
      <w:r w:rsidR="007B3A58" w:rsidRPr="003A4344">
        <w:rPr>
          <w:sz w:val="20"/>
          <w:szCs w:val="20"/>
        </w:rPr>
        <w:t>2018</w:t>
      </w:r>
      <w:r>
        <w:rPr>
          <w:sz w:val="20"/>
          <w:szCs w:val="20"/>
        </w:rPr>
        <w:t xml:space="preserve"> and </w:t>
      </w:r>
      <w:r w:rsidR="007B3A58" w:rsidRPr="003A4344">
        <w:rPr>
          <w:sz w:val="20"/>
          <w:szCs w:val="20"/>
        </w:rPr>
        <w:t>2017</w:t>
      </w:r>
      <w:r>
        <w:rPr>
          <w:sz w:val="20"/>
          <w:szCs w:val="20"/>
        </w:rPr>
        <w:t xml:space="preserve">, respectively, was associated with one customer in our International segment. In each case, these </w:t>
      </w:r>
      <w:r w:rsidR="00BD34EC">
        <w:rPr>
          <w:sz w:val="20"/>
          <w:szCs w:val="20"/>
        </w:rPr>
        <w:t>we</w:t>
      </w:r>
      <w:r>
        <w:rPr>
          <w:sz w:val="20"/>
          <w:szCs w:val="20"/>
        </w:rPr>
        <w:t xml:space="preserve">re related to significant ongoing customer projects that were substantially completed by the end of 2018. </w:t>
      </w:r>
      <w:r w:rsidR="00EB677F">
        <w:rPr>
          <w:sz w:val="20"/>
          <w:szCs w:val="20"/>
        </w:rPr>
        <w:t>There were no similar large project amounts included in backlog as of December 31, 2019.  Excluding these major projects, backlog in our U.S. segment declined 20% from December 31, 2018 to December 31, 2019 as a result of the overall decline in customer activity while backlog in our International segment increased 19%</w:t>
      </w:r>
      <w:r w:rsidR="000F76FB">
        <w:rPr>
          <w:sz w:val="20"/>
          <w:szCs w:val="20"/>
        </w:rPr>
        <w:t> </w:t>
      </w:r>
      <w:r w:rsidR="00EB677F">
        <w:rPr>
          <w:sz w:val="20"/>
          <w:szCs w:val="20"/>
        </w:rPr>
        <w:t xml:space="preserve">over that same time period. </w:t>
      </w:r>
      <w:r>
        <w:rPr>
          <w:sz w:val="20"/>
          <w:szCs w:val="20"/>
        </w:rPr>
        <w:t>There can be no assurance that the backlog amounts will ultimately be realized as revenue or that we will earn a profit on the backlog of orders, but we expect that substantially all of the sales in our backlog will be realized within twelve months.</w:t>
      </w:r>
    </w:p>
    <w:p w:rsidR="000121CD" w:rsidRDefault="00590862">
      <w:pPr>
        <w:pStyle w:val="NormalWeb"/>
        <w:keepNext/>
        <w:spacing w:before="180" w:beforeAutospacing="0" w:after="0" w:afterAutospacing="0"/>
        <w:rPr>
          <w:sz w:val="20"/>
          <w:szCs w:val="20"/>
        </w:rPr>
      </w:pPr>
      <w:r>
        <w:rPr>
          <w:sz w:val="20"/>
          <w:szCs w:val="20"/>
        </w:rPr>
        <w:t xml:space="preserve">The following table </w:t>
      </w:r>
      <w:r w:rsidR="00396644">
        <w:rPr>
          <w:sz w:val="20"/>
          <w:szCs w:val="20"/>
        </w:rPr>
        <w:t>sets forth</w:t>
      </w:r>
      <w:r>
        <w:rPr>
          <w:sz w:val="20"/>
          <w:szCs w:val="20"/>
        </w:rPr>
        <w:t xml:space="preserve"> key industry indicators for the years ended </w:t>
      </w:r>
      <w:r w:rsidR="003627E3" w:rsidRPr="003A4344">
        <w:rPr>
          <w:sz w:val="20"/>
          <w:szCs w:val="20"/>
        </w:rPr>
        <w:t>December 31, 2019, 2018 and 2017</w:t>
      </w:r>
      <w:r>
        <w:rPr>
          <w:sz w:val="20"/>
          <w:szCs w:val="20"/>
        </w:rPr>
        <w:t xml:space="preserve">: </w:t>
      </w:r>
    </w:p>
    <w:tbl>
      <w:tblPr>
        <w:tblW w:w="5000" w:type="pct"/>
        <w:tblCellMar>
          <w:left w:w="0" w:type="dxa"/>
          <w:right w:w="0" w:type="dxa"/>
        </w:tblCellMar>
        <w:tblLook w:val="04A0" w:firstRow="1" w:lastRow="0" w:firstColumn="1" w:lastColumn="0" w:noHBand="0" w:noVBand="1"/>
      </w:tblPr>
      <w:tblGrid>
        <w:gridCol w:w="4583"/>
        <w:gridCol w:w="337"/>
        <w:gridCol w:w="1404"/>
        <w:gridCol w:w="337"/>
        <w:gridCol w:w="337"/>
        <w:gridCol w:w="1404"/>
        <w:gridCol w:w="337"/>
        <w:gridCol w:w="337"/>
        <w:gridCol w:w="1404"/>
        <w:gridCol w:w="320"/>
      </w:tblGrid>
      <w:tr w:rsidR="0018024C" w:rsidTr="0018024C">
        <w:trPr>
          <w:trHeight w:hRule="exact" w:val="20"/>
        </w:trPr>
        <w:tc>
          <w:tcPr>
            <w:tcW w:w="2122"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56"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650"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56"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56"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650"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56"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56"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650"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48" w:type="pct"/>
            <w:tcBorders>
              <w:top w:val="nil"/>
              <w:left w:val="nil"/>
              <w:bottom w:val="nil"/>
              <w:right w:val="nil"/>
            </w:tcBorders>
            <w:shd w:val="clear" w:color="auto" w:fill="auto"/>
            <w:vAlign w:val="bottom"/>
          </w:tcPr>
          <w:p w:rsidR="0018024C" w:rsidRDefault="0018024C" w:rsidP="0018024C">
            <w:pPr>
              <w:spacing w:before="1" w:after="1"/>
              <w:rPr>
                <w:sz w:val="2"/>
              </w:rPr>
            </w:pPr>
          </w:p>
        </w:tc>
      </w:tr>
      <w:tr w:rsidR="0018024C" w:rsidTr="0018024C">
        <w:trPr>
          <w:trHeight w:hRule="exact" w:val="300"/>
        </w:trPr>
        <w:tc>
          <w:tcPr>
            <w:tcW w:w="2122" w:type="pct"/>
            <w:tcBorders>
              <w:top w:val="nil"/>
              <w:left w:val="nil"/>
              <w:bottom w:val="nil"/>
              <w:right w:val="nil"/>
              <w:tl2br w:val="nil"/>
              <w:tr2bl w:val="nil"/>
            </w:tcBorders>
            <w:shd w:val="clear" w:color="auto" w:fill="auto"/>
            <w:vAlign w:val="bottom"/>
          </w:tcPr>
          <w:p w:rsidR="0018024C" w:rsidRDefault="0018024C" w:rsidP="0018024C">
            <w:pPr>
              <w:spacing w:before="1" w:after="1"/>
              <w:rPr>
                <w:b/>
                <w:color w:val="000000"/>
                <w:sz w:val="20"/>
              </w:rPr>
            </w:pPr>
          </w:p>
        </w:tc>
        <w:tc>
          <w:tcPr>
            <w:tcW w:w="156" w:type="pct"/>
            <w:tcBorders>
              <w:top w:val="nil"/>
              <w:left w:val="nil"/>
              <w:bottom w:val="nil"/>
              <w:right w:val="nil"/>
              <w:tl2br w:val="nil"/>
              <w:tr2bl w:val="nil"/>
            </w:tcBorders>
            <w:shd w:val="clear" w:color="auto" w:fill="auto"/>
            <w:vAlign w:val="bottom"/>
          </w:tcPr>
          <w:p w:rsidR="0018024C" w:rsidRDefault="0018024C" w:rsidP="0018024C">
            <w:pPr>
              <w:spacing w:before="1" w:after="1"/>
              <w:rPr>
                <w:b/>
                <w:color w:val="000000"/>
                <w:sz w:val="20"/>
              </w:rPr>
            </w:pPr>
          </w:p>
        </w:tc>
        <w:tc>
          <w:tcPr>
            <w:tcW w:w="1" w:type="pct"/>
            <w:gridSpan w:val="7"/>
            <w:tcBorders>
              <w:top w:val="nil"/>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color w:val="000000"/>
                <w:sz w:val="20"/>
              </w:rPr>
            </w:pPr>
            <w:r>
              <w:rPr>
                <w:b/>
                <w:color w:val="000000"/>
                <w:sz w:val="20"/>
              </w:rPr>
              <w:t>Year Ended December 31,</w:t>
            </w:r>
          </w:p>
        </w:tc>
        <w:tc>
          <w:tcPr>
            <w:tcW w:w="148" w:type="pct"/>
            <w:tcBorders>
              <w:top w:val="nil"/>
              <w:left w:val="nil"/>
              <w:bottom w:val="nil"/>
              <w:right w:val="nil"/>
              <w:tl2br w:val="nil"/>
              <w:tr2bl w:val="nil"/>
            </w:tcBorders>
            <w:shd w:val="clear" w:color="auto" w:fill="auto"/>
            <w:vAlign w:val="bottom"/>
          </w:tcPr>
          <w:p w:rsidR="0018024C" w:rsidRDefault="0018024C" w:rsidP="0018024C">
            <w:pPr>
              <w:spacing w:before="1" w:after="1"/>
              <w:rPr>
                <w:b/>
                <w:color w:val="000000"/>
                <w:sz w:val="20"/>
              </w:rPr>
            </w:pPr>
          </w:p>
        </w:tc>
      </w:tr>
      <w:tr w:rsidR="0018024C" w:rsidTr="0018024C">
        <w:trPr>
          <w:trHeight w:hRule="exact" w:val="300"/>
        </w:trPr>
        <w:tc>
          <w:tcPr>
            <w:tcW w:w="2122"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20"/>
              </w:rPr>
            </w:pPr>
          </w:p>
        </w:tc>
        <w:tc>
          <w:tcPr>
            <w:tcW w:w="650"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20"/>
              </w:rPr>
            </w:pPr>
            <w:r>
              <w:rPr>
                <w:b/>
                <w:sz w:val="20"/>
              </w:rPr>
              <w:t>2019</w:t>
            </w:r>
          </w:p>
        </w:tc>
        <w:tc>
          <w:tcPr>
            <w:tcW w:w="156"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20"/>
              </w:rPr>
            </w:pPr>
          </w:p>
        </w:tc>
        <w:tc>
          <w:tcPr>
            <w:tcW w:w="156"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20"/>
              </w:rPr>
            </w:pPr>
          </w:p>
        </w:tc>
        <w:tc>
          <w:tcPr>
            <w:tcW w:w="650"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20"/>
              </w:rPr>
            </w:pPr>
            <w:r>
              <w:rPr>
                <w:b/>
                <w:sz w:val="20"/>
              </w:rPr>
              <w:t xml:space="preserve"> 2018</w:t>
            </w:r>
          </w:p>
        </w:tc>
        <w:tc>
          <w:tcPr>
            <w:tcW w:w="156"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rPr>
                <w:b/>
                <w:sz w:val="20"/>
              </w:rPr>
            </w:pPr>
          </w:p>
        </w:tc>
        <w:tc>
          <w:tcPr>
            <w:tcW w:w="156"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rPr>
                <w:b/>
                <w:sz w:val="20"/>
              </w:rPr>
            </w:pPr>
          </w:p>
        </w:tc>
        <w:tc>
          <w:tcPr>
            <w:tcW w:w="650"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20"/>
              </w:rPr>
            </w:pPr>
            <w:r>
              <w:rPr>
                <w:b/>
                <w:sz w:val="20"/>
              </w:rPr>
              <w:t xml:space="preserve"> 2017</w:t>
            </w:r>
          </w:p>
        </w:tc>
        <w:tc>
          <w:tcPr>
            <w:tcW w:w="148" w:type="pct"/>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20"/>
              </w:rPr>
            </w:pPr>
          </w:p>
        </w:tc>
      </w:tr>
      <w:tr w:rsidR="0018024C" w:rsidTr="0018024C">
        <w:trPr>
          <w:trHeight w:hRule="exact" w:val="300"/>
        </w:trPr>
        <w:tc>
          <w:tcPr>
            <w:tcW w:w="2122" w:type="pct"/>
            <w:tcBorders>
              <w:top w:val="nil"/>
              <w:left w:val="nil"/>
              <w:bottom w:val="nil"/>
              <w:right w:val="nil"/>
              <w:tl2br w:val="nil"/>
              <w:tr2bl w:val="nil"/>
            </w:tcBorders>
            <w:shd w:val="clear" w:color="auto" w:fill="CCEEFF"/>
            <w:vAlign w:val="bottom"/>
          </w:tcPr>
          <w:p w:rsidR="0018024C" w:rsidRDefault="0018024C" w:rsidP="0018024C">
            <w:pPr>
              <w:spacing w:before="1" w:after="1"/>
              <w:rPr>
                <w:i/>
                <w:sz w:val="20"/>
              </w:rPr>
            </w:pPr>
            <w:r>
              <w:rPr>
                <w:i/>
                <w:sz w:val="20"/>
              </w:rPr>
              <w:t>Average Rig Count (1):</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i/>
                <w:sz w:val="20"/>
              </w:rPr>
            </w:pPr>
          </w:p>
        </w:tc>
        <w:tc>
          <w:tcPr>
            <w:tcW w:w="650"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50"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50"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48"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vAlign w:val="bottom"/>
          </w:tcPr>
          <w:p w:rsidR="0018024C" w:rsidRDefault="0018024C" w:rsidP="0018024C">
            <w:pPr>
              <w:spacing w:before="1" w:after="1"/>
              <w:rPr>
                <w:sz w:val="20"/>
              </w:rPr>
            </w:pPr>
            <w:r>
              <w:rPr>
                <w:sz w:val="20"/>
              </w:rPr>
              <w:t>United States</w:t>
            </w: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ind w:right="63"/>
              <w:jc w:val="right"/>
              <w:rPr>
                <w:b/>
                <w:sz w:val="20"/>
              </w:rPr>
            </w:pPr>
            <w:r>
              <w:rPr>
                <w:b/>
                <w:sz w:val="20"/>
              </w:rPr>
              <w:t xml:space="preserve"> 943</w:t>
            </w: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ind w:right="65"/>
              <w:jc w:val="right"/>
              <w:rPr>
                <w:sz w:val="20"/>
              </w:rPr>
            </w:pPr>
            <w:r>
              <w:rPr>
                <w:sz w:val="20"/>
              </w:rPr>
              <w:t xml:space="preserve"> 1,032</w:t>
            </w: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ind w:right="65"/>
              <w:jc w:val="right"/>
              <w:rPr>
                <w:sz w:val="20"/>
              </w:rPr>
            </w:pPr>
            <w:r>
              <w:rPr>
                <w:sz w:val="20"/>
              </w:rPr>
              <w:t xml:space="preserve"> 876</w:t>
            </w:r>
          </w:p>
        </w:tc>
        <w:tc>
          <w:tcPr>
            <w:tcW w:w="148" w:type="pct"/>
            <w:tcBorders>
              <w:top w:val="nil"/>
              <w:left w:val="nil"/>
              <w:bottom w:val="nil"/>
              <w:right w:val="nil"/>
              <w:tl2br w:val="nil"/>
              <w:tr2bl w:val="nil"/>
            </w:tcBorders>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Canada</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18024C" w:rsidRDefault="0018024C" w:rsidP="0018024C">
            <w:pPr>
              <w:spacing w:before="1" w:after="1"/>
              <w:ind w:right="63"/>
              <w:jc w:val="right"/>
              <w:rPr>
                <w:b/>
                <w:sz w:val="20"/>
              </w:rPr>
            </w:pPr>
            <w:r>
              <w:rPr>
                <w:b/>
                <w:sz w:val="20"/>
              </w:rPr>
              <w:t xml:space="preserve"> 134</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191</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206</w:t>
            </w:r>
          </w:p>
        </w:tc>
        <w:tc>
          <w:tcPr>
            <w:tcW w:w="148"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vAlign w:val="bottom"/>
          </w:tcPr>
          <w:p w:rsidR="0018024C" w:rsidRDefault="0018024C" w:rsidP="0018024C">
            <w:pPr>
              <w:spacing w:before="1" w:after="1"/>
              <w:ind w:left="240"/>
              <w:rPr>
                <w:sz w:val="20"/>
              </w:rPr>
            </w:pPr>
            <w:r>
              <w:rPr>
                <w:sz w:val="20"/>
              </w:rPr>
              <w:t>Total North America</w:t>
            </w:r>
          </w:p>
        </w:tc>
        <w:tc>
          <w:tcPr>
            <w:tcW w:w="156" w:type="pct"/>
            <w:tcBorders>
              <w:top w:val="nil"/>
              <w:left w:val="nil"/>
              <w:bottom w:val="nil"/>
              <w:right w:val="nil"/>
              <w:tl2br w:val="nil"/>
              <w:tr2bl w:val="nil"/>
            </w:tcBorders>
            <w:vAlign w:val="bottom"/>
          </w:tcPr>
          <w:p w:rsidR="0018024C" w:rsidRDefault="0018024C" w:rsidP="0018024C">
            <w:pPr>
              <w:spacing w:before="1" w:after="1"/>
              <w:ind w:left="240"/>
              <w:rPr>
                <w:sz w:val="20"/>
              </w:rPr>
            </w:pPr>
          </w:p>
        </w:tc>
        <w:tc>
          <w:tcPr>
            <w:tcW w:w="650" w:type="pct"/>
            <w:tcBorders>
              <w:top w:val="single" w:sz="0" w:space="0" w:color="000000"/>
              <w:left w:val="nil"/>
              <w:bottom w:val="nil"/>
              <w:right w:val="nil"/>
              <w:tl2br w:val="nil"/>
              <w:tr2bl w:val="nil"/>
            </w:tcBorders>
            <w:vAlign w:val="bottom"/>
          </w:tcPr>
          <w:p w:rsidR="0018024C" w:rsidRDefault="0018024C" w:rsidP="0018024C">
            <w:pPr>
              <w:spacing w:before="1" w:after="1"/>
              <w:ind w:right="63"/>
              <w:jc w:val="right"/>
              <w:rPr>
                <w:b/>
                <w:sz w:val="20"/>
              </w:rPr>
            </w:pPr>
            <w:r>
              <w:rPr>
                <w:b/>
                <w:sz w:val="20"/>
              </w:rPr>
              <w:t xml:space="preserve"> 1,077</w:t>
            </w: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single" w:sz="0" w:space="0" w:color="000000"/>
              <w:left w:val="nil"/>
              <w:bottom w:val="nil"/>
              <w:right w:val="nil"/>
              <w:tl2br w:val="nil"/>
              <w:tr2bl w:val="nil"/>
            </w:tcBorders>
            <w:vAlign w:val="bottom"/>
          </w:tcPr>
          <w:p w:rsidR="0018024C" w:rsidRDefault="0018024C" w:rsidP="0018024C">
            <w:pPr>
              <w:spacing w:before="1" w:after="1"/>
              <w:ind w:right="65"/>
              <w:jc w:val="right"/>
              <w:rPr>
                <w:sz w:val="20"/>
              </w:rPr>
            </w:pPr>
            <w:r>
              <w:rPr>
                <w:sz w:val="20"/>
              </w:rPr>
              <w:t xml:space="preserve"> 1,223</w:t>
            </w: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single" w:sz="0" w:space="0" w:color="000000"/>
              <w:left w:val="nil"/>
              <w:bottom w:val="nil"/>
              <w:right w:val="nil"/>
              <w:tl2br w:val="nil"/>
              <w:tr2bl w:val="nil"/>
            </w:tcBorders>
            <w:vAlign w:val="bottom"/>
          </w:tcPr>
          <w:p w:rsidR="0018024C" w:rsidRDefault="0018024C" w:rsidP="0018024C">
            <w:pPr>
              <w:spacing w:before="1" w:after="1"/>
              <w:ind w:right="65"/>
              <w:jc w:val="right"/>
              <w:rPr>
                <w:sz w:val="20"/>
              </w:rPr>
            </w:pPr>
            <w:r>
              <w:rPr>
                <w:sz w:val="20"/>
              </w:rPr>
              <w:t xml:space="preserve"> 1,082</w:t>
            </w:r>
          </w:p>
        </w:tc>
        <w:tc>
          <w:tcPr>
            <w:tcW w:w="148" w:type="pct"/>
            <w:tcBorders>
              <w:top w:val="nil"/>
              <w:left w:val="nil"/>
              <w:bottom w:val="nil"/>
              <w:right w:val="nil"/>
              <w:tl2br w:val="nil"/>
              <w:tr2bl w:val="nil"/>
            </w:tcBorders>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International</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18024C" w:rsidRDefault="0018024C" w:rsidP="0018024C">
            <w:pPr>
              <w:spacing w:before="1" w:after="1"/>
              <w:ind w:right="63"/>
              <w:jc w:val="right"/>
              <w:rPr>
                <w:b/>
                <w:sz w:val="20"/>
              </w:rPr>
            </w:pPr>
            <w:r>
              <w:rPr>
                <w:b/>
                <w:sz w:val="20"/>
              </w:rPr>
              <w:t xml:space="preserve"> 1,098</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988</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50" w:type="pct"/>
            <w:tcBorders>
              <w:top w:val="nil"/>
              <w:left w:val="nil"/>
              <w:bottom w:val="single" w:sz="12" w:space="0" w:color="000000"/>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948</w:t>
            </w:r>
          </w:p>
        </w:tc>
        <w:tc>
          <w:tcPr>
            <w:tcW w:w="148"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vAlign w:val="bottom"/>
          </w:tcPr>
          <w:p w:rsidR="0018024C" w:rsidRDefault="0018024C" w:rsidP="0018024C">
            <w:pPr>
              <w:spacing w:before="1" w:after="1"/>
              <w:ind w:left="240"/>
              <w:rPr>
                <w:sz w:val="20"/>
              </w:rPr>
            </w:pPr>
            <w:r>
              <w:rPr>
                <w:sz w:val="20"/>
              </w:rPr>
              <w:t>Total Worldwide</w:t>
            </w:r>
          </w:p>
        </w:tc>
        <w:tc>
          <w:tcPr>
            <w:tcW w:w="156" w:type="pct"/>
            <w:tcBorders>
              <w:top w:val="nil"/>
              <w:left w:val="nil"/>
              <w:bottom w:val="nil"/>
              <w:right w:val="nil"/>
              <w:tl2br w:val="nil"/>
              <w:tr2bl w:val="nil"/>
            </w:tcBorders>
            <w:vAlign w:val="bottom"/>
          </w:tcPr>
          <w:p w:rsidR="0018024C" w:rsidRDefault="0018024C" w:rsidP="0018024C">
            <w:pPr>
              <w:spacing w:before="1" w:after="1"/>
              <w:ind w:left="240"/>
              <w:rPr>
                <w:sz w:val="20"/>
              </w:rPr>
            </w:pPr>
          </w:p>
        </w:tc>
        <w:tc>
          <w:tcPr>
            <w:tcW w:w="650" w:type="pct"/>
            <w:tcBorders>
              <w:top w:val="single" w:sz="0" w:space="0" w:color="000000"/>
              <w:left w:val="nil"/>
              <w:bottom w:val="double" w:sz="4" w:space="0" w:color="000000"/>
              <w:right w:val="nil"/>
              <w:tl2br w:val="nil"/>
              <w:tr2bl w:val="nil"/>
            </w:tcBorders>
            <w:vAlign w:val="bottom"/>
          </w:tcPr>
          <w:p w:rsidR="0018024C" w:rsidRDefault="0018024C" w:rsidP="0018024C">
            <w:pPr>
              <w:spacing w:before="1" w:after="1"/>
              <w:ind w:right="63"/>
              <w:jc w:val="right"/>
              <w:rPr>
                <w:b/>
                <w:sz w:val="20"/>
              </w:rPr>
            </w:pPr>
            <w:r>
              <w:rPr>
                <w:b/>
                <w:sz w:val="20"/>
              </w:rPr>
              <w:t xml:space="preserve"> 2,175</w:t>
            </w: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single" w:sz="0" w:space="0" w:color="000000"/>
              <w:left w:val="nil"/>
              <w:bottom w:val="double" w:sz="4" w:space="0" w:color="000000"/>
              <w:right w:val="nil"/>
              <w:tl2br w:val="nil"/>
              <w:tr2bl w:val="nil"/>
            </w:tcBorders>
            <w:vAlign w:val="bottom"/>
          </w:tcPr>
          <w:p w:rsidR="0018024C" w:rsidRDefault="0018024C" w:rsidP="0018024C">
            <w:pPr>
              <w:spacing w:before="1" w:after="1"/>
              <w:ind w:right="65"/>
              <w:jc w:val="right"/>
              <w:rPr>
                <w:sz w:val="20"/>
              </w:rPr>
            </w:pPr>
            <w:r>
              <w:rPr>
                <w:sz w:val="20"/>
              </w:rPr>
              <w:t xml:space="preserve"> 2,211</w:t>
            </w: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single" w:sz="0" w:space="0" w:color="000000"/>
              <w:left w:val="nil"/>
              <w:bottom w:val="double" w:sz="4" w:space="0" w:color="000000"/>
              <w:right w:val="nil"/>
              <w:tl2br w:val="nil"/>
              <w:tr2bl w:val="nil"/>
            </w:tcBorders>
            <w:vAlign w:val="bottom"/>
          </w:tcPr>
          <w:p w:rsidR="0018024C" w:rsidRDefault="0018024C" w:rsidP="0018024C">
            <w:pPr>
              <w:spacing w:before="1" w:after="1"/>
              <w:ind w:right="65"/>
              <w:jc w:val="right"/>
              <w:rPr>
                <w:sz w:val="20"/>
              </w:rPr>
            </w:pPr>
            <w:r>
              <w:rPr>
                <w:sz w:val="20"/>
              </w:rPr>
              <w:t xml:space="preserve"> 2,030</w:t>
            </w:r>
          </w:p>
        </w:tc>
        <w:tc>
          <w:tcPr>
            <w:tcW w:w="148" w:type="pct"/>
            <w:tcBorders>
              <w:top w:val="nil"/>
              <w:left w:val="nil"/>
              <w:bottom w:val="nil"/>
              <w:right w:val="nil"/>
              <w:tl2br w:val="nil"/>
              <w:tr2bl w:val="nil"/>
            </w:tcBorders>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50" w:type="pct"/>
            <w:tcBorders>
              <w:top w:val="double" w:sz="0" w:space="0" w:color="000000"/>
              <w:left w:val="nil"/>
              <w:bottom w:val="nil"/>
              <w:right w:val="nil"/>
              <w:tl2br w:val="nil"/>
              <w:tr2bl w:val="nil"/>
            </w:tcBorders>
            <w:shd w:val="clear" w:color="auto" w:fill="CCEEFF"/>
            <w:vAlign w:val="bottom"/>
          </w:tcPr>
          <w:p w:rsidR="0018024C" w:rsidRDefault="0018024C" w:rsidP="0018024C">
            <w:pPr>
              <w:spacing w:before="1" w:after="1"/>
              <w:rPr>
                <w:b/>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50" w:type="pct"/>
            <w:tcBorders>
              <w:top w:val="double" w:sz="0" w:space="0" w:color="000000"/>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50" w:type="pct"/>
            <w:tcBorders>
              <w:top w:val="double" w:sz="0" w:space="0" w:color="000000"/>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48"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vAlign w:val="bottom"/>
          </w:tcPr>
          <w:p w:rsidR="0018024C" w:rsidRDefault="0018024C" w:rsidP="0018024C">
            <w:pPr>
              <w:spacing w:before="1" w:after="1"/>
              <w:rPr>
                <w:i/>
                <w:sz w:val="20"/>
              </w:rPr>
            </w:pPr>
            <w:r>
              <w:rPr>
                <w:i/>
                <w:sz w:val="20"/>
              </w:rPr>
              <w:t>Average Commodity Prices (2):</w:t>
            </w:r>
          </w:p>
        </w:tc>
        <w:tc>
          <w:tcPr>
            <w:tcW w:w="156" w:type="pct"/>
            <w:tcBorders>
              <w:top w:val="nil"/>
              <w:left w:val="nil"/>
              <w:bottom w:val="nil"/>
              <w:right w:val="nil"/>
              <w:tl2br w:val="nil"/>
              <w:tr2bl w:val="nil"/>
            </w:tcBorders>
            <w:vAlign w:val="bottom"/>
          </w:tcPr>
          <w:p w:rsidR="0018024C" w:rsidRDefault="0018024C" w:rsidP="0018024C">
            <w:pPr>
              <w:spacing w:before="1" w:after="1"/>
              <w:rPr>
                <w:i/>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b/>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48" w:type="pct"/>
            <w:tcBorders>
              <w:top w:val="nil"/>
              <w:left w:val="nil"/>
              <w:bottom w:val="nil"/>
              <w:right w:val="nil"/>
              <w:tl2br w:val="nil"/>
              <w:tr2bl w:val="nil"/>
            </w:tcBorders>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WTI crude oil (per barrel)</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20"/>
              </w:rPr>
            </w:pPr>
            <w:r>
              <w:rPr>
                <w:b/>
                <w:sz w:val="20"/>
              </w:rPr>
              <w:t>$</w:t>
            </w:r>
          </w:p>
        </w:tc>
        <w:tc>
          <w:tcPr>
            <w:tcW w:w="650" w:type="pct"/>
            <w:tcBorders>
              <w:top w:val="nil"/>
              <w:left w:val="nil"/>
              <w:bottom w:val="nil"/>
              <w:right w:val="nil"/>
              <w:tl2br w:val="nil"/>
              <w:tr2bl w:val="nil"/>
            </w:tcBorders>
            <w:shd w:val="clear" w:color="auto" w:fill="CCEEFF"/>
            <w:vAlign w:val="bottom"/>
          </w:tcPr>
          <w:p w:rsidR="0018024C" w:rsidRDefault="0018024C" w:rsidP="0018024C">
            <w:pPr>
              <w:spacing w:before="1" w:after="1"/>
              <w:ind w:right="63"/>
              <w:jc w:val="right"/>
              <w:rPr>
                <w:b/>
                <w:sz w:val="20"/>
              </w:rPr>
            </w:pPr>
            <w:r>
              <w:rPr>
                <w:b/>
                <w:sz w:val="20"/>
              </w:rPr>
              <w:t xml:space="preserve"> 56.98</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w:t>
            </w:r>
          </w:p>
        </w:tc>
        <w:tc>
          <w:tcPr>
            <w:tcW w:w="650" w:type="pct"/>
            <w:tcBorders>
              <w:top w:val="nil"/>
              <w:left w:val="nil"/>
              <w:bottom w:val="nil"/>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65.23</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w:t>
            </w:r>
          </w:p>
        </w:tc>
        <w:tc>
          <w:tcPr>
            <w:tcW w:w="650" w:type="pct"/>
            <w:tcBorders>
              <w:top w:val="nil"/>
              <w:left w:val="nil"/>
              <w:bottom w:val="nil"/>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50.80</w:t>
            </w:r>
          </w:p>
        </w:tc>
        <w:tc>
          <w:tcPr>
            <w:tcW w:w="148"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vAlign w:val="bottom"/>
          </w:tcPr>
          <w:p w:rsidR="0018024C" w:rsidRDefault="0018024C" w:rsidP="0018024C">
            <w:pPr>
              <w:spacing w:before="1" w:after="1"/>
              <w:rPr>
                <w:sz w:val="20"/>
              </w:rPr>
            </w:pPr>
            <w:r>
              <w:rPr>
                <w:sz w:val="20"/>
              </w:rPr>
              <w:t>Brent crude oil (per barrel)</w:t>
            </w:r>
          </w:p>
        </w:tc>
        <w:tc>
          <w:tcPr>
            <w:tcW w:w="156" w:type="pct"/>
            <w:tcBorders>
              <w:top w:val="nil"/>
              <w:left w:val="nil"/>
              <w:bottom w:val="nil"/>
              <w:right w:val="nil"/>
              <w:tl2br w:val="nil"/>
              <w:tr2bl w:val="nil"/>
            </w:tcBorders>
            <w:vAlign w:val="bottom"/>
          </w:tcPr>
          <w:p w:rsidR="0018024C" w:rsidRDefault="0018024C" w:rsidP="0018024C">
            <w:pPr>
              <w:spacing w:before="1" w:after="1"/>
              <w:rPr>
                <w:b/>
                <w:sz w:val="20"/>
              </w:rPr>
            </w:pPr>
            <w:r>
              <w:rPr>
                <w:b/>
                <w:sz w:val="20"/>
              </w:rPr>
              <w:t>$</w:t>
            </w:r>
          </w:p>
        </w:tc>
        <w:tc>
          <w:tcPr>
            <w:tcW w:w="650" w:type="pct"/>
            <w:tcBorders>
              <w:top w:val="nil"/>
              <w:left w:val="nil"/>
              <w:bottom w:val="nil"/>
              <w:right w:val="nil"/>
              <w:tl2br w:val="nil"/>
              <w:tr2bl w:val="nil"/>
            </w:tcBorders>
            <w:vAlign w:val="bottom"/>
          </w:tcPr>
          <w:p w:rsidR="0018024C" w:rsidRDefault="0018024C" w:rsidP="0018024C">
            <w:pPr>
              <w:spacing w:before="1" w:after="1"/>
              <w:ind w:right="63"/>
              <w:jc w:val="right"/>
              <w:rPr>
                <w:b/>
                <w:sz w:val="20"/>
              </w:rPr>
            </w:pPr>
            <w:r>
              <w:rPr>
                <w:b/>
                <w:sz w:val="20"/>
              </w:rPr>
              <w:t xml:space="preserve"> 64.28</w:t>
            </w: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r>
              <w:rPr>
                <w:sz w:val="20"/>
              </w:rPr>
              <w:t>$</w:t>
            </w:r>
          </w:p>
        </w:tc>
        <w:tc>
          <w:tcPr>
            <w:tcW w:w="650" w:type="pct"/>
            <w:tcBorders>
              <w:top w:val="nil"/>
              <w:left w:val="nil"/>
              <w:bottom w:val="nil"/>
              <w:right w:val="nil"/>
              <w:tl2br w:val="nil"/>
              <w:tr2bl w:val="nil"/>
            </w:tcBorders>
            <w:vAlign w:val="bottom"/>
          </w:tcPr>
          <w:p w:rsidR="0018024C" w:rsidRDefault="0018024C" w:rsidP="0018024C">
            <w:pPr>
              <w:spacing w:before="1" w:after="1"/>
              <w:ind w:right="65"/>
              <w:jc w:val="right"/>
              <w:rPr>
                <w:sz w:val="20"/>
              </w:rPr>
            </w:pPr>
            <w:r>
              <w:rPr>
                <w:sz w:val="20"/>
              </w:rPr>
              <w:t xml:space="preserve"> 71.34</w:t>
            </w: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r>
              <w:rPr>
                <w:sz w:val="20"/>
              </w:rPr>
              <w:t>$</w:t>
            </w:r>
          </w:p>
        </w:tc>
        <w:tc>
          <w:tcPr>
            <w:tcW w:w="650" w:type="pct"/>
            <w:tcBorders>
              <w:top w:val="nil"/>
              <w:left w:val="nil"/>
              <w:bottom w:val="nil"/>
              <w:right w:val="nil"/>
              <w:tl2br w:val="nil"/>
              <w:tr2bl w:val="nil"/>
            </w:tcBorders>
            <w:vAlign w:val="bottom"/>
          </w:tcPr>
          <w:p w:rsidR="0018024C" w:rsidRDefault="0018024C" w:rsidP="0018024C">
            <w:pPr>
              <w:spacing w:before="1" w:after="1"/>
              <w:ind w:right="65"/>
              <w:jc w:val="right"/>
              <w:rPr>
                <w:sz w:val="20"/>
              </w:rPr>
            </w:pPr>
            <w:r>
              <w:rPr>
                <w:sz w:val="20"/>
              </w:rPr>
              <w:t xml:space="preserve"> 54.12</w:t>
            </w:r>
          </w:p>
        </w:tc>
        <w:tc>
          <w:tcPr>
            <w:tcW w:w="148" w:type="pct"/>
            <w:tcBorders>
              <w:top w:val="nil"/>
              <w:left w:val="nil"/>
              <w:bottom w:val="nil"/>
              <w:right w:val="nil"/>
              <w:tl2br w:val="nil"/>
              <w:tr2bl w:val="nil"/>
            </w:tcBorders>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Natural gas ($/Mcf)</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20"/>
              </w:rPr>
            </w:pPr>
            <w:r>
              <w:rPr>
                <w:b/>
                <w:sz w:val="20"/>
              </w:rPr>
              <w:t>$</w:t>
            </w:r>
          </w:p>
        </w:tc>
        <w:tc>
          <w:tcPr>
            <w:tcW w:w="650" w:type="pct"/>
            <w:tcBorders>
              <w:top w:val="nil"/>
              <w:left w:val="nil"/>
              <w:bottom w:val="nil"/>
              <w:right w:val="nil"/>
              <w:tl2br w:val="nil"/>
              <w:tr2bl w:val="nil"/>
            </w:tcBorders>
            <w:shd w:val="clear" w:color="auto" w:fill="CCEEFF"/>
            <w:vAlign w:val="bottom"/>
          </w:tcPr>
          <w:p w:rsidR="0018024C" w:rsidRDefault="0018024C" w:rsidP="0018024C">
            <w:pPr>
              <w:spacing w:before="1" w:after="1"/>
              <w:ind w:right="63"/>
              <w:jc w:val="right"/>
              <w:rPr>
                <w:b/>
                <w:sz w:val="20"/>
              </w:rPr>
            </w:pPr>
            <w:r>
              <w:rPr>
                <w:b/>
                <w:sz w:val="20"/>
              </w:rPr>
              <w:t xml:space="preserve"> 2.56</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w:t>
            </w:r>
          </w:p>
        </w:tc>
        <w:tc>
          <w:tcPr>
            <w:tcW w:w="650" w:type="pct"/>
            <w:tcBorders>
              <w:top w:val="nil"/>
              <w:left w:val="nil"/>
              <w:bottom w:val="nil"/>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3.15</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w:t>
            </w:r>
          </w:p>
        </w:tc>
        <w:tc>
          <w:tcPr>
            <w:tcW w:w="650" w:type="pct"/>
            <w:tcBorders>
              <w:top w:val="nil"/>
              <w:left w:val="nil"/>
              <w:bottom w:val="nil"/>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2.99</w:t>
            </w:r>
          </w:p>
        </w:tc>
        <w:tc>
          <w:tcPr>
            <w:tcW w:w="148"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r>
      <w:tr w:rsidR="0018024C" w:rsidTr="0018024C">
        <w:trPr>
          <w:trHeight w:hRule="exact" w:val="195"/>
        </w:trPr>
        <w:tc>
          <w:tcPr>
            <w:tcW w:w="2122"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b/>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b/>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48" w:type="pct"/>
            <w:tcBorders>
              <w:top w:val="nil"/>
              <w:left w:val="nil"/>
              <w:bottom w:val="nil"/>
              <w:right w:val="nil"/>
              <w:tl2br w:val="nil"/>
              <w:tr2bl w:val="nil"/>
            </w:tcBorders>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Average Monthly U.S. Well Permits (3)</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20"/>
              </w:rPr>
            </w:pPr>
          </w:p>
        </w:tc>
        <w:tc>
          <w:tcPr>
            <w:tcW w:w="650" w:type="pct"/>
            <w:tcBorders>
              <w:top w:val="nil"/>
              <w:left w:val="nil"/>
              <w:bottom w:val="nil"/>
              <w:right w:val="nil"/>
              <w:tl2br w:val="nil"/>
              <w:tr2bl w:val="nil"/>
            </w:tcBorders>
            <w:shd w:val="clear" w:color="auto" w:fill="CCEEFF"/>
            <w:vAlign w:val="bottom"/>
          </w:tcPr>
          <w:p w:rsidR="0018024C" w:rsidRDefault="0018024C" w:rsidP="0018024C">
            <w:pPr>
              <w:spacing w:before="1" w:after="1"/>
              <w:ind w:right="63"/>
              <w:jc w:val="right"/>
              <w:rPr>
                <w:b/>
                <w:sz w:val="20"/>
              </w:rPr>
            </w:pPr>
            <w:r>
              <w:rPr>
                <w:b/>
                <w:sz w:val="20"/>
              </w:rPr>
              <w:t xml:space="preserve"> 4,494</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4,652</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3,602</w:t>
            </w:r>
          </w:p>
        </w:tc>
        <w:tc>
          <w:tcPr>
            <w:tcW w:w="148"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vAlign w:val="bottom"/>
          </w:tcPr>
          <w:p w:rsidR="0018024C" w:rsidRDefault="0018024C" w:rsidP="0018024C">
            <w:pPr>
              <w:spacing w:before="1" w:after="1"/>
              <w:rPr>
                <w:sz w:val="20"/>
              </w:rPr>
            </w:pPr>
            <w:r>
              <w:rPr>
                <w:sz w:val="20"/>
              </w:rPr>
              <w:t>U.S. Wells Completed (2)</w:t>
            </w:r>
          </w:p>
        </w:tc>
        <w:tc>
          <w:tcPr>
            <w:tcW w:w="156" w:type="pct"/>
            <w:tcBorders>
              <w:top w:val="nil"/>
              <w:left w:val="nil"/>
              <w:bottom w:val="nil"/>
              <w:right w:val="nil"/>
              <w:tl2br w:val="nil"/>
              <w:tr2bl w:val="nil"/>
            </w:tcBorders>
            <w:vAlign w:val="bottom"/>
          </w:tcPr>
          <w:p w:rsidR="0018024C" w:rsidRDefault="0018024C" w:rsidP="0018024C">
            <w:pPr>
              <w:spacing w:before="1" w:after="1"/>
              <w:rPr>
                <w:b/>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ind w:right="63"/>
              <w:jc w:val="right"/>
              <w:rPr>
                <w:b/>
                <w:sz w:val="20"/>
              </w:rPr>
            </w:pPr>
            <w:r>
              <w:rPr>
                <w:b/>
                <w:sz w:val="20"/>
              </w:rPr>
              <w:t xml:space="preserve"> 15,807</w:t>
            </w: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ind w:right="65"/>
              <w:jc w:val="right"/>
              <w:rPr>
                <w:sz w:val="20"/>
              </w:rPr>
            </w:pPr>
            <w:r>
              <w:rPr>
                <w:sz w:val="20"/>
              </w:rPr>
              <w:t xml:space="preserve"> 14,715</w:t>
            </w: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ind w:right="65"/>
              <w:jc w:val="right"/>
              <w:rPr>
                <w:sz w:val="20"/>
              </w:rPr>
            </w:pPr>
            <w:r>
              <w:rPr>
                <w:sz w:val="20"/>
              </w:rPr>
              <w:t xml:space="preserve"> 11,779</w:t>
            </w:r>
          </w:p>
        </w:tc>
        <w:tc>
          <w:tcPr>
            <w:tcW w:w="148" w:type="pct"/>
            <w:tcBorders>
              <w:top w:val="nil"/>
              <w:left w:val="nil"/>
              <w:bottom w:val="nil"/>
              <w:right w:val="nil"/>
              <w:tl2br w:val="nil"/>
              <w:tr2bl w:val="nil"/>
            </w:tcBorders>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3:2:1 Crack Spread (4)</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20"/>
              </w:rPr>
            </w:pPr>
            <w:r>
              <w:rPr>
                <w:b/>
                <w:sz w:val="20"/>
              </w:rPr>
              <w:t>$</w:t>
            </w:r>
          </w:p>
        </w:tc>
        <w:tc>
          <w:tcPr>
            <w:tcW w:w="650" w:type="pct"/>
            <w:tcBorders>
              <w:top w:val="nil"/>
              <w:left w:val="nil"/>
              <w:bottom w:val="nil"/>
              <w:right w:val="nil"/>
              <w:tl2br w:val="nil"/>
              <w:tr2bl w:val="nil"/>
            </w:tcBorders>
            <w:shd w:val="clear" w:color="auto" w:fill="CCEEFF"/>
            <w:vAlign w:val="bottom"/>
          </w:tcPr>
          <w:p w:rsidR="0018024C" w:rsidRDefault="0018024C" w:rsidP="0018024C">
            <w:pPr>
              <w:spacing w:before="1" w:after="1"/>
              <w:ind w:right="63"/>
              <w:jc w:val="right"/>
              <w:rPr>
                <w:b/>
                <w:sz w:val="20"/>
              </w:rPr>
            </w:pPr>
            <w:r>
              <w:rPr>
                <w:b/>
                <w:sz w:val="20"/>
              </w:rPr>
              <w:t xml:space="preserve"> 18.23</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w:t>
            </w:r>
          </w:p>
        </w:tc>
        <w:tc>
          <w:tcPr>
            <w:tcW w:w="650" w:type="pct"/>
            <w:tcBorders>
              <w:top w:val="nil"/>
              <w:left w:val="nil"/>
              <w:bottom w:val="nil"/>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18.09</w:t>
            </w: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w:t>
            </w:r>
          </w:p>
        </w:tc>
        <w:tc>
          <w:tcPr>
            <w:tcW w:w="650" w:type="pct"/>
            <w:tcBorders>
              <w:top w:val="nil"/>
              <w:left w:val="nil"/>
              <w:bottom w:val="nil"/>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17.87</w:t>
            </w:r>
          </w:p>
        </w:tc>
        <w:tc>
          <w:tcPr>
            <w:tcW w:w="148"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vAlign w:val="bottom"/>
          </w:tcPr>
          <w:p w:rsidR="0018024C" w:rsidRDefault="0018024C" w:rsidP="0018024C">
            <w:pPr>
              <w:spacing w:before="1" w:after="1"/>
              <w:rPr>
                <w:sz w:val="20"/>
              </w:rPr>
            </w:pPr>
            <w:r>
              <w:rPr>
                <w:sz w:val="20"/>
              </w:rPr>
              <w:t>_______________________</w:t>
            </w: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48" w:type="pct"/>
            <w:tcBorders>
              <w:top w:val="nil"/>
              <w:left w:val="nil"/>
              <w:bottom w:val="nil"/>
              <w:right w:val="nil"/>
              <w:tl2br w:val="nil"/>
              <w:tr2bl w:val="nil"/>
            </w:tcBorders>
            <w:vAlign w:val="bottom"/>
          </w:tcPr>
          <w:p w:rsidR="0018024C" w:rsidRDefault="0018024C" w:rsidP="0018024C">
            <w:pPr>
              <w:spacing w:before="1" w:after="1"/>
              <w:rPr>
                <w:sz w:val="20"/>
              </w:rPr>
            </w:pPr>
          </w:p>
        </w:tc>
      </w:tr>
      <w:tr w:rsidR="0018024C" w:rsidTr="0018024C">
        <w:trPr>
          <w:trHeight w:hRule="exact" w:val="300"/>
        </w:trPr>
        <w:tc>
          <w:tcPr>
            <w:tcW w:w="1" w:type="pct"/>
            <w:gridSpan w:val="10"/>
            <w:tcBorders>
              <w:top w:val="nil"/>
              <w:left w:val="nil"/>
              <w:bottom w:val="nil"/>
              <w:right w:val="nil"/>
              <w:tl2br w:val="nil"/>
              <w:tr2bl w:val="nil"/>
            </w:tcBorders>
            <w:vAlign w:val="bottom"/>
          </w:tcPr>
          <w:p w:rsidR="0018024C" w:rsidRDefault="0018024C" w:rsidP="0018024C">
            <w:pPr>
              <w:spacing w:before="1" w:after="1"/>
              <w:rPr>
                <w:i/>
                <w:sz w:val="20"/>
              </w:rPr>
            </w:pPr>
            <w:r>
              <w:rPr>
                <w:i/>
                <w:sz w:val="20"/>
              </w:rPr>
              <w:t>(1) Source-Baker Hughes (</w:t>
            </w:r>
            <w:r>
              <w:rPr>
                <w:i/>
                <w:sz w:val="20"/>
                <w:u w:val="single"/>
              </w:rPr>
              <w:t>www.bakerhughes.com</w:t>
            </w:r>
            <w:r>
              <w:rPr>
                <w:i/>
                <w:sz w:val="20"/>
              </w:rPr>
              <w:t>) (Total rig count includes oil, natural gas and other rigs.)</w:t>
            </w:r>
          </w:p>
        </w:tc>
      </w:tr>
      <w:tr w:rsidR="0018024C" w:rsidTr="0018024C">
        <w:trPr>
          <w:trHeight w:hRule="exact" w:val="300"/>
        </w:trPr>
        <w:tc>
          <w:tcPr>
            <w:tcW w:w="1" w:type="pct"/>
            <w:gridSpan w:val="6"/>
            <w:tcBorders>
              <w:top w:val="nil"/>
              <w:left w:val="nil"/>
              <w:bottom w:val="nil"/>
              <w:right w:val="nil"/>
              <w:tl2br w:val="nil"/>
              <w:tr2bl w:val="nil"/>
            </w:tcBorders>
            <w:vAlign w:val="bottom"/>
          </w:tcPr>
          <w:p w:rsidR="0018024C" w:rsidRDefault="0018024C" w:rsidP="0018024C">
            <w:pPr>
              <w:spacing w:before="1" w:after="1"/>
              <w:rPr>
                <w:i/>
                <w:sz w:val="20"/>
              </w:rPr>
            </w:pPr>
            <w:r>
              <w:rPr>
                <w:i/>
                <w:sz w:val="20"/>
              </w:rPr>
              <w:t>(2) Source-Department of Energy, EIA (</w:t>
            </w:r>
            <w:r w:rsidRPr="00AC7BEA">
              <w:rPr>
                <w:i/>
                <w:sz w:val="20"/>
              </w:rPr>
              <w:t>www.eia.gov</w:t>
            </w:r>
            <w:r>
              <w:rPr>
                <w:i/>
                <w:sz w:val="20"/>
              </w:rPr>
              <w:t xml:space="preserve">) (As revised) </w:t>
            </w:r>
          </w:p>
        </w:tc>
        <w:tc>
          <w:tcPr>
            <w:tcW w:w="156" w:type="pct"/>
            <w:tcBorders>
              <w:top w:val="nil"/>
              <w:left w:val="nil"/>
              <w:bottom w:val="nil"/>
              <w:right w:val="nil"/>
              <w:tl2br w:val="nil"/>
              <w:tr2bl w:val="nil"/>
            </w:tcBorders>
            <w:vAlign w:val="bottom"/>
          </w:tcPr>
          <w:p w:rsidR="0018024C" w:rsidRDefault="0018024C" w:rsidP="0018024C">
            <w:pPr>
              <w:spacing w:before="1" w:after="1"/>
              <w:rPr>
                <w:i/>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i/>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i/>
                <w:sz w:val="20"/>
              </w:rPr>
            </w:pPr>
          </w:p>
        </w:tc>
        <w:tc>
          <w:tcPr>
            <w:tcW w:w="148" w:type="pct"/>
            <w:tcBorders>
              <w:top w:val="nil"/>
              <w:left w:val="nil"/>
              <w:bottom w:val="nil"/>
              <w:right w:val="nil"/>
              <w:tl2br w:val="nil"/>
              <w:tr2bl w:val="nil"/>
            </w:tcBorders>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vAlign w:val="bottom"/>
          </w:tcPr>
          <w:p w:rsidR="0018024C" w:rsidRDefault="0018024C" w:rsidP="0018024C">
            <w:pPr>
              <w:spacing w:before="1" w:after="1"/>
              <w:rPr>
                <w:i/>
                <w:sz w:val="20"/>
              </w:rPr>
            </w:pPr>
            <w:r>
              <w:rPr>
                <w:i/>
                <w:sz w:val="20"/>
              </w:rPr>
              <w:t>(3) Source-Evercore ISI Research</w:t>
            </w:r>
          </w:p>
        </w:tc>
        <w:tc>
          <w:tcPr>
            <w:tcW w:w="156" w:type="pct"/>
            <w:tcBorders>
              <w:top w:val="nil"/>
              <w:left w:val="nil"/>
              <w:bottom w:val="nil"/>
              <w:right w:val="nil"/>
              <w:tl2br w:val="nil"/>
              <w:tr2bl w:val="nil"/>
            </w:tcBorders>
            <w:vAlign w:val="bottom"/>
          </w:tcPr>
          <w:p w:rsidR="0018024C" w:rsidRDefault="0018024C" w:rsidP="0018024C">
            <w:pPr>
              <w:spacing w:before="1" w:after="1"/>
              <w:rPr>
                <w:i/>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i/>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i/>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i/>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i/>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i/>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i/>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i/>
                <w:sz w:val="20"/>
              </w:rPr>
            </w:pPr>
          </w:p>
        </w:tc>
        <w:tc>
          <w:tcPr>
            <w:tcW w:w="148" w:type="pct"/>
            <w:tcBorders>
              <w:top w:val="nil"/>
              <w:left w:val="nil"/>
              <w:bottom w:val="nil"/>
              <w:right w:val="nil"/>
              <w:tl2br w:val="nil"/>
              <w:tr2bl w:val="nil"/>
            </w:tcBorders>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vAlign w:val="bottom"/>
          </w:tcPr>
          <w:p w:rsidR="0018024C" w:rsidRDefault="0018024C" w:rsidP="0018024C">
            <w:pPr>
              <w:spacing w:before="1" w:after="1"/>
              <w:rPr>
                <w:i/>
                <w:sz w:val="20"/>
              </w:rPr>
            </w:pPr>
            <w:r>
              <w:rPr>
                <w:i/>
                <w:sz w:val="20"/>
              </w:rPr>
              <w:t>(4) Source-Bloomberg</w:t>
            </w:r>
          </w:p>
        </w:tc>
        <w:tc>
          <w:tcPr>
            <w:tcW w:w="156" w:type="pct"/>
            <w:tcBorders>
              <w:top w:val="nil"/>
              <w:left w:val="nil"/>
              <w:bottom w:val="nil"/>
              <w:right w:val="nil"/>
              <w:tl2br w:val="nil"/>
              <w:tr2bl w:val="nil"/>
            </w:tcBorders>
            <w:vAlign w:val="bottom"/>
          </w:tcPr>
          <w:p w:rsidR="0018024C" w:rsidRDefault="0018024C" w:rsidP="0018024C">
            <w:pPr>
              <w:spacing w:before="1" w:after="1"/>
              <w:rPr>
                <w:i/>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48" w:type="pct"/>
            <w:tcBorders>
              <w:top w:val="nil"/>
              <w:left w:val="nil"/>
              <w:bottom w:val="nil"/>
              <w:right w:val="nil"/>
              <w:tl2br w:val="nil"/>
              <w:tr2bl w:val="nil"/>
            </w:tcBorders>
            <w:vAlign w:val="bottom"/>
          </w:tcPr>
          <w:p w:rsidR="0018024C" w:rsidRDefault="0018024C" w:rsidP="0018024C">
            <w:pPr>
              <w:spacing w:before="1" w:after="1"/>
              <w:rPr>
                <w:sz w:val="20"/>
              </w:rPr>
            </w:pPr>
          </w:p>
        </w:tc>
      </w:tr>
      <w:tr w:rsidR="0018024C" w:rsidTr="0018024C">
        <w:trPr>
          <w:trHeight w:hRule="exact" w:val="300"/>
        </w:trPr>
        <w:tc>
          <w:tcPr>
            <w:tcW w:w="2122"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56"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50"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48" w:type="pct"/>
            <w:tcBorders>
              <w:top w:val="nil"/>
              <w:left w:val="nil"/>
              <w:bottom w:val="nil"/>
              <w:right w:val="nil"/>
              <w:tl2br w:val="nil"/>
              <w:tr2bl w:val="nil"/>
            </w:tcBorders>
            <w:vAlign w:val="bottom"/>
          </w:tcPr>
          <w:p w:rsidR="0018024C" w:rsidRDefault="0018024C" w:rsidP="0018024C">
            <w:pPr>
              <w:spacing w:before="1" w:after="1"/>
              <w:rPr>
                <w:sz w:val="20"/>
              </w:rPr>
            </w:pPr>
          </w:p>
        </w:tc>
      </w:tr>
    </w:tbl>
    <w:p w:rsidR="000121CD" w:rsidRDefault="00590862">
      <w:pPr>
        <w:pStyle w:val="NormalWeb"/>
        <w:keepNext/>
        <w:keepLines/>
        <w:spacing w:before="0" w:beforeAutospacing="0" w:after="0" w:afterAutospacing="0"/>
        <w:rPr>
          <w:sz w:val="20"/>
          <w:szCs w:val="20"/>
        </w:rPr>
      </w:pPr>
      <w:r>
        <w:rPr>
          <w:b/>
          <w:bCs/>
          <w:sz w:val="20"/>
          <w:szCs w:val="20"/>
        </w:rPr>
        <w:lastRenderedPageBreak/>
        <w:t xml:space="preserve">Results of Operations for the Years Ended </w:t>
      </w:r>
      <w:r w:rsidR="003627E3" w:rsidRPr="003A4344">
        <w:rPr>
          <w:b/>
          <w:bCs/>
          <w:sz w:val="20"/>
          <w:szCs w:val="20"/>
        </w:rPr>
        <w:t>December 31, 2019, 2018 and 2017</w:t>
      </w:r>
      <w:r>
        <w:rPr>
          <w:b/>
          <w:bCs/>
          <w:sz w:val="20"/>
          <w:szCs w:val="20"/>
        </w:rPr>
        <w:t xml:space="preserve"> </w:t>
      </w:r>
    </w:p>
    <w:p w:rsidR="000121CD" w:rsidRDefault="00590862">
      <w:pPr>
        <w:pStyle w:val="NormalWeb"/>
        <w:keepNext/>
        <w:keepLines/>
        <w:spacing w:before="90" w:beforeAutospacing="0" w:after="0" w:afterAutospacing="0"/>
        <w:rPr>
          <w:sz w:val="20"/>
          <w:szCs w:val="20"/>
        </w:rPr>
      </w:pPr>
      <w:r>
        <w:rPr>
          <w:sz w:val="20"/>
          <w:szCs w:val="20"/>
        </w:rPr>
        <w:t xml:space="preserve">The breakdown of our sales by sector for the years ended </w:t>
      </w:r>
      <w:r w:rsidR="003627E3" w:rsidRPr="003A4344">
        <w:rPr>
          <w:sz w:val="20"/>
          <w:szCs w:val="20"/>
        </w:rPr>
        <w:t>December 31, 2019, 2018 and 2017</w:t>
      </w:r>
      <w:r>
        <w:rPr>
          <w:sz w:val="20"/>
          <w:szCs w:val="20"/>
        </w:rPr>
        <w:t xml:space="preserve"> was as follows (in millions): </w:t>
      </w:r>
    </w:p>
    <w:p w:rsidR="000121CD" w:rsidRDefault="000121CD">
      <w:pPr>
        <w:pStyle w:val="NormalWeb"/>
        <w:keepNext/>
        <w:keepLines/>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3339"/>
        <w:gridCol w:w="283"/>
        <w:gridCol w:w="998"/>
        <w:gridCol w:w="188"/>
        <w:gridCol w:w="842"/>
        <w:gridCol w:w="188"/>
        <w:gridCol w:w="281"/>
        <w:gridCol w:w="998"/>
        <w:gridCol w:w="188"/>
        <w:gridCol w:w="842"/>
        <w:gridCol w:w="188"/>
        <w:gridCol w:w="281"/>
        <w:gridCol w:w="998"/>
        <w:gridCol w:w="188"/>
        <w:gridCol w:w="998"/>
      </w:tblGrid>
      <w:tr w:rsidR="0018024C" w:rsidTr="0018024C">
        <w:trPr>
          <w:trHeight w:hRule="exact" w:val="20"/>
        </w:trPr>
        <w:tc>
          <w:tcPr>
            <w:tcW w:w="1546"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131"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462"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87"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390"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87"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130"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462"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87"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390"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87"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130"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462"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87"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c>
          <w:tcPr>
            <w:tcW w:w="462" w:type="pct"/>
            <w:tcBorders>
              <w:top w:val="nil"/>
              <w:left w:val="nil"/>
              <w:bottom w:val="nil"/>
              <w:right w:val="nil"/>
            </w:tcBorders>
            <w:shd w:val="clear" w:color="auto" w:fill="auto"/>
            <w:vAlign w:val="bottom"/>
          </w:tcPr>
          <w:p w:rsidR="0018024C" w:rsidRDefault="0018024C" w:rsidP="0018024C">
            <w:pPr>
              <w:keepNext/>
              <w:keepLines/>
              <w:spacing w:before="1" w:after="1"/>
              <w:rPr>
                <w:sz w:val="2"/>
              </w:rPr>
            </w:pPr>
          </w:p>
        </w:tc>
      </w:tr>
      <w:tr w:rsidR="0018024C" w:rsidTr="0018024C">
        <w:trPr>
          <w:trHeight w:hRule="exact" w:val="315"/>
        </w:trPr>
        <w:tc>
          <w:tcPr>
            <w:tcW w:w="1546" w:type="pct"/>
            <w:tcBorders>
              <w:top w:val="nil"/>
              <w:left w:val="nil"/>
              <w:bottom w:val="nil"/>
              <w:right w:val="nil"/>
              <w:tl2br w:val="nil"/>
              <w:tr2bl w:val="nil"/>
            </w:tcBorders>
            <w:shd w:val="clear" w:color="auto" w:fill="auto"/>
            <w:vAlign w:val="bottom"/>
          </w:tcPr>
          <w:p w:rsidR="0018024C" w:rsidRDefault="0018024C" w:rsidP="0018024C">
            <w:pPr>
              <w:keepNext/>
              <w:keepLines/>
              <w:spacing w:before="1" w:after="1"/>
              <w:rPr>
                <w:sz w:val="20"/>
              </w:rPr>
            </w:pPr>
          </w:p>
        </w:tc>
        <w:tc>
          <w:tcPr>
            <w:tcW w:w="1" w:type="pct"/>
            <w:gridSpan w:val="14"/>
            <w:tcBorders>
              <w:top w:val="nil"/>
              <w:left w:val="nil"/>
              <w:bottom w:val="single" w:sz="12" w:space="0" w:color="000000"/>
              <w:right w:val="nil"/>
              <w:tl2br w:val="nil"/>
              <w:tr2bl w:val="nil"/>
            </w:tcBorders>
            <w:shd w:val="clear" w:color="auto" w:fill="auto"/>
            <w:vAlign w:val="bottom"/>
          </w:tcPr>
          <w:p w:rsidR="0018024C" w:rsidRDefault="0018024C" w:rsidP="0018024C">
            <w:pPr>
              <w:keepNext/>
              <w:keepLines/>
              <w:spacing w:before="1" w:after="1"/>
              <w:jc w:val="center"/>
              <w:rPr>
                <w:b/>
                <w:sz w:val="20"/>
              </w:rPr>
            </w:pPr>
            <w:r>
              <w:rPr>
                <w:b/>
                <w:sz w:val="20"/>
              </w:rPr>
              <w:t>Year Ended December 31,</w:t>
            </w:r>
          </w:p>
        </w:tc>
      </w:tr>
      <w:tr w:rsidR="0018024C" w:rsidTr="0018024C">
        <w:trPr>
          <w:trHeight w:hRule="exact" w:val="315"/>
        </w:trPr>
        <w:tc>
          <w:tcPr>
            <w:tcW w:w="1546" w:type="pct"/>
            <w:tcBorders>
              <w:top w:val="nil"/>
              <w:left w:val="nil"/>
              <w:bottom w:val="nil"/>
              <w:right w:val="nil"/>
              <w:tl2br w:val="nil"/>
              <w:tr2bl w:val="nil"/>
            </w:tcBorders>
            <w:shd w:val="clear" w:color="auto" w:fill="auto"/>
            <w:vAlign w:val="bottom"/>
          </w:tcPr>
          <w:p w:rsidR="0018024C" w:rsidRDefault="0018024C" w:rsidP="0018024C">
            <w:pPr>
              <w:keepNext/>
              <w:keepLines/>
              <w:spacing w:before="1" w:after="1"/>
              <w:rPr>
                <w:sz w:val="20"/>
              </w:rPr>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keepLines/>
              <w:spacing w:before="1" w:after="1"/>
              <w:jc w:val="center"/>
              <w:rPr>
                <w:b/>
                <w:sz w:val="20"/>
              </w:rPr>
            </w:pPr>
            <w:r>
              <w:rPr>
                <w:b/>
                <w:sz w:val="20"/>
              </w:rPr>
              <w:t>2019</w:t>
            </w:r>
          </w:p>
        </w:tc>
        <w:tc>
          <w:tcPr>
            <w:tcW w:w="87" w:type="pct"/>
            <w:tcBorders>
              <w:top w:val="single" w:sz="0" w:space="0" w:color="000000"/>
              <w:left w:val="nil"/>
              <w:bottom w:val="nil"/>
              <w:right w:val="nil"/>
              <w:tl2br w:val="nil"/>
              <w:tr2bl w:val="nil"/>
            </w:tcBorders>
            <w:shd w:val="clear" w:color="auto" w:fill="auto"/>
            <w:vAlign w:val="bottom"/>
          </w:tcPr>
          <w:p w:rsidR="0018024C" w:rsidRDefault="0018024C" w:rsidP="0018024C">
            <w:pPr>
              <w:keepNext/>
              <w:keepLines/>
              <w:spacing w:before="1" w:after="1"/>
              <w:rPr>
                <w:sz w:val="20"/>
              </w:rPr>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keepLines/>
              <w:spacing w:before="1" w:after="1"/>
              <w:jc w:val="center"/>
              <w:rPr>
                <w:b/>
                <w:sz w:val="20"/>
              </w:rPr>
            </w:pPr>
            <w:r>
              <w:rPr>
                <w:b/>
                <w:sz w:val="20"/>
              </w:rPr>
              <w:t xml:space="preserve"> 2018</w:t>
            </w:r>
          </w:p>
        </w:tc>
        <w:tc>
          <w:tcPr>
            <w:tcW w:w="87" w:type="pct"/>
            <w:tcBorders>
              <w:top w:val="single" w:sz="0" w:space="0" w:color="000000"/>
              <w:left w:val="nil"/>
              <w:bottom w:val="nil"/>
              <w:right w:val="nil"/>
              <w:tl2br w:val="nil"/>
              <w:tr2bl w:val="nil"/>
            </w:tcBorders>
            <w:shd w:val="clear" w:color="auto" w:fill="auto"/>
            <w:vAlign w:val="bottom"/>
          </w:tcPr>
          <w:p w:rsidR="0018024C" w:rsidRDefault="0018024C" w:rsidP="0018024C">
            <w:pPr>
              <w:keepNext/>
              <w:keepLines/>
              <w:spacing w:before="1" w:after="1"/>
              <w:rPr>
                <w:sz w:val="20"/>
              </w:rPr>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keepLines/>
              <w:spacing w:before="1" w:after="1"/>
              <w:jc w:val="center"/>
              <w:rPr>
                <w:b/>
                <w:sz w:val="20"/>
              </w:rPr>
            </w:pPr>
            <w:r>
              <w:rPr>
                <w:b/>
                <w:sz w:val="20"/>
              </w:rPr>
              <w:t xml:space="preserve"> 2017</w:t>
            </w:r>
          </w:p>
        </w:tc>
      </w:tr>
      <w:tr w:rsidR="0018024C" w:rsidTr="0018024C">
        <w:trPr>
          <w:trHeight w:hRule="exact" w:val="255"/>
        </w:trPr>
        <w:tc>
          <w:tcPr>
            <w:tcW w:w="1546" w:type="pct"/>
            <w:tcBorders>
              <w:top w:val="nil"/>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r>
              <w:rPr>
                <w:sz w:val="20"/>
              </w:rPr>
              <w:t>Upstream</w:t>
            </w:r>
          </w:p>
        </w:tc>
        <w:tc>
          <w:tcPr>
            <w:tcW w:w="131"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r>
              <w:rPr>
                <w:sz w:val="20"/>
              </w:rPr>
              <w:t>$</w:t>
            </w:r>
          </w:p>
        </w:tc>
        <w:tc>
          <w:tcPr>
            <w:tcW w:w="462"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ind w:right="63"/>
              <w:jc w:val="right"/>
              <w:rPr>
                <w:b/>
                <w:sz w:val="20"/>
              </w:rPr>
            </w:pPr>
            <w:r>
              <w:rPr>
                <w:b/>
                <w:sz w:val="20"/>
              </w:rPr>
              <w:t xml:space="preserve"> 1,107</w:t>
            </w:r>
          </w:p>
        </w:tc>
        <w:tc>
          <w:tcPr>
            <w:tcW w:w="87"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rPr>
                <w:b/>
                <w:sz w:val="20"/>
              </w:rPr>
            </w:pPr>
          </w:p>
        </w:tc>
        <w:tc>
          <w:tcPr>
            <w:tcW w:w="390"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ind w:right="63"/>
              <w:jc w:val="right"/>
              <w:rPr>
                <w:b/>
                <w:sz w:val="20"/>
              </w:rPr>
            </w:pPr>
            <w:r>
              <w:rPr>
                <w:b/>
                <w:sz w:val="20"/>
              </w:rPr>
              <w:t>30%</w:t>
            </w:r>
          </w:p>
        </w:tc>
        <w:tc>
          <w:tcPr>
            <w:tcW w:w="87" w:type="pct"/>
            <w:tcBorders>
              <w:top w:val="nil"/>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p>
        </w:tc>
        <w:tc>
          <w:tcPr>
            <w:tcW w:w="130"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r>
              <w:rPr>
                <w:sz w:val="20"/>
              </w:rPr>
              <w:t>$</w:t>
            </w:r>
          </w:p>
        </w:tc>
        <w:tc>
          <w:tcPr>
            <w:tcW w:w="462"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ind w:right="65"/>
              <w:jc w:val="right"/>
              <w:rPr>
                <w:sz w:val="20"/>
              </w:rPr>
            </w:pPr>
            <w:r>
              <w:rPr>
                <w:sz w:val="20"/>
              </w:rPr>
              <w:t xml:space="preserve"> 1,286</w:t>
            </w:r>
          </w:p>
        </w:tc>
        <w:tc>
          <w:tcPr>
            <w:tcW w:w="87"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p>
        </w:tc>
        <w:tc>
          <w:tcPr>
            <w:tcW w:w="390"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ind w:right="65"/>
              <w:jc w:val="right"/>
              <w:rPr>
                <w:sz w:val="20"/>
              </w:rPr>
            </w:pPr>
            <w:r>
              <w:rPr>
                <w:sz w:val="20"/>
              </w:rPr>
              <w:t>31%</w:t>
            </w:r>
          </w:p>
        </w:tc>
        <w:tc>
          <w:tcPr>
            <w:tcW w:w="87" w:type="pct"/>
            <w:tcBorders>
              <w:top w:val="nil"/>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p>
        </w:tc>
        <w:tc>
          <w:tcPr>
            <w:tcW w:w="130"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r>
              <w:rPr>
                <w:sz w:val="20"/>
              </w:rPr>
              <w:t>$</w:t>
            </w:r>
          </w:p>
        </w:tc>
        <w:tc>
          <w:tcPr>
            <w:tcW w:w="462"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ind w:right="65"/>
              <w:jc w:val="right"/>
              <w:rPr>
                <w:sz w:val="20"/>
              </w:rPr>
            </w:pPr>
            <w:r>
              <w:rPr>
                <w:sz w:val="20"/>
              </w:rPr>
              <w:t xml:space="preserve"> 1,049</w:t>
            </w:r>
          </w:p>
        </w:tc>
        <w:tc>
          <w:tcPr>
            <w:tcW w:w="87"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p>
        </w:tc>
        <w:tc>
          <w:tcPr>
            <w:tcW w:w="462"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keepLines/>
              <w:spacing w:before="1" w:after="1"/>
              <w:ind w:right="65"/>
              <w:jc w:val="right"/>
              <w:rPr>
                <w:sz w:val="20"/>
              </w:rPr>
            </w:pPr>
            <w:r>
              <w:rPr>
                <w:sz w:val="20"/>
              </w:rPr>
              <w:t>29%</w:t>
            </w:r>
          </w:p>
        </w:tc>
      </w:tr>
      <w:tr w:rsidR="0018024C" w:rsidTr="0018024C">
        <w:trPr>
          <w:trHeight w:hRule="exact" w:val="255"/>
        </w:trPr>
        <w:tc>
          <w:tcPr>
            <w:tcW w:w="1546" w:type="pct"/>
            <w:tcBorders>
              <w:top w:val="nil"/>
              <w:left w:val="nil"/>
              <w:bottom w:val="nil"/>
              <w:right w:val="nil"/>
              <w:tl2br w:val="nil"/>
              <w:tr2bl w:val="nil"/>
            </w:tcBorders>
            <w:vAlign w:val="bottom"/>
          </w:tcPr>
          <w:p w:rsidR="0018024C" w:rsidRDefault="0018024C" w:rsidP="0018024C">
            <w:pPr>
              <w:keepNext/>
              <w:keepLines/>
              <w:spacing w:before="1" w:after="1"/>
              <w:rPr>
                <w:sz w:val="20"/>
              </w:rPr>
            </w:pPr>
            <w:r>
              <w:rPr>
                <w:sz w:val="20"/>
              </w:rPr>
              <w:t>Midstream</w:t>
            </w:r>
          </w:p>
        </w:tc>
        <w:tc>
          <w:tcPr>
            <w:tcW w:w="131"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462" w:type="pct"/>
            <w:tcBorders>
              <w:top w:val="nil"/>
              <w:left w:val="nil"/>
              <w:bottom w:val="nil"/>
              <w:right w:val="nil"/>
              <w:tl2br w:val="nil"/>
              <w:tr2bl w:val="nil"/>
            </w:tcBorders>
            <w:vAlign w:val="bottom"/>
          </w:tcPr>
          <w:p w:rsidR="0018024C" w:rsidRDefault="0018024C" w:rsidP="0018024C">
            <w:pPr>
              <w:keepNext/>
              <w:keepLines/>
              <w:spacing w:before="1" w:after="1"/>
              <w:ind w:right="63"/>
              <w:jc w:val="right"/>
              <w:rPr>
                <w:b/>
                <w:sz w:val="20"/>
              </w:rPr>
            </w:pPr>
            <w:r>
              <w:rPr>
                <w:b/>
                <w:sz w:val="20"/>
              </w:rPr>
              <w:t xml:space="preserve"> 1,450</w:t>
            </w:r>
          </w:p>
        </w:tc>
        <w:tc>
          <w:tcPr>
            <w:tcW w:w="87" w:type="pct"/>
            <w:tcBorders>
              <w:top w:val="nil"/>
              <w:left w:val="nil"/>
              <w:bottom w:val="nil"/>
              <w:right w:val="nil"/>
              <w:tl2br w:val="nil"/>
              <w:tr2bl w:val="nil"/>
            </w:tcBorders>
            <w:vAlign w:val="bottom"/>
          </w:tcPr>
          <w:p w:rsidR="0018024C" w:rsidRDefault="0018024C" w:rsidP="0018024C">
            <w:pPr>
              <w:keepNext/>
              <w:keepLines/>
              <w:spacing w:before="1" w:after="1"/>
              <w:rPr>
                <w:b/>
                <w:sz w:val="20"/>
              </w:rPr>
            </w:pPr>
          </w:p>
        </w:tc>
        <w:tc>
          <w:tcPr>
            <w:tcW w:w="390" w:type="pct"/>
            <w:tcBorders>
              <w:top w:val="nil"/>
              <w:left w:val="nil"/>
              <w:bottom w:val="nil"/>
              <w:right w:val="nil"/>
              <w:tl2br w:val="nil"/>
              <w:tr2bl w:val="nil"/>
            </w:tcBorders>
            <w:vAlign w:val="bottom"/>
          </w:tcPr>
          <w:p w:rsidR="0018024C" w:rsidRDefault="0018024C" w:rsidP="0018024C">
            <w:pPr>
              <w:keepNext/>
              <w:keepLines/>
              <w:spacing w:before="1" w:after="1"/>
              <w:ind w:right="63"/>
              <w:jc w:val="right"/>
              <w:rPr>
                <w:b/>
                <w:sz w:val="20"/>
              </w:rPr>
            </w:pPr>
            <w:r>
              <w:rPr>
                <w:b/>
                <w:sz w:val="20"/>
              </w:rPr>
              <w:t>40%</w:t>
            </w:r>
          </w:p>
        </w:tc>
        <w:tc>
          <w:tcPr>
            <w:tcW w:w="87"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130"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462" w:type="pct"/>
            <w:tcBorders>
              <w:top w:val="nil"/>
              <w:left w:val="nil"/>
              <w:bottom w:val="nil"/>
              <w:right w:val="nil"/>
              <w:tl2br w:val="nil"/>
              <w:tr2bl w:val="nil"/>
            </w:tcBorders>
            <w:vAlign w:val="bottom"/>
          </w:tcPr>
          <w:p w:rsidR="0018024C" w:rsidRDefault="0018024C" w:rsidP="0018024C">
            <w:pPr>
              <w:keepNext/>
              <w:keepLines/>
              <w:spacing w:before="1" w:after="1"/>
              <w:ind w:right="65"/>
              <w:jc w:val="right"/>
              <w:rPr>
                <w:sz w:val="20"/>
              </w:rPr>
            </w:pPr>
            <w:r>
              <w:rPr>
                <w:sz w:val="20"/>
              </w:rPr>
              <w:t xml:space="preserve"> 1,677</w:t>
            </w:r>
          </w:p>
        </w:tc>
        <w:tc>
          <w:tcPr>
            <w:tcW w:w="87"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390" w:type="pct"/>
            <w:tcBorders>
              <w:top w:val="nil"/>
              <w:left w:val="nil"/>
              <w:bottom w:val="nil"/>
              <w:right w:val="nil"/>
              <w:tl2br w:val="nil"/>
              <w:tr2bl w:val="nil"/>
            </w:tcBorders>
            <w:vAlign w:val="bottom"/>
          </w:tcPr>
          <w:p w:rsidR="0018024C" w:rsidRDefault="0018024C" w:rsidP="0018024C">
            <w:pPr>
              <w:keepNext/>
              <w:keepLines/>
              <w:spacing w:before="1" w:after="1"/>
              <w:ind w:right="65"/>
              <w:jc w:val="right"/>
              <w:rPr>
                <w:sz w:val="20"/>
              </w:rPr>
            </w:pPr>
            <w:r>
              <w:rPr>
                <w:sz w:val="20"/>
              </w:rPr>
              <w:t>40%</w:t>
            </w:r>
          </w:p>
        </w:tc>
        <w:tc>
          <w:tcPr>
            <w:tcW w:w="87"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130"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462" w:type="pct"/>
            <w:tcBorders>
              <w:top w:val="nil"/>
              <w:left w:val="nil"/>
              <w:bottom w:val="nil"/>
              <w:right w:val="nil"/>
              <w:tl2br w:val="nil"/>
              <w:tr2bl w:val="nil"/>
            </w:tcBorders>
            <w:vAlign w:val="bottom"/>
          </w:tcPr>
          <w:p w:rsidR="0018024C" w:rsidRDefault="0018024C" w:rsidP="0018024C">
            <w:pPr>
              <w:keepNext/>
              <w:keepLines/>
              <w:spacing w:before="1" w:after="1"/>
              <w:ind w:right="65"/>
              <w:jc w:val="right"/>
              <w:rPr>
                <w:sz w:val="20"/>
              </w:rPr>
            </w:pPr>
            <w:r>
              <w:rPr>
                <w:sz w:val="20"/>
              </w:rPr>
              <w:t xml:space="preserve"> 1,603</w:t>
            </w:r>
          </w:p>
        </w:tc>
        <w:tc>
          <w:tcPr>
            <w:tcW w:w="87"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462" w:type="pct"/>
            <w:tcBorders>
              <w:top w:val="nil"/>
              <w:left w:val="nil"/>
              <w:bottom w:val="nil"/>
              <w:right w:val="nil"/>
              <w:tl2br w:val="nil"/>
              <w:tr2bl w:val="nil"/>
            </w:tcBorders>
            <w:vAlign w:val="bottom"/>
          </w:tcPr>
          <w:p w:rsidR="0018024C" w:rsidRDefault="0018024C" w:rsidP="0018024C">
            <w:pPr>
              <w:keepNext/>
              <w:keepLines/>
              <w:spacing w:before="1" w:after="1"/>
              <w:ind w:right="65"/>
              <w:jc w:val="right"/>
              <w:rPr>
                <w:sz w:val="20"/>
              </w:rPr>
            </w:pPr>
            <w:r>
              <w:rPr>
                <w:sz w:val="20"/>
              </w:rPr>
              <w:t>44%</w:t>
            </w:r>
          </w:p>
        </w:tc>
      </w:tr>
      <w:tr w:rsidR="0018024C" w:rsidTr="0018024C">
        <w:trPr>
          <w:trHeight w:hRule="exact" w:val="255"/>
        </w:trPr>
        <w:tc>
          <w:tcPr>
            <w:tcW w:w="1546" w:type="pct"/>
            <w:tcBorders>
              <w:top w:val="nil"/>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r>
              <w:rPr>
                <w:sz w:val="20"/>
              </w:rPr>
              <w:t xml:space="preserve">Downstream </w:t>
            </w:r>
          </w:p>
        </w:tc>
        <w:tc>
          <w:tcPr>
            <w:tcW w:w="131"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keepLines/>
              <w:spacing w:before="1" w:after="1"/>
              <w:rPr>
                <w:sz w:val="20"/>
              </w:rPr>
            </w:pPr>
          </w:p>
        </w:tc>
        <w:tc>
          <w:tcPr>
            <w:tcW w:w="462"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keepLines/>
              <w:spacing w:before="1" w:after="1"/>
              <w:ind w:right="63"/>
              <w:jc w:val="right"/>
              <w:rPr>
                <w:b/>
                <w:sz w:val="20"/>
              </w:rPr>
            </w:pPr>
            <w:r>
              <w:rPr>
                <w:b/>
                <w:sz w:val="20"/>
              </w:rPr>
              <w:t xml:space="preserve"> 1,105</w:t>
            </w:r>
          </w:p>
        </w:tc>
        <w:tc>
          <w:tcPr>
            <w:tcW w:w="87" w:type="pct"/>
            <w:tcBorders>
              <w:top w:val="nil"/>
              <w:left w:val="nil"/>
              <w:bottom w:val="nil"/>
              <w:right w:val="nil"/>
              <w:tl2br w:val="nil"/>
              <w:tr2bl w:val="nil"/>
            </w:tcBorders>
            <w:shd w:val="clear" w:color="auto" w:fill="CCEEFF"/>
            <w:vAlign w:val="bottom"/>
          </w:tcPr>
          <w:p w:rsidR="0018024C" w:rsidRDefault="0018024C" w:rsidP="0018024C">
            <w:pPr>
              <w:keepNext/>
              <w:keepLines/>
              <w:spacing w:before="1" w:after="1"/>
              <w:rPr>
                <w:b/>
                <w:sz w:val="20"/>
              </w:rPr>
            </w:pPr>
          </w:p>
        </w:tc>
        <w:tc>
          <w:tcPr>
            <w:tcW w:w="390"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keepLines/>
              <w:spacing w:before="1" w:after="1"/>
              <w:ind w:right="63"/>
              <w:jc w:val="right"/>
              <w:rPr>
                <w:b/>
                <w:sz w:val="20"/>
              </w:rPr>
            </w:pPr>
            <w:r>
              <w:rPr>
                <w:b/>
                <w:sz w:val="20"/>
              </w:rPr>
              <w:t>30%</w:t>
            </w:r>
          </w:p>
        </w:tc>
        <w:tc>
          <w:tcPr>
            <w:tcW w:w="87" w:type="pct"/>
            <w:tcBorders>
              <w:top w:val="nil"/>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p>
        </w:tc>
        <w:tc>
          <w:tcPr>
            <w:tcW w:w="130"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keepLines/>
              <w:spacing w:before="1" w:after="1"/>
              <w:rPr>
                <w:sz w:val="20"/>
              </w:rPr>
            </w:pPr>
          </w:p>
        </w:tc>
        <w:tc>
          <w:tcPr>
            <w:tcW w:w="462"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keepLines/>
              <w:spacing w:before="1" w:after="1"/>
              <w:ind w:right="65"/>
              <w:jc w:val="right"/>
              <w:rPr>
                <w:sz w:val="20"/>
              </w:rPr>
            </w:pPr>
            <w:r>
              <w:rPr>
                <w:sz w:val="20"/>
              </w:rPr>
              <w:t xml:space="preserve"> 1,209</w:t>
            </w:r>
          </w:p>
        </w:tc>
        <w:tc>
          <w:tcPr>
            <w:tcW w:w="87" w:type="pct"/>
            <w:tcBorders>
              <w:top w:val="nil"/>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p>
        </w:tc>
        <w:tc>
          <w:tcPr>
            <w:tcW w:w="390"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keepLines/>
              <w:spacing w:before="1" w:after="1"/>
              <w:ind w:right="65"/>
              <w:jc w:val="right"/>
              <w:rPr>
                <w:sz w:val="20"/>
              </w:rPr>
            </w:pPr>
            <w:r>
              <w:rPr>
                <w:sz w:val="20"/>
              </w:rPr>
              <w:t>29%</w:t>
            </w:r>
          </w:p>
        </w:tc>
        <w:tc>
          <w:tcPr>
            <w:tcW w:w="87" w:type="pct"/>
            <w:tcBorders>
              <w:top w:val="nil"/>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p>
        </w:tc>
        <w:tc>
          <w:tcPr>
            <w:tcW w:w="130"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keepLines/>
              <w:spacing w:before="1" w:after="1"/>
              <w:rPr>
                <w:sz w:val="20"/>
              </w:rPr>
            </w:pPr>
          </w:p>
        </w:tc>
        <w:tc>
          <w:tcPr>
            <w:tcW w:w="462"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keepLines/>
              <w:spacing w:before="1" w:after="1"/>
              <w:ind w:right="65"/>
              <w:jc w:val="right"/>
              <w:rPr>
                <w:sz w:val="20"/>
              </w:rPr>
            </w:pPr>
            <w:r>
              <w:rPr>
                <w:sz w:val="20"/>
              </w:rPr>
              <w:t xml:space="preserve"> 994</w:t>
            </w:r>
          </w:p>
        </w:tc>
        <w:tc>
          <w:tcPr>
            <w:tcW w:w="87" w:type="pct"/>
            <w:tcBorders>
              <w:top w:val="nil"/>
              <w:left w:val="nil"/>
              <w:bottom w:val="nil"/>
              <w:right w:val="nil"/>
              <w:tl2br w:val="nil"/>
              <w:tr2bl w:val="nil"/>
            </w:tcBorders>
            <w:shd w:val="clear" w:color="auto" w:fill="CCEEFF"/>
            <w:vAlign w:val="bottom"/>
          </w:tcPr>
          <w:p w:rsidR="0018024C" w:rsidRDefault="0018024C" w:rsidP="0018024C">
            <w:pPr>
              <w:keepNext/>
              <w:keepLines/>
              <w:spacing w:before="1" w:after="1"/>
              <w:rPr>
                <w:sz w:val="20"/>
              </w:rPr>
            </w:pPr>
          </w:p>
        </w:tc>
        <w:tc>
          <w:tcPr>
            <w:tcW w:w="462"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keepLines/>
              <w:spacing w:before="1" w:after="1"/>
              <w:ind w:right="65"/>
              <w:jc w:val="right"/>
              <w:rPr>
                <w:sz w:val="20"/>
              </w:rPr>
            </w:pPr>
            <w:r>
              <w:rPr>
                <w:sz w:val="20"/>
              </w:rPr>
              <w:t>27%</w:t>
            </w:r>
          </w:p>
        </w:tc>
      </w:tr>
      <w:tr w:rsidR="0018024C" w:rsidTr="0018024C">
        <w:trPr>
          <w:trHeight w:hRule="exact" w:val="255"/>
        </w:trPr>
        <w:tc>
          <w:tcPr>
            <w:tcW w:w="1546"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131" w:type="pct"/>
            <w:tcBorders>
              <w:top w:val="single" w:sz="0" w:space="0" w:color="000000"/>
              <w:left w:val="nil"/>
              <w:bottom w:val="double" w:sz="4" w:space="0" w:color="000000"/>
              <w:right w:val="nil"/>
              <w:tl2br w:val="nil"/>
              <w:tr2bl w:val="nil"/>
            </w:tcBorders>
            <w:vAlign w:val="bottom"/>
          </w:tcPr>
          <w:p w:rsidR="0018024C" w:rsidRDefault="0018024C" w:rsidP="0018024C">
            <w:pPr>
              <w:keepNext/>
              <w:keepLines/>
              <w:spacing w:before="1" w:after="1"/>
              <w:rPr>
                <w:sz w:val="20"/>
              </w:rPr>
            </w:pPr>
            <w:r>
              <w:rPr>
                <w:sz w:val="20"/>
              </w:rPr>
              <w:t>$</w:t>
            </w:r>
          </w:p>
        </w:tc>
        <w:tc>
          <w:tcPr>
            <w:tcW w:w="462" w:type="pct"/>
            <w:tcBorders>
              <w:top w:val="single" w:sz="0" w:space="0" w:color="000000"/>
              <w:left w:val="nil"/>
              <w:bottom w:val="double" w:sz="4" w:space="0" w:color="000000"/>
              <w:right w:val="nil"/>
              <w:tl2br w:val="nil"/>
              <w:tr2bl w:val="nil"/>
            </w:tcBorders>
            <w:vAlign w:val="bottom"/>
          </w:tcPr>
          <w:p w:rsidR="0018024C" w:rsidRDefault="0018024C" w:rsidP="0018024C">
            <w:pPr>
              <w:keepNext/>
              <w:keepLines/>
              <w:spacing w:before="1" w:after="1"/>
              <w:ind w:right="63"/>
              <w:jc w:val="right"/>
              <w:rPr>
                <w:b/>
                <w:sz w:val="20"/>
              </w:rPr>
            </w:pPr>
            <w:r>
              <w:rPr>
                <w:b/>
                <w:sz w:val="20"/>
              </w:rPr>
              <w:t xml:space="preserve"> 3,662</w:t>
            </w:r>
          </w:p>
        </w:tc>
        <w:tc>
          <w:tcPr>
            <w:tcW w:w="87" w:type="pct"/>
            <w:tcBorders>
              <w:top w:val="nil"/>
              <w:left w:val="nil"/>
              <w:bottom w:val="nil"/>
              <w:right w:val="nil"/>
              <w:tl2br w:val="nil"/>
              <w:tr2bl w:val="nil"/>
            </w:tcBorders>
            <w:vAlign w:val="bottom"/>
          </w:tcPr>
          <w:p w:rsidR="0018024C" w:rsidRDefault="0018024C" w:rsidP="0018024C">
            <w:pPr>
              <w:keepNext/>
              <w:keepLines/>
              <w:spacing w:before="1" w:after="1"/>
              <w:rPr>
                <w:b/>
                <w:sz w:val="20"/>
              </w:rPr>
            </w:pPr>
          </w:p>
        </w:tc>
        <w:tc>
          <w:tcPr>
            <w:tcW w:w="390" w:type="pct"/>
            <w:tcBorders>
              <w:top w:val="single" w:sz="0" w:space="0" w:color="000000"/>
              <w:left w:val="nil"/>
              <w:bottom w:val="double" w:sz="4" w:space="0" w:color="000000"/>
              <w:right w:val="nil"/>
              <w:tl2br w:val="nil"/>
              <w:tr2bl w:val="nil"/>
            </w:tcBorders>
            <w:vAlign w:val="bottom"/>
          </w:tcPr>
          <w:p w:rsidR="0018024C" w:rsidRDefault="0018024C" w:rsidP="0018024C">
            <w:pPr>
              <w:keepNext/>
              <w:keepLines/>
              <w:spacing w:before="1" w:after="1"/>
              <w:ind w:right="63"/>
              <w:jc w:val="right"/>
              <w:rPr>
                <w:b/>
                <w:sz w:val="20"/>
              </w:rPr>
            </w:pPr>
            <w:r>
              <w:rPr>
                <w:b/>
                <w:sz w:val="20"/>
              </w:rPr>
              <w:t>100%</w:t>
            </w:r>
          </w:p>
        </w:tc>
        <w:tc>
          <w:tcPr>
            <w:tcW w:w="87"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130" w:type="pct"/>
            <w:tcBorders>
              <w:top w:val="single" w:sz="0" w:space="0" w:color="000000"/>
              <w:left w:val="nil"/>
              <w:bottom w:val="double" w:sz="4" w:space="0" w:color="000000"/>
              <w:right w:val="nil"/>
              <w:tl2br w:val="nil"/>
              <w:tr2bl w:val="nil"/>
            </w:tcBorders>
            <w:vAlign w:val="bottom"/>
          </w:tcPr>
          <w:p w:rsidR="0018024C" w:rsidRDefault="0018024C" w:rsidP="0018024C">
            <w:pPr>
              <w:keepNext/>
              <w:keepLines/>
              <w:spacing w:before="1" w:after="1"/>
              <w:rPr>
                <w:sz w:val="20"/>
              </w:rPr>
            </w:pPr>
            <w:r>
              <w:rPr>
                <w:sz w:val="20"/>
              </w:rPr>
              <w:t>$</w:t>
            </w:r>
          </w:p>
        </w:tc>
        <w:tc>
          <w:tcPr>
            <w:tcW w:w="462" w:type="pct"/>
            <w:tcBorders>
              <w:top w:val="single" w:sz="0" w:space="0" w:color="000000"/>
              <w:left w:val="nil"/>
              <w:bottom w:val="double" w:sz="4" w:space="0" w:color="000000"/>
              <w:right w:val="nil"/>
              <w:tl2br w:val="nil"/>
              <w:tr2bl w:val="nil"/>
            </w:tcBorders>
            <w:vAlign w:val="bottom"/>
          </w:tcPr>
          <w:p w:rsidR="0018024C" w:rsidRDefault="0018024C" w:rsidP="0018024C">
            <w:pPr>
              <w:keepNext/>
              <w:keepLines/>
              <w:spacing w:before="1" w:after="1"/>
              <w:ind w:right="65"/>
              <w:jc w:val="right"/>
              <w:rPr>
                <w:sz w:val="20"/>
              </w:rPr>
            </w:pPr>
            <w:r>
              <w:rPr>
                <w:sz w:val="20"/>
              </w:rPr>
              <w:t xml:space="preserve"> 4,172</w:t>
            </w:r>
          </w:p>
        </w:tc>
        <w:tc>
          <w:tcPr>
            <w:tcW w:w="87"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390" w:type="pct"/>
            <w:tcBorders>
              <w:top w:val="single" w:sz="0" w:space="0" w:color="000000"/>
              <w:left w:val="nil"/>
              <w:bottom w:val="double" w:sz="4" w:space="0" w:color="000000"/>
              <w:right w:val="nil"/>
              <w:tl2br w:val="nil"/>
              <w:tr2bl w:val="nil"/>
            </w:tcBorders>
            <w:vAlign w:val="bottom"/>
          </w:tcPr>
          <w:p w:rsidR="0018024C" w:rsidRDefault="0018024C" w:rsidP="0018024C">
            <w:pPr>
              <w:keepNext/>
              <w:keepLines/>
              <w:spacing w:before="1" w:after="1"/>
              <w:ind w:right="65"/>
              <w:jc w:val="right"/>
              <w:rPr>
                <w:sz w:val="20"/>
              </w:rPr>
            </w:pPr>
            <w:r>
              <w:rPr>
                <w:sz w:val="20"/>
              </w:rPr>
              <w:t>100%</w:t>
            </w:r>
          </w:p>
        </w:tc>
        <w:tc>
          <w:tcPr>
            <w:tcW w:w="87"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130" w:type="pct"/>
            <w:tcBorders>
              <w:top w:val="single" w:sz="0" w:space="0" w:color="000000"/>
              <w:left w:val="nil"/>
              <w:bottom w:val="double" w:sz="4" w:space="0" w:color="000000"/>
              <w:right w:val="nil"/>
              <w:tl2br w:val="nil"/>
              <w:tr2bl w:val="nil"/>
            </w:tcBorders>
            <w:vAlign w:val="bottom"/>
          </w:tcPr>
          <w:p w:rsidR="0018024C" w:rsidRDefault="0018024C" w:rsidP="0018024C">
            <w:pPr>
              <w:keepNext/>
              <w:keepLines/>
              <w:spacing w:before="1" w:after="1"/>
              <w:rPr>
                <w:sz w:val="20"/>
              </w:rPr>
            </w:pPr>
            <w:r>
              <w:rPr>
                <w:sz w:val="20"/>
              </w:rPr>
              <w:t>$</w:t>
            </w:r>
          </w:p>
        </w:tc>
        <w:tc>
          <w:tcPr>
            <w:tcW w:w="462" w:type="pct"/>
            <w:tcBorders>
              <w:top w:val="single" w:sz="0" w:space="0" w:color="000000"/>
              <w:left w:val="nil"/>
              <w:bottom w:val="double" w:sz="4" w:space="0" w:color="000000"/>
              <w:right w:val="nil"/>
              <w:tl2br w:val="nil"/>
              <w:tr2bl w:val="nil"/>
            </w:tcBorders>
            <w:vAlign w:val="bottom"/>
          </w:tcPr>
          <w:p w:rsidR="0018024C" w:rsidRDefault="0018024C" w:rsidP="0018024C">
            <w:pPr>
              <w:keepNext/>
              <w:keepLines/>
              <w:spacing w:before="1" w:after="1"/>
              <w:ind w:right="65"/>
              <w:jc w:val="right"/>
              <w:rPr>
                <w:sz w:val="20"/>
              </w:rPr>
            </w:pPr>
            <w:r>
              <w:rPr>
                <w:sz w:val="20"/>
              </w:rPr>
              <w:t xml:space="preserve"> 3,646</w:t>
            </w:r>
          </w:p>
        </w:tc>
        <w:tc>
          <w:tcPr>
            <w:tcW w:w="87" w:type="pct"/>
            <w:tcBorders>
              <w:top w:val="nil"/>
              <w:left w:val="nil"/>
              <w:bottom w:val="nil"/>
              <w:right w:val="nil"/>
              <w:tl2br w:val="nil"/>
              <w:tr2bl w:val="nil"/>
            </w:tcBorders>
            <w:vAlign w:val="bottom"/>
          </w:tcPr>
          <w:p w:rsidR="0018024C" w:rsidRDefault="0018024C" w:rsidP="0018024C">
            <w:pPr>
              <w:keepNext/>
              <w:keepLines/>
              <w:spacing w:before="1" w:after="1"/>
              <w:rPr>
                <w:sz w:val="20"/>
              </w:rPr>
            </w:pPr>
          </w:p>
        </w:tc>
        <w:tc>
          <w:tcPr>
            <w:tcW w:w="462" w:type="pct"/>
            <w:tcBorders>
              <w:top w:val="single" w:sz="0" w:space="0" w:color="000000"/>
              <w:left w:val="nil"/>
              <w:bottom w:val="double" w:sz="4" w:space="0" w:color="000000"/>
              <w:right w:val="nil"/>
              <w:tl2br w:val="nil"/>
              <w:tr2bl w:val="nil"/>
            </w:tcBorders>
            <w:vAlign w:val="bottom"/>
          </w:tcPr>
          <w:p w:rsidR="0018024C" w:rsidRDefault="0018024C" w:rsidP="0018024C">
            <w:pPr>
              <w:keepNext/>
              <w:keepLines/>
              <w:spacing w:before="1" w:after="1"/>
              <w:ind w:right="65"/>
              <w:jc w:val="right"/>
              <w:rPr>
                <w:sz w:val="20"/>
              </w:rPr>
            </w:pPr>
            <w:r>
              <w:rPr>
                <w:sz w:val="20"/>
              </w:rPr>
              <w:t>100%</w:t>
            </w:r>
          </w:p>
        </w:tc>
      </w:tr>
    </w:tbl>
    <w:p w:rsidR="000121CD" w:rsidRDefault="000121CD">
      <w:pPr>
        <w:pStyle w:val="NormalWeb"/>
        <w:keepNext/>
        <w:spacing w:before="0" w:beforeAutospacing="0" w:after="0" w:afterAutospacing="0"/>
        <w:rPr>
          <w:b/>
          <w:bCs/>
          <w:i/>
          <w:iCs/>
          <w:sz w:val="20"/>
          <w:szCs w:val="20"/>
        </w:rPr>
      </w:pPr>
    </w:p>
    <w:p w:rsidR="000121CD" w:rsidRDefault="00590862">
      <w:pPr>
        <w:pStyle w:val="NormalWeb"/>
        <w:keepNext/>
        <w:spacing w:before="0" w:beforeAutospacing="0" w:after="0" w:afterAutospacing="0"/>
        <w:rPr>
          <w:sz w:val="20"/>
          <w:szCs w:val="20"/>
        </w:rPr>
      </w:pPr>
      <w:r>
        <w:rPr>
          <w:b/>
          <w:bCs/>
          <w:i/>
          <w:iCs/>
          <w:sz w:val="20"/>
          <w:szCs w:val="20"/>
        </w:rPr>
        <w:t xml:space="preserve">Year Ended </w:t>
      </w:r>
      <w:r w:rsidR="003627E3" w:rsidRPr="003A4344">
        <w:rPr>
          <w:b/>
          <w:bCs/>
          <w:i/>
          <w:iCs/>
          <w:sz w:val="20"/>
          <w:szCs w:val="20"/>
        </w:rPr>
        <w:t>December 31, 2019</w:t>
      </w:r>
      <w:r>
        <w:rPr>
          <w:b/>
          <w:bCs/>
          <w:i/>
          <w:iCs/>
          <w:sz w:val="20"/>
          <w:szCs w:val="20"/>
        </w:rPr>
        <w:t xml:space="preserve"> Compared to the Year Ended </w:t>
      </w:r>
      <w:r w:rsidR="003627E3" w:rsidRPr="003A4344">
        <w:rPr>
          <w:b/>
          <w:bCs/>
          <w:i/>
          <w:iCs/>
          <w:sz w:val="20"/>
          <w:szCs w:val="20"/>
        </w:rPr>
        <w:t>December 31, 2018</w:t>
      </w:r>
      <w:r>
        <w:rPr>
          <w:b/>
          <w:bCs/>
          <w:i/>
          <w:iCs/>
          <w:sz w:val="20"/>
          <w:szCs w:val="20"/>
        </w:rPr>
        <w:t xml:space="preserve"> </w:t>
      </w:r>
    </w:p>
    <w:p w:rsidR="000121CD" w:rsidRDefault="00590862">
      <w:pPr>
        <w:pStyle w:val="NormalWeb"/>
        <w:keepNext/>
        <w:spacing w:before="90" w:beforeAutospacing="0" w:after="0" w:afterAutospacing="0"/>
        <w:rPr>
          <w:sz w:val="20"/>
          <w:szCs w:val="20"/>
        </w:rPr>
      </w:pPr>
      <w:r>
        <w:rPr>
          <w:sz w:val="20"/>
          <w:szCs w:val="20"/>
        </w:rPr>
        <w:t xml:space="preserve">For the years ended </w:t>
      </w:r>
      <w:r w:rsidR="005A76D0">
        <w:rPr>
          <w:sz w:val="20"/>
          <w:szCs w:val="20"/>
        </w:rPr>
        <w:t>December 31, 2019 and 2018</w:t>
      </w:r>
      <w:r w:rsidR="00466DD8">
        <w:rPr>
          <w:sz w:val="20"/>
          <w:szCs w:val="20"/>
        </w:rPr>
        <w:t xml:space="preserve">, </w:t>
      </w:r>
      <w:r>
        <w:rPr>
          <w:sz w:val="20"/>
          <w:szCs w:val="20"/>
        </w:rPr>
        <w:t xml:space="preserve">the following table summarizes our results of operations (in millions): </w:t>
      </w:r>
    </w:p>
    <w:p w:rsidR="000121CD" w:rsidRDefault="000121CD">
      <w:pPr>
        <w:pStyle w:val="NormalWeb"/>
        <w:keepNext/>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4181"/>
        <w:gridCol w:w="305"/>
        <w:gridCol w:w="1313"/>
        <w:gridCol w:w="225"/>
        <w:gridCol w:w="305"/>
        <w:gridCol w:w="1313"/>
        <w:gridCol w:w="225"/>
        <w:gridCol w:w="305"/>
        <w:gridCol w:w="1313"/>
        <w:gridCol w:w="289"/>
        <w:gridCol w:w="1026"/>
      </w:tblGrid>
      <w:tr w:rsidR="0018024C" w:rsidTr="0018024C">
        <w:trPr>
          <w:trHeight w:hRule="exact" w:val="20"/>
        </w:trPr>
        <w:tc>
          <w:tcPr>
            <w:tcW w:w="1936"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41"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608"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04"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41"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608"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04"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41"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608"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34"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475"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r>
      <w:tr w:rsidR="0018024C" w:rsidTr="0018024C">
        <w:trPr>
          <w:trHeight w:hRule="exact" w:val="315"/>
        </w:trPr>
        <w:tc>
          <w:tcPr>
            <w:tcW w:w="1936" w:type="pct"/>
            <w:tcBorders>
              <w:top w:val="nil"/>
              <w:left w:val="nil"/>
              <w:bottom w:val="nil"/>
              <w:right w:val="nil"/>
              <w:tl2br w:val="nil"/>
              <w:tr2bl w:val="nil"/>
            </w:tcBorders>
            <w:shd w:val="clear" w:color="auto" w:fill="auto"/>
            <w:vAlign w:val="bottom"/>
          </w:tcPr>
          <w:p w:rsidR="0018024C" w:rsidRDefault="0018024C" w:rsidP="0018024C">
            <w:pPr>
              <w:keepNext/>
              <w:spacing w:before="1" w:after="1"/>
              <w:rPr>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color w:val="000000"/>
                <w:sz w:val="20"/>
              </w:rPr>
            </w:pPr>
            <w:r>
              <w:rPr>
                <w:b/>
                <w:color w:val="000000"/>
                <w:sz w:val="20"/>
              </w:rPr>
              <w:t>Year Ended December 31,</w:t>
            </w:r>
          </w:p>
        </w:tc>
        <w:tc>
          <w:tcPr>
            <w:tcW w:w="104" w:type="pct"/>
            <w:tcBorders>
              <w:top w:val="nil"/>
              <w:left w:val="nil"/>
              <w:bottom w:val="nil"/>
              <w:right w:val="nil"/>
              <w:tl2br w:val="nil"/>
              <w:tr2bl w:val="nil"/>
            </w:tcBorders>
            <w:shd w:val="clear" w:color="auto" w:fill="auto"/>
            <w:vAlign w:val="bottom"/>
          </w:tcPr>
          <w:p w:rsidR="0018024C" w:rsidRDefault="0018024C" w:rsidP="0018024C">
            <w:pPr>
              <w:keepNext/>
              <w:spacing w:before="1" w:after="1"/>
              <w:jc w:val="center"/>
              <w:rPr>
                <w:b/>
                <w:color w:val="000000"/>
                <w:sz w:val="20"/>
              </w:rPr>
            </w:pPr>
          </w:p>
        </w:tc>
        <w:tc>
          <w:tcPr>
            <w:tcW w:w="141" w:type="pct"/>
            <w:tcBorders>
              <w:top w:val="nil"/>
              <w:left w:val="nil"/>
              <w:bottom w:val="nil"/>
              <w:right w:val="nil"/>
              <w:tl2br w:val="nil"/>
              <w:tr2bl w:val="nil"/>
            </w:tcBorders>
            <w:shd w:val="clear" w:color="auto" w:fill="auto"/>
            <w:vAlign w:val="bottom"/>
          </w:tcPr>
          <w:p w:rsidR="0018024C" w:rsidRDefault="0018024C" w:rsidP="0018024C">
            <w:pPr>
              <w:keepNext/>
              <w:spacing w:before="1" w:after="1"/>
              <w:rPr>
                <w:b/>
                <w:color w:val="000000"/>
                <w:sz w:val="20"/>
              </w:rPr>
            </w:pPr>
          </w:p>
        </w:tc>
        <w:tc>
          <w:tcPr>
            <w:tcW w:w="608" w:type="pct"/>
            <w:tcBorders>
              <w:top w:val="nil"/>
              <w:left w:val="nil"/>
              <w:bottom w:val="nil"/>
              <w:right w:val="nil"/>
              <w:tl2br w:val="nil"/>
              <w:tr2bl w:val="nil"/>
            </w:tcBorders>
            <w:shd w:val="clear" w:color="auto" w:fill="auto"/>
            <w:vAlign w:val="bottom"/>
          </w:tcPr>
          <w:p w:rsidR="0018024C" w:rsidRDefault="0018024C" w:rsidP="0018024C">
            <w:pPr>
              <w:keepNext/>
              <w:spacing w:before="1" w:after="1"/>
              <w:jc w:val="center"/>
              <w:rPr>
                <w:b/>
                <w:color w:val="000000"/>
                <w:sz w:val="20"/>
              </w:rPr>
            </w:pPr>
          </w:p>
        </w:tc>
        <w:tc>
          <w:tcPr>
            <w:tcW w:w="134" w:type="pct"/>
            <w:tcBorders>
              <w:top w:val="nil"/>
              <w:left w:val="nil"/>
              <w:bottom w:val="nil"/>
              <w:right w:val="nil"/>
              <w:tl2br w:val="nil"/>
              <w:tr2bl w:val="nil"/>
            </w:tcBorders>
            <w:shd w:val="clear" w:color="auto" w:fill="auto"/>
            <w:vAlign w:val="bottom"/>
          </w:tcPr>
          <w:p w:rsidR="0018024C" w:rsidRDefault="0018024C" w:rsidP="0018024C">
            <w:pPr>
              <w:keepNext/>
              <w:spacing w:before="1" w:after="1"/>
              <w:jc w:val="center"/>
              <w:rPr>
                <w:b/>
                <w:color w:val="000000"/>
                <w:sz w:val="20"/>
              </w:rPr>
            </w:pPr>
          </w:p>
        </w:tc>
        <w:tc>
          <w:tcPr>
            <w:tcW w:w="475" w:type="pct"/>
            <w:tcBorders>
              <w:top w:val="nil"/>
              <w:left w:val="nil"/>
              <w:bottom w:val="nil"/>
              <w:right w:val="nil"/>
              <w:tl2br w:val="nil"/>
              <w:tr2bl w:val="nil"/>
            </w:tcBorders>
            <w:shd w:val="clear" w:color="auto" w:fill="auto"/>
            <w:vAlign w:val="bottom"/>
          </w:tcPr>
          <w:p w:rsidR="0018024C" w:rsidRDefault="0018024C" w:rsidP="0018024C">
            <w:pPr>
              <w:keepNext/>
              <w:spacing w:before="1" w:after="1"/>
              <w:rPr>
                <w:sz w:val="20"/>
              </w:rPr>
            </w:pPr>
          </w:p>
        </w:tc>
      </w:tr>
      <w:tr w:rsidR="0018024C" w:rsidTr="0018024C">
        <w:trPr>
          <w:trHeight w:hRule="exact" w:val="315"/>
        </w:trPr>
        <w:tc>
          <w:tcPr>
            <w:tcW w:w="1936" w:type="pct"/>
            <w:tcBorders>
              <w:top w:val="nil"/>
              <w:left w:val="nil"/>
              <w:bottom w:val="nil"/>
              <w:right w:val="nil"/>
              <w:tl2br w:val="nil"/>
              <w:tr2bl w:val="nil"/>
            </w:tcBorders>
            <w:shd w:val="clear" w:color="auto" w:fill="auto"/>
            <w:vAlign w:val="bottom"/>
          </w:tcPr>
          <w:p w:rsidR="0018024C" w:rsidRDefault="0018024C" w:rsidP="0018024C">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color w:val="000000"/>
                <w:sz w:val="20"/>
              </w:rPr>
            </w:pPr>
            <w:r>
              <w:rPr>
                <w:b/>
                <w:color w:val="000000"/>
                <w:sz w:val="20"/>
              </w:rPr>
              <w:t>2019</w:t>
            </w:r>
          </w:p>
        </w:tc>
        <w:tc>
          <w:tcPr>
            <w:tcW w:w="104" w:type="pct"/>
            <w:tcBorders>
              <w:top w:val="single" w:sz="0" w:space="0" w:color="000000"/>
              <w:left w:val="nil"/>
              <w:bottom w:val="nil"/>
              <w:right w:val="nil"/>
              <w:tl2br w:val="nil"/>
              <w:tr2bl w:val="nil"/>
            </w:tcBorders>
            <w:shd w:val="clear" w:color="auto" w:fill="auto"/>
            <w:vAlign w:val="bottom"/>
          </w:tcPr>
          <w:p w:rsidR="0018024C" w:rsidRDefault="0018024C" w:rsidP="0018024C">
            <w:pPr>
              <w:keepNext/>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color w:val="000000"/>
                <w:sz w:val="20"/>
              </w:rPr>
            </w:pPr>
            <w:r>
              <w:rPr>
                <w:b/>
                <w:color w:val="000000"/>
                <w:sz w:val="20"/>
              </w:rPr>
              <w:t xml:space="preserve"> 2018</w:t>
            </w:r>
          </w:p>
        </w:tc>
        <w:tc>
          <w:tcPr>
            <w:tcW w:w="104" w:type="pct"/>
            <w:tcBorders>
              <w:top w:val="nil"/>
              <w:left w:val="nil"/>
              <w:bottom w:val="nil"/>
              <w:right w:val="nil"/>
              <w:tl2br w:val="nil"/>
              <w:tr2bl w:val="nil"/>
            </w:tcBorders>
            <w:shd w:val="clear" w:color="auto" w:fill="auto"/>
            <w:vAlign w:val="bottom"/>
          </w:tcPr>
          <w:p w:rsidR="0018024C" w:rsidRDefault="0018024C" w:rsidP="0018024C">
            <w:pPr>
              <w:keepNext/>
              <w:spacing w:before="1" w:after="1"/>
              <w:jc w:val="center"/>
              <w:rPr>
                <w:b/>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sz w:val="20"/>
              </w:rPr>
            </w:pPr>
            <w:r>
              <w:rPr>
                <w:b/>
                <w:sz w:val="20"/>
              </w:rPr>
              <w:t>$ Change</w:t>
            </w:r>
          </w:p>
        </w:tc>
        <w:tc>
          <w:tcPr>
            <w:tcW w:w="134" w:type="pct"/>
            <w:tcBorders>
              <w:top w:val="nil"/>
              <w:left w:val="nil"/>
              <w:bottom w:val="nil"/>
              <w:right w:val="nil"/>
              <w:tl2br w:val="nil"/>
              <w:tr2bl w:val="nil"/>
            </w:tcBorders>
            <w:shd w:val="clear" w:color="auto" w:fill="auto"/>
            <w:vAlign w:val="bottom"/>
          </w:tcPr>
          <w:p w:rsidR="0018024C" w:rsidRDefault="0018024C" w:rsidP="0018024C">
            <w:pPr>
              <w:keepNext/>
              <w:spacing w:before="1" w:after="1"/>
              <w:rPr>
                <w:sz w:val="20"/>
              </w:rPr>
            </w:pPr>
          </w:p>
        </w:tc>
        <w:tc>
          <w:tcPr>
            <w:tcW w:w="475" w:type="pct"/>
            <w:tcBorders>
              <w:top w:val="nil"/>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sz w:val="20"/>
              </w:rPr>
            </w:pPr>
            <w:r>
              <w:rPr>
                <w:b/>
                <w:sz w:val="20"/>
              </w:rPr>
              <w:t>% Change</w:t>
            </w:r>
          </w:p>
        </w:tc>
      </w:tr>
      <w:tr w:rsidR="0018024C" w:rsidTr="0018024C">
        <w:trPr>
          <w:trHeight w:hRule="exact" w:val="255"/>
        </w:trPr>
        <w:tc>
          <w:tcPr>
            <w:tcW w:w="1936"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i/>
                <w:color w:val="000000"/>
                <w:sz w:val="20"/>
              </w:rPr>
            </w:pPr>
            <w:r>
              <w:rPr>
                <w:i/>
                <w:color w:val="000000"/>
                <w:sz w:val="20"/>
              </w:rPr>
              <w:t>Sales:</w:t>
            </w:r>
          </w:p>
        </w:tc>
        <w:tc>
          <w:tcPr>
            <w:tcW w:w="141"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i/>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i/>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i/>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475"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r>
      <w:tr w:rsidR="0018024C" w:rsidTr="0018024C">
        <w:trPr>
          <w:trHeight w:hRule="exact" w:val="255"/>
        </w:trPr>
        <w:tc>
          <w:tcPr>
            <w:tcW w:w="1936"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r>
              <w:rPr>
                <w:color w:val="000000"/>
                <w:sz w:val="20"/>
              </w:rPr>
              <w:t>U.S.</w:t>
            </w:r>
          </w:p>
        </w:tc>
        <w:tc>
          <w:tcPr>
            <w:tcW w:w="141" w:type="pct"/>
            <w:tcBorders>
              <w:top w:val="nil"/>
              <w:left w:val="nil"/>
              <w:bottom w:val="nil"/>
              <w:right w:val="nil"/>
              <w:tl2br w:val="nil"/>
              <w:tr2bl w:val="nil"/>
            </w:tcBorders>
            <w:vAlign w:val="bottom"/>
          </w:tcPr>
          <w:p w:rsidR="0018024C" w:rsidRDefault="0018024C" w:rsidP="0018024C">
            <w:pPr>
              <w:keepNext/>
              <w:spacing w:before="1" w:after="1"/>
              <w:rPr>
                <w:b/>
                <w:color w:val="000000"/>
                <w:sz w:val="20"/>
              </w:rPr>
            </w:pPr>
            <w:r>
              <w:rPr>
                <w:b/>
                <w:color w:val="000000"/>
                <w:sz w:val="20"/>
              </w:rPr>
              <w:t>$</w:t>
            </w:r>
          </w:p>
        </w:tc>
        <w:tc>
          <w:tcPr>
            <w:tcW w:w="608" w:type="pct"/>
            <w:tcBorders>
              <w:top w:val="nil"/>
              <w:left w:val="nil"/>
              <w:bottom w:val="nil"/>
              <w:right w:val="nil"/>
              <w:tl2br w:val="nil"/>
              <w:tr2bl w:val="nil"/>
            </w:tcBorders>
            <w:vAlign w:val="bottom"/>
          </w:tcPr>
          <w:p w:rsidR="0018024C" w:rsidRDefault="0018024C" w:rsidP="0018024C">
            <w:pPr>
              <w:keepNext/>
              <w:spacing w:before="1" w:after="1"/>
              <w:ind w:right="63"/>
              <w:jc w:val="right"/>
              <w:rPr>
                <w:b/>
                <w:color w:val="000000"/>
                <w:sz w:val="20"/>
              </w:rPr>
            </w:pPr>
            <w:r>
              <w:rPr>
                <w:b/>
                <w:color w:val="000000"/>
                <w:sz w:val="20"/>
              </w:rPr>
              <w:t xml:space="preserve"> 2,956</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r>
              <w:rPr>
                <w:color w:val="000000"/>
                <w:sz w:val="20"/>
              </w:rPr>
              <w:t>$</w:t>
            </w:r>
          </w:p>
        </w:tc>
        <w:tc>
          <w:tcPr>
            <w:tcW w:w="608" w:type="pct"/>
            <w:tcBorders>
              <w:top w:val="nil"/>
              <w:left w:val="nil"/>
              <w:bottom w:val="nil"/>
              <w:right w:val="nil"/>
              <w:tl2br w:val="nil"/>
              <w:tr2bl w:val="nil"/>
            </w:tcBorders>
            <w:vAlign w:val="bottom"/>
          </w:tcPr>
          <w:p w:rsidR="0018024C" w:rsidRDefault="0018024C" w:rsidP="0018024C">
            <w:pPr>
              <w:keepNext/>
              <w:spacing w:before="1" w:after="1"/>
              <w:ind w:right="65"/>
              <w:jc w:val="right"/>
              <w:rPr>
                <w:color w:val="000000"/>
                <w:sz w:val="20"/>
              </w:rPr>
            </w:pPr>
            <w:r>
              <w:rPr>
                <w:color w:val="000000"/>
                <w:sz w:val="20"/>
              </w:rPr>
              <w:t xml:space="preserve"> 3,321</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r>
              <w:rPr>
                <w:color w:val="000000"/>
                <w:sz w:val="20"/>
              </w:rPr>
              <w:t>$</w:t>
            </w:r>
          </w:p>
        </w:tc>
        <w:tc>
          <w:tcPr>
            <w:tcW w:w="608" w:type="pct"/>
            <w:tcBorders>
              <w:top w:val="nil"/>
              <w:left w:val="nil"/>
              <w:bottom w:val="nil"/>
              <w:right w:val="nil"/>
              <w:tl2br w:val="nil"/>
              <w:tr2bl w:val="nil"/>
            </w:tcBorders>
            <w:vAlign w:val="bottom"/>
          </w:tcPr>
          <w:p w:rsidR="0018024C" w:rsidRDefault="0018024C" w:rsidP="0018024C">
            <w:pPr>
              <w:keepNext/>
              <w:spacing w:before="1" w:after="1"/>
              <w:ind w:right="3"/>
              <w:jc w:val="right"/>
              <w:rPr>
                <w:color w:val="000000"/>
                <w:sz w:val="20"/>
              </w:rPr>
            </w:pPr>
            <w:r>
              <w:rPr>
                <w:color w:val="000000"/>
                <w:sz w:val="20"/>
              </w:rPr>
              <w:t xml:space="preserve"> (365)</w:t>
            </w:r>
          </w:p>
        </w:tc>
        <w:tc>
          <w:tcPr>
            <w:tcW w:w="134"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vAlign w:val="bottom"/>
          </w:tcPr>
          <w:p w:rsidR="0018024C" w:rsidRDefault="0018024C" w:rsidP="0018024C">
            <w:pPr>
              <w:keepNext/>
              <w:spacing w:before="1" w:after="1"/>
              <w:ind w:right="3"/>
              <w:jc w:val="right"/>
              <w:rPr>
                <w:sz w:val="20"/>
              </w:rPr>
            </w:pPr>
            <w:r>
              <w:rPr>
                <w:sz w:val="20"/>
              </w:rPr>
              <w:t>(11%)</w:t>
            </w:r>
          </w:p>
        </w:tc>
      </w:tr>
      <w:tr w:rsidR="0018024C" w:rsidTr="0018024C">
        <w:trPr>
          <w:trHeight w:hRule="exact" w:val="255"/>
        </w:trPr>
        <w:tc>
          <w:tcPr>
            <w:tcW w:w="1936"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r>
              <w:rPr>
                <w:color w:val="000000"/>
                <w:sz w:val="20"/>
              </w:rPr>
              <w:t>Canada</w:t>
            </w:r>
          </w:p>
        </w:tc>
        <w:tc>
          <w:tcPr>
            <w:tcW w:w="141"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color w:val="000000"/>
                <w:sz w:val="20"/>
              </w:rPr>
            </w:pPr>
          </w:p>
        </w:tc>
        <w:tc>
          <w:tcPr>
            <w:tcW w:w="60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3"/>
              <w:jc w:val="right"/>
              <w:rPr>
                <w:b/>
                <w:color w:val="000000"/>
                <w:sz w:val="20"/>
              </w:rPr>
            </w:pPr>
            <w:r>
              <w:rPr>
                <w:b/>
                <w:color w:val="000000"/>
                <w:sz w:val="20"/>
              </w:rPr>
              <w:t xml:space="preserve"> 226</w:t>
            </w: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color w:val="000000"/>
                <w:sz w:val="20"/>
              </w:rPr>
            </w:pPr>
            <w:r>
              <w:rPr>
                <w:color w:val="000000"/>
                <w:sz w:val="20"/>
              </w:rPr>
              <w:t xml:space="preserve"> 315</w:t>
            </w: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3"/>
              <w:jc w:val="right"/>
              <w:rPr>
                <w:color w:val="000000"/>
                <w:sz w:val="20"/>
              </w:rPr>
            </w:pPr>
            <w:r>
              <w:rPr>
                <w:color w:val="000000"/>
                <w:sz w:val="20"/>
              </w:rPr>
              <w:t xml:space="preserve"> (89)</w:t>
            </w:r>
          </w:p>
        </w:tc>
        <w:tc>
          <w:tcPr>
            <w:tcW w:w="13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3"/>
              <w:jc w:val="right"/>
              <w:rPr>
                <w:sz w:val="20"/>
              </w:rPr>
            </w:pPr>
            <w:r>
              <w:rPr>
                <w:sz w:val="20"/>
              </w:rPr>
              <w:t>(28%)</w:t>
            </w:r>
          </w:p>
        </w:tc>
      </w:tr>
      <w:tr w:rsidR="0018024C" w:rsidTr="0018024C">
        <w:trPr>
          <w:trHeight w:hRule="exact" w:val="255"/>
        </w:trPr>
        <w:tc>
          <w:tcPr>
            <w:tcW w:w="1936"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r>
              <w:rPr>
                <w:color w:val="000000"/>
                <w:sz w:val="20"/>
              </w:rPr>
              <w:t>International</w:t>
            </w:r>
          </w:p>
        </w:tc>
        <w:tc>
          <w:tcPr>
            <w:tcW w:w="141" w:type="pct"/>
            <w:tcBorders>
              <w:top w:val="nil"/>
              <w:left w:val="nil"/>
              <w:bottom w:val="single" w:sz="12" w:space="0" w:color="000000"/>
              <w:right w:val="nil"/>
              <w:tl2br w:val="nil"/>
              <w:tr2bl w:val="nil"/>
            </w:tcBorders>
            <w:vAlign w:val="bottom"/>
          </w:tcPr>
          <w:p w:rsidR="0018024C" w:rsidRDefault="0018024C" w:rsidP="0018024C">
            <w:pPr>
              <w:keepNext/>
              <w:spacing w:before="1" w:after="1"/>
              <w:rPr>
                <w:b/>
                <w:color w:val="000000"/>
                <w:sz w:val="20"/>
              </w:rPr>
            </w:pPr>
          </w:p>
        </w:tc>
        <w:tc>
          <w:tcPr>
            <w:tcW w:w="608" w:type="pct"/>
            <w:tcBorders>
              <w:top w:val="nil"/>
              <w:left w:val="nil"/>
              <w:bottom w:val="single" w:sz="12" w:space="0" w:color="000000"/>
              <w:right w:val="nil"/>
              <w:tl2br w:val="nil"/>
              <w:tr2bl w:val="nil"/>
            </w:tcBorders>
            <w:vAlign w:val="bottom"/>
          </w:tcPr>
          <w:p w:rsidR="0018024C" w:rsidRDefault="0018024C" w:rsidP="0018024C">
            <w:pPr>
              <w:keepNext/>
              <w:spacing w:before="1" w:after="1"/>
              <w:ind w:right="63"/>
              <w:jc w:val="right"/>
              <w:rPr>
                <w:b/>
                <w:color w:val="000000"/>
                <w:sz w:val="20"/>
              </w:rPr>
            </w:pPr>
            <w:r>
              <w:rPr>
                <w:b/>
                <w:color w:val="000000"/>
                <w:sz w:val="20"/>
              </w:rPr>
              <w:t xml:space="preserve"> 480</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18024C" w:rsidRDefault="0018024C" w:rsidP="0018024C">
            <w:pPr>
              <w:keepNext/>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18024C" w:rsidRDefault="0018024C" w:rsidP="0018024C">
            <w:pPr>
              <w:keepNext/>
              <w:spacing w:before="1" w:after="1"/>
              <w:ind w:right="65"/>
              <w:jc w:val="right"/>
              <w:rPr>
                <w:color w:val="000000"/>
                <w:sz w:val="20"/>
              </w:rPr>
            </w:pPr>
            <w:r>
              <w:rPr>
                <w:color w:val="000000"/>
                <w:sz w:val="20"/>
              </w:rPr>
              <w:t xml:space="preserve"> 536</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18024C" w:rsidRDefault="0018024C" w:rsidP="0018024C">
            <w:pPr>
              <w:keepNext/>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18024C" w:rsidRDefault="0018024C" w:rsidP="0018024C">
            <w:pPr>
              <w:keepNext/>
              <w:spacing w:before="1" w:after="1"/>
              <w:ind w:right="3"/>
              <w:jc w:val="right"/>
              <w:rPr>
                <w:color w:val="000000"/>
                <w:sz w:val="20"/>
              </w:rPr>
            </w:pPr>
            <w:r>
              <w:rPr>
                <w:color w:val="000000"/>
                <w:sz w:val="20"/>
              </w:rPr>
              <w:t xml:space="preserve"> (56)</w:t>
            </w:r>
          </w:p>
        </w:tc>
        <w:tc>
          <w:tcPr>
            <w:tcW w:w="134"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vAlign w:val="bottom"/>
          </w:tcPr>
          <w:p w:rsidR="0018024C" w:rsidRDefault="0018024C" w:rsidP="0018024C">
            <w:pPr>
              <w:keepNext/>
              <w:spacing w:before="1" w:after="1"/>
              <w:ind w:right="3"/>
              <w:jc w:val="right"/>
              <w:rPr>
                <w:sz w:val="20"/>
              </w:rPr>
            </w:pPr>
            <w:r>
              <w:rPr>
                <w:sz w:val="20"/>
              </w:rPr>
              <w:t>(10%)</w:t>
            </w:r>
          </w:p>
        </w:tc>
      </w:tr>
      <w:tr w:rsidR="0018024C" w:rsidTr="0018024C">
        <w:trPr>
          <w:trHeight w:hRule="exact" w:val="255"/>
        </w:trPr>
        <w:tc>
          <w:tcPr>
            <w:tcW w:w="1936"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left="120"/>
              <w:rPr>
                <w:color w:val="000000"/>
                <w:sz w:val="20"/>
              </w:rPr>
            </w:pPr>
            <w:r>
              <w:rPr>
                <w:color w:val="000000"/>
                <w:sz w:val="20"/>
              </w:rPr>
              <w:t>Consolidated</w:t>
            </w:r>
          </w:p>
        </w:tc>
        <w:tc>
          <w:tcPr>
            <w:tcW w:w="141"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rPr>
                <w:b/>
                <w:color w:val="000000"/>
                <w:sz w:val="20"/>
              </w:rPr>
            </w:pPr>
            <w:r>
              <w:rPr>
                <w:b/>
                <w:color w:val="000000"/>
                <w:sz w:val="20"/>
              </w:rPr>
              <w:t>$</w:t>
            </w:r>
          </w:p>
        </w:tc>
        <w:tc>
          <w:tcPr>
            <w:tcW w:w="608"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ind w:right="63"/>
              <w:jc w:val="right"/>
              <w:rPr>
                <w:b/>
                <w:color w:val="000000"/>
                <w:sz w:val="20"/>
              </w:rPr>
            </w:pPr>
            <w:r>
              <w:rPr>
                <w:b/>
                <w:color w:val="000000"/>
                <w:sz w:val="20"/>
              </w:rPr>
              <w:t xml:space="preserve"> 3,662</w:t>
            </w: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rPr>
                <w:color w:val="000000"/>
                <w:sz w:val="20"/>
              </w:rPr>
            </w:pPr>
            <w:r>
              <w:rPr>
                <w:color w:val="000000"/>
                <w:sz w:val="20"/>
              </w:rPr>
              <w:t>$</w:t>
            </w:r>
          </w:p>
        </w:tc>
        <w:tc>
          <w:tcPr>
            <w:tcW w:w="608"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ind w:right="65"/>
              <w:jc w:val="right"/>
              <w:rPr>
                <w:color w:val="000000"/>
                <w:sz w:val="20"/>
              </w:rPr>
            </w:pPr>
            <w:r>
              <w:rPr>
                <w:color w:val="000000"/>
                <w:sz w:val="20"/>
              </w:rPr>
              <w:t xml:space="preserve"> 4,172</w:t>
            </w: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rPr>
                <w:color w:val="000000"/>
                <w:sz w:val="20"/>
              </w:rPr>
            </w:pPr>
            <w:r>
              <w:rPr>
                <w:color w:val="000000"/>
                <w:sz w:val="20"/>
              </w:rPr>
              <w:t>$</w:t>
            </w:r>
          </w:p>
        </w:tc>
        <w:tc>
          <w:tcPr>
            <w:tcW w:w="608"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ind w:right="3"/>
              <w:jc w:val="right"/>
              <w:rPr>
                <w:color w:val="000000"/>
                <w:sz w:val="20"/>
              </w:rPr>
            </w:pPr>
            <w:r>
              <w:rPr>
                <w:color w:val="000000"/>
                <w:sz w:val="20"/>
              </w:rPr>
              <w:t xml:space="preserve"> (510)</w:t>
            </w:r>
          </w:p>
        </w:tc>
        <w:tc>
          <w:tcPr>
            <w:tcW w:w="13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3"/>
              <w:jc w:val="right"/>
              <w:rPr>
                <w:sz w:val="20"/>
              </w:rPr>
            </w:pPr>
            <w:r>
              <w:rPr>
                <w:sz w:val="20"/>
              </w:rPr>
              <w:t>(12%)</w:t>
            </w:r>
          </w:p>
        </w:tc>
      </w:tr>
      <w:tr w:rsidR="0018024C" w:rsidTr="0018024C">
        <w:trPr>
          <w:trHeight w:hRule="exact" w:val="255"/>
        </w:trPr>
        <w:tc>
          <w:tcPr>
            <w:tcW w:w="1936"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double" w:sz="0" w:space="0" w:color="000000"/>
              <w:left w:val="nil"/>
              <w:bottom w:val="nil"/>
              <w:right w:val="nil"/>
              <w:tl2br w:val="nil"/>
              <w:tr2bl w:val="nil"/>
            </w:tcBorders>
            <w:vAlign w:val="bottom"/>
          </w:tcPr>
          <w:p w:rsidR="0018024C" w:rsidRDefault="0018024C" w:rsidP="0018024C">
            <w:pPr>
              <w:keepNext/>
              <w:spacing w:before="1" w:after="1"/>
              <w:rPr>
                <w:b/>
                <w:color w:val="000000"/>
                <w:sz w:val="20"/>
              </w:rPr>
            </w:pPr>
          </w:p>
        </w:tc>
        <w:tc>
          <w:tcPr>
            <w:tcW w:w="608" w:type="pct"/>
            <w:tcBorders>
              <w:top w:val="double" w:sz="0" w:space="0" w:color="000000"/>
              <w:left w:val="nil"/>
              <w:bottom w:val="nil"/>
              <w:right w:val="nil"/>
              <w:tl2br w:val="nil"/>
              <w:tr2bl w:val="nil"/>
            </w:tcBorders>
            <w:vAlign w:val="bottom"/>
          </w:tcPr>
          <w:p w:rsidR="0018024C" w:rsidRDefault="0018024C" w:rsidP="0018024C">
            <w:pPr>
              <w:keepNext/>
              <w:spacing w:before="1" w:after="1"/>
              <w:rPr>
                <w:b/>
                <w:color w:val="000000"/>
                <w:sz w:val="20"/>
              </w:rPr>
            </w:pP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double" w:sz="0" w:space="0" w:color="000000"/>
              <w:left w:val="nil"/>
              <w:bottom w:val="nil"/>
              <w:right w:val="nil"/>
              <w:tl2br w:val="nil"/>
              <w:tr2bl w:val="nil"/>
            </w:tcBorders>
            <w:vAlign w:val="bottom"/>
          </w:tcPr>
          <w:p w:rsidR="0018024C" w:rsidRDefault="0018024C" w:rsidP="0018024C">
            <w:pPr>
              <w:keepNext/>
              <w:spacing w:before="1" w:after="1"/>
              <w:rPr>
                <w:color w:val="000000"/>
                <w:sz w:val="20"/>
              </w:rPr>
            </w:pPr>
          </w:p>
        </w:tc>
        <w:tc>
          <w:tcPr>
            <w:tcW w:w="608" w:type="pct"/>
            <w:tcBorders>
              <w:top w:val="double" w:sz="0" w:space="0" w:color="000000"/>
              <w:left w:val="nil"/>
              <w:bottom w:val="nil"/>
              <w:right w:val="nil"/>
              <w:tl2br w:val="nil"/>
              <w:tr2bl w:val="nil"/>
            </w:tcBorders>
            <w:vAlign w:val="bottom"/>
          </w:tcPr>
          <w:p w:rsidR="0018024C" w:rsidRDefault="0018024C" w:rsidP="0018024C">
            <w:pPr>
              <w:keepNext/>
              <w:spacing w:before="1" w:after="1"/>
              <w:rPr>
                <w:color w:val="000000"/>
                <w:sz w:val="20"/>
              </w:rPr>
            </w:pP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double" w:sz="0" w:space="0" w:color="000000"/>
              <w:left w:val="nil"/>
              <w:bottom w:val="nil"/>
              <w:right w:val="nil"/>
              <w:tl2br w:val="nil"/>
              <w:tr2bl w:val="nil"/>
            </w:tcBorders>
            <w:vAlign w:val="bottom"/>
          </w:tcPr>
          <w:p w:rsidR="0018024C" w:rsidRDefault="0018024C" w:rsidP="0018024C">
            <w:pPr>
              <w:keepNext/>
              <w:spacing w:before="1" w:after="1"/>
              <w:rPr>
                <w:color w:val="000000"/>
                <w:sz w:val="20"/>
              </w:rPr>
            </w:pPr>
          </w:p>
        </w:tc>
        <w:tc>
          <w:tcPr>
            <w:tcW w:w="608" w:type="pct"/>
            <w:tcBorders>
              <w:top w:val="double" w:sz="0" w:space="0" w:color="000000"/>
              <w:left w:val="nil"/>
              <w:bottom w:val="nil"/>
              <w:right w:val="nil"/>
              <w:tl2br w:val="nil"/>
              <w:tr2bl w:val="nil"/>
            </w:tcBorders>
            <w:vAlign w:val="bottom"/>
          </w:tcPr>
          <w:p w:rsidR="0018024C" w:rsidRDefault="0018024C" w:rsidP="0018024C">
            <w:pPr>
              <w:keepNext/>
              <w:spacing w:before="1" w:after="1"/>
              <w:rPr>
                <w:sz w:val="20"/>
              </w:rPr>
            </w:pPr>
          </w:p>
        </w:tc>
        <w:tc>
          <w:tcPr>
            <w:tcW w:w="134"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vAlign w:val="bottom"/>
          </w:tcPr>
          <w:p w:rsidR="0018024C" w:rsidRDefault="0018024C" w:rsidP="0018024C">
            <w:pPr>
              <w:keepNext/>
              <w:spacing w:before="1" w:after="1"/>
              <w:rPr>
                <w:sz w:val="20"/>
              </w:rPr>
            </w:pPr>
          </w:p>
        </w:tc>
      </w:tr>
      <w:tr w:rsidR="0018024C" w:rsidTr="0018024C">
        <w:trPr>
          <w:trHeight w:hRule="exact" w:val="270"/>
        </w:trPr>
        <w:tc>
          <w:tcPr>
            <w:tcW w:w="1936"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i/>
                <w:color w:val="000000"/>
                <w:sz w:val="20"/>
              </w:rPr>
            </w:pPr>
            <w:r>
              <w:rPr>
                <w:i/>
                <w:color w:val="000000"/>
                <w:sz w:val="20"/>
              </w:rPr>
              <w:t>Operating income (loss):</w:t>
            </w:r>
          </w:p>
        </w:tc>
        <w:tc>
          <w:tcPr>
            <w:tcW w:w="141"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i/>
                <w:color w:val="000000"/>
                <w:sz w:val="20"/>
              </w:rPr>
            </w:pPr>
          </w:p>
        </w:tc>
        <w:tc>
          <w:tcPr>
            <w:tcW w:w="60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color w:val="000000"/>
                <w:sz w:val="20"/>
              </w:rPr>
            </w:pP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i/>
                <w:color w:val="000000"/>
                <w:sz w:val="20"/>
              </w:rPr>
            </w:pPr>
          </w:p>
        </w:tc>
        <w:tc>
          <w:tcPr>
            <w:tcW w:w="60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i/>
                <w:color w:val="000000"/>
                <w:sz w:val="20"/>
              </w:rPr>
            </w:pPr>
          </w:p>
        </w:tc>
        <w:tc>
          <w:tcPr>
            <w:tcW w:w="60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r>
      <w:tr w:rsidR="0018024C" w:rsidTr="0018024C">
        <w:trPr>
          <w:trHeight w:hRule="exact" w:val="255"/>
        </w:trPr>
        <w:tc>
          <w:tcPr>
            <w:tcW w:w="1936"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r>
              <w:rPr>
                <w:color w:val="000000"/>
                <w:sz w:val="20"/>
              </w:rPr>
              <w:t>U.S.</w:t>
            </w:r>
          </w:p>
        </w:tc>
        <w:tc>
          <w:tcPr>
            <w:tcW w:w="141" w:type="pct"/>
            <w:tcBorders>
              <w:top w:val="nil"/>
              <w:left w:val="nil"/>
              <w:bottom w:val="nil"/>
              <w:right w:val="nil"/>
              <w:tl2br w:val="nil"/>
              <w:tr2bl w:val="nil"/>
            </w:tcBorders>
            <w:vAlign w:val="bottom"/>
          </w:tcPr>
          <w:p w:rsidR="0018024C" w:rsidRDefault="0018024C" w:rsidP="0018024C">
            <w:pPr>
              <w:keepNext/>
              <w:spacing w:before="1" w:after="1"/>
              <w:rPr>
                <w:b/>
                <w:color w:val="000000"/>
                <w:sz w:val="20"/>
              </w:rPr>
            </w:pPr>
            <w:r>
              <w:rPr>
                <w:b/>
                <w:color w:val="000000"/>
                <w:sz w:val="20"/>
              </w:rPr>
              <w:t>$</w:t>
            </w:r>
          </w:p>
        </w:tc>
        <w:tc>
          <w:tcPr>
            <w:tcW w:w="608" w:type="pct"/>
            <w:tcBorders>
              <w:top w:val="nil"/>
              <w:left w:val="nil"/>
              <w:bottom w:val="nil"/>
              <w:right w:val="nil"/>
              <w:tl2br w:val="nil"/>
              <w:tr2bl w:val="nil"/>
            </w:tcBorders>
            <w:vAlign w:val="bottom"/>
          </w:tcPr>
          <w:p w:rsidR="0018024C" w:rsidRDefault="0018024C" w:rsidP="0018024C">
            <w:pPr>
              <w:keepNext/>
              <w:spacing w:before="1" w:after="1"/>
              <w:ind w:right="63"/>
              <w:jc w:val="right"/>
              <w:rPr>
                <w:b/>
                <w:color w:val="000000"/>
                <w:sz w:val="20"/>
              </w:rPr>
            </w:pPr>
            <w:r>
              <w:rPr>
                <w:b/>
                <w:color w:val="000000"/>
                <w:sz w:val="20"/>
              </w:rPr>
              <w:t xml:space="preserve"> 104</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r>
              <w:rPr>
                <w:color w:val="000000"/>
                <w:sz w:val="20"/>
              </w:rPr>
              <w:t>$</w:t>
            </w:r>
          </w:p>
        </w:tc>
        <w:tc>
          <w:tcPr>
            <w:tcW w:w="608" w:type="pct"/>
            <w:tcBorders>
              <w:top w:val="nil"/>
              <w:left w:val="nil"/>
              <w:bottom w:val="nil"/>
              <w:right w:val="nil"/>
              <w:tl2br w:val="nil"/>
              <w:tr2bl w:val="nil"/>
            </w:tcBorders>
            <w:vAlign w:val="bottom"/>
          </w:tcPr>
          <w:p w:rsidR="0018024C" w:rsidRDefault="0018024C" w:rsidP="0018024C">
            <w:pPr>
              <w:keepNext/>
              <w:spacing w:before="1" w:after="1"/>
              <w:ind w:right="65"/>
              <w:jc w:val="right"/>
              <w:rPr>
                <w:color w:val="000000"/>
                <w:sz w:val="20"/>
              </w:rPr>
            </w:pPr>
            <w:r>
              <w:rPr>
                <w:color w:val="000000"/>
                <w:sz w:val="20"/>
              </w:rPr>
              <w:t xml:space="preserve"> 112</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r>
              <w:rPr>
                <w:color w:val="000000"/>
                <w:sz w:val="20"/>
              </w:rPr>
              <w:t>$</w:t>
            </w:r>
          </w:p>
        </w:tc>
        <w:tc>
          <w:tcPr>
            <w:tcW w:w="608" w:type="pct"/>
            <w:tcBorders>
              <w:top w:val="nil"/>
              <w:left w:val="nil"/>
              <w:bottom w:val="nil"/>
              <w:right w:val="nil"/>
              <w:tl2br w:val="nil"/>
              <w:tr2bl w:val="nil"/>
            </w:tcBorders>
            <w:vAlign w:val="bottom"/>
          </w:tcPr>
          <w:p w:rsidR="0018024C" w:rsidRDefault="0018024C" w:rsidP="0018024C">
            <w:pPr>
              <w:keepNext/>
              <w:spacing w:before="1" w:after="1"/>
              <w:ind w:right="3"/>
              <w:jc w:val="right"/>
              <w:rPr>
                <w:color w:val="000000"/>
                <w:sz w:val="20"/>
              </w:rPr>
            </w:pPr>
            <w:r>
              <w:rPr>
                <w:color w:val="000000"/>
                <w:sz w:val="20"/>
              </w:rPr>
              <w:t xml:space="preserve"> (8)</w:t>
            </w:r>
          </w:p>
        </w:tc>
        <w:tc>
          <w:tcPr>
            <w:tcW w:w="134"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vAlign w:val="bottom"/>
          </w:tcPr>
          <w:p w:rsidR="0018024C" w:rsidRDefault="0018024C" w:rsidP="0018024C">
            <w:pPr>
              <w:keepNext/>
              <w:spacing w:before="1" w:after="1"/>
              <w:ind w:right="3"/>
              <w:jc w:val="right"/>
              <w:rPr>
                <w:sz w:val="20"/>
              </w:rPr>
            </w:pPr>
            <w:r>
              <w:rPr>
                <w:sz w:val="20"/>
              </w:rPr>
              <w:t>(7%)</w:t>
            </w:r>
          </w:p>
        </w:tc>
      </w:tr>
      <w:tr w:rsidR="0018024C" w:rsidTr="0018024C">
        <w:trPr>
          <w:trHeight w:hRule="exact" w:val="255"/>
        </w:trPr>
        <w:tc>
          <w:tcPr>
            <w:tcW w:w="1936"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r>
              <w:rPr>
                <w:color w:val="000000"/>
                <w:sz w:val="20"/>
              </w:rPr>
              <w:t>Canada</w:t>
            </w:r>
          </w:p>
        </w:tc>
        <w:tc>
          <w:tcPr>
            <w:tcW w:w="141"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color w:val="000000"/>
                <w:sz w:val="20"/>
              </w:rPr>
            </w:pPr>
          </w:p>
        </w:tc>
        <w:tc>
          <w:tcPr>
            <w:tcW w:w="60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jc w:val="right"/>
              <w:rPr>
                <w:b/>
                <w:color w:val="000000"/>
                <w:sz w:val="20"/>
              </w:rPr>
            </w:pPr>
            <w:r>
              <w:rPr>
                <w:b/>
                <w:color w:val="000000"/>
                <w:sz w:val="20"/>
              </w:rPr>
              <w:t xml:space="preserve"> (1)</w:t>
            </w: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color w:val="000000"/>
                <w:sz w:val="20"/>
              </w:rPr>
            </w:pPr>
            <w:r>
              <w:rPr>
                <w:color w:val="000000"/>
                <w:sz w:val="20"/>
              </w:rPr>
              <w:t xml:space="preserve"> 9</w:t>
            </w: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3"/>
              <w:jc w:val="right"/>
              <w:rPr>
                <w:color w:val="000000"/>
                <w:sz w:val="20"/>
              </w:rPr>
            </w:pPr>
            <w:r>
              <w:rPr>
                <w:color w:val="000000"/>
                <w:sz w:val="20"/>
              </w:rPr>
              <w:t xml:space="preserve"> (10)</w:t>
            </w:r>
          </w:p>
        </w:tc>
        <w:tc>
          <w:tcPr>
            <w:tcW w:w="13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jc w:val="right"/>
              <w:rPr>
                <w:sz w:val="20"/>
              </w:rPr>
            </w:pPr>
            <w:r>
              <w:rPr>
                <w:sz w:val="20"/>
              </w:rPr>
              <w:t>N/M</w:t>
            </w:r>
          </w:p>
        </w:tc>
      </w:tr>
      <w:tr w:rsidR="0018024C" w:rsidTr="0018024C">
        <w:trPr>
          <w:trHeight w:hRule="exact" w:val="255"/>
        </w:trPr>
        <w:tc>
          <w:tcPr>
            <w:tcW w:w="1936"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r>
              <w:rPr>
                <w:color w:val="000000"/>
                <w:sz w:val="20"/>
              </w:rPr>
              <w:t>International</w:t>
            </w:r>
          </w:p>
        </w:tc>
        <w:tc>
          <w:tcPr>
            <w:tcW w:w="141" w:type="pct"/>
            <w:tcBorders>
              <w:top w:val="nil"/>
              <w:left w:val="nil"/>
              <w:bottom w:val="single" w:sz="12" w:space="0" w:color="000000"/>
              <w:right w:val="nil"/>
              <w:tl2br w:val="nil"/>
              <w:tr2bl w:val="nil"/>
            </w:tcBorders>
            <w:vAlign w:val="bottom"/>
          </w:tcPr>
          <w:p w:rsidR="0018024C" w:rsidRDefault="0018024C" w:rsidP="0018024C">
            <w:pPr>
              <w:keepNext/>
              <w:spacing w:before="1" w:after="1"/>
              <w:rPr>
                <w:b/>
                <w:color w:val="000000"/>
                <w:sz w:val="20"/>
              </w:rPr>
            </w:pPr>
          </w:p>
        </w:tc>
        <w:tc>
          <w:tcPr>
            <w:tcW w:w="608" w:type="pct"/>
            <w:tcBorders>
              <w:top w:val="nil"/>
              <w:left w:val="nil"/>
              <w:bottom w:val="single" w:sz="12" w:space="0" w:color="000000"/>
              <w:right w:val="nil"/>
              <w:tl2br w:val="nil"/>
              <w:tr2bl w:val="nil"/>
            </w:tcBorders>
            <w:vAlign w:val="bottom"/>
          </w:tcPr>
          <w:p w:rsidR="0018024C" w:rsidRDefault="0018024C" w:rsidP="0018024C">
            <w:pPr>
              <w:keepNext/>
              <w:spacing w:before="1" w:after="1"/>
              <w:ind w:right="63"/>
              <w:jc w:val="right"/>
              <w:rPr>
                <w:b/>
                <w:color w:val="000000"/>
                <w:sz w:val="20"/>
              </w:rPr>
            </w:pPr>
            <w:r>
              <w:rPr>
                <w:b/>
                <w:color w:val="000000"/>
                <w:sz w:val="20"/>
              </w:rPr>
              <w:t xml:space="preserve"> -</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18024C" w:rsidRDefault="0018024C" w:rsidP="0018024C">
            <w:pPr>
              <w:keepNext/>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18024C" w:rsidRDefault="0018024C" w:rsidP="0018024C">
            <w:pPr>
              <w:keepNext/>
              <w:spacing w:before="1" w:after="1"/>
              <w:ind w:right="65"/>
              <w:jc w:val="right"/>
              <w:rPr>
                <w:color w:val="000000"/>
                <w:sz w:val="20"/>
              </w:rPr>
            </w:pPr>
            <w:r>
              <w:rPr>
                <w:color w:val="000000"/>
                <w:sz w:val="20"/>
              </w:rPr>
              <w:t xml:space="preserve"> 6</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nil"/>
              <w:left w:val="nil"/>
              <w:bottom w:val="single" w:sz="12" w:space="0" w:color="000000"/>
              <w:right w:val="nil"/>
              <w:tl2br w:val="nil"/>
              <w:tr2bl w:val="nil"/>
            </w:tcBorders>
            <w:vAlign w:val="bottom"/>
          </w:tcPr>
          <w:p w:rsidR="0018024C" w:rsidRDefault="0018024C" w:rsidP="0018024C">
            <w:pPr>
              <w:keepNext/>
              <w:spacing w:before="1" w:after="1"/>
              <w:rPr>
                <w:color w:val="000000"/>
                <w:sz w:val="20"/>
              </w:rPr>
            </w:pPr>
          </w:p>
        </w:tc>
        <w:tc>
          <w:tcPr>
            <w:tcW w:w="608" w:type="pct"/>
            <w:tcBorders>
              <w:top w:val="nil"/>
              <w:left w:val="nil"/>
              <w:bottom w:val="single" w:sz="12" w:space="0" w:color="000000"/>
              <w:right w:val="nil"/>
              <w:tl2br w:val="nil"/>
              <w:tr2bl w:val="nil"/>
            </w:tcBorders>
            <w:vAlign w:val="bottom"/>
          </w:tcPr>
          <w:p w:rsidR="0018024C" w:rsidRDefault="0018024C" w:rsidP="0018024C">
            <w:pPr>
              <w:keepNext/>
              <w:spacing w:before="1" w:after="1"/>
              <w:ind w:right="3"/>
              <w:jc w:val="right"/>
              <w:rPr>
                <w:color w:val="000000"/>
                <w:sz w:val="20"/>
              </w:rPr>
            </w:pPr>
            <w:r>
              <w:rPr>
                <w:color w:val="000000"/>
                <w:sz w:val="20"/>
              </w:rPr>
              <w:t xml:space="preserve"> (6)</w:t>
            </w:r>
          </w:p>
        </w:tc>
        <w:tc>
          <w:tcPr>
            <w:tcW w:w="134"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vAlign w:val="bottom"/>
          </w:tcPr>
          <w:p w:rsidR="0018024C" w:rsidRDefault="0018024C" w:rsidP="0018024C">
            <w:pPr>
              <w:keepNext/>
              <w:spacing w:before="1" w:after="1"/>
              <w:jc w:val="right"/>
              <w:rPr>
                <w:sz w:val="20"/>
              </w:rPr>
            </w:pPr>
            <w:r>
              <w:rPr>
                <w:sz w:val="20"/>
              </w:rPr>
              <w:t>N/M</w:t>
            </w:r>
          </w:p>
        </w:tc>
      </w:tr>
      <w:tr w:rsidR="0018024C" w:rsidTr="0018024C">
        <w:trPr>
          <w:trHeight w:hRule="exact" w:val="255"/>
        </w:trPr>
        <w:tc>
          <w:tcPr>
            <w:tcW w:w="1936"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left="120"/>
              <w:rPr>
                <w:color w:val="000000"/>
                <w:sz w:val="20"/>
              </w:rPr>
            </w:pPr>
            <w:r>
              <w:rPr>
                <w:color w:val="000000"/>
                <w:sz w:val="20"/>
              </w:rPr>
              <w:t>Consolidated</w:t>
            </w:r>
          </w:p>
        </w:tc>
        <w:tc>
          <w:tcPr>
            <w:tcW w:w="141"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b/>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ind w:right="63"/>
              <w:jc w:val="right"/>
              <w:rPr>
                <w:b/>
                <w:color w:val="000000"/>
                <w:sz w:val="20"/>
              </w:rPr>
            </w:pPr>
            <w:r>
              <w:rPr>
                <w:b/>
                <w:color w:val="000000"/>
                <w:sz w:val="20"/>
              </w:rPr>
              <w:t xml:space="preserve"> 103</w:t>
            </w: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color w:val="000000"/>
                <w:sz w:val="20"/>
              </w:rPr>
            </w:pPr>
            <w:r>
              <w:rPr>
                <w:color w:val="000000"/>
                <w:sz w:val="20"/>
              </w:rPr>
              <w:t xml:space="preserve"> 127</w:t>
            </w: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608"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ind w:right="3"/>
              <w:jc w:val="right"/>
              <w:rPr>
                <w:color w:val="000000"/>
                <w:sz w:val="20"/>
              </w:rPr>
            </w:pPr>
            <w:r>
              <w:rPr>
                <w:color w:val="000000"/>
                <w:sz w:val="20"/>
              </w:rPr>
              <w:t xml:space="preserve"> (24)</w:t>
            </w:r>
          </w:p>
        </w:tc>
        <w:tc>
          <w:tcPr>
            <w:tcW w:w="13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3"/>
              <w:jc w:val="right"/>
              <w:rPr>
                <w:sz w:val="20"/>
              </w:rPr>
            </w:pPr>
            <w:r>
              <w:rPr>
                <w:sz w:val="20"/>
              </w:rPr>
              <w:t>(19%)</w:t>
            </w:r>
          </w:p>
        </w:tc>
      </w:tr>
      <w:tr w:rsidR="0018024C" w:rsidTr="0018024C">
        <w:trPr>
          <w:trHeight w:hRule="exact" w:val="255"/>
        </w:trPr>
        <w:tc>
          <w:tcPr>
            <w:tcW w:w="1936"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vAlign w:val="bottom"/>
          </w:tcPr>
          <w:p w:rsidR="0018024C" w:rsidRDefault="0018024C" w:rsidP="0018024C">
            <w:pPr>
              <w:keepNext/>
              <w:spacing w:before="1" w:after="1"/>
              <w:rPr>
                <w:b/>
                <w:color w:val="000000"/>
                <w:sz w:val="20"/>
              </w:rPr>
            </w:pPr>
          </w:p>
        </w:tc>
        <w:tc>
          <w:tcPr>
            <w:tcW w:w="608" w:type="pct"/>
            <w:tcBorders>
              <w:top w:val="nil"/>
              <w:left w:val="nil"/>
              <w:bottom w:val="nil"/>
              <w:right w:val="nil"/>
              <w:tl2br w:val="nil"/>
              <w:tr2bl w:val="nil"/>
            </w:tcBorders>
            <w:vAlign w:val="bottom"/>
          </w:tcPr>
          <w:p w:rsidR="0018024C" w:rsidRDefault="0018024C" w:rsidP="0018024C">
            <w:pPr>
              <w:keepNext/>
              <w:spacing w:before="1" w:after="1"/>
              <w:rPr>
                <w:b/>
                <w:color w:val="000000"/>
                <w:sz w:val="20"/>
              </w:rPr>
            </w:pP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608"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608"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134"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vAlign w:val="bottom"/>
          </w:tcPr>
          <w:p w:rsidR="0018024C" w:rsidRDefault="0018024C" w:rsidP="0018024C">
            <w:pPr>
              <w:keepNext/>
              <w:spacing w:before="1" w:after="1"/>
              <w:rPr>
                <w:sz w:val="20"/>
              </w:rPr>
            </w:pPr>
          </w:p>
        </w:tc>
      </w:tr>
      <w:tr w:rsidR="0018024C" w:rsidTr="0018024C">
        <w:trPr>
          <w:trHeight w:hRule="exact" w:val="255"/>
        </w:trPr>
        <w:tc>
          <w:tcPr>
            <w:tcW w:w="1936"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r>
              <w:rPr>
                <w:color w:val="000000"/>
                <w:sz w:val="20"/>
              </w:rPr>
              <w:t>Interest expense</w:t>
            </w:r>
          </w:p>
        </w:tc>
        <w:tc>
          <w:tcPr>
            <w:tcW w:w="141"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color w:val="000000"/>
                <w:sz w:val="20"/>
              </w:rPr>
            </w:pPr>
          </w:p>
        </w:tc>
        <w:tc>
          <w:tcPr>
            <w:tcW w:w="60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jc w:val="right"/>
              <w:rPr>
                <w:b/>
                <w:color w:val="000000"/>
                <w:sz w:val="20"/>
              </w:rPr>
            </w:pPr>
            <w:r>
              <w:rPr>
                <w:b/>
                <w:color w:val="000000"/>
                <w:sz w:val="20"/>
              </w:rPr>
              <w:t xml:space="preserve"> (40)</w:t>
            </w: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3"/>
              <w:jc w:val="right"/>
              <w:rPr>
                <w:color w:val="000000"/>
                <w:sz w:val="20"/>
              </w:rPr>
            </w:pPr>
            <w:r>
              <w:rPr>
                <w:color w:val="000000"/>
                <w:sz w:val="20"/>
              </w:rPr>
              <w:t xml:space="preserve"> (38)</w:t>
            </w: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60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3"/>
              <w:jc w:val="right"/>
              <w:rPr>
                <w:color w:val="000000"/>
                <w:sz w:val="20"/>
              </w:rPr>
            </w:pPr>
            <w:r>
              <w:rPr>
                <w:color w:val="000000"/>
                <w:sz w:val="20"/>
              </w:rPr>
              <w:t xml:space="preserve"> (2)</w:t>
            </w:r>
          </w:p>
        </w:tc>
        <w:tc>
          <w:tcPr>
            <w:tcW w:w="13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5%</w:t>
            </w:r>
          </w:p>
        </w:tc>
      </w:tr>
      <w:tr w:rsidR="0018024C" w:rsidTr="0018024C">
        <w:trPr>
          <w:trHeight w:hRule="exact" w:val="255"/>
        </w:trPr>
        <w:tc>
          <w:tcPr>
            <w:tcW w:w="1936"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r>
              <w:rPr>
                <w:color w:val="000000"/>
                <w:sz w:val="20"/>
              </w:rPr>
              <w:t>Other income</w:t>
            </w:r>
          </w:p>
        </w:tc>
        <w:tc>
          <w:tcPr>
            <w:tcW w:w="141" w:type="pct"/>
            <w:tcBorders>
              <w:top w:val="nil"/>
              <w:left w:val="nil"/>
              <w:bottom w:val="nil"/>
              <w:right w:val="nil"/>
              <w:tl2br w:val="nil"/>
              <w:tr2bl w:val="nil"/>
            </w:tcBorders>
            <w:vAlign w:val="bottom"/>
          </w:tcPr>
          <w:p w:rsidR="0018024C" w:rsidRDefault="0018024C" w:rsidP="0018024C">
            <w:pPr>
              <w:keepNext/>
              <w:spacing w:before="1" w:after="1"/>
              <w:rPr>
                <w:b/>
                <w:color w:val="000000"/>
                <w:sz w:val="20"/>
              </w:rPr>
            </w:pPr>
          </w:p>
        </w:tc>
        <w:tc>
          <w:tcPr>
            <w:tcW w:w="608" w:type="pct"/>
            <w:tcBorders>
              <w:top w:val="nil"/>
              <w:left w:val="nil"/>
              <w:bottom w:val="nil"/>
              <w:right w:val="nil"/>
              <w:tl2br w:val="nil"/>
              <w:tr2bl w:val="nil"/>
            </w:tcBorders>
            <w:vAlign w:val="bottom"/>
          </w:tcPr>
          <w:p w:rsidR="0018024C" w:rsidRDefault="0018024C" w:rsidP="0018024C">
            <w:pPr>
              <w:keepNext/>
              <w:spacing w:before="1" w:after="1"/>
              <w:ind w:right="63"/>
              <w:jc w:val="right"/>
              <w:rPr>
                <w:b/>
                <w:color w:val="000000"/>
                <w:sz w:val="20"/>
              </w:rPr>
            </w:pPr>
            <w:r>
              <w:rPr>
                <w:b/>
                <w:color w:val="000000"/>
                <w:sz w:val="20"/>
              </w:rPr>
              <w:t xml:space="preserve"> 3</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608" w:type="pct"/>
            <w:tcBorders>
              <w:top w:val="nil"/>
              <w:left w:val="nil"/>
              <w:bottom w:val="nil"/>
              <w:right w:val="nil"/>
              <w:tl2br w:val="nil"/>
              <w:tr2bl w:val="nil"/>
            </w:tcBorders>
            <w:vAlign w:val="bottom"/>
          </w:tcPr>
          <w:p w:rsidR="0018024C" w:rsidRDefault="0018024C" w:rsidP="0018024C">
            <w:pPr>
              <w:keepNext/>
              <w:spacing w:before="1" w:after="1"/>
              <w:ind w:right="65"/>
              <w:jc w:val="right"/>
              <w:rPr>
                <w:color w:val="000000"/>
                <w:sz w:val="20"/>
              </w:rPr>
            </w:pPr>
            <w:r>
              <w:rPr>
                <w:color w:val="000000"/>
                <w:sz w:val="20"/>
              </w:rPr>
              <w:t xml:space="preserve"> 6</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608" w:type="pct"/>
            <w:tcBorders>
              <w:top w:val="nil"/>
              <w:left w:val="nil"/>
              <w:bottom w:val="nil"/>
              <w:right w:val="nil"/>
              <w:tl2br w:val="nil"/>
              <w:tr2bl w:val="nil"/>
            </w:tcBorders>
            <w:vAlign w:val="bottom"/>
          </w:tcPr>
          <w:p w:rsidR="0018024C" w:rsidRDefault="0018024C" w:rsidP="0018024C">
            <w:pPr>
              <w:keepNext/>
              <w:spacing w:before="1" w:after="1"/>
              <w:ind w:right="3"/>
              <w:jc w:val="right"/>
              <w:rPr>
                <w:color w:val="000000"/>
                <w:sz w:val="20"/>
              </w:rPr>
            </w:pPr>
            <w:r>
              <w:rPr>
                <w:color w:val="000000"/>
                <w:sz w:val="20"/>
              </w:rPr>
              <w:t xml:space="preserve"> (3)</w:t>
            </w:r>
          </w:p>
        </w:tc>
        <w:tc>
          <w:tcPr>
            <w:tcW w:w="134"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vAlign w:val="bottom"/>
          </w:tcPr>
          <w:p w:rsidR="0018024C" w:rsidRDefault="0018024C" w:rsidP="0018024C">
            <w:pPr>
              <w:keepNext/>
              <w:spacing w:before="1" w:after="1"/>
              <w:ind w:right="3"/>
              <w:jc w:val="right"/>
              <w:rPr>
                <w:sz w:val="20"/>
              </w:rPr>
            </w:pPr>
            <w:r>
              <w:rPr>
                <w:sz w:val="20"/>
              </w:rPr>
              <w:t>(50%)</w:t>
            </w:r>
          </w:p>
        </w:tc>
      </w:tr>
      <w:tr w:rsidR="0018024C" w:rsidTr="0018024C">
        <w:trPr>
          <w:trHeight w:hRule="exact" w:val="255"/>
        </w:trPr>
        <w:tc>
          <w:tcPr>
            <w:tcW w:w="1936"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r>
              <w:rPr>
                <w:color w:val="000000"/>
                <w:sz w:val="20"/>
              </w:rPr>
              <w:t xml:space="preserve">Income tax expense  </w:t>
            </w:r>
          </w:p>
        </w:tc>
        <w:tc>
          <w:tcPr>
            <w:tcW w:w="141"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rPr>
                <w:b/>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jc w:val="right"/>
              <w:rPr>
                <w:b/>
                <w:color w:val="000000"/>
                <w:sz w:val="20"/>
              </w:rPr>
            </w:pPr>
            <w:r>
              <w:rPr>
                <w:b/>
                <w:color w:val="000000"/>
                <w:sz w:val="20"/>
              </w:rPr>
              <w:t xml:space="preserve"> (27)</w:t>
            </w: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ind w:right="3"/>
              <w:jc w:val="right"/>
              <w:rPr>
                <w:color w:val="000000"/>
                <w:sz w:val="20"/>
              </w:rPr>
            </w:pPr>
            <w:r>
              <w:rPr>
                <w:color w:val="000000"/>
                <w:sz w:val="20"/>
              </w:rPr>
              <w:t xml:space="preserve"> (21)</w:t>
            </w: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ind w:right="3"/>
              <w:jc w:val="right"/>
              <w:rPr>
                <w:color w:val="000000"/>
                <w:sz w:val="20"/>
              </w:rPr>
            </w:pPr>
            <w:r>
              <w:rPr>
                <w:color w:val="000000"/>
                <w:sz w:val="20"/>
              </w:rPr>
              <w:t xml:space="preserve"> (6)</w:t>
            </w:r>
          </w:p>
        </w:tc>
        <w:tc>
          <w:tcPr>
            <w:tcW w:w="13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29%</w:t>
            </w:r>
          </w:p>
        </w:tc>
      </w:tr>
      <w:tr w:rsidR="0018024C" w:rsidTr="0018024C">
        <w:trPr>
          <w:trHeight w:hRule="exact" w:val="255"/>
        </w:trPr>
        <w:tc>
          <w:tcPr>
            <w:tcW w:w="1936"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r>
              <w:rPr>
                <w:color w:val="000000"/>
                <w:sz w:val="20"/>
              </w:rPr>
              <w:t xml:space="preserve">Net income </w:t>
            </w:r>
          </w:p>
        </w:tc>
        <w:tc>
          <w:tcPr>
            <w:tcW w:w="141" w:type="pct"/>
            <w:tcBorders>
              <w:top w:val="single" w:sz="0" w:space="0" w:color="000000"/>
              <w:left w:val="nil"/>
              <w:bottom w:val="nil"/>
              <w:right w:val="nil"/>
              <w:tl2br w:val="nil"/>
              <w:tr2bl w:val="nil"/>
            </w:tcBorders>
            <w:vAlign w:val="bottom"/>
          </w:tcPr>
          <w:p w:rsidR="0018024C" w:rsidRDefault="0018024C" w:rsidP="0018024C">
            <w:pPr>
              <w:keepNext/>
              <w:spacing w:before="1" w:after="1"/>
              <w:rPr>
                <w:b/>
                <w:color w:val="000000"/>
                <w:sz w:val="20"/>
              </w:rPr>
            </w:pPr>
          </w:p>
        </w:tc>
        <w:tc>
          <w:tcPr>
            <w:tcW w:w="608" w:type="pct"/>
            <w:tcBorders>
              <w:top w:val="single" w:sz="0" w:space="0" w:color="000000"/>
              <w:left w:val="nil"/>
              <w:bottom w:val="nil"/>
              <w:right w:val="nil"/>
              <w:tl2br w:val="nil"/>
              <w:tr2bl w:val="nil"/>
            </w:tcBorders>
            <w:vAlign w:val="bottom"/>
          </w:tcPr>
          <w:p w:rsidR="0018024C" w:rsidRDefault="0018024C" w:rsidP="0018024C">
            <w:pPr>
              <w:keepNext/>
              <w:spacing w:before="1" w:after="1"/>
              <w:ind w:right="63"/>
              <w:jc w:val="right"/>
              <w:rPr>
                <w:b/>
                <w:color w:val="000000"/>
                <w:sz w:val="20"/>
              </w:rPr>
            </w:pPr>
            <w:r>
              <w:rPr>
                <w:b/>
                <w:color w:val="000000"/>
                <w:sz w:val="20"/>
              </w:rPr>
              <w:t xml:space="preserve"> 39</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single" w:sz="0" w:space="0" w:color="000000"/>
              <w:left w:val="nil"/>
              <w:bottom w:val="nil"/>
              <w:right w:val="nil"/>
              <w:tl2br w:val="nil"/>
              <w:tr2bl w:val="nil"/>
            </w:tcBorders>
            <w:vAlign w:val="bottom"/>
          </w:tcPr>
          <w:p w:rsidR="0018024C" w:rsidRDefault="0018024C" w:rsidP="0018024C">
            <w:pPr>
              <w:keepNext/>
              <w:spacing w:before="1" w:after="1"/>
              <w:rPr>
                <w:color w:val="000000"/>
                <w:sz w:val="20"/>
              </w:rPr>
            </w:pPr>
          </w:p>
        </w:tc>
        <w:tc>
          <w:tcPr>
            <w:tcW w:w="608" w:type="pct"/>
            <w:tcBorders>
              <w:top w:val="single" w:sz="0" w:space="0" w:color="000000"/>
              <w:left w:val="nil"/>
              <w:bottom w:val="nil"/>
              <w:right w:val="nil"/>
              <w:tl2br w:val="nil"/>
              <w:tr2bl w:val="nil"/>
            </w:tcBorders>
            <w:vAlign w:val="bottom"/>
          </w:tcPr>
          <w:p w:rsidR="0018024C" w:rsidRDefault="0018024C" w:rsidP="0018024C">
            <w:pPr>
              <w:keepNext/>
              <w:spacing w:before="1" w:after="1"/>
              <w:ind w:right="65"/>
              <w:jc w:val="right"/>
              <w:rPr>
                <w:color w:val="000000"/>
                <w:sz w:val="20"/>
              </w:rPr>
            </w:pPr>
            <w:r>
              <w:rPr>
                <w:color w:val="000000"/>
                <w:sz w:val="20"/>
              </w:rPr>
              <w:t xml:space="preserve"> 74</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single" w:sz="0" w:space="0" w:color="000000"/>
              <w:left w:val="nil"/>
              <w:bottom w:val="nil"/>
              <w:right w:val="nil"/>
              <w:tl2br w:val="nil"/>
              <w:tr2bl w:val="nil"/>
            </w:tcBorders>
            <w:vAlign w:val="bottom"/>
          </w:tcPr>
          <w:p w:rsidR="0018024C" w:rsidRDefault="0018024C" w:rsidP="0018024C">
            <w:pPr>
              <w:keepNext/>
              <w:spacing w:before="1" w:after="1"/>
              <w:rPr>
                <w:color w:val="000000"/>
                <w:sz w:val="20"/>
              </w:rPr>
            </w:pPr>
          </w:p>
        </w:tc>
        <w:tc>
          <w:tcPr>
            <w:tcW w:w="608" w:type="pct"/>
            <w:tcBorders>
              <w:top w:val="single" w:sz="0" w:space="0" w:color="000000"/>
              <w:left w:val="nil"/>
              <w:bottom w:val="nil"/>
              <w:right w:val="nil"/>
              <w:tl2br w:val="nil"/>
              <w:tr2bl w:val="nil"/>
            </w:tcBorders>
            <w:vAlign w:val="bottom"/>
          </w:tcPr>
          <w:p w:rsidR="0018024C" w:rsidRDefault="0018024C" w:rsidP="0018024C">
            <w:pPr>
              <w:keepNext/>
              <w:spacing w:before="1" w:after="1"/>
              <w:ind w:right="3"/>
              <w:jc w:val="right"/>
              <w:rPr>
                <w:color w:val="000000"/>
                <w:sz w:val="20"/>
              </w:rPr>
            </w:pPr>
            <w:r>
              <w:rPr>
                <w:color w:val="000000"/>
                <w:sz w:val="20"/>
              </w:rPr>
              <w:t xml:space="preserve"> (35)</w:t>
            </w:r>
          </w:p>
        </w:tc>
        <w:tc>
          <w:tcPr>
            <w:tcW w:w="134"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vAlign w:val="bottom"/>
          </w:tcPr>
          <w:p w:rsidR="0018024C" w:rsidRDefault="0018024C" w:rsidP="0018024C">
            <w:pPr>
              <w:keepNext/>
              <w:spacing w:before="1" w:after="1"/>
              <w:ind w:right="3"/>
              <w:jc w:val="right"/>
              <w:rPr>
                <w:sz w:val="20"/>
              </w:rPr>
            </w:pPr>
            <w:r>
              <w:rPr>
                <w:sz w:val="20"/>
              </w:rPr>
              <w:t>(47%)</w:t>
            </w:r>
          </w:p>
        </w:tc>
      </w:tr>
      <w:tr w:rsidR="0018024C" w:rsidTr="0018024C">
        <w:trPr>
          <w:trHeight w:hRule="exact" w:val="255"/>
        </w:trPr>
        <w:tc>
          <w:tcPr>
            <w:tcW w:w="1936"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r>
              <w:rPr>
                <w:color w:val="000000"/>
                <w:sz w:val="20"/>
              </w:rPr>
              <w:t>Series A preferred stock dividends</w:t>
            </w:r>
          </w:p>
        </w:tc>
        <w:tc>
          <w:tcPr>
            <w:tcW w:w="141"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rPr>
                <w:b/>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ind w:right="63"/>
              <w:jc w:val="right"/>
              <w:rPr>
                <w:b/>
                <w:color w:val="000000"/>
                <w:sz w:val="20"/>
              </w:rPr>
            </w:pPr>
            <w:r>
              <w:rPr>
                <w:b/>
                <w:color w:val="000000"/>
                <w:sz w:val="20"/>
              </w:rPr>
              <w:t xml:space="preserve"> 24</w:t>
            </w: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ind w:right="65"/>
              <w:jc w:val="right"/>
              <w:rPr>
                <w:color w:val="000000"/>
                <w:sz w:val="20"/>
              </w:rPr>
            </w:pPr>
            <w:r>
              <w:rPr>
                <w:color w:val="000000"/>
                <w:sz w:val="20"/>
              </w:rPr>
              <w:t xml:space="preserve"> 24</w:t>
            </w: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608"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ind w:right="65"/>
              <w:jc w:val="right"/>
              <w:rPr>
                <w:color w:val="000000"/>
                <w:sz w:val="20"/>
              </w:rPr>
            </w:pPr>
            <w:r>
              <w:rPr>
                <w:color w:val="000000"/>
                <w:sz w:val="20"/>
              </w:rPr>
              <w:t xml:space="preserve"> -</w:t>
            </w:r>
          </w:p>
        </w:tc>
        <w:tc>
          <w:tcPr>
            <w:tcW w:w="13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0%</w:t>
            </w:r>
          </w:p>
        </w:tc>
      </w:tr>
      <w:tr w:rsidR="0018024C" w:rsidTr="0018024C">
        <w:trPr>
          <w:trHeight w:hRule="exact" w:val="255"/>
        </w:trPr>
        <w:tc>
          <w:tcPr>
            <w:tcW w:w="1936"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r>
              <w:rPr>
                <w:color w:val="000000"/>
                <w:sz w:val="20"/>
              </w:rPr>
              <w:t>Net income attributable to common stockholders</w:t>
            </w:r>
          </w:p>
        </w:tc>
        <w:tc>
          <w:tcPr>
            <w:tcW w:w="141" w:type="pct"/>
            <w:tcBorders>
              <w:top w:val="single" w:sz="0" w:space="0" w:color="000000"/>
              <w:left w:val="nil"/>
              <w:bottom w:val="double" w:sz="4" w:space="0" w:color="000000"/>
              <w:right w:val="nil"/>
              <w:tl2br w:val="nil"/>
              <w:tr2bl w:val="nil"/>
            </w:tcBorders>
            <w:vAlign w:val="bottom"/>
          </w:tcPr>
          <w:p w:rsidR="0018024C" w:rsidRDefault="0018024C" w:rsidP="0018024C">
            <w:pPr>
              <w:keepNext/>
              <w:spacing w:before="1" w:after="1"/>
              <w:rPr>
                <w:b/>
                <w:color w:val="000000"/>
                <w:sz w:val="20"/>
              </w:rPr>
            </w:pPr>
            <w:r>
              <w:rPr>
                <w:b/>
                <w:color w:val="000000"/>
                <w:sz w:val="20"/>
              </w:rPr>
              <w:t>$</w:t>
            </w:r>
          </w:p>
        </w:tc>
        <w:tc>
          <w:tcPr>
            <w:tcW w:w="608" w:type="pct"/>
            <w:tcBorders>
              <w:top w:val="single" w:sz="0" w:space="0" w:color="000000"/>
              <w:left w:val="nil"/>
              <w:bottom w:val="double" w:sz="4" w:space="0" w:color="000000"/>
              <w:right w:val="nil"/>
              <w:tl2br w:val="nil"/>
              <w:tr2bl w:val="nil"/>
            </w:tcBorders>
            <w:vAlign w:val="bottom"/>
          </w:tcPr>
          <w:p w:rsidR="0018024C" w:rsidRDefault="0018024C" w:rsidP="0018024C">
            <w:pPr>
              <w:keepNext/>
              <w:spacing w:before="1" w:after="1"/>
              <w:ind w:right="63"/>
              <w:jc w:val="right"/>
              <w:rPr>
                <w:b/>
                <w:color w:val="000000"/>
                <w:sz w:val="20"/>
              </w:rPr>
            </w:pPr>
            <w:r>
              <w:rPr>
                <w:b/>
                <w:color w:val="000000"/>
                <w:sz w:val="20"/>
              </w:rPr>
              <w:t xml:space="preserve"> 15</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single" w:sz="0" w:space="0" w:color="000000"/>
              <w:left w:val="nil"/>
              <w:bottom w:val="double" w:sz="4" w:space="0" w:color="000000"/>
              <w:right w:val="nil"/>
              <w:tl2br w:val="nil"/>
              <w:tr2bl w:val="nil"/>
            </w:tcBorders>
            <w:vAlign w:val="bottom"/>
          </w:tcPr>
          <w:p w:rsidR="0018024C" w:rsidRDefault="0018024C" w:rsidP="0018024C">
            <w:pPr>
              <w:keepNext/>
              <w:spacing w:before="1" w:after="1"/>
              <w:rPr>
                <w:color w:val="000000"/>
                <w:sz w:val="20"/>
              </w:rPr>
            </w:pPr>
            <w:r>
              <w:rPr>
                <w:color w:val="000000"/>
                <w:sz w:val="20"/>
              </w:rPr>
              <w:t>$</w:t>
            </w:r>
          </w:p>
        </w:tc>
        <w:tc>
          <w:tcPr>
            <w:tcW w:w="608" w:type="pct"/>
            <w:tcBorders>
              <w:top w:val="single" w:sz="0" w:space="0" w:color="000000"/>
              <w:left w:val="nil"/>
              <w:bottom w:val="double" w:sz="4" w:space="0" w:color="000000"/>
              <w:right w:val="nil"/>
              <w:tl2br w:val="nil"/>
              <w:tr2bl w:val="nil"/>
            </w:tcBorders>
            <w:vAlign w:val="bottom"/>
          </w:tcPr>
          <w:p w:rsidR="0018024C" w:rsidRDefault="0018024C" w:rsidP="0018024C">
            <w:pPr>
              <w:keepNext/>
              <w:spacing w:before="1" w:after="1"/>
              <w:ind w:right="65"/>
              <w:jc w:val="right"/>
              <w:rPr>
                <w:color w:val="000000"/>
                <w:sz w:val="20"/>
              </w:rPr>
            </w:pPr>
            <w:r>
              <w:rPr>
                <w:color w:val="000000"/>
                <w:sz w:val="20"/>
              </w:rPr>
              <w:t xml:space="preserve"> 50</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single" w:sz="0" w:space="0" w:color="000000"/>
              <w:left w:val="nil"/>
              <w:bottom w:val="double" w:sz="4" w:space="0" w:color="000000"/>
              <w:right w:val="nil"/>
              <w:tl2br w:val="nil"/>
              <w:tr2bl w:val="nil"/>
            </w:tcBorders>
            <w:vAlign w:val="bottom"/>
          </w:tcPr>
          <w:p w:rsidR="0018024C" w:rsidRDefault="0018024C" w:rsidP="0018024C">
            <w:pPr>
              <w:keepNext/>
              <w:spacing w:before="1" w:after="1"/>
              <w:rPr>
                <w:color w:val="000000"/>
                <w:sz w:val="20"/>
              </w:rPr>
            </w:pPr>
            <w:r>
              <w:rPr>
                <w:color w:val="000000"/>
                <w:sz w:val="20"/>
              </w:rPr>
              <w:t>$</w:t>
            </w:r>
          </w:p>
        </w:tc>
        <w:tc>
          <w:tcPr>
            <w:tcW w:w="608" w:type="pct"/>
            <w:tcBorders>
              <w:top w:val="single" w:sz="0" w:space="0" w:color="000000"/>
              <w:left w:val="nil"/>
              <w:bottom w:val="double" w:sz="4" w:space="0" w:color="000000"/>
              <w:right w:val="nil"/>
              <w:tl2br w:val="nil"/>
              <w:tr2bl w:val="nil"/>
            </w:tcBorders>
            <w:vAlign w:val="bottom"/>
          </w:tcPr>
          <w:p w:rsidR="0018024C" w:rsidRDefault="0018024C" w:rsidP="0018024C">
            <w:pPr>
              <w:keepNext/>
              <w:spacing w:before="1" w:after="1"/>
              <w:ind w:right="3"/>
              <w:jc w:val="right"/>
              <w:rPr>
                <w:color w:val="000000"/>
                <w:sz w:val="20"/>
              </w:rPr>
            </w:pPr>
            <w:r>
              <w:rPr>
                <w:color w:val="000000"/>
                <w:sz w:val="20"/>
              </w:rPr>
              <w:t xml:space="preserve"> (35)</w:t>
            </w:r>
          </w:p>
        </w:tc>
        <w:tc>
          <w:tcPr>
            <w:tcW w:w="134"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vAlign w:val="bottom"/>
          </w:tcPr>
          <w:p w:rsidR="0018024C" w:rsidRDefault="0018024C" w:rsidP="0018024C">
            <w:pPr>
              <w:keepNext/>
              <w:spacing w:before="1" w:after="1"/>
              <w:ind w:right="3"/>
              <w:jc w:val="right"/>
              <w:rPr>
                <w:sz w:val="20"/>
              </w:rPr>
            </w:pPr>
            <w:r>
              <w:rPr>
                <w:sz w:val="20"/>
              </w:rPr>
              <w:t>(70%)</w:t>
            </w:r>
          </w:p>
        </w:tc>
      </w:tr>
      <w:tr w:rsidR="0018024C" w:rsidTr="0018024C">
        <w:trPr>
          <w:trHeight w:hRule="exact" w:val="255"/>
        </w:trPr>
        <w:tc>
          <w:tcPr>
            <w:tcW w:w="1936"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41" w:type="pct"/>
            <w:tcBorders>
              <w:top w:val="doub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b/>
                <w:sz w:val="20"/>
              </w:rPr>
            </w:pPr>
          </w:p>
        </w:tc>
        <w:tc>
          <w:tcPr>
            <w:tcW w:w="608" w:type="pct"/>
            <w:tcBorders>
              <w:top w:val="doub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b/>
                <w:sz w:val="20"/>
              </w:rPr>
            </w:pP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41" w:type="pct"/>
            <w:tcBorders>
              <w:top w:val="doub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608" w:type="pct"/>
            <w:tcBorders>
              <w:top w:val="doub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41" w:type="pct"/>
            <w:tcBorders>
              <w:top w:val="doub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608" w:type="pct"/>
            <w:tcBorders>
              <w:top w:val="doub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r>
      <w:tr w:rsidR="0018024C" w:rsidTr="0018024C">
        <w:trPr>
          <w:trHeight w:hRule="exact" w:val="255"/>
        </w:trPr>
        <w:tc>
          <w:tcPr>
            <w:tcW w:w="1936" w:type="pct"/>
            <w:tcBorders>
              <w:top w:val="nil"/>
              <w:left w:val="nil"/>
              <w:bottom w:val="nil"/>
              <w:right w:val="nil"/>
              <w:tl2br w:val="nil"/>
              <w:tr2bl w:val="nil"/>
            </w:tcBorders>
            <w:vAlign w:val="bottom"/>
          </w:tcPr>
          <w:p w:rsidR="0018024C" w:rsidRDefault="0018024C" w:rsidP="0018024C">
            <w:pPr>
              <w:keepNext/>
              <w:spacing w:before="1" w:after="1"/>
              <w:rPr>
                <w:sz w:val="20"/>
              </w:rPr>
            </w:pPr>
            <w:r>
              <w:rPr>
                <w:sz w:val="20"/>
              </w:rPr>
              <w:t>Gross Profit</w:t>
            </w:r>
          </w:p>
        </w:tc>
        <w:tc>
          <w:tcPr>
            <w:tcW w:w="141" w:type="pct"/>
            <w:tcBorders>
              <w:top w:val="nil"/>
              <w:left w:val="nil"/>
              <w:bottom w:val="double" w:sz="4" w:space="0" w:color="000000"/>
              <w:right w:val="nil"/>
              <w:tl2br w:val="nil"/>
              <w:tr2bl w:val="nil"/>
            </w:tcBorders>
            <w:vAlign w:val="bottom"/>
          </w:tcPr>
          <w:p w:rsidR="0018024C" w:rsidRDefault="0018024C" w:rsidP="0018024C">
            <w:pPr>
              <w:keepNext/>
              <w:spacing w:before="1" w:after="1"/>
              <w:rPr>
                <w:b/>
                <w:sz w:val="20"/>
              </w:rPr>
            </w:pPr>
            <w:r>
              <w:rPr>
                <w:b/>
                <w:sz w:val="20"/>
              </w:rPr>
              <w:t>$</w:t>
            </w:r>
          </w:p>
        </w:tc>
        <w:tc>
          <w:tcPr>
            <w:tcW w:w="608" w:type="pct"/>
            <w:tcBorders>
              <w:top w:val="nil"/>
              <w:left w:val="nil"/>
              <w:bottom w:val="double" w:sz="4" w:space="0" w:color="000000"/>
              <w:right w:val="nil"/>
              <w:tl2br w:val="nil"/>
              <w:tr2bl w:val="nil"/>
            </w:tcBorders>
            <w:vAlign w:val="bottom"/>
          </w:tcPr>
          <w:p w:rsidR="0018024C" w:rsidRDefault="0018024C" w:rsidP="0018024C">
            <w:pPr>
              <w:keepNext/>
              <w:spacing w:before="1" w:after="1"/>
              <w:ind w:right="63"/>
              <w:jc w:val="right"/>
              <w:rPr>
                <w:b/>
                <w:color w:val="000000"/>
                <w:sz w:val="20"/>
              </w:rPr>
            </w:pPr>
            <w:r>
              <w:rPr>
                <w:b/>
                <w:color w:val="000000"/>
                <w:sz w:val="20"/>
              </w:rPr>
              <w:t xml:space="preserve"> 653</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141" w:type="pct"/>
            <w:tcBorders>
              <w:top w:val="nil"/>
              <w:left w:val="nil"/>
              <w:bottom w:val="double" w:sz="4" w:space="0" w:color="000000"/>
              <w:right w:val="nil"/>
              <w:tl2br w:val="nil"/>
              <w:tr2bl w:val="nil"/>
            </w:tcBorders>
            <w:vAlign w:val="bottom"/>
          </w:tcPr>
          <w:p w:rsidR="0018024C" w:rsidRDefault="0018024C" w:rsidP="0018024C">
            <w:pPr>
              <w:keepNext/>
              <w:spacing w:before="1" w:after="1"/>
              <w:rPr>
                <w:sz w:val="20"/>
              </w:rPr>
            </w:pPr>
            <w:r>
              <w:rPr>
                <w:sz w:val="20"/>
              </w:rPr>
              <w:t>$</w:t>
            </w:r>
          </w:p>
        </w:tc>
        <w:tc>
          <w:tcPr>
            <w:tcW w:w="608" w:type="pct"/>
            <w:tcBorders>
              <w:top w:val="nil"/>
              <w:left w:val="nil"/>
              <w:bottom w:val="double" w:sz="4" w:space="0" w:color="000000"/>
              <w:right w:val="nil"/>
              <w:tl2br w:val="nil"/>
              <w:tr2bl w:val="nil"/>
            </w:tcBorders>
            <w:vAlign w:val="bottom"/>
          </w:tcPr>
          <w:p w:rsidR="0018024C" w:rsidRDefault="0018024C" w:rsidP="0018024C">
            <w:pPr>
              <w:keepNext/>
              <w:spacing w:before="1" w:after="1"/>
              <w:ind w:right="65"/>
              <w:jc w:val="right"/>
              <w:rPr>
                <w:color w:val="000000"/>
                <w:sz w:val="20"/>
              </w:rPr>
            </w:pPr>
            <w:r>
              <w:rPr>
                <w:color w:val="000000"/>
                <w:sz w:val="20"/>
              </w:rPr>
              <w:t xml:space="preserve"> 689</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nil"/>
              <w:left w:val="nil"/>
              <w:bottom w:val="double" w:sz="4" w:space="0" w:color="000000"/>
              <w:right w:val="nil"/>
              <w:tl2br w:val="nil"/>
              <w:tr2bl w:val="nil"/>
            </w:tcBorders>
            <w:vAlign w:val="bottom"/>
          </w:tcPr>
          <w:p w:rsidR="0018024C" w:rsidRDefault="0018024C" w:rsidP="0018024C">
            <w:pPr>
              <w:keepNext/>
              <w:spacing w:before="1" w:after="1"/>
              <w:rPr>
                <w:sz w:val="20"/>
              </w:rPr>
            </w:pPr>
            <w:r>
              <w:rPr>
                <w:sz w:val="20"/>
              </w:rPr>
              <w:t>$</w:t>
            </w:r>
          </w:p>
        </w:tc>
        <w:tc>
          <w:tcPr>
            <w:tcW w:w="608" w:type="pct"/>
            <w:tcBorders>
              <w:top w:val="nil"/>
              <w:left w:val="nil"/>
              <w:bottom w:val="double" w:sz="4" w:space="0" w:color="000000"/>
              <w:right w:val="nil"/>
              <w:tl2br w:val="nil"/>
              <w:tr2bl w:val="nil"/>
            </w:tcBorders>
            <w:vAlign w:val="bottom"/>
          </w:tcPr>
          <w:p w:rsidR="0018024C" w:rsidRDefault="0018024C" w:rsidP="0018024C">
            <w:pPr>
              <w:keepNext/>
              <w:spacing w:before="1" w:after="1"/>
              <w:ind w:right="3"/>
              <w:jc w:val="right"/>
              <w:rPr>
                <w:color w:val="000000"/>
                <w:sz w:val="20"/>
              </w:rPr>
            </w:pPr>
            <w:r>
              <w:rPr>
                <w:color w:val="000000"/>
                <w:sz w:val="20"/>
              </w:rPr>
              <w:t xml:space="preserve"> (36)</w:t>
            </w:r>
          </w:p>
        </w:tc>
        <w:tc>
          <w:tcPr>
            <w:tcW w:w="134"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vAlign w:val="bottom"/>
          </w:tcPr>
          <w:p w:rsidR="0018024C" w:rsidRDefault="0018024C" w:rsidP="0018024C">
            <w:pPr>
              <w:keepNext/>
              <w:spacing w:before="1" w:after="1"/>
              <w:ind w:right="3"/>
              <w:jc w:val="right"/>
              <w:rPr>
                <w:sz w:val="20"/>
              </w:rPr>
            </w:pPr>
            <w:r>
              <w:rPr>
                <w:sz w:val="20"/>
              </w:rPr>
              <w:t>(5%)</w:t>
            </w:r>
          </w:p>
        </w:tc>
      </w:tr>
      <w:tr w:rsidR="0018024C" w:rsidTr="0018024C">
        <w:trPr>
          <w:trHeight w:hRule="exact" w:val="255"/>
        </w:trPr>
        <w:tc>
          <w:tcPr>
            <w:tcW w:w="1936"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r>
              <w:rPr>
                <w:color w:val="000000"/>
                <w:sz w:val="20"/>
              </w:rPr>
              <w:t>Adjusted Gross Profit (1)</w:t>
            </w:r>
          </w:p>
        </w:tc>
        <w:tc>
          <w:tcPr>
            <w:tcW w:w="141" w:type="pct"/>
            <w:tcBorders>
              <w:top w:val="doub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rPr>
                <w:b/>
                <w:color w:val="000000"/>
                <w:sz w:val="20"/>
              </w:rPr>
            </w:pPr>
            <w:r>
              <w:rPr>
                <w:b/>
                <w:color w:val="000000"/>
                <w:sz w:val="20"/>
              </w:rPr>
              <w:t>$</w:t>
            </w:r>
          </w:p>
        </w:tc>
        <w:tc>
          <w:tcPr>
            <w:tcW w:w="608" w:type="pct"/>
            <w:tcBorders>
              <w:top w:val="doub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ind w:right="63"/>
              <w:jc w:val="right"/>
              <w:rPr>
                <w:b/>
                <w:color w:val="000000"/>
                <w:sz w:val="20"/>
              </w:rPr>
            </w:pPr>
            <w:r>
              <w:rPr>
                <w:b/>
                <w:color w:val="000000"/>
                <w:sz w:val="20"/>
              </w:rPr>
              <w:t xml:space="preserve"> 714</w:t>
            </w: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41" w:type="pct"/>
            <w:tcBorders>
              <w:top w:val="doub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rPr>
                <w:color w:val="000000"/>
                <w:sz w:val="20"/>
              </w:rPr>
            </w:pPr>
            <w:r>
              <w:rPr>
                <w:color w:val="000000"/>
                <w:sz w:val="20"/>
              </w:rPr>
              <w:t>$</w:t>
            </w:r>
          </w:p>
        </w:tc>
        <w:tc>
          <w:tcPr>
            <w:tcW w:w="608" w:type="pct"/>
            <w:tcBorders>
              <w:top w:val="doub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ind w:right="65"/>
              <w:jc w:val="right"/>
              <w:rPr>
                <w:color w:val="000000"/>
                <w:sz w:val="20"/>
              </w:rPr>
            </w:pPr>
            <w:r>
              <w:rPr>
                <w:color w:val="000000"/>
                <w:sz w:val="20"/>
              </w:rPr>
              <w:t xml:space="preserve"> 819</w:t>
            </w:r>
          </w:p>
        </w:tc>
        <w:tc>
          <w:tcPr>
            <w:tcW w:w="10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color w:val="000000"/>
                <w:sz w:val="20"/>
              </w:rPr>
            </w:pPr>
          </w:p>
        </w:tc>
        <w:tc>
          <w:tcPr>
            <w:tcW w:w="141" w:type="pct"/>
            <w:tcBorders>
              <w:top w:val="doub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rPr>
                <w:color w:val="000000"/>
                <w:sz w:val="20"/>
              </w:rPr>
            </w:pPr>
            <w:r>
              <w:rPr>
                <w:color w:val="000000"/>
                <w:sz w:val="20"/>
              </w:rPr>
              <w:t>$</w:t>
            </w:r>
          </w:p>
        </w:tc>
        <w:tc>
          <w:tcPr>
            <w:tcW w:w="608" w:type="pct"/>
            <w:tcBorders>
              <w:top w:val="doub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ind w:right="3"/>
              <w:jc w:val="right"/>
              <w:rPr>
                <w:color w:val="000000"/>
                <w:sz w:val="20"/>
              </w:rPr>
            </w:pPr>
            <w:r>
              <w:rPr>
                <w:color w:val="000000"/>
                <w:sz w:val="20"/>
              </w:rPr>
              <w:t xml:space="preserve"> (105)</w:t>
            </w:r>
          </w:p>
        </w:tc>
        <w:tc>
          <w:tcPr>
            <w:tcW w:w="13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3"/>
              <w:jc w:val="right"/>
              <w:rPr>
                <w:sz w:val="20"/>
              </w:rPr>
            </w:pPr>
            <w:r>
              <w:rPr>
                <w:sz w:val="20"/>
              </w:rPr>
              <w:t>(13%)</w:t>
            </w:r>
          </w:p>
        </w:tc>
      </w:tr>
      <w:tr w:rsidR="0018024C" w:rsidTr="0018024C">
        <w:trPr>
          <w:trHeight w:hRule="exact" w:val="255"/>
        </w:trPr>
        <w:tc>
          <w:tcPr>
            <w:tcW w:w="1936"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r>
              <w:rPr>
                <w:color w:val="000000"/>
                <w:sz w:val="20"/>
              </w:rPr>
              <w:t>Adjusted EBITDA (1)</w:t>
            </w:r>
          </w:p>
        </w:tc>
        <w:tc>
          <w:tcPr>
            <w:tcW w:w="141" w:type="pct"/>
            <w:tcBorders>
              <w:top w:val="double" w:sz="0" w:space="0" w:color="000000"/>
              <w:left w:val="nil"/>
              <w:bottom w:val="double" w:sz="4" w:space="0" w:color="000000"/>
              <w:right w:val="nil"/>
              <w:tl2br w:val="nil"/>
              <w:tr2bl w:val="nil"/>
            </w:tcBorders>
            <w:vAlign w:val="bottom"/>
          </w:tcPr>
          <w:p w:rsidR="0018024C" w:rsidRDefault="0018024C" w:rsidP="0018024C">
            <w:pPr>
              <w:keepNext/>
              <w:spacing w:before="1" w:after="1"/>
              <w:rPr>
                <w:b/>
                <w:color w:val="000000"/>
                <w:sz w:val="20"/>
              </w:rPr>
            </w:pPr>
            <w:r>
              <w:rPr>
                <w:b/>
                <w:color w:val="000000"/>
                <w:sz w:val="20"/>
              </w:rPr>
              <w:t>$</w:t>
            </w:r>
          </w:p>
        </w:tc>
        <w:tc>
          <w:tcPr>
            <w:tcW w:w="608" w:type="pct"/>
            <w:tcBorders>
              <w:top w:val="double" w:sz="0" w:space="0" w:color="000000"/>
              <w:left w:val="nil"/>
              <w:bottom w:val="double" w:sz="4" w:space="0" w:color="000000"/>
              <w:right w:val="nil"/>
              <w:tl2br w:val="nil"/>
              <w:tr2bl w:val="nil"/>
            </w:tcBorders>
            <w:vAlign w:val="bottom"/>
          </w:tcPr>
          <w:p w:rsidR="0018024C" w:rsidRDefault="0018024C" w:rsidP="0018024C">
            <w:pPr>
              <w:keepNext/>
              <w:spacing w:before="1" w:after="1"/>
              <w:ind w:right="63"/>
              <w:jc w:val="right"/>
              <w:rPr>
                <w:b/>
                <w:color w:val="000000"/>
                <w:sz w:val="20"/>
              </w:rPr>
            </w:pPr>
            <w:r>
              <w:rPr>
                <w:b/>
                <w:color w:val="000000"/>
                <w:sz w:val="20"/>
              </w:rPr>
              <w:t xml:space="preserve"> 201</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141" w:type="pct"/>
            <w:tcBorders>
              <w:top w:val="double" w:sz="0" w:space="0" w:color="000000"/>
              <w:left w:val="nil"/>
              <w:bottom w:val="double" w:sz="4" w:space="0" w:color="000000"/>
              <w:right w:val="nil"/>
              <w:tl2br w:val="nil"/>
              <w:tr2bl w:val="nil"/>
            </w:tcBorders>
            <w:vAlign w:val="bottom"/>
          </w:tcPr>
          <w:p w:rsidR="0018024C" w:rsidRDefault="0018024C" w:rsidP="0018024C">
            <w:pPr>
              <w:keepNext/>
              <w:spacing w:before="1" w:after="1"/>
              <w:rPr>
                <w:color w:val="000000"/>
                <w:sz w:val="20"/>
              </w:rPr>
            </w:pPr>
            <w:r>
              <w:rPr>
                <w:color w:val="000000"/>
                <w:sz w:val="20"/>
              </w:rPr>
              <w:t>$</w:t>
            </w:r>
          </w:p>
        </w:tc>
        <w:tc>
          <w:tcPr>
            <w:tcW w:w="608" w:type="pct"/>
            <w:tcBorders>
              <w:top w:val="double" w:sz="0" w:space="0" w:color="000000"/>
              <w:left w:val="nil"/>
              <w:bottom w:val="double" w:sz="4" w:space="0" w:color="000000"/>
              <w:right w:val="nil"/>
              <w:tl2br w:val="nil"/>
              <w:tr2bl w:val="nil"/>
            </w:tcBorders>
            <w:vAlign w:val="bottom"/>
          </w:tcPr>
          <w:p w:rsidR="0018024C" w:rsidRDefault="0018024C" w:rsidP="0018024C">
            <w:pPr>
              <w:keepNext/>
              <w:spacing w:before="1" w:after="1"/>
              <w:ind w:right="65"/>
              <w:jc w:val="right"/>
              <w:rPr>
                <w:color w:val="000000"/>
                <w:sz w:val="20"/>
              </w:rPr>
            </w:pPr>
            <w:r>
              <w:rPr>
                <w:color w:val="000000"/>
                <w:sz w:val="20"/>
              </w:rPr>
              <w:t xml:space="preserve"> 280</w:t>
            </w:r>
          </w:p>
        </w:tc>
        <w:tc>
          <w:tcPr>
            <w:tcW w:w="104" w:type="pct"/>
            <w:tcBorders>
              <w:top w:val="nil"/>
              <w:left w:val="nil"/>
              <w:bottom w:val="nil"/>
              <w:right w:val="nil"/>
              <w:tl2br w:val="nil"/>
              <w:tr2bl w:val="nil"/>
            </w:tcBorders>
            <w:vAlign w:val="bottom"/>
          </w:tcPr>
          <w:p w:rsidR="0018024C" w:rsidRDefault="0018024C" w:rsidP="0018024C">
            <w:pPr>
              <w:keepNext/>
              <w:spacing w:before="1" w:after="1"/>
              <w:rPr>
                <w:color w:val="000000"/>
                <w:sz w:val="20"/>
              </w:rPr>
            </w:pPr>
          </w:p>
        </w:tc>
        <w:tc>
          <w:tcPr>
            <w:tcW w:w="141" w:type="pct"/>
            <w:tcBorders>
              <w:top w:val="double" w:sz="0" w:space="0" w:color="000000"/>
              <w:left w:val="nil"/>
              <w:bottom w:val="double" w:sz="4" w:space="0" w:color="000000"/>
              <w:right w:val="nil"/>
              <w:tl2br w:val="nil"/>
              <w:tr2bl w:val="nil"/>
            </w:tcBorders>
            <w:vAlign w:val="bottom"/>
          </w:tcPr>
          <w:p w:rsidR="0018024C" w:rsidRDefault="0018024C" w:rsidP="0018024C">
            <w:pPr>
              <w:keepNext/>
              <w:spacing w:before="1" w:after="1"/>
              <w:rPr>
                <w:color w:val="000000"/>
                <w:sz w:val="20"/>
              </w:rPr>
            </w:pPr>
            <w:r>
              <w:rPr>
                <w:color w:val="000000"/>
                <w:sz w:val="20"/>
              </w:rPr>
              <w:t>$</w:t>
            </w:r>
          </w:p>
        </w:tc>
        <w:tc>
          <w:tcPr>
            <w:tcW w:w="608" w:type="pct"/>
            <w:tcBorders>
              <w:top w:val="double" w:sz="0" w:space="0" w:color="000000"/>
              <w:left w:val="nil"/>
              <w:bottom w:val="double" w:sz="4" w:space="0" w:color="000000"/>
              <w:right w:val="nil"/>
              <w:tl2br w:val="nil"/>
              <w:tr2bl w:val="nil"/>
            </w:tcBorders>
            <w:vAlign w:val="bottom"/>
          </w:tcPr>
          <w:p w:rsidR="0018024C" w:rsidRDefault="0018024C" w:rsidP="0018024C">
            <w:pPr>
              <w:keepNext/>
              <w:spacing w:before="1" w:after="1"/>
              <w:ind w:right="3"/>
              <w:jc w:val="right"/>
              <w:rPr>
                <w:color w:val="000000"/>
                <w:sz w:val="20"/>
              </w:rPr>
            </w:pPr>
            <w:r>
              <w:rPr>
                <w:color w:val="000000"/>
                <w:sz w:val="20"/>
              </w:rPr>
              <w:t xml:space="preserve"> (79)</w:t>
            </w:r>
          </w:p>
        </w:tc>
        <w:tc>
          <w:tcPr>
            <w:tcW w:w="134"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475" w:type="pct"/>
            <w:tcBorders>
              <w:top w:val="nil"/>
              <w:left w:val="nil"/>
              <w:bottom w:val="nil"/>
              <w:right w:val="nil"/>
              <w:tl2br w:val="nil"/>
              <w:tr2bl w:val="nil"/>
            </w:tcBorders>
            <w:vAlign w:val="bottom"/>
          </w:tcPr>
          <w:p w:rsidR="0018024C" w:rsidRDefault="0018024C" w:rsidP="0018024C">
            <w:pPr>
              <w:keepNext/>
              <w:spacing w:before="1" w:after="1"/>
              <w:ind w:right="3"/>
              <w:jc w:val="right"/>
              <w:rPr>
                <w:sz w:val="20"/>
              </w:rPr>
            </w:pPr>
            <w:r>
              <w:rPr>
                <w:sz w:val="20"/>
              </w:rPr>
              <w:t>(28%)</w:t>
            </w:r>
          </w:p>
        </w:tc>
      </w:tr>
    </w:tbl>
    <w:p w:rsidR="000121CD" w:rsidRDefault="00590862">
      <w:pPr>
        <w:pStyle w:val="NormalWeb"/>
        <w:keepNext/>
        <w:spacing w:before="0" w:beforeAutospacing="0" w:after="0" w:afterAutospacing="0"/>
        <w:rPr>
          <w:sz w:val="20"/>
          <w:szCs w:val="20"/>
        </w:rPr>
      </w:pPr>
      <w:r>
        <w:rPr>
          <w:sz w:val="20"/>
          <w:szCs w:val="20"/>
        </w:rPr>
        <w:t> </w:t>
      </w:r>
    </w:p>
    <w:p w:rsidR="000121CD" w:rsidRDefault="00590862">
      <w:pPr>
        <w:pStyle w:val="NormalWeb"/>
        <w:keepNext/>
        <w:spacing w:before="0" w:beforeAutospacing="0" w:after="0" w:afterAutospacing="0"/>
        <w:ind w:left="489" w:hanging="490"/>
        <w:rPr>
          <w:sz w:val="20"/>
          <w:szCs w:val="20"/>
        </w:rPr>
      </w:pPr>
      <w:r>
        <w:rPr>
          <w:sz w:val="20"/>
          <w:szCs w:val="20"/>
        </w:rPr>
        <w:t>(1)</w:t>
      </w:r>
      <w:r>
        <w:rPr>
          <w:sz w:val="20"/>
          <w:szCs w:val="20"/>
        </w:rPr>
        <w:tab/>
        <w:t>Adjusted Gross Profit and Adjusted EBITDA are non-GAAP financial measures. For a reconciliation of these measures to an equivalent GAAP measure, see pages</w:t>
      </w:r>
      <w:r w:rsidR="009F1AEA">
        <w:rPr>
          <w:sz w:val="20"/>
          <w:szCs w:val="20"/>
        </w:rPr>
        <w:t xml:space="preserve"> </w:t>
      </w:r>
      <w:r>
        <w:rPr>
          <w:sz w:val="20"/>
          <w:szCs w:val="20"/>
        </w:rPr>
        <w:t>3</w:t>
      </w:r>
      <w:r w:rsidR="009F1AEA">
        <w:rPr>
          <w:sz w:val="20"/>
          <w:szCs w:val="20"/>
        </w:rPr>
        <w:t>1</w:t>
      </w:r>
      <w:r>
        <w:rPr>
          <w:sz w:val="20"/>
          <w:szCs w:val="20"/>
        </w:rPr>
        <w:t>-3</w:t>
      </w:r>
      <w:r w:rsidR="009F1AEA">
        <w:rPr>
          <w:sz w:val="20"/>
          <w:szCs w:val="20"/>
        </w:rPr>
        <w:t>3</w:t>
      </w:r>
      <w:r>
        <w:rPr>
          <w:sz w:val="20"/>
          <w:szCs w:val="20"/>
        </w:rPr>
        <w:t xml:space="preserve"> herein. </w:t>
      </w:r>
    </w:p>
    <w:p w:rsidR="000121CD" w:rsidRDefault="00590862">
      <w:pPr>
        <w:pStyle w:val="NormalWeb"/>
        <w:spacing w:before="180" w:beforeAutospacing="0" w:after="0" w:afterAutospacing="0"/>
        <w:rPr>
          <w:sz w:val="20"/>
          <w:szCs w:val="20"/>
        </w:rPr>
      </w:pPr>
      <w:r>
        <w:rPr>
          <w:b/>
          <w:bCs/>
          <w:i/>
          <w:iCs/>
          <w:sz w:val="20"/>
          <w:szCs w:val="20"/>
        </w:rPr>
        <w:t>Sales</w:t>
      </w:r>
      <w:r>
        <w:rPr>
          <w:i/>
          <w:iCs/>
          <w:sz w:val="20"/>
          <w:szCs w:val="20"/>
        </w:rPr>
        <w:t>.</w:t>
      </w:r>
      <w:r>
        <w:rPr>
          <w:sz w:val="20"/>
          <w:szCs w:val="20"/>
        </w:rPr>
        <w:t> </w:t>
      </w:r>
      <w:r w:rsidR="0042041B">
        <w:rPr>
          <w:sz w:val="20"/>
          <w:szCs w:val="20"/>
        </w:rPr>
        <w:t xml:space="preserve">Sales reflect consideration we are entitled to for goods and services when control of those goods and services is transferred to our customers.  </w:t>
      </w:r>
      <w:r>
        <w:rPr>
          <w:sz w:val="20"/>
          <w:szCs w:val="20"/>
        </w:rPr>
        <w:t>Our sales were $</w:t>
      </w:r>
      <w:r w:rsidR="002C1865">
        <w:rPr>
          <w:sz w:val="20"/>
          <w:szCs w:val="20"/>
        </w:rPr>
        <w:t>3,662</w:t>
      </w:r>
      <w:r>
        <w:rPr>
          <w:sz w:val="20"/>
          <w:szCs w:val="20"/>
        </w:rPr>
        <w:t xml:space="preserve"> million for the year ended </w:t>
      </w:r>
      <w:r w:rsidR="003627E3" w:rsidRPr="003A4344">
        <w:rPr>
          <w:sz w:val="20"/>
          <w:szCs w:val="20"/>
        </w:rPr>
        <w:t>December 31, 2019</w:t>
      </w:r>
      <w:r>
        <w:rPr>
          <w:sz w:val="20"/>
          <w:szCs w:val="20"/>
        </w:rPr>
        <w:t xml:space="preserve"> as compared to $</w:t>
      </w:r>
      <w:r w:rsidR="003627E3" w:rsidRPr="003A4344">
        <w:rPr>
          <w:sz w:val="20"/>
          <w:szCs w:val="20"/>
        </w:rPr>
        <w:t>4,172</w:t>
      </w:r>
      <w:r>
        <w:rPr>
          <w:sz w:val="20"/>
          <w:szCs w:val="20"/>
        </w:rPr>
        <w:t xml:space="preserve"> million for the year ended </w:t>
      </w:r>
      <w:r w:rsidR="003627E3" w:rsidRPr="003A4344">
        <w:rPr>
          <w:sz w:val="20"/>
          <w:szCs w:val="20"/>
        </w:rPr>
        <w:t>December 31, 2018</w:t>
      </w:r>
      <w:r>
        <w:rPr>
          <w:sz w:val="20"/>
          <w:szCs w:val="20"/>
        </w:rPr>
        <w:t>. The $</w:t>
      </w:r>
      <w:r w:rsidR="002C1865">
        <w:rPr>
          <w:sz w:val="20"/>
          <w:szCs w:val="20"/>
        </w:rPr>
        <w:t>510</w:t>
      </w:r>
      <w:r>
        <w:rPr>
          <w:sz w:val="20"/>
          <w:szCs w:val="20"/>
        </w:rPr>
        <w:t xml:space="preserve"> million, or 1</w:t>
      </w:r>
      <w:r w:rsidR="001434D0">
        <w:rPr>
          <w:sz w:val="20"/>
          <w:szCs w:val="20"/>
        </w:rPr>
        <w:t>2</w:t>
      </w:r>
      <w:r>
        <w:rPr>
          <w:sz w:val="20"/>
          <w:szCs w:val="20"/>
        </w:rPr>
        <w:t xml:space="preserve">%, </w:t>
      </w:r>
      <w:r w:rsidR="003627E3" w:rsidRPr="003A4344">
        <w:rPr>
          <w:sz w:val="20"/>
          <w:szCs w:val="20"/>
        </w:rPr>
        <w:t>decrease</w:t>
      </w:r>
      <w:r>
        <w:rPr>
          <w:sz w:val="20"/>
          <w:szCs w:val="20"/>
        </w:rPr>
        <w:t xml:space="preserve"> </w:t>
      </w:r>
      <w:r w:rsidR="006D4618">
        <w:rPr>
          <w:sz w:val="20"/>
          <w:szCs w:val="20"/>
        </w:rPr>
        <w:t>included</w:t>
      </w:r>
      <w:r>
        <w:rPr>
          <w:sz w:val="20"/>
          <w:szCs w:val="20"/>
        </w:rPr>
        <w:t xml:space="preserve"> a $</w:t>
      </w:r>
      <w:r w:rsidR="001434D0">
        <w:rPr>
          <w:sz w:val="20"/>
          <w:szCs w:val="20"/>
        </w:rPr>
        <w:t>32</w:t>
      </w:r>
      <w:r>
        <w:rPr>
          <w:sz w:val="20"/>
          <w:szCs w:val="20"/>
        </w:rPr>
        <w:t xml:space="preserve"> million </w:t>
      </w:r>
      <w:r w:rsidR="001434D0">
        <w:rPr>
          <w:sz w:val="20"/>
          <w:szCs w:val="20"/>
        </w:rPr>
        <w:t>un</w:t>
      </w:r>
      <w:r>
        <w:rPr>
          <w:sz w:val="20"/>
          <w:szCs w:val="20"/>
        </w:rPr>
        <w:t xml:space="preserve">favorable impact from the </w:t>
      </w:r>
      <w:r w:rsidR="00CD5277">
        <w:rPr>
          <w:sz w:val="20"/>
          <w:szCs w:val="20"/>
        </w:rPr>
        <w:t>weakening</w:t>
      </w:r>
      <w:r>
        <w:rPr>
          <w:sz w:val="20"/>
          <w:szCs w:val="20"/>
        </w:rPr>
        <w:t xml:space="preserve"> of foreign currencies in areas where we operate </w:t>
      </w:r>
      <w:r w:rsidR="008C77AE">
        <w:rPr>
          <w:sz w:val="20"/>
          <w:szCs w:val="20"/>
        </w:rPr>
        <w:t>relative</w:t>
      </w:r>
      <w:r>
        <w:rPr>
          <w:sz w:val="20"/>
          <w:szCs w:val="20"/>
        </w:rPr>
        <w:t xml:space="preserve"> to the U.S. dollar. </w:t>
      </w:r>
    </w:p>
    <w:p w:rsidR="000121CD" w:rsidRDefault="00590862">
      <w:pPr>
        <w:pStyle w:val="NormalWeb"/>
        <w:spacing w:before="180" w:after="0"/>
        <w:rPr>
          <w:sz w:val="20"/>
          <w:szCs w:val="20"/>
        </w:rPr>
      </w:pPr>
      <w:r>
        <w:rPr>
          <w:i/>
          <w:iCs/>
          <w:sz w:val="20"/>
          <w:szCs w:val="20"/>
        </w:rPr>
        <w:t>U.S. Segment—</w:t>
      </w:r>
      <w:r>
        <w:rPr>
          <w:sz w:val="20"/>
          <w:szCs w:val="20"/>
        </w:rPr>
        <w:t xml:space="preserve">Our U.S. sales </w:t>
      </w:r>
      <w:r w:rsidR="003627E3" w:rsidRPr="003A4344">
        <w:rPr>
          <w:sz w:val="20"/>
          <w:szCs w:val="20"/>
        </w:rPr>
        <w:t>decreased</w:t>
      </w:r>
      <w:r>
        <w:rPr>
          <w:sz w:val="20"/>
          <w:szCs w:val="20"/>
        </w:rPr>
        <w:t xml:space="preserve"> $</w:t>
      </w:r>
      <w:r w:rsidR="002C1865">
        <w:rPr>
          <w:sz w:val="20"/>
          <w:szCs w:val="20"/>
        </w:rPr>
        <w:t>365</w:t>
      </w:r>
      <w:r>
        <w:rPr>
          <w:sz w:val="20"/>
          <w:szCs w:val="20"/>
        </w:rPr>
        <w:t xml:space="preserve"> million to $</w:t>
      </w:r>
      <w:r w:rsidR="002C1865">
        <w:rPr>
          <w:sz w:val="20"/>
          <w:szCs w:val="20"/>
        </w:rPr>
        <w:t>2,956</w:t>
      </w:r>
      <w:r>
        <w:rPr>
          <w:sz w:val="20"/>
          <w:szCs w:val="20"/>
        </w:rPr>
        <w:t xml:space="preserve"> million for </w:t>
      </w:r>
      <w:r w:rsidR="007B3A58" w:rsidRPr="003A4344">
        <w:rPr>
          <w:sz w:val="20"/>
          <w:szCs w:val="20"/>
        </w:rPr>
        <w:t>2019</w:t>
      </w:r>
      <w:r>
        <w:rPr>
          <w:sz w:val="20"/>
          <w:szCs w:val="20"/>
        </w:rPr>
        <w:t xml:space="preserve"> from $</w:t>
      </w:r>
      <w:r w:rsidR="003627E3" w:rsidRPr="003A4344">
        <w:rPr>
          <w:sz w:val="20"/>
          <w:szCs w:val="20"/>
        </w:rPr>
        <w:t>3,321</w:t>
      </w:r>
      <w:r>
        <w:rPr>
          <w:sz w:val="20"/>
          <w:szCs w:val="20"/>
        </w:rPr>
        <w:t xml:space="preserve"> million for </w:t>
      </w:r>
      <w:r w:rsidR="007B3A58" w:rsidRPr="003A4344">
        <w:rPr>
          <w:sz w:val="20"/>
          <w:szCs w:val="20"/>
        </w:rPr>
        <w:t>2018</w:t>
      </w:r>
      <w:r>
        <w:rPr>
          <w:sz w:val="20"/>
          <w:szCs w:val="20"/>
        </w:rPr>
        <w:t xml:space="preserve">. This </w:t>
      </w:r>
      <w:r w:rsidR="002C1865">
        <w:rPr>
          <w:sz w:val="20"/>
          <w:szCs w:val="20"/>
        </w:rPr>
        <w:t>11</w:t>
      </w:r>
      <w:r>
        <w:rPr>
          <w:sz w:val="20"/>
          <w:szCs w:val="20"/>
        </w:rPr>
        <w:t>%</w:t>
      </w:r>
      <w:r w:rsidR="007B3A58" w:rsidRPr="003A4344">
        <w:rPr>
          <w:sz w:val="20"/>
          <w:szCs w:val="20"/>
        </w:rPr>
        <w:t xml:space="preserve"> </w:t>
      </w:r>
      <w:r w:rsidR="003627E3" w:rsidRPr="003A4344">
        <w:rPr>
          <w:sz w:val="20"/>
          <w:szCs w:val="20"/>
        </w:rPr>
        <w:t>decrease</w:t>
      </w:r>
      <w:r>
        <w:rPr>
          <w:sz w:val="20"/>
          <w:szCs w:val="20"/>
        </w:rPr>
        <w:t xml:space="preserve"> reflected a $54 million </w:t>
      </w:r>
      <w:r w:rsidR="00443098">
        <w:rPr>
          <w:sz w:val="20"/>
          <w:szCs w:val="20"/>
        </w:rPr>
        <w:t>de</w:t>
      </w:r>
      <w:r>
        <w:rPr>
          <w:sz w:val="20"/>
          <w:szCs w:val="20"/>
        </w:rPr>
        <w:t>crease in the upstream sector, a $</w:t>
      </w:r>
      <w:r w:rsidR="00443098">
        <w:rPr>
          <w:sz w:val="20"/>
          <w:szCs w:val="20"/>
        </w:rPr>
        <w:t>229</w:t>
      </w:r>
      <w:r>
        <w:rPr>
          <w:sz w:val="20"/>
          <w:szCs w:val="20"/>
        </w:rPr>
        <w:t xml:space="preserve"> million </w:t>
      </w:r>
      <w:r w:rsidR="00443098">
        <w:rPr>
          <w:sz w:val="20"/>
          <w:szCs w:val="20"/>
        </w:rPr>
        <w:t>de</w:t>
      </w:r>
      <w:r>
        <w:rPr>
          <w:sz w:val="20"/>
          <w:szCs w:val="20"/>
        </w:rPr>
        <w:t>crease in the midstream sector and a $</w:t>
      </w:r>
      <w:r w:rsidR="00443098">
        <w:rPr>
          <w:sz w:val="20"/>
          <w:szCs w:val="20"/>
        </w:rPr>
        <w:t>82</w:t>
      </w:r>
      <w:r>
        <w:rPr>
          <w:sz w:val="20"/>
          <w:szCs w:val="20"/>
        </w:rPr>
        <w:t xml:space="preserve"> million </w:t>
      </w:r>
      <w:r w:rsidR="00443098">
        <w:rPr>
          <w:sz w:val="20"/>
          <w:szCs w:val="20"/>
        </w:rPr>
        <w:t>de</w:t>
      </w:r>
      <w:r>
        <w:rPr>
          <w:sz w:val="20"/>
          <w:szCs w:val="20"/>
        </w:rPr>
        <w:t xml:space="preserve">crease in the downstream sector. The </w:t>
      </w:r>
      <w:r w:rsidR="00443098">
        <w:rPr>
          <w:sz w:val="20"/>
          <w:szCs w:val="20"/>
        </w:rPr>
        <w:t>decrease</w:t>
      </w:r>
      <w:r>
        <w:rPr>
          <w:sz w:val="20"/>
          <w:szCs w:val="20"/>
        </w:rPr>
        <w:t xml:space="preserve"> in the upstream sector is related to </w:t>
      </w:r>
      <w:r w:rsidR="00CD5277">
        <w:rPr>
          <w:sz w:val="20"/>
          <w:szCs w:val="20"/>
        </w:rPr>
        <w:t>reduced customer spending and the resulting 9% decrease</w:t>
      </w:r>
      <w:r>
        <w:rPr>
          <w:sz w:val="20"/>
          <w:szCs w:val="20"/>
        </w:rPr>
        <w:t xml:space="preserve"> in rig count. The </w:t>
      </w:r>
      <w:r w:rsidR="005C4C99">
        <w:rPr>
          <w:sz w:val="20"/>
          <w:szCs w:val="20"/>
        </w:rPr>
        <w:t>de</w:t>
      </w:r>
      <w:r>
        <w:rPr>
          <w:sz w:val="20"/>
          <w:szCs w:val="20"/>
        </w:rPr>
        <w:t xml:space="preserve">crease in the midstream sector is </w:t>
      </w:r>
      <w:r w:rsidR="005C4C99">
        <w:rPr>
          <w:sz w:val="20"/>
          <w:szCs w:val="20"/>
        </w:rPr>
        <w:t>the result of a 32% reduction in the transmission and gathering sub-sector.  The decline in the transmission and gathering sub-sector is attributable to increase</w:t>
      </w:r>
      <w:r w:rsidR="00825487">
        <w:rPr>
          <w:sz w:val="20"/>
          <w:szCs w:val="20"/>
        </w:rPr>
        <w:t>d</w:t>
      </w:r>
      <w:r w:rsidR="005C4C99">
        <w:rPr>
          <w:sz w:val="20"/>
          <w:szCs w:val="20"/>
        </w:rPr>
        <w:t xml:space="preserve"> capital discipline by our customers as well as the timing of project activity, including the </w:t>
      </w:r>
      <w:r w:rsidR="00CD5277">
        <w:rPr>
          <w:sz w:val="20"/>
          <w:szCs w:val="20"/>
        </w:rPr>
        <w:t xml:space="preserve">2018 </w:t>
      </w:r>
      <w:r w:rsidR="005C4C99">
        <w:rPr>
          <w:sz w:val="20"/>
          <w:szCs w:val="20"/>
        </w:rPr>
        <w:t xml:space="preserve">completion of a project with one of our customers resulting in a $100 million decline in sales. </w:t>
      </w:r>
      <w:r>
        <w:rPr>
          <w:sz w:val="20"/>
          <w:szCs w:val="20"/>
        </w:rPr>
        <w:t xml:space="preserve"> </w:t>
      </w:r>
      <w:r w:rsidR="005C4C99">
        <w:rPr>
          <w:sz w:val="20"/>
          <w:szCs w:val="20"/>
        </w:rPr>
        <w:t>Declines in transmission and gathering have been partially offset by an increase in the gas utilities business.  In the downstream sector, the winding down of a project with one of our chemical customers resulted in a $68 million decrease in sales.</w:t>
      </w:r>
    </w:p>
    <w:p w:rsidR="000121CD" w:rsidRDefault="00590862">
      <w:pPr>
        <w:pStyle w:val="NormalWeb"/>
        <w:spacing w:before="180" w:after="0"/>
        <w:rPr>
          <w:sz w:val="20"/>
        </w:rPr>
      </w:pPr>
      <w:r>
        <w:rPr>
          <w:i/>
          <w:iCs/>
          <w:sz w:val="20"/>
          <w:szCs w:val="20"/>
        </w:rPr>
        <w:lastRenderedPageBreak/>
        <w:t>Canadian Segment—</w:t>
      </w:r>
      <w:r>
        <w:rPr>
          <w:sz w:val="20"/>
          <w:szCs w:val="20"/>
        </w:rPr>
        <w:t xml:space="preserve">Our Canadian sales </w:t>
      </w:r>
      <w:r w:rsidR="003627E3" w:rsidRPr="003A4344">
        <w:rPr>
          <w:sz w:val="20"/>
          <w:szCs w:val="20"/>
        </w:rPr>
        <w:t>decreased</w:t>
      </w:r>
      <w:r>
        <w:rPr>
          <w:sz w:val="20"/>
          <w:szCs w:val="20"/>
        </w:rPr>
        <w:t xml:space="preserve"> $</w:t>
      </w:r>
      <w:r w:rsidR="002C1865">
        <w:rPr>
          <w:sz w:val="20"/>
          <w:szCs w:val="20"/>
        </w:rPr>
        <w:t>89</w:t>
      </w:r>
      <w:r>
        <w:rPr>
          <w:sz w:val="20"/>
          <w:szCs w:val="20"/>
        </w:rPr>
        <w:t xml:space="preserve"> million to $</w:t>
      </w:r>
      <w:r w:rsidR="002C1865">
        <w:rPr>
          <w:sz w:val="20"/>
          <w:szCs w:val="20"/>
        </w:rPr>
        <w:t>226</w:t>
      </w:r>
      <w:r>
        <w:rPr>
          <w:sz w:val="20"/>
          <w:szCs w:val="20"/>
        </w:rPr>
        <w:t xml:space="preserve"> million for </w:t>
      </w:r>
      <w:r w:rsidR="003627E3" w:rsidRPr="003A4344">
        <w:rPr>
          <w:sz w:val="20"/>
          <w:szCs w:val="20"/>
        </w:rPr>
        <w:t>2019</w:t>
      </w:r>
      <w:r>
        <w:rPr>
          <w:sz w:val="20"/>
          <w:szCs w:val="20"/>
        </w:rPr>
        <w:t xml:space="preserve"> from $</w:t>
      </w:r>
      <w:r w:rsidR="003627E3" w:rsidRPr="003A4344">
        <w:rPr>
          <w:sz w:val="20"/>
          <w:szCs w:val="20"/>
        </w:rPr>
        <w:t>315</w:t>
      </w:r>
      <w:r>
        <w:rPr>
          <w:sz w:val="20"/>
          <w:szCs w:val="20"/>
        </w:rPr>
        <w:t xml:space="preserve"> million for </w:t>
      </w:r>
      <w:r w:rsidR="003627E3" w:rsidRPr="003A4344">
        <w:rPr>
          <w:sz w:val="20"/>
          <w:szCs w:val="20"/>
        </w:rPr>
        <w:t>2018</w:t>
      </w:r>
      <w:r>
        <w:rPr>
          <w:sz w:val="20"/>
          <w:szCs w:val="20"/>
        </w:rPr>
        <w:t xml:space="preserve">. </w:t>
      </w:r>
      <w:r>
        <w:rPr>
          <w:sz w:val="20"/>
        </w:rPr>
        <w:t xml:space="preserve">This </w:t>
      </w:r>
      <w:r w:rsidR="007279CF">
        <w:rPr>
          <w:sz w:val="20"/>
        </w:rPr>
        <w:t>28</w:t>
      </w:r>
      <w:r>
        <w:rPr>
          <w:sz w:val="20"/>
        </w:rPr>
        <w:t>%</w:t>
      </w:r>
      <w:r w:rsidR="00396644">
        <w:rPr>
          <w:sz w:val="20"/>
        </w:rPr>
        <w:t> </w:t>
      </w:r>
      <w:r w:rsidR="003627E3" w:rsidRPr="003A4344">
        <w:rPr>
          <w:sz w:val="20"/>
        </w:rPr>
        <w:t>decrease</w:t>
      </w:r>
      <w:r>
        <w:rPr>
          <w:sz w:val="20"/>
        </w:rPr>
        <w:t xml:space="preserve"> </w:t>
      </w:r>
      <w:r w:rsidR="00CD5277">
        <w:rPr>
          <w:sz w:val="20"/>
          <w:szCs w:val="20"/>
        </w:rPr>
        <w:t>was driven by</w:t>
      </w:r>
      <w:r>
        <w:rPr>
          <w:sz w:val="20"/>
          <w:szCs w:val="20"/>
        </w:rPr>
        <w:t xml:space="preserve"> a $</w:t>
      </w:r>
      <w:r w:rsidR="007279CF">
        <w:rPr>
          <w:sz w:val="20"/>
          <w:szCs w:val="20"/>
        </w:rPr>
        <w:t>77</w:t>
      </w:r>
      <w:r>
        <w:rPr>
          <w:sz w:val="20"/>
          <w:szCs w:val="20"/>
        </w:rPr>
        <w:t xml:space="preserve"> million </w:t>
      </w:r>
      <w:r w:rsidR="007279CF">
        <w:rPr>
          <w:sz w:val="20"/>
          <w:szCs w:val="20"/>
        </w:rPr>
        <w:t>de</w:t>
      </w:r>
      <w:r>
        <w:rPr>
          <w:sz w:val="20"/>
          <w:szCs w:val="20"/>
        </w:rPr>
        <w:t xml:space="preserve">crease in the upstream business </w:t>
      </w:r>
      <w:r w:rsidR="007279CF">
        <w:rPr>
          <w:sz w:val="20"/>
          <w:szCs w:val="20"/>
        </w:rPr>
        <w:t>where the rig count has declined</w:t>
      </w:r>
      <w:r w:rsidR="00CD5277">
        <w:rPr>
          <w:sz w:val="20"/>
          <w:szCs w:val="20"/>
        </w:rPr>
        <w:t xml:space="preserve"> 30%</w:t>
      </w:r>
      <w:r w:rsidR="007279CF">
        <w:rPr>
          <w:sz w:val="20"/>
          <w:szCs w:val="20"/>
        </w:rPr>
        <w:t xml:space="preserve"> as a result of low Canadian oil prices and production limitations the government of Alberta</w:t>
      </w:r>
      <w:r w:rsidR="00825487">
        <w:rPr>
          <w:sz w:val="20"/>
          <w:szCs w:val="20"/>
        </w:rPr>
        <w:t xml:space="preserve"> imposed</w:t>
      </w:r>
      <w:r w:rsidR="007279CF">
        <w:rPr>
          <w:sz w:val="20"/>
          <w:szCs w:val="20"/>
        </w:rPr>
        <w:t>.  Canadian sales were unfavorably impacted by $6</w:t>
      </w:r>
      <w:r w:rsidR="00780609">
        <w:rPr>
          <w:sz w:val="20"/>
          <w:szCs w:val="20"/>
        </w:rPr>
        <w:t> </w:t>
      </w:r>
      <w:r w:rsidR="007279CF">
        <w:rPr>
          <w:sz w:val="20"/>
          <w:szCs w:val="20"/>
        </w:rPr>
        <w:t>million, or 2%, as a result of the weaker Canadian dollar relative to the U.S. dollar.</w:t>
      </w:r>
    </w:p>
    <w:p w:rsidR="000121CD" w:rsidRDefault="00590862">
      <w:pPr>
        <w:pStyle w:val="NormalWeb"/>
        <w:spacing w:before="180" w:after="0"/>
        <w:rPr>
          <w:sz w:val="20"/>
          <w:szCs w:val="20"/>
        </w:rPr>
      </w:pPr>
      <w:r>
        <w:rPr>
          <w:i/>
          <w:iCs/>
          <w:sz w:val="20"/>
          <w:szCs w:val="20"/>
        </w:rPr>
        <w:t>International Segment</w:t>
      </w:r>
      <w:r>
        <w:rPr>
          <w:sz w:val="20"/>
          <w:szCs w:val="20"/>
        </w:rPr>
        <w:t xml:space="preserve">—Our International sales </w:t>
      </w:r>
      <w:r w:rsidR="003627E3" w:rsidRPr="003A4344">
        <w:rPr>
          <w:sz w:val="20"/>
          <w:szCs w:val="20"/>
        </w:rPr>
        <w:t>decreased</w:t>
      </w:r>
      <w:r>
        <w:rPr>
          <w:sz w:val="20"/>
          <w:szCs w:val="20"/>
        </w:rPr>
        <w:t xml:space="preserve"> $</w:t>
      </w:r>
      <w:r w:rsidR="002C1865">
        <w:rPr>
          <w:sz w:val="20"/>
          <w:szCs w:val="20"/>
        </w:rPr>
        <w:t>56</w:t>
      </w:r>
      <w:r>
        <w:rPr>
          <w:sz w:val="20"/>
          <w:szCs w:val="20"/>
        </w:rPr>
        <w:t xml:space="preserve"> million to $</w:t>
      </w:r>
      <w:r w:rsidR="002C1865">
        <w:rPr>
          <w:sz w:val="20"/>
          <w:szCs w:val="20"/>
        </w:rPr>
        <w:t>480</w:t>
      </w:r>
      <w:r>
        <w:rPr>
          <w:sz w:val="20"/>
          <w:szCs w:val="20"/>
        </w:rPr>
        <w:t xml:space="preserve"> million for </w:t>
      </w:r>
      <w:r w:rsidR="003627E3" w:rsidRPr="003A4344">
        <w:rPr>
          <w:sz w:val="20"/>
          <w:szCs w:val="20"/>
        </w:rPr>
        <w:t>2019</w:t>
      </w:r>
      <w:r>
        <w:rPr>
          <w:sz w:val="20"/>
          <w:szCs w:val="20"/>
        </w:rPr>
        <w:t xml:space="preserve"> from $</w:t>
      </w:r>
      <w:r w:rsidR="003627E3" w:rsidRPr="003A4344">
        <w:rPr>
          <w:sz w:val="20"/>
          <w:szCs w:val="20"/>
        </w:rPr>
        <w:t>536</w:t>
      </w:r>
      <w:r>
        <w:rPr>
          <w:sz w:val="20"/>
          <w:szCs w:val="20"/>
        </w:rPr>
        <w:t xml:space="preserve"> million for </w:t>
      </w:r>
      <w:r w:rsidR="003627E3" w:rsidRPr="003A4344">
        <w:rPr>
          <w:sz w:val="20"/>
          <w:szCs w:val="20"/>
        </w:rPr>
        <w:t>2018</w:t>
      </w:r>
      <w:r>
        <w:rPr>
          <w:sz w:val="20"/>
          <w:szCs w:val="20"/>
        </w:rPr>
        <w:t>.</w:t>
      </w:r>
      <w:r w:rsidR="007B3A58">
        <w:rPr>
          <w:sz w:val="20"/>
          <w:szCs w:val="20"/>
        </w:rPr>
        <w:t xml:space="preserve"> The</w:t>
      </w:r>
      <w:r w:rsidR="00006105">
        <w:rPr>
          <w:sz w:val="20"/>
          <w:szCs w:val="20"/>
        </w:rPr>
        <w:t xml:space="preserve"> </w:t>
      </w:r>
      <w:r w:rsidR="007279CF">
        <w:rPr>
          <w:sz w:val="20"/>
          <w:szCs w:val="20"/>
        </w:rPr>
        <w:t>10</w:t>
      </w:r>
      <w:r w:rsidR="00006105">
        <w:rPr>
          <w:sz w:val="20"/>
          <w:szCs w:val="20"/>
        </w:rPr>
        <w:t>%</w:t>
      </w:r>
      <w:r w:rsidR="00825487">
        <w:rPr>
          <w:sz w:val="20"/>
          <w:szCs w:val="20"/>
        </w:rPr>
        <w:t> </w:t>
      </w:r>
      <w:r w:rsidR="007279CF" w:rsidRPr="007279CF">
        <w:rPr>
          <w:sz w:val="20"/>
          <w:szCs w:val="20"/>
        </w:rPr>
        <w:t>decrease is attributable to the concluding of a long-running project in Kazakhstan as well as the weakening of foreign currencies in areas where we operate relative to the U.S. dollar</w:t>
      </w:r>
      <w:r w:rsidR="00825487">
        <w:rPr>
          <w:sz w:val="20"/>
          <w:szCs w:val="20"/>
        </w:rPr>
        <w:t>,</w:t>
      </w:r>
      <w:r w:rsidR="007279CF" w:rsidRPr="007279CF">
        <w:rPr>
          <w:sz w:val="20"/>
          <w:szCs w:val="20"/>
        </w:rPr>
        <w:t xml:space="preserve"> which unfavorably impacted sales by $2</w:t>
      </w:r>
      <w:r w:rsidR="007279CF">
        <w:rPr>
          <w:sz w:val="20"/>
          <w:szCs w:val="20"/>
        </w:rPr>
        <w:t>6</w:t>
      </w:r>
      <w:r w:rsidR="007279CF" w:rsidRPr="007279CF">
        <w:rPr>
          <w:sz w:val="20"/>
          <w:szCs w:val="20"/>
        </w:rPr>
        <w:t xml:space="preserve"> million, or </w:t>
      </w:r>
      <w:r w:rsidR="007279CF">
        <w:rPr>
          <w:sz w:val="20"/>
          <w:szCs w:val="20"/>
        </w:rPr>
        <w:t>5</w:t>
      </w:r>
      <w:r w:rsidR="007279CF" w:rsidRPr="007279CF">
        <w:rPr>
          <w:sz w:val="20"/>
          <w:szCs w:val="20"/>
        </w:rPr>
        <w:t>%. Excluding the impact of foreign currencies and the Kazakhstan project, sales increased $</w:t>
      </w:r>
      <w:r w:rsidR="006A75DA">
        <w:rPr>
          <w:sz w:val="20"/>
          <w:szCs w:val="20"/>
        </w:rPr>
        <w:t>58</w:t>
      </w:r>
      <w:r w:rsidR="007279CF" w:rsidRPr="007279CF">
        <w:rPr>
          <w:sz w:val="20"/>
          <w:szCs w:val="20"/>
        </w:rPr>
        <w:t xml:space="preserve"> million, or </w:t>
      </w:r>
      <w:r w:rsidR="001B1E7A">
        <w:rPr>
          <w:sz w:val="20"/>
          <w:szCs w:val="20"/>
        </w:rPr>
        <w:t>1</w:t>
      </w:r>
      <w:r w:rsidR="007279CF">
        <w:rPr>
          <w:sz w:val="20"/>
          <w:szCs w:val="20"/>
        </w:rPr>
        <w:t>4</w:t>
      </w:r>
      <w:r w:rsidR="007279CF" w:rsidRPr="007279CF">
        <w:rPr>
          <w:sz w:val="20"/>
          <w:szCs w:val="20"/>
        </w:rPr>
        <w:t>%, due to improving conditions in our international markets, particularly in Norway and the U.K. where offshore E&amp;P spending has increased in 2019.</w:t>
      </w:r>
      <w:r>
        <w:rPr>
          <w:sz w:val="20"/>
          <w:szCs w:val="20"/>
        </w:rPr>
        <w:t xml:space="preserve"> </w:t>
      </w:r>
    </w:p>
    <w:p w:rsidR="00F25F9C" w:rsidRDefault="00590862" w:rsidP="00F25F9C">
      <w:pPr>
        <w:pStyle w:val="NormalWeb"/>
        <w:spacing w:after="0"/>
        <w:rPr>
          <w:sz w:val="20"/>
          <w:szCs w:val="20"/>
        </w:rPr>
      </w:pPr>
      <w:r>
        <w:rPr>
          <w:b/>
          <w:bCs/>
          <w:i/>
          <w:iCs/>
          <w:sz w:val="20"/>
          <w:szCs w:val="20"/>
        </w:rPr>
        <w:t>Gross Profit</w:t>
      </w:r>
      <w:r>
        <w:rPr>
          <w:i/>
          <w:iCs/>
          <w:sz w:val="20"/>
          <w:szCs w:val="20"/>
        </w:rPr>
        <w:t>.</w:t>
      </w:r>
      <w:r>
        <w:rPr>
          <w:sz w:val="20"/>
          <w:szCs w:val="20"/>
        </w:rPr>
        <w:t> Our gross profit was $</w:t>
      </w:r>
      <w:r w:rsidR="002C1865">
        <w:rPr>
          <w:sz w:val="20"/>
          <w:szCs w:val="20"/>
        </w:rPr>
        <w:t>653</w:t>
      </w:r>
      <w:r>
        <w:rPr>
          <w:sz w:val="20"/>
          <w:szCs w:val="20"/>
        </w:rPr>
        <w:t xml:space="preserve"> million (</w:t>
      </w:r>
      <w:r w:rsidR="002C1865">
        <w:rPr>
          <w:sz w:val="20"/>
          <w:szCs w:val="20"/>
        </w:rPr>
        <w:t>17.8%</w:t>
      </w:r>
      <w:r>
        <w:rPr>
          <w:sz w:val="20"/>
          <w:szCs w:val="20"/>
        </w:rPr>
        <w:t xml:space="preserve"> of sales) for the year ended </w:t>
      </w:r>
      <w:r w:rsidR="003627E3" w:rsidRPr="003A4344">
        <w:rPr>
          <w:sz w:val="20"/>
          <w:szCs w:val="20"/>
        </w:rPr>
        <w:t>December 31, 2019</w:t>
      </w:r>
      <w:r>
        <w:rPr>
          <w:sz w:val="20"/>
          <w:szCs w:val="20"/>
        </w:rPr>
        <w:t xml:space="preserve"> as compared to $</w:t>
      </w:r>
      <w:r w:rsidR="003627E3" w:rsidRPr="003A4344">
        <w:rPr>
          <w:sz w:val="20"/>
          <w:szCs w:val="20"/>
        </w:rPr>
        <w:t>689</w:t>
      </w:r>
      <w:r>
        <w:rPr>
          <w:sz w:val="20"/>
          <w:szCs w:val="20"/>
        </w:rPr>
        <w:t> million (</w:t>
      </w:r>
      <w:r w:rsidR="003627E3" w:rsidRPr="003A4344">
        <w:rPr>
          <w:sz w:val="20"/>
          <w:szCs w:val="20"/>
        </w:rPr>
        <w:t>16.5%</w:t>
      </w:r>
      <w:r>
        <w:rPr>
          <w:sz w:val="20"/>
          <w:szCs w:val="20"/>
        </w:rPr>
        <w:t xml:space="preserve"> of sales) for the year ended </w:t>
      </w:r>
      <w:r w:rsidR="003627E3" w:rsidRPr="003A4344">
        <w:rPr>
          <w:sz w:val="20"/>
          <w:szCs w:val="20"/>
        </w:rPr>
        <w:t>December 31, 2018</w:t>
      </w:r>
      <w:r>
        <w:rPr>
          <w:sz w:val="20"/>
          <w:szCs w:val="20"/>
        </w:rPr>
        <w:t>. The $</w:t>
      </w:r>
      <w:r w:rsidR="002C1865">
        <w:rPr>
          <w:sz w:val="20"/>
          <w:szCs w:val="20"/>
        </w:rPr>
        <w:t>36</w:t>
      </w:r>
      <w:r>
        <w:rPr>
          <w:sz w:val="20"/>
          <w:szCs w:val="20"/>
        </w:rPr>
        <w:t xml:space="preserve"> million </w:t>
      </w:r>
      <w:r w:rsidR="003627E3" w:rsidRPr="003A4344">
        <w:rPr>
          <w:sz w:val="20"/>
          <w:szCs w:val="20"/>
        </w:rPr>
        <w:t>decrease</w:t>
      </w:r>
      <w:r>
        <w:rPr>
          <w:sz w:val="20"/>
          <w:szCs w:val="20"/>
        </w:rPr>
        <w:t xml:space="preserve"> was primarily attributable to the </w:t>
      </w:r>
      <w:r w:rsidR="00F6749B">
        <w:rPr>
          <w:sz w:val="20"/>
          <w:szCs w:val="20"/>
        </w:rPr>
        <w:t>de</w:t>
      </w:r>
      <w:r>
        <w:rPr>
          <w:sz w:val="20"/>
          <w:szCs w:val="20"/>
        </w:rPr>
        <w:t>crease in sales volumes.</w:t>
      </w:r>
      <w:r w:rsidR="00F6749B">
        <w:rPr>
          <w:sz w:val="20"/>
          <w:szCs w:val="20"/>
        </w:rPr>
        <w:t xml:space="preserve">  </w:t>
      </w:r>
      <w:r w:rsidR="00F25F9C">
        <w:rPr>
          <w:sz w:val="20"/>
          <w:szCs w:val="20"/>
        </w:rPr>
        <w:t>As compared to average cost, our last-in first-out (“LIFO”) inventory costing methodology reduced cost of sales by $2</w:t>
      </w:r>
      <w:r w:rsidR="00CD5277">
        <w:rPr>
          <w:sz w:val="20"/>
          <w:szCs w:val="20"/>
        </w:rPr>
        <w:t> </w:t>
      </w:r>
      <w:r w:rsidR="00F25F9C">
        <w:rPr>
          <w:sz w:val="20"/>
          <w:szCs w:val="20"/>
        </w:rPr>
        <w:t>million in 2019 compared to increasing cost of sales by $62 million in 2018, when we experienced inflation across most product groups, including line pipe in particular. Excluding the impact of LIFO, gross profit percentages were comparable in 2019 and 2018.</w:t>
      </w:r>
      <w:r w:rsidR="00CD5277" w:rsidRPr="00CD5277">
        <w:rPr>
          <w:sz w:val="20"/>
          <w:szCs w:val="20"/>
        </w:rPr>
        <w:t xml:space="preserve"> </w:t>
      </w:r>
      <w:r w:rsidR="00CD5277">
        <w:rPr>
          <w:sz w:val="20"/>
          <w:szCs w:val="20"/>
        </w:rPr>
        <w:t xml:space="preserve">In addition, gross profit for 2019 was negatively impacted </w:t>
      </w:r>
      <w:r w:rsidR="00CD5277">
        <w:rPr>
          <w:sz w:val="20"/>
        </w:rPr>
        <w:t xml:space="preserve">by $5 million of inventory-related charges to reduce the carrying value of certain excess and obsolete inventory items to their realizable value.  </w:t>
      </w:r>
    </w:p>
    <w:p w:rsidR="000121CD" w:rsidRDefault="00F25F9C" w:rsidP="00F25F9C">
      <w:pPr>
        <w:pStyle w:val="NormalWeb"/>
        <w:spacing w:after="0"/>
        <w:rPr>
          <w:rFonts w:ascii="Nyala" w:hAnsi="Nyala"/>
          <w:sz w:val="20"/>
        </w:rPr>
      </w:pPr>
      <w:r w:rsidRPr="00F25F9C">
        <w:rPr>
          <w:b/>
          <w:i/>
          <w:sz w:val="20"/>
          <w:szCs w:val="20"/>
        </w:rPr>
        <w:t>Ad</w:t>
      </w:r>
      <w:r w:rsidR="00590862">
        <w:rPr>
          <w:b/>
          <w:bCs/>
          <w:i/>
          <w:iCs/>
          <w:sz w:val="20"/>
        </w:rPr>
        <w:t>justed Gross Profit</w:t>
      </w:r>
      <w:r w:rsidR="00590862">
        <w:rPr>
          <w:i/>
          <w:iCs/>
          <w:sz w:val="20"/>
        </w:rPr>
        <w:t>.</w:t>
      </w:r>
      <w:r w:rsidR="00590862">
        <w:rPr>
          <w:sz w:val="20"/>
        </w:rPr>
        <w:t xml:space="preserve"> Adjusted Gross Profit </w:t>
      </w:r>
      <w:r w:rsidR="003627E3" w:rsidRPr="003A4344">
        <w:rPr>
          <w:sz w:val="20"/>
        </w:rPr>
        <w:t>decreased</w:t>
      </w:r>
      <w:r w:rsidR="00590862">
        <w:rPr>
          <w:sz w:val="20"/>
        </w:rPr>
        <w:t xml:space="preserve"> to $</w:t>
      </w:r>
      <w:r w:rsidR="002C1865">
        <w:rPr>
          <w:sz w:val="20"/>
        </w:rPr>
        <w:t>714</w:t>
      </w:r>
      <w:r w:rsidR="00590862">
        <w:rPr>
          <w:sz w:val="20"/>
        </w:rPr>
        <w:t xml:space="preserve"> million (</w:t>
      </w:r>
      <w:r w:rsidR="002C1865">
        <w:rPr>
          <w:sz w:val="20"/>
        </w:rPr>
        <w:t>19.5%</w:t>
      </w:r>
      <w:r w:rsidR="00590862">
        <w:rPr>
          <w:sz w:val="20"/>
        </w:rPr>
        <w:t xml:space="preserve"> of sales) for </w:t>
      </w:r>
      <w:r w:rsidR="003627E3" w:rsidRPr="003A4344">
        <w:rPr>
          <w:sz w:val="20"/>
        </w:rPr>
        <w:t>2019</w:t>
      </w:r>
      <w:r w:rsidR="00590862">
        <w:rPr>
          <w:sz w:val="20"/>
        </w:rPr>
        <w:t xml:space="preserve"> from $</w:t>
      </w:r>
      <w:r w:rsidR="003627E3" w:rsidRPr="003A4344">
        <w:rPr>
          <w:sz w:val="20"/>
        </w:rPr>
        <w:t>819</w:t>
      </w:r>
      <w:r w:rsidR="00590862">
        <w:rPr>
          <w:sz w:val="20"/>
        </w:rPr>
        <w:t xml:space="preserve"> million (</w:t>
      </w:r>
      <w:r w:rsidR="003627E3" w:rsidRPr="003A4344">
        <w:rPr>
          <w:sz w:val="20"/>
        </w:rPr>
        <w:t>19.6%</w:t>
      </w:r>
      <w:r w:rsidR="00590862">
        <w:rPr>
          <w:sz w:val="20"/>
        </w:rPr>
        <w:t xml:space="preserve"> of sales) for </w:t>
      </w:r>
      <w:r w:rsidR="003627E3" w:rsidRPr="003A4344">
        <w:rPr>
          <w:sz w:val="20"/>
        </w:rPr>
        <w:t>2018</w:t>
      </w:r>
      <w:r w:rsidR="00590862">
        <w:rPr>
          <w:sz w:val="20"/>
        </w:rPr>
        <w:t xml:space="preserve">, a </w:t>
      </w:r>
      <w:r w:rsidR="003627E3" w:rsidRPr="003A4344">
        <w:rPr>
          <w:sz w:val="20"/>
        </w:rPr>
        <w:t>decrease</w:t>
      </w:r>
      <w:r w:rsidR="00590862">
        <w:rPr>
          <w:sz w:val="20"/>
        </w:rPr>
        <w:t xml:space="preserve"> of $</w:t>
      </w:r>
      <w:r w:rsidR="002C1865">
        <w:rPr>
          <w:sz w:val="20"/>
        </w:rPr>
        <w:t>105</w:t>
      </w:r>
      <w:r w:rsidR="00590862">
        <w:rPr>
          <w:sz w:val="20"/>
        </w:rPr>
        <w:t xml:space="preserve"> million. 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rsidR="000121CD" w:rsidRDefault="00590862">
      <w:pPr>
        <w:pStyle w:val="NormalWeb"/>
        <w:keepNext/>
        <w:spacing w:before="180" w:beforeAutospacing="0" w:after="0" w:afterAutospacing="0"/>
        <w:rPr>
          <w:sz w:val="20"/>
          <w:szCs w:val="20"/>
        </w:rPr>
      </w:pPr>
      <w:r>
        <w:rPr>
          <w:sz w:val="20"/>
          <w:szCs w:val="20"/>
        </w:rPr>
        <w:t xml:space="preserve">The following table reconciles gross profit, as derived from our consolidated financial statements, with Adjusted Gross Profit, a non-GAAP financial measure (in millions): </w:t>
      </w:r>
    </w:p>
    <w:p w:rsidR="000121CD" w:rsidRDefault="000121CD">
      <w:pPr>
        <w:pStyle w:val="NormalWeb"/>
        <w:keepNext/>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3638"/>
        <w:gridCol w:w="342"/>
        <w:gridCol w:w="1243"/>
        <w:gridCol w:w="342"/>
        <w:gridCol w:w="1495"/>
        <w:gridCol w:w="341"/>
        <w:gridCol w:w="341"/>
        <w:gridCol w:w="1242"/>
        <w:gridCol w:w="341"/>
        <w:gridCol w:w="1475"/>
      </w:tblGrid>
      <w:tr w:rsidR="0018024C" w:rsidTr="0018024C">
        <w:trPr>
          <w:trHeight w:hRule="exact" w:val="20"/>
        </w:trPr>
        <w:tc>
          <w:tcPr>
            <w:tcW w:w="1684"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58"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575"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58"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692"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58"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58"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575"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58"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683"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r>
      <w:tr w:rsidR="0018024C" w:rsidTr="0018024C">
        <w:trPr>
          <w:trHeight w:hRule="exact" w:val="315"/>
        </w:trPr>
        <w:tc>
          <w:tcPr>
            <w:tcW w:w="1684" w:type="pct"/>
            <w:tcBorders>
              <w:top w:val="nil"/>
              <w:left w:val="nil"/>
              <w:bottom w:val="nil"/>
              <w:right w:val="nil"/>
              <w:tl2br w:val="nil"/>
              <w:tr2bl w:val="nil"/>
            </w:tcBorders>
            <w:shd w:val="clear" w:color="auto" w:fill="auto"/>
            <w:vAlign w:val="bottom"/>
          </w:tcPr>
          <w:p w:rsidR="0018024C" w:rsidRDefault="0018024C" w:rsidP="0018024C">
            <w:pPr>
              <w:keepNext/>
              <w:spacing w:before="1" w:after="1"/>
              <w:rPr>
                <w:sz w:val="20"/>
              </w:rPr>
            </w:pPr>
          </w:p>
        </w:tc>
        <w:tc>
          <w:tcPr>
            <w:tcW w:w="1" w:type="pct"/>
            <w:gridSpan w:val="9"/>
            <w:tcBorders>
              <w:top w:val="nil"/>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sz w:val="20"/>
              </w:rPr>
            </w:pPr>
            <w:r>
              <w:rPr>
                <w:b/>
                <w:sz w:val="20"/>
              </w:rPr>
              <w:t>Year Ended December 31,</w:t>
            </w:r>
          </w:p>
        </w:tc>
      </w:tr>
      <w:tr w:rsidR="0018024C" w:rsidTr="0018024C">
        <w:trPr>
          <w:trHeight w:hRule="exact" w:val="255"/>
        </w:trPr>
        <w:tc>
          <w:tcPr>
            <w:tcW w:w="1684" w:type="pct"/>
            <w:tcBorders>
              <w:top w:val="nil"/>
              <w:left w:val="nil"/>
              <w:bottom w:val="nil"/>
              <w:right w:val="nil"/>
              <w:tl2br w:val="nil"/>
              <w:tr2bl w:val="nil"/>
            </w:tcBorders>
            <w:shd w:val="clear" w:color="auto" w:fill="auto"/>
            <w:vAlign w:val="bottom"/>
          </w:tcPr>
          <w:p w:rsidR="0018024C" w:rsidRDefault="0018024C" w:rsidP="0018024C">
            <w:pPr>
              <w:keepNext/>
              <w:spacing w:before="1" w:after="1"/>
              <w:rPr>
                <w:sz w:val="20"/>
              </w:rPr>
            </w:pPr>
          </w:p>
        </w:tc>
        <w:tc>
          <w:tcPr>
            <w:tcW w:w="158" w:type="pct"/>
            <w:tcBorders>
              <w:top w:val="single" w:sz="0" w:space="0" w:color="000000"/>
              <w:left w:val="nil"/>
              <w:bottom w:val="nil"/>
              <w:right w:val="nil"/>
              <w:tl2br w:val="nil"/>
              <w:tr2bl w:val="nil"/>
            </w:tcBorders>
            <w:shd w:val="clear" w:color="auto" w:fill="auto"/>
            <w:vAlign w:val="bottom"/>
          </w:tcPr>
          <w:p w:rsidR="0018024C" w:rsidRDefault="0018024C" w:rsidP="0018024C">
            <w:pPr>
              <w:keepNext/>
              <w:spacing w:before="1" w:after="1"/>
              <w:rPr>
                <w:sz w:val="20"/>
              </w:rPr>
            </w:pPr>
          </w:p>
        </w:tc>
        <w:tc>
          <w:tcPr>
            <w:tcW w:w="575" w:type="pct"/>
            <w:tcBorders>
              <w:top w:val="single" w:sz="0" w:space="0" w:color="000000"/>
              <w:left w:val="nil"/>
              <w:bottom w:val="nil"/>
              <w:right w:val="nil"/>
              <w:tl2br w:val="nil"/>
              <w:tr2bl w:val="nil"/>
            </w:tcBorders>
            <w:shd w:val="clear" w:color="auto" w:fill="auto"/>
            <w:vAlign w:val="bottom"/>
          </w:tcPr>
          <w:p w:rsidR="0018024C" w:rsidRDefault="0018024C" w:rsidP="0018024C">
            <w:pPr>
              <w:keepNext/>
              <w:spacing w:before="1" w:after="1"/>
              <w:jc w:val="center"/>
              <w:rPr>
                <w:b/>
                <w:sz w:val="20"/>
              </w:rPr>
            </w:pPr>
          </w:p>
        </w:tc>
        <w:tc>
          <w:tcPr>
            <w:tcW w:w="158" w:type="pct"/>
            <w:tcBorders>
              <w:top w:val="single" w:sz="0" w:space="0" w:color="000000"/>
              <w:left w:val="nil"/>
              <w:bottom w:val="nil"/>
              <w:right w:val="nil"/>
              <w:tl2br w:val="nil"/>
              <w:tr2bl w:val="nil"/>
            </w:tcBorders>
            <w:shd w:val="clear" w:color="auto" w:fill="auto"/>
            <w:vAlign w:val="bottom"/>
          </w:tcPr>
          <w:p w:rsidR="0018024C" w:rsidRDefault="0018024C" w:rsidP="0018024C">
            <w:pPr>
              <w:keepNext/>
              <w:spacing w:before="1" w:after="1"/>
              <w:jc w:val="center"/>
              <w:rPr>
                <w:b/>
                <w:sz w:val="20"/>
              </w:rPr>
            </w:pPr>
          </w:p>
        </w:tc>
        <w:tc>
          <w:tcPr>
            <w:tcW w:w="692" w:type="pct"/>
            <w:tcBorders>
              <w:top w:val="single" w:sz="0" w:space="0" w:color="000000"/>
              <w:left w:val="nil"/>
              <w:bottom w:val="nil"/>
              <w:right w:val="nil"/>
              <w:tl2br w:val="nil"/>
              <w:tr2bl w:val="nil"/>
            </w:tcBorders>
            <w:shd w:val="clear" w:color="auto" w:fill="auto"/>
            <w:vAlign w:val="bottom"/>
          </w:tcPr>
          <w:p w:rsidR="0018024C" w:rsidRDefault="0018024C" w:rsidP="0018024C">
            <w:pPr>
              <w:keepNext/>
              <w:spacing w:before="1" w:after="1"/>
              <w:jc w:val="center"/>
              <w:rPr>
                <w:b/>
                <w:sz w:val="20"/>
              </w:rPr>
            </w:pPr>
            <w:r>
              <w:rPr>
                <w:b/>
                <w:sz w:val="20"/>
              </w:rPr>
              <w:t xml:space="preserve">Percentage </w:t>
            </w:r>
          </w:p>
        </w:tc>
        <w:tc>
          <w:tcPr>
            <w:tcW w:w="158" w:type="pct"/>
            <w:tcBorders>
              <w:top w:val="single" w:sz="0" w:space="0" w:color="000000"/>
              <w:left w:val="nil"/>
              <w:bottom w:val="nil"/>
              <w:right w:val="nil"/>
              <w:tl2br w:val="nil"/>
              <w:tr2bl w:val="nil"/>
            </w:tcBorders>
            <w:shd w:val="clear" w:color="auto" w:fill="auto"/>
            <w:vAlign w:val="bottom"/>
          </w:tcPr>
          <w:p w:rsidR="0018024C" w:rsidRDefault="0018024C" w:rsidP="0018024C">
            <w:pPr>
              <w:keepNext/>
              <w:spacing w:before="1" w:after="1"/>
              <w:jc w:val="center"/>
              <w:rPr>
                <w:b/>
                <w:sz w:val="20"/>
              </w:rPr>
            </w:pPr>
          </w:p>
        </w:tc>
        <w:tc>
          <w:tcPr>
            <w:tcW w:w="158" w:type="pct"/>
            <w:tcBorders>
              <w:top w:val="single" w:sz="0" w:space="0" w:color="000000"/>
              <w:left w:val="nil"/>
              <w:bottom w:val="nil"/>
              <w:right w:val="nil"/>
              <w:tl2br w:val="nil"/>
              <w:tr2bl w:val="nil"/>
            </w:tcBorders>
            <w:shd w:val="clear" w:color="auto" w:fill="auto"/>
            <w:vAlign w:val="bottom"/>
          </w:tcPr>
          <w:p w:rsidR="0018024C" w:rsidRDefault="0018024C" w:rsidP="0018024C">
            <w:pPr>
              <w:keepNext/>
              <w:spacing w:before="1" w:after="1"/>
              <w:jc w:val="center"/>
              <w:rPr>
                <w:b/>
                <w:sz w:val="20"/>
              </w:rPr>
            </w:pPr>
          </w:p>
        </w:tc>
        <w:tc>
          <w:tcPr>
            <w:tcW w:w="575" w:type="pct"/>
            <w:tcBorders>
              <w:top w:val="single" w:sz="0" w:space="0" w:color="000000"/>
              <w:left w:val="nil"/>
              <w:bottom w:val="nil"/>
              <w:right w:val="nil"/>
              <w:tl2br w:val="nil"/>
              <w:tr2bl w:val="nil"/>
            </w:tcBorders>
            <w:shd w:val="clear" w:color="auto" w:fill="auto"/>
            <w:vAlign w:val="bottom"/>
          </w:tcPr>
          <w:p w:rsidR="0018024C" w:rsidRDefault="0018024C" w:rsidP="0018024C">
            <w:pPr>
              <w:keepNext/>
              <w:spacing w:before="1" w:after="1"/>
              <w:jc w:val="center"/>
              <w:rPr>
                <w:b/>
                <w:sz w:val="20"/>
              </w:rPr>
            </w:pPr>
          </w:p>
        </w:tc>
        <w:tc>
          <w:tcPr>
            <w:tcW w:w="158" w:type="pct"/>
            <w:tcBorders>
              <w:top w:val="single" w:sz="0" w:space="0" w:color="000000"/>
              <w:left w:val="nil"/>
              <w:bottom w:val="nil"/>
              <w:right w:val="nil"/>
              <w:tl2br w:val="nil"/>
              <w:tr2bl w:val="nil"/>
            </w:tcBorders>
            <w:shd w:val="clear" w:color="auto" w:fill="auto"/>
            <w:vAlign w:val="bottom"/>
          </w:tcPr>
          <w:p w:rsidR="0018024C" w:rsidRDefault="0018024C" w:rsidP="0018024C">
            <w:pPr>
              <w:keepNext/>
              <w:spacing w:before="1" w:after="1"/>
              <w:jc w:val="center"/>
              <w:rPr>
                <w:b/>
                <w:sz w:val="20"/>
              </w:rPr>
            </w:pPr>
          </w:p>
        </w:tc>
        <w:tc>
          <w:tcPr>
            <w:tcW w:w="683" w:type="pct"/>
            <w:tcBorders>
              <w:top w:val="single" w:sz="0" w:space="0" w:color="000000"/>
              <w:left w:val="nil"/>
              <w:bottom w:val="nil"/>
              <w:right w:val="nil"/>
              <w:tl2br w:val="nil"/>
              <w:tr2bl w:val="nil"/>
            </w:tcBorders>
            <w:shd w:val="clear" w:color="auto" w:fill="auto"/>
            <w:vAlign w:val="bottom"/>
          </w:tcPr>
          <w:p w:rsidR="0018024C" w:rsidRDefault="0018024C" w:rsidP="0018024C">
            <w:pPr>
              <w:keepNext/>
              <w:spacing w:before="1" w:after="1"/>
              <w:jc w:val="center"/>
              <w:rPr>
                <w:b/>
                <w:sz w:val="20"/>
              </w:rPr>
            </w:pPr>
            <w:r>
              <w:rPr>
                <w:b/>
                <w:sz w:val="20"/>
              </w:rPr>
              <w:t xml:space="preserve">Percentage </w:t>
            </w:r>
          </w:p>
        </w:tc>
      </w:tr>
      <w:tr w:rsidR="0018024C" w:rsidTr="0018024C">
        <w:trPr>
          <w:trHeight w:hRule="exact" w:val="315"/>
        </w:trPr>
        <w:tc>
          <w:tcPr>
            <w:tcW w:w="1684" w:type="pct"/>
            <w:tcBorders>
              <w:top w:val="nil"/>
              <w:left w:val="nil"/>
              <w:bottom w:val="nil"/>
              <w:right w:val="nil"/>
              <w:tl2br w:val="nil"/>
              <w:tr2bl w:val="nil"/>
            </w:tcBorders>
            <w:shd w:val="clear" w:color="auto" w:fill="auto"/>
            <w:vAlign w:val="bottom"/>
          </w:tcPr>
          <w:p w:rsidR="0018024C" w:rsidRDefault="0018024C" w:rsidP="0018024C">
            <w:pPr>
              <w:keepNext/>
              <w:spacing w:before="1"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sz w:val="20"/>
              </w:rPr>
            </w:pPr>
            <w:r>
              <w:rPr>
                <w:b/>
                <w:sz w:val="20"/>
              </w:rPr>
              <w:t>2019</w:t>
            </w:r>
          </w:p>
        </w:tc>
        <w:tc>
          <w:tcPr>
            <w:tcW w:w="158" w:type="pct"/>
            <w:tcBorders>
              <w:top w:val="nil"/>
              <w:left w:val="nil"/>
              <w:bottom w:val="nil"/>
              <w:right w:val="nil"/>
              <w:tl2br w:val="nil"/>
              <w:tr2bl w:val="nil"/>
            </w:tcBorders>
            <w:shd w:val="clear" w:color="auto" w:fill="auto"/>
            <w:vAlign w:val="bottom"/>
          </w:tcPr>
          <w:p w:rsidR="0018024C" w:rsidRDefault="0018024C" w:rsidP="0018024C">
            <w:pPr>
              <w:keepNext/>
              <w:spacing w:before="1" w:after="1"/>
              <w:jc w:val="center"/>
              <w:rPr>
                <w:b/>
                <w:sz w:val="20"/>
              </w:rPr>
            </w:pPr>
          </w:p>
        </w:tc>
        <w:tc>
          <w:tcPr>
            <w:tcW w:w="692" w:type="pct"/>
            <w:tcBorders>
              <w:top w:val="nil"/>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sz w:val="20"/>
              </w:rPr>
            </w:pPr>
            <w:r>
              <w:rPr>
                <w:b/>
                <w:sz w:val="20"/>
              </w:rPr>
              <w:t>of Revenue*</w:t>
            </w:r>
          </w:p>
        </w:tc>
        <w:tc>
          <w:tcPr>
            <w:tcW w:w="158" w:type="pct"/>
            <w:tcBorders>
              <w:top w:val="nil"/>
              <w:left w:val="nil"/>
              <w:bottom w:val="nil"/>
              <w:right w:val="nil"/>
              <w:tl2br w:val="nil"/>
              <w:tr2bl w:val="nil"/>
            </w:tcBorders>
            <w:shd w:val="clear" w:color="auto" w:fill="auto"/>
            <w:vAlign w:val="bottom"/>
          </w:tcPr>
          <w:p w:rsidR="0018024C" w:rsidRDefault="0018024C" w:rsidP="0018024C">
            <w:pPr>
              <w:keepNext/>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sz w:val="20"/>
              </w:rPr>
            </w:pPr>
            <w:r>
              <w:rPr>
                <w:b/>
                <w:sz w:val="20"/>
              </w:rPr>
              <w:t xml:space="preserve"> 2018</w:t>
            </w:r>
          </w:p>
        </w:tc>
        <w:tc>
          <w:tcPr>
            <w:tcW w:w="158" w:type="pct"/>
            <w:tcBorders>
              <w:top w:val="nil"/>
              <w:left w:val="nil"/>
              <w:bottom w:val="nil"/>
              <w:right w:val="nil"/>
              <w:tl2br w:val="nil"/>
              <w:tr2bl w:val="nil"/>
            </w:tcBorders>
            <w:shd w:val="clear" w:color="auto" w:fill="auto"/>
            <w:vAlign w:val="bottom"/>
          </w:tcPr>
          <w:p w:rsidR="0018024C" w:rsidRDefault="0018024C" w:rsidP="0018024C">
            <w:pPr>
              <w:keepNext/>
              <w:spacing w:before="1" w:after="1"/>
              <w:jc w:val="center"/>
              <w:rPr>
                <w:b/>
                <w:sz w:val="20"/>
              </w:rPr>
            </w:pPr>
          </w:p>
        </w:tc>
        <w:tc>
          <w:tcPr>
            <w:tcW w:w="683" w:type="pct"/>
            <w:tcBorders>
              <w:top w:val="nil"/>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sz w:val="20"/>
              </w:rPr>
            </w:pPr>
            <w:r>
              <w:rPr>
                <w:b/>
                <w:sz w:val="20"/>
              </w:rPr>
              <w:t>of Revenue*</w:t>
            </w:r>
          </w:p>
        </w:tc>
      </w:tr>
      <w:tr w:rsidR="0018024C" w:rsidTr="0018024C">
        <w:trPr>
          <w:trHeight w:hRule="exact" w:val="255"/>
        </w:trPr>
        <w:tc>
          <w:tcPr>
            <w:tcW w:w="168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r>
              <w:rPr>
                <w:sz w:val="20"/>
              </w:rPr>
              <w:t>Gross profit, as reported</w:t>
            </w:r>
          </w:p>
        </w:tc>
        <w:tc>
          <w:tcPr>
            <w:tcW w:w="158"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b/>
                <w:sz w:val="20"/>
              </w:rPr>
            </w:pPr>
            <w:r>
              <w:rPr>
                <w:b/>
                <w:sz w:val="20"/>
              </w:rPr>
              <w:t>$</w:t>
            </w:r>
          </w:p>
        </w:tc>
        <w:tc>
          <w:tcPr>
            <w:tcW w:w="575"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ind w:right="63"/>
              <w:jc w:val="right"/>
              <w:rPr>
                <w:b/>
                <w:sz w:val="20"/>
              </w:rPr>
            </w:pPr>
            <w:r>
              <w:rPr>
                <w:b/>
                <w:sz w:val="20"/>
              </w:rPr>
              <w:t xml:space="preserve"> 653</w:t>
            </w:r>
          </w:p>
        </w:tc>
        <w:tc>
          <w:tcPr>
            <w:tcW w:w="15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sz w:val="20"/>
              </w:rPr>
            </w:pPr>
          </w:p>
        </w:tc>
        <w:tc>
          <w:tcPr>
            <w:tcW w:w="692"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ind w:right="63"/>
              <w:jc w:val="right"/>
              <w:rPr>
                <w:b/>
                <w:sz w:val="20"/>
              </w:rPr>
            </w:pPr>
            <w:r>
              <w:rPr>
                <w:b/>
                <w:sz w:val="20"/>
              </w:rPr>
              <w:t>17.8%</w:t>
            </w:r>
          </w:p>
        </w:tc>
        <w:tc>
          <w:tcPr>
            <w:tcW w:w="15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sz w:val="20"/>
              </w:rPr>
            </w:pPr>
          </w:p>
        </w:tc>
        <w:tc>
          <w:tcPr>
            <w:tcW w:w="158"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sz w:val="20"/>
              </w:rPr>
            </w:pPr>
            <w:r>
              <w:rPr>
                <w:sz w:val="20"/>
              </w:rPr>
              <w:t>$</w:t>
            </w:r>
          </w:p>
        </w:tc>
        <w:tc>
          <w:tcPr>
            <w:tcW w:w="575"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 xml:space="preserve"> 689</w:t>
            </w:r>
          </w:p>
        </w:tc>
        <w:tc>
          <w:tcPr>
            <w:tcW w:w="15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683"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16.5%</w:t>
            </w:r>
          </w:p>
        </w:tc>
      </w:tr>
      <w:tr w:rsidR="0018024C" w:rsidTr="0018024C">
        <w:trPr>
          <w:trHeight w:hRule="exact" w:val="255"/>
        </w:trPr>
        <w:tc>
          <w:tcPr>
            <w:tcW w:w="1684" w:type="pct"/>
            <w:tcBorders>
              <w:top w:val="nil"/>
              <w:left w:val="nil"/>
              <w:bottom w:val="nil"/>
              <w:right w:val="nil"/>
              <w:tl2br w:val="nil"/>
              <w:tr2bl w:val="nil"/>
            </w:tcBorders>
            <w:vAlign w:val="bottom"/>
          </w:tcPr>
          <w:p w:rsidR="0018024C" w:rsidRDefault="0018024C" w:rsidP="0018024C">
            <w:pPr>
              <w:keepNext/>
              <w:spacing w:before="1" w:after="1"/>
              <w:rPr>
                <w:sz w:val="20"/>
              </w:rPr>
            </w:pPr>
            <w:r>
              <w:rPr>
                <w:sz w:val="20"/>
              </w:rPr>
              <w:t>Depreciation and amortization</w:t>
            </w:r>
          </w:p>
        </w:tc>
        <w:tc>
          <w:tcPr>
            <w:tcW w:w="158" w:type="pct"/>
            <w:tcBorders>
              <w:top w:val="nil"/>
              <w:left w:val="nil"/>
              <w:bottom w:val="nil"/>
              <w:right w:val="nil"/>
              <w:tl2br w:val="nil"/>
              <w:tr2bl w:val="nil"/>
            </w:tcBorders>
            <w:vAlign w:val="bottom"/>
          </w:tcPr>
          <w:p w:rsidR="0018024C" w:rsidRDefault="0018024C" w:rsidP="0018024C">
            <w:pPr>
              <w:keepNext/>
              <w:spacing w:before="1" w:after="1"/>
              <w:rPr>
                <w:b/>
                <w:sz w:val="20"/>
              </w:rPr>
            </w:pPr>
          </w:p>
        </w:tc>
        <w:tc>
          <w:tcPr>
            <w:tcW w:w="575" w:type="pct"/>
            <w:tcBorders>
              <w:top w:val="nil"/>
              <w:left w:val="nil"/>
              <w:bottom w:val="nil"/>
              <w:right w:val="nil"/>
              <w:tl2br w:val="nil"/>
              <w:tr2bl w:val="nil"/>
            </w:tcBorders>
            <w:vAlign w:val="bottom"/>
          </w:tcPr>
          <w:p w:rsidR="0018024C" w:rsidRDefault="0018024C" w:rsidP="0018024C">
            <w:pPr>
              <w:keepNext/>
              <w:spacing w:before="1" w:after="1"/>
              <w:ind w:right="63"/>
              <w:jc w:val="right"/>
              <w:rPr>
                <w:b/>
                <w:sz w:val="20"/>
              </w:rPr>
            </w:pPr>
            <w:r>
              <w:rPr>
                <w:b/>
                <w:sz w:val="20"/>
              </w:rPr>
              <w:t xml:space="preserve"> 21</w:t>
            </w:r>
          </w:p>
        </w:tc>
        <w:tc>
          <w:tcPr>
            <w:tcW w:w="158" w:type="pct"/>
            <w:tcBorders>
              <w:top w:val="nil"/>
              <w:left w:val="nil"/>
              <w:bottom w:val="nil"/>
              <w:right w:val="nil"/>
              <w:tl2br w:val="nil"/>
              <w:tr2bl w:val="nil"/>
            </w:tcBorders>
            <w:vAlign w:val="bottom"/>
          </w:tcPr>
          <w:p w:rsidR="0018024C" w:rsidRDefault="0018024C" w:rsidP="0018024C">
            <w:pPr>
              <w:keepNext/>
              <w:spacing w:before="1" w:after="1"/>
              <w:rPr>
                <w:b/>
                <w:sz w:val="20"/>
              </w:rPr>
            </w:pPr>
          </w:p>
        </w:tc>
        <w:tc>
          <w:tcPr>
            <w:tcW w:w="692" w:type="pct"/>
            <w:tcBorders>
              <w:top w:val="nil"/>
              <w:left w:val="nil"/>
              <w:bottom w:val="nil"/>
              <w:right w:val="nil"/>
              <w:tl2br w:val="nil"/>
              <w:tr2bl w:val="nil"/>
            </w:tcBorders>
            <w:vAlign w:val="bottom"/>
          </w:tcPr>
          <w:p w:rsidR="0018024C" w:rsidRDefault="0018024C" w:rsidP="0018024C">
            <w:pPr>
              <w:keepNext/>
              <w:spacing w:before="1" w:after="1"/>
              <w:ind w:right="63"/>
              <w:jc w:val="right"/>
              <w:rPr>
                <w:b/>
                <w:sz w:val="20"/>
              </w:rPr>
            </w:pPr>
            <w:r>
              <w:rPr>
                <w:b/>
                <w:sz w:val="20"/>
              </w:rPr>
              <w:t>0.6%</w:t>
            </w:r>
          </w:p>
        </w:tc>
        <w:tc>
          <w:tcPr>
            <w:tcW w:w="158" w:type="pct"/>
            <w:tcBorders>
              <w:top w:val="nil"/>
              <w:left w:val="nil"/>
              <w:bottom w:val="nil"/>
              <w:right w:val="nil"/>
              <w:tl2br w:val="nil"/>
              <w:tr2bl w:val="nil"/>
            </w:tcBorders>
            <w:vAlign w:val="bottom"/>
          </w:tcPr>
          <w:p w:rsidR="0018024C" w:rsidRDefault="0018024C" w:rsidP="0018024C">
            <w:pPr>
              <w:keepNext/>
              <w:spacing w:before="1" w:after="1"/>
              <w:rPr>
                <w:b/>
                <w:sz w:val="20"/>
              </w:rPr>
            </w:pPr>
          </w:p>
        </w:tc>
        <w:tc>
          <w:tcPr>
            <w:tcW w:w="158"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575" w:type="pct"/>
            <w:tcBorders>
              <w:top w:val="nil"/>
              <w:left w:val="nil"/>
              <w:bottom w:val="nil"/>
              <w:right w:val="nil"/>
              <w:tl2br w:val="nil"/>
              <w:tr2bl w:val="nil"/>
            </w:tcBorders>
            <w:vAlign w:val="bottom"/>
          </w:tcPr>
          <w:p w:rsidR="0018024C" w:rsidRDefault="0018024C" w:rsidP="0018024C">
            <w:pPr>
              <w:keepNext/>
              <w:spacing w:before="1" w:after="1"/>
              <w:ind w:right="65"/>
              <w:jc w:val="right"/>
              <w:rPr>
                <w:sz w:val="20"/>
              </w:rPr>
            </w:pPr>
            <w:r>
              <w:rPr>
                <w:sz w:val="20"/>
              </w:rPr>
              <w:t xml:space="preserve"> 23</w:t>
            </w:r>
          </w:p>
        </w:tc>
        <w:tc>
          <w:tcPr>
            <w:tcW w:w="158"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683" w:type="pct"/>
            <w:tcBorders>
              <w:top w:val="nil"/>
              <w:left w:val="nil"/>
              <w:bottom w:val="nil"/>
              <w:right w:val="nil"/>
              <w:tl2br w:val="nil"/>
              <w:tr2bl w:val="nil"/>
            </w:tcBorders>
            <w:vAlign w:val="bottom"/>
          </w:tcPr>
          <w:p w:rsidR="0018024C" w:rsidRDefault="0018024C" w:rsidP="0018024C">
            <w:pPr>
              <w:keepNext/>
              <w:spacing w:before="1" w:after="1"/>
              <w:ind w:right="65"/>
              <w:jc w:val="right"/>
              <w:rPr>
                <w:sz w:val="20"/>
              </w:rPr>
            </w:pPr>
            <w:r>
              <w:rPr>
                <w:sz w:val="20"/>
              </w:rPr>
              <w:t>0.6%</w:t>
            </w:r>
          </w:p>
        </w:tc>
      </w:tr>
      <w:tr w:rsidR="0018024C" w:rsidTr="0018024C">
        <w:trPr>
          <w:trHeight w:hRule="exact" w:val="300"/>
        </w:trPr>
        <w:tc>
          <w:tcPr>
            <w:tcW w:w="168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r>
              <w:rPr>
                <w:sz w:val="20"/>
              </w:rPr>
              <w:t>Amortization of intangibles</w:t>
            </w:r>
          </w:p>
        </w:tc>
        <w:tc>
          <w:tcPr>
            <w:tcW w:w="15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sz w:val="20"/>
              </w:rPr>
            </w:pPr>
          </w:p>
        </w:tc>
        <w:tc>
          <w:tcPr>
            <w:tcW w:w="57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3"/>
              <w:jc w:val="right"/>
              <w:rPr>
                <w:b/>
                <w:sz w:val="20"/>
              </w:rPr>
            </w:pPr>
            <w:r>
              <w:rPr>
                <w:b/>
                <w:sz w:val="20"/>
              </w:rPr>
              <w:t xml:space="preserve"> 42</w:t>
            </w:r>
          </w:p>
        </w:tc>
        <w:tc>
          <w:tcPr>
            <w:tcW w:w="15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sz w:val="20"/>
              </w:rPr>
            </w:pPr>
          </w:p>
        </w:tc>
        <w:tc>
          <w:tcPr>
            <w:tcW w:w="692"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3"/>
              <w:jc w:val="right"/>
              <w:rPr>
                <w:b/>
                <w:sz w:val="20"/>
              </w:rPr>
            </w:pPr>
            <w:r>
              <w:rPr>
                <w:b/>
                <w:sz w:val="20"/>
              </w:rPr>
              <w:t>1.1%</w:t>
            </w:r>
          </w:p>
        </w:tc>
        <w:tc>
          <w:tcPr>
            <w:tcW w:w="15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sz w:val="20"/>
              </w:rPr>
            </w:pPr>
          </w:p>
        </w:tc>
        <w:tc>
          <w:tcPr>
            <w:tcW w:w="15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57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 xml:space="preserve"> 45</w:t>
            </w:r>
          </w:p>
        </w:tc>
        <w:tc>
          <w:tcPr>
            <w:tcW w:w="15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683"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1.1%</w:t>
            </w:r>
          </w:p>
        </w:tc>
      </w:tr>
      <w:tr w:rsidR="0018024C" w:rsidTr="0018024C">
        <w:trPr>
          <w:trHeight w:hRule="exact" w:val="255"/>
        </w:trPr>
        <w:tc>
          <w:tcPr>
            <w:tcW w:w="1684" w:type="pct"/>
            <w:tcBorders>
              <w:top w:val="nil"/>
              <w:left w:val="nil"/>
              <w:bottom w:val="nil"/>
              <w:right w:val="nil"/>
              <w:tl2br w:val="nil"/>
              <w:tr2bl w:val="nil"/>
            </w:tcBorders>
            <w:vAlign w:val="bottom"/>
          </w:tcPr>
          <w:p w:rsidR="0018024C" w:rsidRDefault="0018024C" w:rsidP="0018024C">
            <w:pPr>
              <w:keepNext/>
              <w:spacing w:before="1" w:after="1"/>
              <w:rPr>
                <w:sz w:val="20"/>
              </w:rPr>
            </w:pPr>
            <w:r>
              <w:rPr>
                <w:sz w:val="20"/>
              </w:rPr>
              <w:t>(Decrease) increase in LIFO reserve</w:t>
            </w:r>
          </w:p>
        </w:tc>
        <w:tc>
          <w:tcPr>
            <w:tcW w:w="158" w:type="pct"/>
            <w:tcBorders>
              <w:top w:val="nil"/>
              <w:left w:val="nil"/>
              <w:bottom w:val="single" w:sz="12" w:space="0" w:color="000000"/>
              <w:right w:val="nil"/>
              <w:tl2br w:val="nil"/>
              <w:tr2bl w:val="nil"/>
            </w:tcBorders>
            <w:vAlign w:val="bottom"/>
          </w:tcPr>
          <w:p w:rsidR="0018024C" w:rsidRDefault="0018024C" w:rsidP="0018024C">
            <w:pPr>
              <w:keepNext/>
              <w:spacing w:before="1" w:after="1"/>
              <w:rPr>
                <w:b/>
                <w:sz w:val="20"/>
              </w:rPr>
            </w:pPr>
          </w:p>
        </w:tc>
        <w:tc>
          <w:tcPr>
            <w:tcW w:w="575" w:type="pct"/>
            <w:tcBorders>
              <w:top w:val="nil"/>
              <w:left w:val="nil"/>
              <w:bottom w:val="single" w:sz="12" w:space="0" w:color="000000"/>
              <w:right w:val="nil"/>
              <w:tl2br w:val="nil"/>
              <w:tr2bl w:val="nil"/>
            </w:tcBorders>
            <w:vAlign w:val="bottom"/>
          </w:tcPr>
          <w:p w:rsidR="0018024C" w:rsidRDefault="0018024C" w:rsidP="0018024C">
            <w:pPr>
              <w:keepNext/>
              <w:spacing w:before="1" w:after="1"/>
              <w:jc w:val="right"/>
              <w:rPr>
                <w:b/>
                <w:sz w:val="20"/>
              </w:rPr>
            </w:pPr>
            <w:r>
              <w:rPr>
                <w:b/>
                <w:sz w:val="20"/>
              </w:rPr>
              <w:t xml:space="preserve"> (2)</w:t>
            </w:r>
          </w:p>
        </w:tc>
        <w:tc>
          <w:tcPr>
            <w:tcW w:w="158" w:type="pct"/>
            <w:tcBorders>
              <w:top w:val="nil"/>
              <w:left w:val="nil"/>
              <w:bottom w:val="nil"/>
              <w:right w:val="nil"/>
              <w:tl2br w:val="nil"/>
              <w:tr2bl w:val="nil"/>
            </w:tcBorders>
            <w:vAlign w:val="bottom"/>
          </w:tcPr>
          <w:p w:rsidR="0018024C" w:rsidRDefault="0018024C" w:rsidP="0018024C">
            <w:pPr>
              <w:keepNext/>
              <w:spacing w:before="1" w:after="1"/>
              <w:rPr>
                <w:b/>
                <w:sz w:val="20"/>
              </w:rPr>
            </w:pPr>
          </w:p>
        </w:tc>
        <w:tc>
          <w:tcPr>
            <w:tcW w:w="692" w:type="pct"/>
            <w:tcBorders>
              <w:top w:val="nil"/>
              <w:left w:val="nil"/>
              <w:bottom w:val="single" w:sz="12" w:space="0" w:color="000000"/>
              <w:right w:val="nil"/>
              <w:tl2br w:val="nil"/>
              <w:tr2bl w:val="nil"/>
            </w:tcBorders>
            <w:vAlign w:val="bottom"/>
          </w:tcPr>
          <w:p w:rsidR="0018024C" w:rsidRDefault="0018024C" w:rsidP="0018024C">
            <w:pPr>
              <w:keepNext/>
              <w:spacing w:before="1" w:after="1"/>
              <w:jc w:val="right"/>
              <w:rPr>
                <w:b/>
                <w:sz w:val="20"/>
              </w:rPr>
            </w:pPr>
            <w:r>
              <w:rPr>
                <w:b/>
                <w:sz w:val="20"/>
              </w:rPr>
              <w:t>(0.1%)</w:t>
            </w:r>
          </w:p>
        </w:tc>
        <w:tc>
          <w:tcPr>
            <w:tcW w:w="158" w:type="pct"/>
            <w:tcBorders>
              <w:top w:val="nil"/>
              <w:left w:val="nil"/>
              <w:bottom w:val="nil"/>
              <w:right w:val="nil"/>
              <w:tl2br w:val="nil"/>
              <w:tr2bl w:val="nil"/>
            </w:tcBorders>
            <w:vAlign w:val="bottom"/>
          </w:tcPr>
          <w:p w:rsidR="0018024C" w:rsidRDefault="0018024C" w:rsidP="0018024C">
            <w:pPr>
              <w:keepNext/>
              <w:spacing w:before="1" w:after="1"/>
              <w:rPr>
                <w:b/>
                <w:sz w:val="20"/>
              </w:rPr>
            </w:pPr>
          </w:p>
        </w:tc>
        <w:tc>
          <w:tcPr>
            <w:tcW w:w="158" w:type="pct"/>
            <w:tcBorders>
              <w:top w:val="nil"/>
              <w:left w:val="nil"/>
              <w:bottom w:val="single" w:sz="12" w:space="0" w:color="000000"/>
              <w:right w:val="nil"/>
              <w:tl2br w:val="nil"/>
              <w:tr2bl w:val="nil"/>
            </w:tcBorders>
            <w:vAlign w:val="bottom"/>
          </w:tcPr>
          <w:p w:rsidR="0018024C" w:rsidRDefault="0018024C" w:rsidP="0018024C">
            <w:pPr>
              <w:keepNext/>
              <w:spacing w:before="1" w:after="1"/>
              <w:rPr>
                <w:sz w:val="20"/>
              </w:rPr>
            </w:pPr>
          </w:p>
        </w:tc>
        <w:tc>
          <w:tcPr>
            <w:tcW w:w="575" w:type="pct"/>
            <w:tcBorders>
              <w:top w:val="nil"/>
              <w:left w:val="nil"/>
              <w:bottom w:val="single" w:sz="12" w:space="0" w:color="000000"/>
              <w:right w:val="nil"/>
              <w:tl2br w:val="nil"/>
              <w:tr2bl w:val="nil"/>
            </w:tcBorders>
            <w:vAlign w:val="bottom"/>
          </w:tcPr>
          <w:p w:rsidR="0018024C" w:rsidRDefault="0018024C" w:rsidP="0018024C">
            <w:pPr>
              <w:keepNext/>
              <w:spacing w:before="1" w:after="1"/>
              <w:ind w:right="65"/>
              <w:jc w:val="right"/>
              <w:rPr>
                <w:sz w:val="20"/>
              </w:rPr>
            </w:pPr>
            <w:r>
              <w:rPr>
                <w:sz w:val="20"/>
              </w:rPr>
              <w:t xml:space="preserve"> 62</w:t>
            </w:r>
          </w:p>
        </w:tc>
        <w:tc>
          <w:tcPr>
            <w:tcW w:w="158"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683" w:type="pct"/>
            <w:tcBorders>
              <w:top w:val="nil"/>
              <w:left w:val="nil"/>
              <w:bottom w:val="single" w:sz="12" w:space="0" w:color="000000"/>
              <w:right w:val="nil"/>
              <w:tl2br w:val="nil"/>
              <w:tr2bl w:val="nil"/>
            </w:tcBorders>
            <w:vAlign w:val="bottom"/>
          </w:tcPr>
          <w:p w:rsidR="0018024C" w:rsidRDefault="0018024C" w:rsidP="0018024C">
            <w:pPr>
              <w:keepNext/>
              <w:spacing w:before="1" w:after="1"/>
              <w:ind w:right="65"/>
              <w:jc w:val="right"/>
              <w:rPr>
                <w:sz w:val="20"/>
              </w:rPr>
            </w:pPr>
            <w:r>
              <w:rPr>
                <w:sz w:val="20"/>
              </w:rPr>
              <w:t>1.5%</w:t>
            </w:r>
          </w:p>
        </w:tc>
      </w:tr>
      <w:tr w:rsidR="0018024C" w:rsidTr="0018024C">
        <w:trPr>
          <w:trHeight w:hRule="exact" w:val="255"/>
        </w:trPr>
        <w:tc>
          <w:tcPr>
            <w:tcW w:w="1684"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r>
              <w:rPr>
                <w:sz w:val="20"/>
              </w:rPr>
              <w:t>Adjusted Gross Profit</w:t>
            </w:r>
          </w:p>
        </w:tc>
        <w:tc>
          <w:tcPr>
            <w:tcW w:w="158"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rPr>
                <w:b/>
                <w:sz w:val="20"/>
              </w:rPr>
            </w:pPr>
            <w:r>
              <w:rPr>
                <w:b/>
                <w:sz w:val="20"/>
              </w:rPr>
              <w:t>$</w:t>
            </w:r>
          </w:p>
        </w:tc>
        <w:tc>
          <w:tcPr>
            <w:tcW w:w="575"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ind w:right="63"/>
              <w:jc w:val="right"/>
              <w:rPr>
                <w:b/>
                <w:sz w:val="20"/>
              </w:rPr>
            </w:pPr>
            <w:r>
              <w:rPr>
                <w:b/>
                <w:sz w:val="20"/>
              </w:rPr>
              <w:t xml:space="preserve"> 714</w:t>
            </w:r>
          </w:p>
        </w:tc>
        <w:tc>
          <w:tcPr>
            <w:tcW w:w="15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sz w:val="20"/>
              </w:rPr>
            </w:pPr>
          </w:p>
        </w:tc>
        <w:tc>
          <w:tcPr>
            <w:tcW w:w="692"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ind w:right="63"/>
              <w:jc w:val="right"/>
              <w:rPr>
                <w:b/>
                <w:sz w:val="20"/>
              </w:rPr>
            </w:pPr>
            <w:r>
              <w:rPr>
                <w:b/>
                <w:sz w:val="20"/>
              </w:rPr>
              <w:t>19.5%</w:t>
            </w:r>
          </w:p>
        </w:tc>
        <w:tc>
          <w:tcPr>
            <w:tcW w:w="15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sz w:val="20"/>
              </w:rPr>
            </w:pPr>
          </w:p>
        </w:tc>
        <w:tc>
          <w:tcPr>
            <w:tcW w:w="158"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rPr>
                <w:sz w:val="20"/>
              </w:rPr>
            </w:pPr>
            <w:r>
              <w:rPr>
                <w:sz w:val="20"/>
              </w:rPr>
              <w:t>$</w:t>
            </w:r>
          </w:p>
        </w:tc>
        <w:tc>
          <w:tcPr>
            <w:tcW w:w="575"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 xml:space="preserve"> 819</w:t>
            </w:r>
          </w:p>
        </w:tc>
        <w:tc>
          <w:tcPr>
            <w:tcW w:w="158"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683"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19.6%</w:t>
            </w:r>
          </w:p>
        </w:tc>
      </w:tr>
      <w:tr w:rsidR="0018024C" w:rsidTr="0018024C">
        <w:trPr>
          <w:trHeight w:hRule="exact" w:val="255"/>
        </w:trPr>
        <w:tc>
          <w:tcPr>
            <w:tcW w:w="1684" w:type="pct"/>
            <w:tcBorders>
              <w:top w:val="nil"/>
              <w:left w:val="nil"/>
              <w:bottom w:val="nil"/>
              <w:right w:val="nil"/>
              <w:tl2br w:val="nil"/>
              <w:tr2bl w:val="nil"/>
            </w:tcBorders>
            <w:vAlign w:val="bottom"/>
          </w:tcPr>
          <w:p w:rsidR="0018024C" w:rsidRDefault="0018024C" w:rsidP="0018024C">
            <w:pPr>
              <w:keepNext/>
              <w:spacing w:before="1" w:after="1"/>
              <w:ind w:left="120"/>
              <w:rPr>
                <w:i/>
                <w:sz w:val="20"/>
              </w:rPr>
            </w:pPr>
            <w:r>
              <w:rPr>
                <w:i/>
                <w:sz w:val="20"/>
              </w:rPr>
              <w:t>*Does not foot due to rounding</w:t>
            </w:r>
          </w:p>
        </w:tc>
        <w:tc>
          <w:tcPr>
            <w:tcW w:w="158" w:type="pct"/>
            <w:tcBorders>
              <w:top w:val="double" w:sz="0" w:space="0" w:color="000000"/>
              <w:left w:val="nil"/>
              <w:bottom w:val="nil"/>
              <w:right w:val="nil"/>
              <w:tl2br w:val="nil"/>
              <w:tr2bl w:val="nil"/>
            </w:tcBorders>
            <w:vAlign w:val="bottom"/>
          </w:tcPr>
          <w:p w:rsidR="0018024C" w:rsidRDefault="0018024C" w:rsidP="0018024C">
            <w:pPr>
              <w:keepNext/>
              <w:spacing w:before="1" w:after="1"/>
              <w:rPr>
                <w:sz w:val="20"/>
              </w:rPr>
            </w:pPr>
          </w:p>
        </w:tc>
        <w:tc>
          <w:tcPr>
            <w:tcW w:w="575" w:type="pct"/>
            <w:tcBorders>
              <w:top w:val="double" w:sz="0" w:space="0" w:color="000000"/>
              <w:left w:val="nil"/>
              <w:bottom w:val="nil"/>
              <w:right w:val="nil"/>
              <w:tl2br w:val="nil"/>
              <w:tr2bl w:val="nil"/>
            </w:tcBorders>
            <w:vAlign w:val="bottom"/>
          </w:tcPr>
          <w:p w:rsidR="0018024C" w:rsidRDefault="0018024C" w:rsidP="0018024C">
            <w:pPr>
              <w:keepNext/>
              <w:spacing w:before="1" w:after="1"/>
              <w:rPr>
                <w:sz w:val="20"/>
              </w:rPr>
            </w:pPr>
          </w:p>
        </w:tc>
        <w:tc>
          <w:tcPr>
            <w:tcW w:w="158"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692" w:type="pct"/>
            <w:tcBorders>
              <w:top w:val="double" w:sz="0" w:space="0" w:color="000000"/>
              <w:left w:val="nil"/>
              <w:bottom w:val="nil"/>
              <w:right w:val="nil"/>
              <w:tl2br w:val="nil"/>
              <w:tr2bl w:val="nil"/>
            </w:tcBorders>
            <w:vAlign w:val="bottom"/>
          </w:tcPr>
          <w:p w:rsidR="0018024C" w:rsidRDefault="0018024C" w:rsidP="0018024C">
            <w:pPr>
              <w:keepNext/>
              <w:spacing w:before="1" w:after="1"/>
              <w:rPr>
                <w:sz w:val="20"/>
              </w:rPr>
            </w:pPr>
          </w:p>
        </w:tc>
        <w:tc>
          <w:tcPr>
            <w:tcW w:w="158"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158" w:type="pct"/>
            <w:tcBorders>
              <w:top w:val="double" w:sz="0" w:space="0" w:color="000000"/>
              <w:left w:val="nil"/>
              <w:bottom w:val="nil"/>
              <w:right w:val="nil"/>
              <w:tl2br w:val="nil"/>
              <w:tr2bl w:val="nil"/>
            </w:tcBorders>
            <w:vAlign w:val="bottom"/>
          </w:tcPr>
          <w:p w:rsidR="0018024C" w:rsidRDefault="0018024C" w:rsidP="0018024C">
            <w:pPr>
              <w:keepNext/>
              <w:spacing w:before="1" w:after="1"/>
              <w:rPr>
                <w:sz w:val="20"/>
              </w:rPr>
            </w:pPr>
          </w:p>
        </w:tc>
        <w:tc>
          <w:tcPr>
            <w:tcW w:w="575" w:type="pct"/>
            <w:tcBorders>
              <w:top w:val="double" w:sz="0" w:space="0" w:color="000000"/>
              <w:left w:val="nil"/>
              <w:bottom w:val="nil"/>
              <w:right w:val="nil"/>
              <w:tl2br w:val="nil"/>
              <w:tr2bl w:val="nil"/>
            </w:tcBorders>
            <w:vAlign w:val="bottom"/>
          </w:tcPr>
          <w:p w:rsidR="0018024C" w:rsidRDefault="0018024C" w:rsidP="0018024C">
            <w:pPr>
              <w:keepNext/>
              <w:spacing w:before="1" w:after="1"/>
              <w:rPr>
                <w:sz w:val="20"/>
              </w:rPr>
            </w:pPr>
          </w:p>
        </w:tc>
        <w:tc>
          <w:tcPr>
            <w:tcW w:w="158"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683" w:type="pct"/>
            <w:tcBorders>
              <w:top w:val="double" w:sz="0" w:space="0" w:color="000000"/>
              <w:left w:val="nil"/>
              <w:bottom w:val="nil"/>
              <w:right w:val="nil"/>
              <w:tl2br w:val="nil"/>
              <w:tr2bl w:val="nil"/>
            </w:tcBorders>
            <w:vAlign w:val="bottom"/>
          </w:tcPr>
          <w:p w:rsidR="0018024C" w:rsidRDefault="0018024C" w:rsidP="0018024C">
            <w:pPr>
              <w:keepNext/>
              <w:spacing w:before="1" w:after="1"/>
              <w:rPr>
                <w:sz w:val="20"/>
              </w:rPr>
            </w:pPr>
          </w:p>
        </w:tc>
      </w:tr>
    </w:tbl>
    <w:p w:rsidR="000121CD" w:rsidRDefault="000121CD">
      <w:pPr>
        <w:pStyle w:val="NormalWeb"/>
        <w:spacing w:before="0" w:beforeAutospacing="0" w:after="0" w:afterAutospacing="0"/>
        <w:rPr>
          <w:b/>
          <w:bCs/>
          <w:i/>
          <w:iCs/>
          <w:sz w:val="20"/>
          <w:szCs w:val="20"/>
        </w:rPr>
      </w:pPr>
    </w:p>
    <w:p w:rsidR="00FF2DD8" w:rsidRPr="00FF2DD8" w:rsidRDefault="00590862" w:rsidP="00FF2DD8">
      <w:pPr>
        <w:rPr>
          <w:sz w:val="20"/>
        </w:rPr>
      </w:pPr>
      <w:r>
        <w:rPr>
          <w:b/>
          <w:bCs/>
          <w:i/>
          <w:iCs/>
          <w:sz w:val="20"/>
        </w:rPr>
        <w:t>Selling, General and Administrative (“SG&amp;A”) Expenses</w:t>
      </w:r>
      <w:r>
        <w:rPr>
          <w:i/>
          <w:iCs/>
          <w:sz w:val="20"/>
        </w:rPr>
        <w:t>.</w:t>
      </w:r>
      <w:r>
        <w:rPr>
          <w:sz w:val="20"/>
        </w:rPr>
        <w:t> Costs such as salaries, wages, employee benefits, rent, utilities, communications, insurance, fuel and taxes (other than state and federal income taxes) that are necessary to operate our branch and corporate operations are included in SG&amp;A. Also contained in this category are certain items that are non-operational in nature, including certain costs of acquiring and integrating other businesses. Our SG&amp;A expenses were $</w:t>
      </w:r>
      <w:r w:rsidR="002C1865">
        <w:rPr>
          <w:sz w:val="20"/>
        </w:rPr>
        <w:t>550</w:t>
      </w:r>
      <w:r>
        <w:rPr>
          <w:sz w:val="20"/>
        </w:rPr>
        <w:t> million (</w:t>
      </w:r>
      <w:r w:rsidR="002C1865">
        <w:rPr>
          <w:sz w:val="20"/>
        </w:rPr>
        <w:t>15.0%</w:t>
      </w:r>
      <w:r>
        <w:rPr>
          <w:sz w:val="20"/>
        </w:rPr>
        <w:t xml:space="preserve"> of sales) for the year ended </w:t>
      </w:r>
      <w:r w:rsidR="003627E3" w:rsidRPr="003A4344">
        <w:rPr>
          <w:sz w:val="20"/>
        </w:rPr>
        <w:t>December 31, 2019</w:t>
      </w:r>
      <w:r>
        <w:rPr>
          <w:sz w:val="20"/>
        </w:rPr>
        <w:t xml:space="preserve"> as compared to $</w:t>
      </w:r>
      <w:r w:rsidR="003627E3" w:rsidRPr="003A4344">
        <w:rPr>
          <w:sz w:val="20"/>
        </w:rPr>
        <w:t>562</w:t>
      </w:r>
      <w:r>
        <w:rPr>
          <w:sz w:val="20"/>
        </w:rPr>
        <w:t xml:space="preserve"> million (</w:t>
      </w:r>
      <w:r w:rsidR="003627E3" w:rsidRPr="003A4344">
        <w:rPr>
          <w:sz w:val="20"/>
        </w:rPr>
        <w:t>13.5%</w:t>
      </w:r>
      <w:r>
        <w:rPr>
          <w:sz w:val="20"/>
        </w:rPr>
        <w:t xml:space="preserve"> of sales) for the year ended </w:t>
      </w:r>
      <w:r w:rsidR="003627E3" w:rsidRPr="003A4344">
        <w:rPr>
          <w:sz w:val="20"/>
        </w:rPr>
        <w:t>December 31, 2018</w:t>
      </w:r>
      <w:r>
        <w:rPr>
          <w:sz w:val="20"/>
        </w:rPr>
        <w:t xml:space="preserve">. </w:t>
      </w:r>
      <w:r w:rsidR="00F25F9C">
        <w:rPr>
          <w:sz w:val="20"/>
        </w:rPr>
        <w:t>SG&amp;A for 2019 and 2018 included $9 million and $4 million</w:t>
      </w:r>
      <w:r w:rsidR="00FF2DD8">
        <w:rPr>
          <w:sz w:val="20"/>
        </w:rPr>
        <w:t>, respectively,</w:t>
      </w:r>
      <w:r w:rsidR="00F25F9C">
        <w:rPr>
          <w:sz w:val="20"/>
        </w:rPr>
        <w:t xml:space="preserve"> of severance and restructuring charges from cost reduction efforts.  </w:t>
      </w:r>
      <w:r w:rsidR="00FF2DD8">
        <w:rPr>
          <w:sz w:val="20"/>
        </w:rPr>
        <w:t xml:space="preserve">SG&amp;A for 2019 also included a $5 million </w:t>
      </w:r>
      <w:r w:rsidR="00CD5277">
        <w:rPr>
          <w:sz w:val="20"/>
        </w:rPr>
        <w:t xml:space="preserve">charge associated with </w:t>
      </w:r>
      <w:r w:rsidR="004067D9">
        <w:rPr>
          <w:sz w:val="20"/>
        </w:rPr>
        <w:t>the doubtful collection of</w:t>
      </w:r>
      <w:r w:rsidR="00780609">
        <w:rPr>
          <w:sz w:val="20"/>
        </w:rPr>
        <w:t xml:space="preserve"> a pro</w:t>
      </w:r>
      <w:r w:rsidR="004067D9">
        <w:rPr>
          <w:sz w:val="20"/>
        </w:rPr>
        <w:t xml:space="preserve">duct </w:t>
      </w:r>
      <w:r w:rsidR="00780609">
        <w:rPr>
          <w:sz w:val="20"/>
        </w:rPr>
        <w:t>claim</w:t>
      </w:r>
      <w:r w:rsidR="004067D9">
        <w:rPr>
          <w:sz w:val="20"/>
        </w:rPr>
        <w:t xml:space="preserve"> against a foreign supplier</w:t>
      </w:r>
      <w:r w:rsidR="00CD5277">
        <w:rPr>
          <w:sz w:val="20"/>
        </w:rPr>
        <w:t xml:space="preserve"> as well as</w:t>
      </w:r>
      <w:r w:rsidR="00FF2DD8">
        <w:rPr>
          <w:sz w:val="20"/>
        </w:rPr>
        <w:t xml:space="preserve"> a $3 million </w:t>
      </w:r>
      <w:r w:rsidR="00CD5277">
        <w:rPr>
          <w:sz w:val="20"/>
        </w:rPr>
        <w:t xml:space="preserve">unfavorable </w:t>
      </w:r>
      <w:r w:rsidR="00FF2DD8">
        <w:rPr>
          <w:sz w:val="20"/>
        </w:rPr>
        <w:t>adjustment</w:t>
      </w:r>
      <w:r w:rsidR="00466DD8">
        <w:rPr>
          <w:sz w:val="20"/>
        </w:rPr>
        <w:t xml:space="preserve"> </w:t>
      </w:r>
      <w:r w:rsidR="009F575D">
        <w:rPr>
          <w:sz w:val="20"/>
        </w:rPr>
        <w:t>to</w:t>
      </w:r>
      <w:r w:rsidR="00466DD8">
        <w:rPr>
          <w:sz w:val="20"/>
        </w:rPr>
        <w:t xml:space="preserve"> asbestos insurance receivables</w:t>
      </w:r>
      <w:r w:rsidR="00FF2DD8" w:rsidRPr="00FF2DD8">
        <w:rPr>
          <w:sz w:val="20"/>
        </w:rPr>
        <w:t xml:space="preserve">. </w:t>
      </w:r>
      <w:r w:rsidR="00CD5277">
        <w:rPr>
          <w:sz w:val="20"/>
        </w:rPr>
        <w:t xml:space="preserve"> E</w:t>
      </w:r>
      <w:r w:rsidR="00FF2DD8" w:rsidRPr="00FF2DD8">
        <w:rPr>
          <w:sz w:val="20"/>
        </w:rPr>
        <w:t xml:space="preserve">xcluding </w:t>
      </w:r>
      <w:r w:rsidR="00CD5277">
        <w:rPr>
          <w:sz w:val="20"/>
        </w:rPr>
        <w:t xml:space="preserve">the impact of </w:t>
      </w:r>
      <w:r w:rsidR="00FF2DD8" w:rsidRPr="00FF2DD8">
        <w:rPr>
          <w:sz w:val="20"/>
        </w:rPr>
        <w:t>these charges, SG&amp;A decreased $</w:t>
      </w:r>
      <w:r w:rsidR="00FF2DD8">
        <w:rPr>
          <w:sz w:val="20"/>
        </w:rPr>
        <w:t>25</w:t>
      </w:r>
      <w:r w:rsidR="00FF2DD8" w:rsidRPr="00FF2DD8">
        <w:rPr>
          <w:sz w:val="20"/>
        </w:rPr>
        <w:t xml:space="preserve"> million, which was driven by lower employee-related costs, including incentive and benefits, resulting from the decline in business activity. The weakening of foreign currencies in areas where we operate </w:t>
      </w:r>
      <w:r w:rsidR="00EB677F">
        <w:rPr>
          <w:sz w:val="20"/>
        </w:rPr>
        <w:t>relative to</w:t>
      </w:r>
      <w:r w:rsidR="00FF2DD8" w:rsidRPr="00FF2DD8">
        <w:rPr>
          <w:sz w:val="20"/>
        </w:rPr>
        <w:t xml:space="preserve"> the U.S. dollar favorably impacted SG&amp;A by $</w:t>
      </w:r>
      <w:r w:rsidR="00FF2DD8">
        <w:rPr>
          <w:sz w:val="20"/>
        </w:rPr>
        <w:t>6</w:t>
      </w:r>
      <w:r w:rsidR="00FF2DD8" w:rsidRPr="00FF2DD8">
        <w:rPr>
          <w:sz w:val="20"/>
        </w:rPr>
        <w:t xml:space="preserve"> million.</w:t>
      </w:r>
    </w:p>
    <w:p w:rsidR="000121CD" w:rsidRDefault="00590862">
      <w:pPr>
        <w:pStyle w:val="NormalWeb"/>
        <w:spacing w:before="0" w:beforeAutospacing="0" w:after="0" w:afterAutospacing="0"/>
        <w:rPr>
          <w:sz w:val="20"/>
          <w:szCs w:val="20"/>
        </w:rPr>
      </w:pPr>
      <w:r>
        <w:rPr>
          <w:sz w:val="20"/>
          <w:szCs w:val="20"/>
        </w:rPr>
        <w:t xml:space="preserve"> </w:t>
      </w:r>
    </w:p>
    <w:p w:rsidR="000121CD" w:rsidRDefault="00590862">
      <w:pPr>
        <w:pStyle w:val="NormalWeb"/>
        <w:spacing w:before="0" w:beforeAutospacing="0" w:after="0" w:afterAutospacing="0"/>
        <w:rPr>
          <w:sz w:val="20"/>
          <w:szCs w:val="20"/>
        </w:rPr>
      </w:pPr>
      <w:r>
        <w:rPr>
          <w:b/>
          <w:bCs/>
          <w:i/>
          <w:iCs/>
          <w:sz w:val="20"/>
          <w:szCs w:val="20"/>
        </w:rPr>
        <w:t>Operating Income (Loss)</w:t>
      </w:r>
      <w:r>
        <w:rPr>
          <w:i/>
          <w:iCs/>
          <w:sz w:val="20"/>
          <w:szCs w:val="20"/>
        </w:rPr>
        <w:t>.</w:t>
      </w:r>
      <w:r>
        <w:rPr>
          <w:sz w:val="20"/>
          <w:szCs w:val="20"/>
        </w:rPr>
        <w:t xml:space="preserve"> Operating </w:t>
      </w:r>
      <w:r w:rsidR="00FF2DD8">
        <w:rPr>
          <w:sz w:val="20"/>
          <w:szCs w:val="20"/>
        </w:rPr>
        <w:t>in</w:t>
      </w:r>
      <w:r>
        <w:rPr>
          <w:sz w:val="20"/>
          <w:szCs w:val="20"/>
        </w:rPr>
        <w:t>come was $</w:t>
      </w:r>
      <w:r w:rsidR="002C1865">
        <w:rPr>
          <w:sz w:val="20"/>
          <w:szCs w:val="20"/>
        </w:rPr>
        <w:t>103</w:t>
      </w:r>
      <w:r>
        <w:rPr>
          <w:sz w:val="20"/>
          <w:szCs w:val="20"/>
        </w:rPr>
        <w:t xml:space="preserve"> million for the year ended </w:t>
      </w:r>
      <w:r w:rsidR="003627E3" w:rsidRPr="003A4344">
        <w:rPr>
          <w:sz w:val="20"/>
          <w:szCs w:val="20"/>
        </w:rPr>
        <w:t>December 31, 2019</w:t>
      </w:r>
      <w:r>
        <w:rPr>
          <w:sz w:val="20"/>
          <w:szCs w:val="20"/>
        </w:rPr>
        <w:t>, as compared to $</w:t>
      </w:r>
      <w:r w:rsidR="003627E3" w:rsidRPr="003A4344">
        <w:rPr>
          <w:sz w:val="20"/>
          <w:szCs w:val="20"/>
        </w:rPr>
        <w:t>127</w:t>
      </w:r>
      <w:r>
        <w:rPr>
          <w:sz w:val="20"/>
          <w:szCs w:val="20"/>
        </w:rPr>
        <w:t xml:space="preserve"> million for the year ended </w:t>
      </w:r>
      <w:r w:rsidR="003627E3" w:rsidRPr="003A4344">
        <w:rPr>
          <w:sz w:val="20"/>
          <w:szCs w:val="20"/>
        </w:rPr>
        <w:t>December 31, 2018</w:t>
      </w:r>
      <w:r>
        <w:rPr>
          <w:sz w:val="20"/>
          <w:szCs w:val="20"/>
        </w:rPr>
        <w:t xml:space="preserve">, a </w:t>
      </w:r>
      <w:r w:rsidR="00FF2DD8">
        <w:rPr>
          <w:sz w:val="20"/>
          <w:szCs w:val="20"/>
        </w:rPr>
        <w:t>decline</w:t>
      </w:r>
      <w:r>
        <w:rPr>
          <w:sz w:val="20"/>
          <w:szCs w:val="20"/>
        </w:rPr>
        <w:t xml:space="preserve"> of $</w:t>
      </w:r>
      <w:r w:rsidR="002C1865">
        <w:rPr>
          <w:sz w:val="20"/>
          <w:szCs w:val="20"/>
        </w:rPr>
        <w:t>24</w:t>
      </w:r>
      <w:r>
        <w:rPr>
          <w:sz w:val="20"/>
          <w:szCs w:val="20"/>
        </w:rPr>
        <w:t xml:space="preserve"> million. </w:t>
      </w:r>
    </w:p>
    <w:p w:rsidR="000121CD" w:rsidRDefault="00590862">
      <w:pPr>
        <w:pStyle w:val="NormalWeb"/>
        <w:spacing w:before="140" w:beforeAutospacing="0" w:after="0" w:afterAutospacing="0"/>
      </w:pPr>
      <w:r>
        <w:rPr>
          <w:i/>
          <w:iCs/>
          <w:sz w:val="20"/>
          <w:szCs w:val="20"/>
        </w:rPr>
        <w:lastRenderedPageBreak/>
        <w:t>U.S. Segment—</w:t>
      </w:r>
      <w:r>
        <w:rPr>
          <w:sz w:val="20"/>
          <w:szCs w:val="20"/>
        </w:rPr>
        <w:t>Our U.S. segment had operating income of $</w:t>
      </w:r>
      <w:r w:rsidR="002C1865">
        <w:rPr>
          <w:sz w:val="20"/>
          <w:szCs w:val="20"/>
        </w:rPr>
        <w:t>104</w:t>
      </w:r>
      <w:r>
        <w:rPr>
          <w:sz w:val="20"/>
          <w:szCs w:val="20"/>
        </w:rPr>
        <w:t xml:space="preserve"> million for </w:t>
      </w:r>
      <w:r w:rsidR="003627E3" w:rsidRPr="003A4344">
        <w:rPr>
          <w:sz w:val="20"/>
          <w:szCs w:val="20"/>
        </w:rPr>
        <w:t>2019</w:t>
      </w:r>
      <w:r>
        <w:rPr>
          <w:sz w:val="20"/>
          <w:szCs w:val="20"/>
        </w:rPr>
        <w:t xml:space="preserve"> as compared to $</w:t>
      </w:r>
      <w:r w:rsidR="003627E3" w:rsidRPr="003A4344">
        <w:rPr>
          <w:sz w:val="20"/>
          <w:szCs w:val="20"/>
        </w:rPr>
        <w:t>112</w:t>
      </w:r>
      <w:r>
        <w:rPr>
          <w:sz w:val="20"/>
          <w:szCs w:val="20"/>
        </w:rPr>
        <w:t xml:space="preserve"> million for </w:t>
      </w:r>
      <w:r w:rsidR="003627E3" w:rsidRPr="003A4344">
        <w:rPr>
          <w:sz w:val="20"/>
          <w:szCs w:val="20"/>
        </w:rPr>
        <w:t>2018</w:t>
      </w:r>
      <w:r>
        <w:rPr>
          <w:sz w:val="20"/>
          <w:szCs w:val="20"/>
        </w:rPr>
        <w:t>. The $</w:t>
      </w:r>
      <w:r w:rsidR="00FF2DD8">
        <w:rPr>
          <w:sz w:val="20"/>
          <w:szCs w:val="20"/>
        </w:rPr>
        <w:t>8</w:t>
      </w:r>
      <w:r>
        <w:rPr>
          <w:sz w:val="20"/>
          <w:szCs w:val="20"/>
        </w:rPr>
        <w:t xml:space="preserve"> million </w:t>
      </w:r>
      <w:r w:rsidR="00FF2DD8">
        <w:rPr>
          <w:sz w:val="20"/>
          <w:szCs w:val="20"/>
        </w:rPr>
        <w:t xml:space="preserve">decrease </w:t>
      </w:r>
      <w:r>
        <w:rPr>
          <w:sz w:val="20"/>
          <w:szCs w:val="20"/>
        </w:rPr>
        <w:t xml:space="preserve">was primarily driven by </w:t>
      </w:r>
      <w:r w:rsidR="00FF2DD8">
        <w:rPr>
          <w:sz w:val="20"/>
          <w:szCs w:val="20"/>
        </w:rPr>
        <w:t>lower</w:t>
      </w:r>
      <w:r>
        <w:rPr>
          <w:sz w:val="20"/>
          <w:szCs w:val="20"/>
        </w:rPr>
        <w:t xml:space="preserve"> sales partially offset by the </w:t>
      </w:r>
      <w:r w:rsidR="00C25663">
        <w:rPr>
          <w:sz w:val="20"/>
          <w:szCs w:val="20"/>
        </w:rPr>
        <w:t>reduction</w:t>
      </w:r>
      <w:r>
        <w:rPr>
          <w:sz w:val="20"/>
          <w:szCs w:val="20"/>
        </w:rPr>
        <w:t xml:space="preserve"> in SG&amp;A</w:t>
      </w:r>
      <w:r w:rsidR="00C25663">
        <w:rPr>
          <w:sz w:val="20"/>
          <w:szCs w:val="20"/>
        </w:rPr>
        <w:t xml:space="preserve"> expenses</w:t>
      </w:r>
      <w:r>
        <w:rPr>
          <w:sz w:val="20"/>
          <w:szCs w:val="20"/>
        </w:rPr>
        <w:t>.</w:t>
      </w:r>
    </w:p>
    <w:p w:rsidR="000121CD" w:rsidRDefault="00590862">
      <w:pPr>
        <w:pStyle w:val="NormalWeb"/>
        <w:spacing w:before="140" w:beforeAutospacing="0" w:after="0" w:afterAutospacing="0"/>
        <w:rPr>
          <w:sz w:val="20"/>
        </w:rPr>
      </w:pPr>
      <w:r>
        <w:rPr>
          <w:i/>
          <w:iCs/>
          <w:sz w:val="20"/>
          <w:szCs w:val="20"/>
        </w:rPr>
        <w:t>Canadian Segment—</w:t>
      </w:r>
      <w:r>
        <w:rPr>
          <w:sz w:val="20"/>
          <w:szCs w:val="20"/>
        </w:rPr>
        <w:t xml:space="preserve">Our Canadian segment had </w:t>
      </w:r>
      <w:r w:rsidR="00C25663">
        <w:rPr>
          <w:sz w:val="20"/>
          <w:szCs w:val="20"/>
        </w:rPr>
        <w:t xml:space="preserve">an </w:t>
      </w:r>
      <w:r>
        <w:rPr>
          <w:sz w:val="20"/>
          <w:szCs w:val="20"/>
        </w:rPr>
        <w:t xml:space="preserve">operating </w:t>
      </w:r>
      <w:r w:rsidR="00C25663">
        <w:rPr>
          <w:sz w:val="20"/>
          <w:szCs w:val="20"/>
        </w:rPr>
        <w:t>loss</w:t>
      </w:r>
      <w:r>
        <w:rPr>
          <w:sz w:val="20"/>
          <w:szCs w:val="20"/>
        </w:rPr>
        <w:t xml:space="preserve"> of $</w:t>
      </w:r>
      <w:r w:rsidR="002C1865">
        <w:rPr>
          <w:sz w:val="20"/>
          <w:szCs w:val="20"/>
        </w:rPr>
        <w:t>1</w:t>
      </w:r>
      <w:r>
        <w:rPr>
          <w:sz w:val="20"/>
          <w:szCs w:val="20"/>
        </w:rPr>
        <w:t xml:space="preserve"> million for </w:t>
      </w:r>
      <w:r w:rsidR="003627E3" w:rsidRPr="003A4344">
        <w:rPr>
          <w:sz w:val="20"/>
          <w:szCs w:val="20"/>
        </w:rPr>
        <w:t>2019</w:t>
      </w:r>
      <w:r>
        <w:rPr>
          <w:sz w:val="20"/>
          <w:szCs w:val="20"/>
        </w:rPr>
        <w:t xml:space="preserve"> as compared to operating income of $</w:t>
      </w:r>
      <w:r w:rsidR="003627E3" w:rsidRPr="003A4344">
        <w:rPr>
          <w:sz w:val="20"/>
          <w:szCs w:val="20"/>
        </w:rPr>
        <w:t>9</w:t>
      </w:r>
      <w:r>
        <w:rPr>
          <w:sz w:val="20"/>
          <w:szCs w:val="20"/>
        </w:rPr>
        <w:t xml:space="preserve"> million for </w:t>
      </w:r>
      <w:r w:rsidR="003627E3" w:rsidRPr="003A4344">
        <w:rPr>
          <w:sz w:val="20"/>
          <w:szCs w:val="20"/>
        </w:rPr>
        <w:t>2018</w:t>
      </w:r>
      <w:r>
        <w:rPr>
          <w:sz w:val="20"/>
          <w:szCs w:val="20"/>
        </w:rPr>
        <w:t>. The $</w:t>
      </w:r>
      <w:r w:rsidR="002C1865">
        <w:rPr>
          <w:sz w:val="20"/>
          <w:szCs w:val="20"/>
        </w:rPr>
        <w:t>10</w:t>
      </w:r>
      <w:r>
        <w:rPr>
          <w:sz w:val="20"/>
          <w:szCs w:val="20"/>
        </w:rPr>
        <w:t xml:space="preserve"> million decline was primarily a result of </w:t>
      </w:r>
      <w:r w:rsidR="00C25663">
        <w:rPr>
          <w:sz w:val="20"/>
          <w:szCs w:val="20"/>
        </w:rPr>
        <w:t>lower sales offset by a decline in SG&amp;A expenses</w:t>
      </w:r>
      <w:r>
        <w:rPr>
          <w:sz w:val="20"/>
          <w:szCs w:val="20"/>
        </w:rPr>
        <w:t>.</w:t>
      </w:r>
    </w:p>
    <w:p w:rsidR="000121CD" w:rsidRDefault="00590862">
      <w:pPr>
        <w:pStyle w:val="NormalWeb"/>
        <w:spacing w:before="140" w:beforeAutospacing="0" w:after="0" w:afterAutospacing="0"/>
        <w:rPr>
          <w:sz w:val="20"/>
          <w:szCs w:val="20"/>
        </w:rPr>
      </w:pPr>
      <w:r>
        <w:rPr>
          <w:i/>
          <w:iCs/>
          <w:sz w:val="20"/>
          <w:szCs w:val="20"/>
        </w:rPr>
        <w:t>International Segment</w:t>
      </w:r>
      <w:r>
        <w:rPr>
          <w:sz w:val="20"/>
          <w:szCs w:val="20"/>
        </w:rPr>
        <w:t>—Our International segment had operating income of $</w:t>
      </w:r>
      <w:r w:rsidR="00757EF6">
        <w:rPr>
          <w:sz w:val="20"/>
          <w:szCs w:val="20"/>
        </w:rPr>
        <w:t>0</w:t>
      </w:r>
      <w:r>
        <w:rPr>
          <w:sz w:val="20"/>
          <w:szCs w:val="20"/>
        </w:rPr>
        <w:t xml:space="preserve"> million for </w:t>
      </w:r>
      <w:r w:rsidR="003627E3" w:rsidRPr="003A4344">
        <w:rPr>
          <w:sz w:val="20"/>
          <w:szCs w:val="20"/>
        </w:rPr>
        <w:t>2019</w:t>
      </w:r>
      <w:r>
        <w:rPr>
          <w:sz w:val="20"/>
          <w:szCs w:val="20"/>
        </w:rPr>
        <w:t xml:space="preserve"> as compared to $</w:t>
      </w:r>
      <w:r w:rsidR="003627E3" w:rsidRPr="003A4344">
        <w:rPr>
          <w:sz w:val="20"/>
          <w:szCs w:val="20"/>
        </w:rPr>
        <w:t>6</w:t>
      </w:r>
      <w:r>
        <w:rPr>
          <w:sz w:val="20"/>
          <w:szCs w:val="20"/>
        </w:rPr>
        <w:t xml:space="preserve"> million in </w:t>
      </w:r>
      <w:r w:rsidR="003627E3" w:rsidRPr="003A4344">
        <w:rPr>
          <w:sz w:val="20"/>
          <w:szCs w:val="20"/>
        </w:rPr>
        <w:t>2018</w:t>
      </w:r>
      <w:r>
        <w:rPr>
          <w:sz w:val="20"/>
          <w:szCs w:val="20"/>
        </w:rPr>
        <w:t>. The $</w:t>
      </w:r>
      <w:r w:rsidR="00C25663">
        <w:rPr>
          <w:sz w:val="20"/>
          <w:szCs w:val="20"/>
        </w:rPr>
        <w:t>6</w:t>
      </w:r>
      <w:r>
        <w:rPr>
          <w:sz w:val="20"/>
          <w:szCs w:val="20"/>
        </w:rPr>
        <w:t xml:space="preserve"> million</w:t>
      </w:r>
      <w:r w:rsidR="00C25663">
        <w:rPr>
          <w:sz w:val="20"/>
          <w:szCs w:val="20"/>
        </w:rPr>
        <w:t xml:space="preserve"> decline</w:t>
      </w:r>
      <w:r>
        <w:rPr>
          <w:sz w:val="20"/>
          <w:szCs w:val="20"/>
        </w:rPr>
        <w:t xml:space="preserve"> in operating income was primarily attributable to</w:t>
      </w:r>
      <w:r w:rsidR="005A76D0">
        <w:rPr>
          <w:sz w:val="20"/>
          <w:szCs w:val="20"/>
        </w:rPr>
        <w:t xml:space="preserve"> certain</w:t>
      </w:r>
      <w:r>
        <w:rPr>
          <w:sz w:val="20"/>
          <w:szCs w:val="20"/>
        </w:rPr>
        <w:t xml:space="preserve"> </w:t>
      </w:r>
      <w:r w:rsidR="00C25663">
        <w:rPr>
          <w:sz w:val="20"/>
          <w:szCs w:val="20"/>
        </w:rPr>
        <w:t>unusual charges. W</w:t>
      </w:r>
      <w:r>
        <w:rPr>
          <w:sz w:val="20"/>
          <w:szCs w:val="20"/>
        </w:rPr>
        <w:t>e recorded $</w:t>
      </w:r>
      <w:r w:rsidR="00C25663">
        <w:rPr>
          <w:sz w:val="20"/>
          <w:szCs w:val="20"/>
        </w:rPr>
        <w:t>5</w:t>
      </w:r>
      <w:r>
        <w:rPr>
          <w:sz w:val="20"/>
          <w:szCs w:val="20"/>
        </w:rPr>
        <w:t xml:space="preserve"> million of inventory-related charges to reduce the carrying value of certain obsolete and excess inventory items to their net realizable value in 201</w:t>
      </w:r>
      <w:r w:rsidR="00C25663">
        <w:rPr>
          <w:sz w:val="20"/>
          <w:szCs w:val="20"/>
        </w:rPr>
        <w:t>9</w:t>
      </w:r>
      <w:r w:rsidR="00CD5277">
        <w:rPr>
          <w:sz w:val="20"/>
          <w:szCs w:val="20"/>
        </w:rPr>
        <w:t xml:space="preserve"> and a $5 million charge associated with a supplier bad debt</w:t>
      </w:r>
      <w:r>
        <w:rPr>
          <w:sz w:val="20"/>
          <w:szCs w:val="20"/>
        </w:rPr>
        <w:t>. Severance costs included in operating expenses were $</w:t>
      </w:r>
      <w:r w:rsidR="00C25663">
        <w:rPr>
          <w:sz w:val="20"/>
          <w:szCs w:val="20"/>
        </w:rPr>
        <w:t>2</w:t>
      </w:r>
      <w:r>
        <w:rPr>
          <w:sz w:val="20"/>
          <w:szCs w:val="20"/>
        </w:rPr>
        <w:t> million and $1 million for the years ended December 31, 201</w:t>
      </w:r>
      <w:r w:rsidR="00006105">
        <w:rPr>
          <w:sz w:val="20"/>
          <w:szCs w:val="20"/>
        </w:rPr>
        <w:t>9</w:t>
      </w:r>
      <w:r>
        <w:rPr>
          <w:sz w:val="20"/>
          <w:szCs w:val="20"/>
        </w:rPr>
        <w:t xml:space="preserve"> and 201</w:t>
      </w:r>
      <w:r w:rsidR="00006105">
        <w:rPr>
          <w:sz w:val="20"/>
          <w:szCs w:val="20"/>
        </w:rPr>
        <w:t>8</w:t>
      </w:r>
      <w:r>
        <w:rPr>
          <w:sz w:val="20"/>
          <w:szCs w:val="20"/>
        </w:rPr>
        <w:t>, respectively.</w:t>
      </w:r>
    </w:p>
    <w:p w:rsidR="000121CD" w:rsidRDefault="000121CD">
      <w:pPr>
        <w:pStyle w:val="NormalWeb"/>
        <w:spacing w:before="0" w:beforeAutospacing="0" w:after="0" w:afterAutospacing="0"/>
        <w:rPr>
          <w:b/>
          <w:bCs/>
          <w:i/>
          <w:iCs/>
          <w:sz w:val="20"/>
          <w:szCs w:val="20"/>
        </w:rPr>
      </w:pPr>
    </w:p>
    <w:p w:rsidR="000121CD" w:rsidRDefault="00590862">
      <w:pPr>
        <w:pStyle w:val="NormalWeb"/>
        <w:spacing w:before="0" w:beforeAutospacing="0" w:after="0" w:afterAutospacing="0"/>
        <w:rPr>
          <w:sz w:val="20"/>
        </w:rPr>
      </w:pPr>
      <w:r>
        <w:rPr>
          <w:b/>
          <w:bCs/>
          <w:i/>
          <w:iCs/>
          <w:sz w:val="20"/>
          <w:szCs w:val="20"/>
        </w:rPr>
        <w:t>Interest Expense</w:t>
      </w:r>
      <w:r>
        <w:rPr>
          <w:i/>
          <w:iCs/>
          <w:sz w:val="20"/>
          <w:szCs w:val="20"/>
        </w:rPr>
        <w:t>.</w:t>
      </w:r>
      <w:r>
        <w:rPr>
          <w:sz w:val="20"/>
          <w:szCs w:val="20"/>
        </w:rPr>
        <w:t> Our interest expense was $</w:t>
      </w:r>
      <w:r w:rsidR="002C1865">
        <w:rPr>
          <w:sz w:val="20"/>
          <w:szCs w:val="20"/>
        </w:rPr>
        <w:t>40</w:t>
      </w:r>
      <w:r>
        <w:rPr>
          <w:sz w:val="20"/>
          <w:szCs w:val="20"/>
        </w:rPr>
        <w:t xml:space="preserve"> million for the year ended </w:t>
      </w:r>
      <w:r w:rsidR="003627E3" w:rsidRPr="003A4344">
        <w:rPr>
          <w:sz w:val="20"/>
          <w:szCs w:val="20"/>
        </w:rPr>
        <w:t>December 31, 2019</w:t>
      </w:r>
      <w:r>
        <w:rPr>
          <w:sz w:val="20"/>
          <w:szCs w:val="20"/>
        </w:rPr>
        <w:t xml:space="preserve"> as compared to $</w:t>
      </w:r>
      <w:r w:rsidR="003627E3" w:rsidRPr="003A4344">
        <w:rPr>
          <w:sz w:val="20"/>
          <w:szCs w:val="20"/>
        </w:rPr>
        <w:t>38</w:t>
      </w:r>
      <w:r>
        <w:rPr>
          <w:sz w:val="20"/>
          <w:szCs w:val="20"/>
        </w:rPr>
        <w:t xml:space="preserve"> million for the year ended </w:t>
      </w:r>
      <w:r w:rsidR="003627E3" w:rsidRPr="003A4344">
        <w:rPr>
          <w:sz w:val="20"/>
          <w:szCs w:val="20"/>
        </w:rPr>
        <w:t>December 31, 2018</w:t>
      </w:r>
      <w:r>
        <w:rPr>
          <w:sz w:val="20"/>
          <w:szCs w:val="20"/>
        </w:rPr>
        <w:t xml:space="preserve">. </w:t>
      </w:r>
      <w:r>
        <w:rPr>
          <w:sz w:val="20"/>
        </w:rPr>
        <w:t xml:space="preserve">The </w:t>
      </w:r>
      <w:r w:rsidR="00C25663">
        <w:rPr>
          <w:sz w:val="20"/>
        </w:rPr>
        <w:t>in</w:t>
      </w:r>
      <w:r>
        <w:rPr>
          <w:sz w:val="20"/>
        </w:rPr>
        <w:t>crease in interest expense was primarily attributable to higher average debt levels in 201</w:t>
      </w:r>
      <w:r w:rsidR="00C25663">
        <w:rPr>
          <w:sz w:val="20"/>
        </w:rPr>
        <w:t>9</w:t>
      </w:r>
      <w:r>
        <w:rPr>
          <w:sz w:val="20"/>
        </w:rPr>
        <w:t xml:space="preserve"> as compared to 201</w:t>
      </w:r>
      <w:r w:rsidR="00C25663">
        <w:rPr>
          <w:sz w:val="20"/>
        </w:rPr>
        <w:t>8.</w:t>
      </w:r>
    </w:p>
    <w:p w:rsidR="000121CD" w:rsidRDefault="000121CD">
      <w:pPr>
        <w:pStyle w:val="NormalWeb"/>
        <w:spacing w:before="0" w:beforeAutospacing="0" w:after="0" w:afterAutospacing="0"/>
        <w:rPr>
          <w:sz w:val="20"/>
        </w:rPr>
      </w:pPr>
    </w:p>
    <w:p w:rsidR="000121CD" w:rsidRDefault="00590862">
      <w:pPr>
        <w:pStyle w:val="NormalWeb"/>
        <w:spacing w:before="0" w:beforeAutospacing="0" w:after="0" w:afterAutospacing="0"/>
        <w:rPr>
          <w:sz w:val="20"/>
          <w:szCs w:val="20"/>
        </w:rPr>
      </w:pPr>
      <w:r>
        <w:rPr>
          <w:b/>
          <w:bCs/>
          <w:i/>
          <w:iCs/>
          <w:sz w:val="20"/>
          <w:szCs w:val="20"/>
        </w:rPr>
        <w:t>Other Income</w:t>
      </w:r>
      <w:r w:rsidR="00C25663">
        <w:rPr>
          <w:b/>
          <w:bCs/>
          <w:i/>
          <w:iCs/>
          <w:sz w:val="20"/>
          <w:szCs w:val="20"/>
        </w:rPr>
        <w:t>.</w:t>
      </w:r>
      <w:r>
        <w:rPr>
          <w:b/>
          <w:bCs/>
          <w:i/>
          <w:iCs/>
          <w:sz w:val="20"/>
          <w:szCs w:val="20"/>
        </w:rPr>
        <w:t xml:space="preserve"> </w:t>
      </w:r>
      <w:r>
        <w:rPr>
          <w:sz w:val="20"/>
          <w:szCs w:val="20"/>
        </w:rPr>
        <w:t xml:space="preserve">Our other </w:t>
      </w:r>
      <w:r w:rsidR="00C25663">
        <w:rPr>
          <w:sz w:val="20"/>
          <w:szCs w:val="20"/>
        </w:rPr>
        <w:t>i</w:t>
      </w:r>
      <w:r>
        <w:rPr>
          <w:sz w:val="20"/>
          <w:szCs w:val="20"/>
        </w:rPr>
        <w:t>ncome was $</w:t>
      </w:r>
      <w:r w:rsidR="002C1865">
        <w:rPr>
          <w:sz w:val="20"/>
          <w:szCs w:val="20"/>
        </w:rPr>
        <w:t>3</w:t>
      </w:r>
      <w:r>
        <w:rPr>
          <w:sz w:val="20"/>
          <w:szCs w:val="20"/>
        </w:rPr>
        <w:t xml:space="preserve"> million for the year ended </w:t>
      </w:r>
      <w:r w:rsidR="003627E3" w:rsidRPr="003A4344">
        <w:rPr>
          <w:sz w:val="20"/>
          <w:szCs w:val="20"/>
        </w:rPr>
        <w:t>December 31, 2019</w:t>
      </w:r>
      <w:r>
        <w:rPr>
          <w:sz w:val="20"/>
          <w:szCs w:val="20"/>
        </w:rPr>
        <w:t xml:space="preserve"> as compared </w:t>
      </w:r>
      <w:r w:rsidR="008E37BA">
        <w:rPr>
          <w:sz w:val="20"/>
          <w:szCs w:val="20"/>
        </w:rPr>
        <w:t xml:space="preserve">to </w:t>
      </w:r>
      <w:r>
        <w:rPr>
          <w:sz w:val="20"/>
          <w:szCs w:val="20"/>
        </w:rPr>
        <w:t>$</w:t>
      </w:r>
      <w:r w:rsidR="003627E3" w:rsidRPr="003A4344">
        <w:rPr>
          <w:sz w:val="20"/>
          <w:szCs w:val="20"/>
        </w:rPr>
        <w:t>6</w:t>
      </w:r>
      <w:r>
        <w:rPr>
          <w:sz w:val="20"/>
          <w:szCs w:val="20"/>
        </w:rPr>
        <w:t xml:space="preserve"> million for the year ended </w:t>
      </w:r>
      <w:r w:rsidR="003627E3" w:rsidRPr="003A4344">
        <w:rPr>
          <w:sz w:val="20"/>
          <w:szCs w:val="20"/>
        </w:rPr>
        <w:t>December 31, 2018</w:t>
      </w:r>
      <w:r>
        <w:rPr>
          <w:sz w:val="20"/>
          <w:szCs w:val="20"/>
        </w:rPr>
        <w:t xml:space="preserve">. </w:t>
      </w:r>
      <w:r>
        <w:rPr>
          <w:sz w:val="20"/>
        </w:rPr>
        <w:t>In 201</w:t>
      </w:r>
      <w:r w:rsidR="00006105">
        <w:rPr>
          <w:sz w:val="20"/>
        </w:rPr>
        <w:t>8</w:t>
      </w:r>
      <w:r>
        <w:rPr>
          <w:sz w:val="20"/>
          <w:szCs w:val="20"/>
        </w:rPr>
        <w:t xml:space="preserve">, </w:t>
      </w:r>
      <w:r w:rsidR="00006105">
        <w:rPr>
          <w:sz w:val="20"/>
          <w:szCs w:val="20"/>
        </w:rPr>
        <w:t>other income included, among other things, $1 million of income related to the change in the fair value of derivatives and a $1 million gain related to the sale of an asset.</w:t>
      </w:r>
    </w:p>
    <w:p w:rsidR="000121CD" w:rsidRDefault="000121CD">
      <w:pPr>
        <w:pStyle w:val="NormalWeb"/>
        <w:spacing w:before="0" w:beforeAutospacing="0" w:after="0" w:afterAutospacing="0"/>
      </w:pPr>
    </w:p>
    <w:p w:rsidR="000121CD" w:rsidRDefault="00590862">
      <w:pPr>
        <w:pStyle w:val="NormalWeb"/>
        <w:spacing w:before="0" w:beforeAutospacing="0" w:after="0" w:afterAutospacing="0"/>
        <w:rPr>
          <w:sz w:val="20"/>
          <w:szCs w:val="20"/>
        </w:rPr>
      </w:pPr>
      <w:r>
        <w:rPr>
          <w:b/>
          <w:bCs/>
          <w:i/>
          <w:iCs/>
          <w:sz w:val="20"/>
          <w:szCs w:val="20"/>
        </w:rPr>
        <w:t>Income Tax (Expense)</w:t>
      </w:r>
      <w:r>
        <w:rPr>
          <w:i/>
          <w:iCs/>
          <w:sz w:val="20"/>
          <w:szCs w:val="20"/>
        </w:rPr>
        <w:t>.</w:t>
      </w:r>
      <w:r>
        <w:rPr>
          <w:sz w:val="20"/>
          <w:szCs w:val="20"/>
        </w:rPr>
        <w:t> Our income tax expense was $</w:t>
      </w:r>
      <w:r w:rsidR="00E22153">
        <w:rPr>
          <w:sz w:val="20"/>
          <w:szCs w:val="20"/>
        </w:rPr>
        <w:t>27</w:t>
      </w:r>
      <w:r>
        <w:rPr>
          <w:sz w:val="20"/>
          <w:szCs w:val="20"/>
        </w:rPr>
        <w:t xml:space="preserve"> million for the year ended </w:t>
      </w:r>
      <w:r w:rsidR="003627E3" w:rsidRPr="003A4344">
        <w:rPr>
          <w:sz w:val="20"/>
          <w:szCs w:val="20"/>
        </w:rPr>
        <w:t>December 31, 2019</w:t>
      </w:r>
      <w:r>
        <w:rPr>
          <w:sz w:val="20"/>
          <w:szCs w:val="20"/>
        </w:rPr>
        <w:t>, as compared to $</w:t>
      </w:r>
      <w:r w:rsidR="003627E3" w:rsidRPr="003A4344">
        <w:rPr>
          <w:sz w:val="20"/>
          <w:szCs w:val="20"/>
        </w:rPr>
        <w:t>21</w:t>
      </w:r>
      <w:r>
        <w:rPr>
          <w:sz w:val="20"/>
          <w:szCs w:val="20"/>
        </w:rPr>
        <w:t xml:space="preserve"> million for the year ended </w:t>
      </w:r>
      <w:r w:rsidR="003627E3" w:rsidRPr="003A4344">
        <w:rPr>
          <w:sz w:val="20"/>
          <w:szCs w:val="20"/>
        </w:rPr>
        <w:t>December 31, 2018</w:t>
      </w:r>
      <w:r>
        <w:rPr>
          <w:sz w:val="20"/>
          <w:szCs w:val="20"/>
        </w:rPr>
        <w:t xml:space="preserve">. Our effective tax rates were </w:t>
      </w:r>
      <w:r w:rsidR="008E535A">
        <w:rPr>
          <w:sz w:val="20"/>
          <w:szCs w:val="20"/>
        </w:rPr>
        <w:t>41</w:t>
      </w:r>
      <w:r>
        <w:rPr>
          <w:sz w:val="20"/>
          <w:szCs w:val="20"/>
        </w:rPr>
        <w:t xml:space="preserve">% and </w:t>
      </w:r>
      <w:r w:rsidR="00960D58">
        <w:rPr>
          <w:sz w:val="20"/>
          <w:szCs w:val="20"/>
        </w:rPr>
        <w:t>22</w:t>
      </w:r>
      <w:r>
        <w:rPr>
          <w:sz w:val="20"/>
          <w:szCs w:val="20"/>
        </w:rPr>
        <w:t xml:space="preserve">% for the years ended December 31, </w:t>
      </w:r>
      <w:r w:rsidR="00960D58" w:rsidRPr="003A4344">
        <w:rPr>
          <w:sz w:val="20"/>
          <w:szCs w:val="20"/>
        </w:rPr>
        <w:t>2019</w:t>
      </w:r>
      <w:r>
        <w:rPr>
          <w:sz w:val="20"/>
          <w:szCs w:val="20"/>
        </w:rPr>
        <w:t xml:space="preserve"> and </w:t>
      </w:r>
      <w:r w:rsidR="00960D58" w:rsidRPr="003A4344">
        <w:rPr>
          <w:sz w:val="20"/>
          <w:szCs w:val="20"/>
        </w:rPr>
        <w:t>2018</w:t>
      </w:r>
      <w:r>
        <w:rPr>
          <w:sz w:val="20"/>
          <w:szCs w:val="20"/>
        </w:rPr>
        <w:t xml:space="preserve">, respectively. Our rates generally differ from the U.S. federal statutory rates of </w:t>
      </w:r>
      <w:r w:rsidR="00960D58">
        <w:rPr>
          <w:sz w:val="20"/>
          <w:szCs w:val="20"/>
        </w:rPr>
        <w:t>21</w:t>
      </w:r>
      <w:r>
        <w:rPr>
          <w:sz w:val="20"/>
          <w:szCs w:val="20"/>
        </w:rPr>
        <w:t>% as a result of state income taxes and differing foreign income tax rates. </w:t>
      </w:r>
      <w:r w:rsidR="008E37BA">
        <w:rPr>
          <w:sz w:val="20"/>
          <w:szCs w:val="20"/>
        </w:rPr>
        <w:t xml:space="preserve">In the fourth quarter of 2019, we incurred charges </w:t>
      </w:r>
      <w:r w:rsidR="00577082">
        <w:rPr>
          <w:sz w:val="20"/>
          <w:szCs w:val="20"/>
        </w:rPr>
        <w:t>in</w:t>
      </w:r>
      <w:r w:rsidR="008E37BA">
        <w:rPr>
          <w:sz w:val="20"/>
          <w:szCs w:val="20"/>
        </w:rPr>
        <w:t xml:space="preserve"> certain</w:t>
      </w:r>
      <w:r w:rsidR="00577082">
        <w:rPr>
          <w:sz w:val="20"/>
          <w:szCs w:val="20"/>
        </w:rPr>
        <w:t xml:space="preserve"> foreign jurisdictions with no corresponding tax benefit and additional taxes related to recent changes in tax regulations </w:t>
      </w:r>
      <w:r w:rsidR="008E37BA">
        <w:rPr>
          <w:sz w:val="20"/>
          <w:szCs w:val="20"/>
        </w:rPr>
        <w:t xml:space="preserve">that </w:t>
      </w:r>
      <w:r w:rsidR="00577082">
        <w:rPr>
          <w:sz w:val="20"/>
          <w:szCs w:val="20"/>
        </w:rPr>
        <w:t>impacted our 2019 effective tax rate.</w:t>
      </w:r>
      <w:r w:rsidR="00672452">
        <w:rPr>
          <w:sz w:val="20"/>
          <w:szCs w:val="20"/>
        </w:rPr>
        <w:t xml:space="preserve"> </w:t>
      </w:r>
      <w:r>
        <w:rPr>
          <w:sz w:val="20"/>
          <w:szCs w:val="20"/>
        </w:rPr>
        <w:t> Excluding the impact of the</w:t>
      </w:r>
      <w:r w:rsidR="00672452">
        <w:rPr>
          <w:sz w:val="20"/>
          <w:szCs w:val="20"/>
        </w:rPr>
        <w:t xml:space="preserve">se </w:t>
      </w:r>
      <w:r w:rsidR="008E37BA">
        <w:rPr>
          <w:sz w:val="20"/>
          <w:szCs w:val="20"/>
        </w:rPr>
        <w:t>items</w:t>
      </w:r>
      <w:r>
        <w:rPr>
          <w:sz w:val="20"/>
          <w:szCs w:val="20"/>
        </w:rPr>
        <w:t xml:space="preserve">, our effective tax rate would have been </w:t>
      </w:r>
      <w:r w:rsidR="000B50DA">
        <w:rPr>
          <w:sz w:val="20"/>
          <w:szCs w:val="20"/>
        </w:rPr>
        <w:t>2</w:t>
      </w:r>
      <w:r w:rsidR="00466DD8">
        <w:rPr>
          <w:sz w:val="20"/>
          <w:szCs w:val="20"/>
        </w:rPr>
        <w:t>6</w:t>
      </w:r>
      <w:r>
        <w:rPr>
          <w:sz w:val="20"/>
          <w:szCs w:val="20"/>
        </w:rPr>
        <w:t>%.</w:t>
      </w:r>
    </w:p>
    <w:p w:rsidR="000121CD" w:rsidRDefault="000121CD">
      <w:pPr>
        <w:pStyle w:val="NormalWeb"/>
        <w:spacing w:before="0" w:beforeAutospacing="0" w:after="0" w:afterAutospacing="0"/>
        <w:rPr>
          <w:b/>
          <w:bCs/>
          <w:i/>
          <w:iCs/>
          <w:sz w:val="20"/>
          <w:szCs w:val="20"/>
        </w:rPr>
      </w:pPr>
    </w:p>
    <w:p w:rsidR="000121CD" w:rsidRDefault="00590862">
      <w:pPr>
        <w:pStyle w:val="NormalWeb"/>
        <w:spacing w:before="0" w:beforeAutospacing="0" w:after="0" w:afterAutospacing="0"/>
        <w:rPr>
          <w:sz w:val="20"/>
          <w:szCs w:val="20"/>
        </w:rPr>
      </w:pPr>
      <w:r>
        <w:rPr>
          <w:b/>
          <w:bCs/>
          <w:i/>
          <w:iCs/>
          <w:sz w:val="20"/>
          <w:szCs w:val="20"/>
        </w:rPr>
        <w:t>Net Income</w:t>
      </w:r>
      <w:r>
        <w:rPr>
          <w:i/>
          <w:iCs/>
          <w:sz w:val="20"/>
          <w:szCs w:val="20"/>
        </w:rPr>
        <w:t>.</w:t>
      </w:r>
      <w:r>
        <w:rPr>
          <w:sz w:val="20"/>
          <w:szCs w:val="20"/>
        </w:rPr>
        <w:t> Our net income was $</w:t>
      </w:r>
      <w:r w:rsidR="00E22153">
        <w:rPr>
          <w:sz w:val="20"/>
          <w:szCs w:val="20"/>
        </w:rPr>
        <w:t>39</w:t>
      </w:r>
      <w:r>
        <w:rPr>
          <w:sz w:val="20"/>
          <w:szCs w:val="20"/>
        </w:rPr>
        <w:t xml:space="preserve"> million for the year ended </w:t>
      </w:r>
      <w:r w:rsidR="003627E3" w:rsidRPr="003A4344">
        <w:rPr>
          <w:sz w:val="20"/>
          <w:szCs w:val="20"/>
        </w:rPr>
        <w:t>December 31, 2019</w:t>
      </w:r>
      <w:r>
        <w:rPr>
          <w:sz w:val="20"/>
          <w:szCs w:val="20"/>
        </w:rPr>
        <w:t xml:space="preserve"> as compared to $</w:t>
      </w:r>
      <w:r w:rsidR="003627E3" w:rsidRPr="003A4344">
        <w:rPr>
          <w:sz w:val="20"/>
          <w:szCs w:val="20"/>
        </w:rPr>
        <w:t>74</w:t>
      </w:r>
      <w:r>
        <w:rPr>
          <w:sz w:val="20"/>
          <w:szCs w:val="20"/>
        </w:rPr>
        <w:t xml:space="preserve"> million for the year ended </w:t>
      </w:r>
      <w:r w:rsidR="003627E3" w:rsidRPr="003A4344">
        <w:rPr>
          <w:sz w:val="20"/>
          <w:szCs w:val="20"/>
        </w:rPr>
        <w:t>December 31, 2018</w:t>
      </w:r>
      <w:r>
        <w:rPr>
          <w:sz w:val="20"/>
          <w:szCs w:val="20"/>
        </w:rPr>
        <w:t xml:space="preserve">, a </w:t>
      </w:r>
      <w:r w:rsidR="00672452">
        <w:rPr>
          <w:sz w:val="20"/>
          <w:szCs w:val="20"/>
        </w:rPr>
        <w:t>decrease</w:t>
      </w:r>
      <w:r>
        <w:rPr>
          <w:sz w:val="20"/>
          <w:szCs w:val="20"/>
        </w:rPr>
        <w:t xml:space="preserve"> of $</w:t>
      </w:r>
      <w:r w:rsidR="00E22153">
        <w:rPr>
          <w:sz w:val="20"/>
          <w:szCs w:val="20"/>
        </w:rPr>
        <w:t>35</w:t>
      </w:r>
      <w:r>
        <w:rPr>
          <w:sz w:val="20"/>
          <w:szCs w:val="20"/>
        </w:rPr>
        <w:t xml:space="preserve"> million, reflecting </w:t>
      </w:r>
      <w:r w:rsidR="00672452">
        <w:rPr>
          <w:sz w:val="20"/>
          <w:szCs w:val="20"/>
        </w:rPr>
        <w:t>a decline in</w:t>
      </w:r>
      <w:r>
        <w:rPr>
          <w:sz w:val="20"/>
          <w:szCs w:val="20"/>
        </w:rPr>
        <w:t xml:space="preserve"> income before taxes for the reasons noted above.</w:t>
      </w:r>
    </w:p>
    <w:p w:rsidR="000121CD" w:rsidRDefault="00590862">
      <w:pPr>
        <w:pStyle w:val="NormalWeb"/>
        <w:spacing w:before="0" w:beforeAutospacing="0" w:after="0" w:afterAutospacing="0"/>
        <w:rPr>
          <w:sz w:val="20"/>
          <w:szCs w:val="20"/>
        </w:rPr>
      </w:pPr>
      <w:r>
        <w:rPr>
          <w:sz w:val="20"/>
          <w:szCs w:val="20"/>
        </w:rPr>
        <w:t xml:space="preserve">  </w:t>
      </w:r>
    </w:p>
    <w:p w:rsidR="000121CD" w:rsidRDefault="00590862">
      <w:pPr>
        <w:pStyle w:val="NormalWeb"/>
        <w:spacing w:before="0" w:beforeAutospacing="0" w:after="120" w:afterAutospacing="0"/>
        <w:rPr>
          <w:sz w:val="20"/>
          <w:szCs w:val="20"/>
        </w:rPr>
      </w:pPr>
      <w:r>
        <w:rPr>
          <w:b/>
          <w:bCs/>
          <w:i/>
          <w:iCs/>
          <w:sz w:val="20"/>
          <w:szCs w:val="20"/>
        </w:rPr>
        <w:t>Adjusted EBITDA</w:t>
      </w:r>
      <w:r>
        <w:rPr>
          <w:i/>
          <w:iCs/>
          <w:sz w:val="20"/>
          <w:szCs w:val="20"/>
        </w:rPr>
        <w:t>.</w:t>
      </w:r>
      <w:r>
        <w:rPr>
          <w:sz w:val="20"/>
          <w:szCs w:val="20"/>
        </w:rPr>
        <w:t>  Adjusted EBITDA, a non-GAAP financial measure, was $</w:t>
      </w:r>
      <w:r w:rsidR="002C1865">
        <w:rPr>
          <w:sz w:val="20"/>
          <w:szCs w:val="20"/>
        </w:rPr>
        <w:t>201</w:t>
      </w:r>
      <w:r>
        <w:rPr>
          <w:sz w:val="20"/>
          <w:szCs w:val="20"/>
        </w:rPr>
        <w:t xml:space="preserve"> million for the year ended </w:t>
      </w:r>
      <w:r w:rsidR="003627E3" w:rsidRPr="003A4344">
        <w:rPr>
          <w:sz w:val="20"/>
          <w:szCs w:val="20"/>
        </w:rPr>
        <w:t>December 31, 2019</w:t>
      </w:r>
      <w:r>
        <w:rPr>
          <w:sz w:val="20"/>
          <w:szCs w:val="20"/>
        </w:rPr>
        <w:t>, as compared to $</w:t>
      </w:r>
      <w:r w:rsidR="003627E3" w:rsidRPr="003A4344">
        <w:rPr>
          <w:sz w:val="20"/>
          <w:szCs w:val="20"/>
        </w:rPr>
        <w:t>280</w:t>
      </w:r>
      <w:r>
        <w:rPr>
          <w:sz w:val="20"/>
          <w:szCs w:val="20"/>
        </w:rPr>
        <w:t xml:space="preserve"> million for the year ended </w:t>
      </w:r>
      <w:r w:rsidR="003627E3" w:rsidRPr="003A4344">
        <w:rPr>
          <w:sz w:val="20"/>
          <w:szCs w:val="20"/>
        </w:rPr>
        <w:t>December 31, 2018</w:t>
      </w:r>
      <w:r>
        <w:rPr>
          <w:sz w:val="20"/>
          <w:szCs w:val="20"/>
        </w:rPr>
        <w:t xml:space="preserve">. Our Adjusted EBITDA </w:t>
      </w:r>
      <w:r w:rsidR="00CD5277">
        <w:rPr>
          <w:sz w:val="20"/>
          <w:szCs w:val="20"/>
        </w:rPr>
        <w:t>de</w:t>
      </w:r>
      <w:r>
        <w:rPr>
          <w:sz w:val="20"/>
          <w:szCs w:val="20"/>
        </w:rPr>
        <w:t>creased $</w:t>
      </w:r>
      <w:r w:rsidR="002C1865">
        <w:rPr>
          <w:sz w:val="20"/>
          <w:szCs w:val="20"/>
        </w:rPr>
        <w:t>79</w:t>
      </w:r>
      <w:r>
        <w:rPr>
          <w:sz w:val="20"/>
          <w:szCs w:val="20"/>
        </w:rPr>
        <w:t xml:space="preserve"> million over that period primarily as a result of the factors noted above. </w:t>
      </w:r>
    </w:p>
    <w:p w:rsidR="000121CD" w:rsidRDefault="00590862">
      <w:pPr>
        <w:pStyle w:val="NormalWeb"/>
        <w:spacing w:before="0" w:beforeAutospacing="0" w:after="120" w:afterAutospacing="0"/>
        <w:rPr>
          <w:sz w:val="20"/>
          <w:szCs w:val="20"/>
        </w:rPr>
      </w:pPr>
      <w:r>
        <w:rPr>
          <w:sz w:val="20"/>
          <w:szCs w:val="20"/>
        </w:rPr>
        <w:t xml:space="preserve">We define Adjusted EBITDA as net income plus interest, income taxes, depreciation and amortization, amortization of intangibles and certain other expenses, including non-cash expenses (such as equity-based compensation, severance and restructuring, changes in the fair value of derivative instruments and asset impairments, including inventory) and plus or minus the impact of our LIFO inventory costing methodology. </w:t>
      </w:r>
    </w:p>
    <w:p w:rsidR="000121CD" w:rsidRDefault="00590862">
      <w:pPr>
        <w:pStyle w:val="NormalWeb"/>
        <w:spacing w:before="0" w:beforeAutospacing="0" w:after="120" w:afterAutospacing="0"/>
        <w:rPr>
          <w:sz w:val="20"/>
          <w:szCs w:val="20"/>
        </w:rPr>
      </w:pPr>
      <w:r>
        <w:rPr>
          <w:sz w:val="20"/>
          <w:szCs w:val="20"/>
        </w:rPr>
        <w:t xml:space="preserve">We believe Adjusted EBITDA provides investors a helpful measure for comparing our operating performance with the performance of other companies that have different financing and capital structures or tax rates. We believe that net income is the financial measure calculated and presented in accordance with U.S. generally accepted accounting principles that is most directly comparable to Adjusted EBITDA.  </w:t>
      </w:r>
    </w:p>
    <w:p w:rsidR="000121CD" w:rsidRDefault="00590862">
      <w:pPr>
        <w:pStyle w:val="NormalWeb"/>
        <w:keepNext/>
        <w:spacing w:before="180" w:beforeAutospacing="0" w:after="0" w:afterAutospacing="0"/>
        <w:rPr>
          <w:sz w:val="20"/>
          <w:szCs w:val="20"/>
        </w:rPr>
      </w:pPr>
      <w:r>
        <w:rPr>
          <w:sz w:val="20"/>
          <w:szCs w:val="20"/>
        </w:rPr>
        <w:lastRenderedPageBreak/>
        <w:t xml:space="preserve">The following table reconciles net income, as derived from our consolidated financial statements, with Adjusted EBITDA, a non-GAAP financial measure (in millions): </w:t>
      </w:r>
    </w:p>
    <w:tbl>
      <w:tblPr>
        <w:tblW w:w="5000" w:type="pct"/>
        <w:tblCellMar>
          <w:left w:w="0" w:type="dxa"/>
          <w:right w:w="0" w:type="dxa"/>
        </w:tblCellMar>
        <w:tblLook w:val="04A0" w:firstRow="1" w:lastRow="0" w:firstColumn="1" w:lastColumn="0" w:noHBand="0" w:noVBand="1"/>
      </w:tblPr>
      <w:tblGrid>
        <w:gridCol w:w="7586"/>
        <w:gridCol w:w="300"/>
        <w:gridCol w:w="1173"/>
        <w:gridCol w:w="270"/>
        <w:gridCol w:w="300"/>
        <w:gridCol w:w="1171"/>
      </w:tblGrid>
      <w:tr w:rsidR="0018024C" w:rsidTr="0018024C">
        <w:trPr>
          <w:trHeight w:hRule="exact" w:val="20"/>
        </w:trPr>
        <w:tc>
          <w:tcPr>
            <w:tcW w:w="3512"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39"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543"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25"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139"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c>
          <w:tcPr>
            <w:tcW w:w="542" w:type="pct"/>
            <w:tcBorders>
              <w:top w:val="nil"/>
              <w:left w:val="nil"/>
              <w:bottom w:val="nil"/>
              <w:right w:val="nil"/>
            </w:tcBorders>
            <w:shd w:val="clear" w:color="auto" w:fill="auto"/>
            <w:vAlign w:val="bottom"/>
          </w:tcPr>
          <w:p w:rsidR="0018024C" w:rsidRDefault="0018024C" w:rsidP="0018024C">
            <w:pPr>
              <w:keepNext/>
              <w:spacing w:before="1" w:after="1"/>
              <w:rPr>
                <w:sz w:val="2"/>
              </w:rPr>
            </w:pPr>
          </w:p>
        </w:tc>
      </w:tr>
      <w:tr w:rsidR="0018024C" w:rsidTr="0018024C">
        <w:trPr>
          <w:trHeight w:hRule="exact" w:val="315"/>
        </w:trPr>
        <w:tc>
          <w:tcPr>
            <w:tcW w:w="3512" w:type="pct"/>
            <w:tcBorders>
              <w:top w:val="nil"/>
              <w:left w:val="nil"/>
              <w:bottom w:val="nil"/>
              <w:right w:val="nil"/>
              <w:tl2br w:val="nil"/>
              <w:tr2bl w:val="nil"/>
            </w:tcBorders>
            <w:shd w:val="clear" w:color="auto" w:fill="auto"/>
            <w:vAlign w:val="bottom"/>
          </w:tcPr>
          <w:p w:rsidR="0018024C" w:rsidRDefault="0018024C" w:rsidP="0018024C">
            <w:pPr>
              <w:keepNext/>
              <w:spacing w:before="1" w:after="1"/>
              <w:rPr>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sz w:val="20"/>
              </w:rPr>
            </w:pPr>
            <w:r>
              <w:rPr>
                <w:b/>
                <w:sz w:val="20"/>
              </w:rPr>
              <w:t>Year Ended December 31,</w:t>
            </w:r>
          </w:p>
        </w:tc>
      </w:tr>
      <w:tr w:rsidR="0018024C" w:rsidTr="0018024C">
        <w:trPr>
          <w:trHeight w:hRule="exact" w:val="315"/>
        </w:trPr>
        <w:tc>
          <w:tcPr>
            <w:tcW w:w="3512" w:type="pct"/>
            <w:tcBorders>
              <w:top w:val="nil"/>
              <w:left w:val="nil"/>
              <w:bottom w:val="nil"/>
              <w:right w:val="nil"/>
              <w:tl2br w:val="nil"/>
              <w:tr2bl w:val="nil"/>
            </w:tcBorders>
            <w:shd w:val="clear" w:color="auto" w:fill="auto"/>
            <w:vAlign w:val="bottom"/>
          </w:tcPr>
          <w:p w:rsidR="0018024C" w:rsidRDefault="0018024C" w:rsidP="0018024C">
            <w:pPr>
              <w:keepNext/>
              <w:spacing w:before="1"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sz w:val="20"/>
              </w:rPr>
            </w:pPr>
            <w:r>
              <w:rPr>
                <w:b/>
                <w:sz w:val="20"/>
              </w:rPr>
              <w:t>2019</w:t>
            </w:r>
          </w:p>
        </w:tc>
        <w:tc>
          <w:tcPr>
            <w:tcW w:w="125" w:type="pct"/>
            <w:tcBorders>
              <w:top w:val="nil"/>
              <w:left w:val="nil"/>
              <w:bottom w:val="nil"/>
              <w:right w:val="nil"/>
              <w:tl2br w:val="nil"/>
              <w:tr2bl w:val="nil"/>
            </w:tcBorders>
            <w:shd w:val="clear" w:color="auto" w:fill="auto"/>
            <w:vAlign w:val="bottom"/>
          </w:tcPr>
          <w:p w:rsidR="0018024C" w:rsidRDefault="0018024C" w:rsidP="0018024C">
            <w:pPr>
              <w:keepNext/>
              <w:spacing w:before="1"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Default="0018024C" w:rsidP="0018024C">
            <w:pPr>
              <w:keepNext/>
              <w:spacing w:before="1" w:after="1"/>
              <w:jc w:val="center"/>
              <w:rPr>
                <w:b/>
                <w:sz w:val="20"/>
              </w:rPr>
            </w:pPr>
            <w:r>
              <w:rPr>
                <w:b/>
                <w:sz w:val="20"/>
              </w:rPr>
              <w:t xml:space="preserve"> 2018</w:t>
            </w:r>
          </w:p>
        </w:tc>
      </w:tr>
      <w:tr w:rsidR="0018024C" w:rsidTr="0018024C">
        <w:trPr>
          <w:trHeight w:hRule="exact" w:val="255"/>
        </w:trPr>
        <w:tc>
          <w:tcPr>
            <w:tcW w:w="3512"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r>
              <w:rPr>
                <w:sz w:val="20"/>
              </w:rPr>
              <w:t>Net income</w:t>
            </w:r>
          </w:p>
        </w:tc>
        <w:tc>
          <w:tcPr>
            <w:tcW w:w="139"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b/>
                <w:sz w:val="20"/>
              </w:rPr>
            </w:pPr>
            <w:r>
              <w:rPr>
                <w:b/>
                <w:sz w:val="20"/>
              </w:rPr>
              <w:t>$</w:t>
            </w:r>
          </w:p>
        </w:tc>
        <w:tc>
          <w:tcPr>
            <w:tcW w:w="543"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ind w:right="63"/>
              <w:jc w:val="right"/>
              <w:rPr>
                <w:b/>
                <w:sz w:val="20"/>
              </w:rPr>
            </w:pPr>
            <w:r>
              <w:rPr>
                <w:b/>
                <w:sz w:val="20"/>
              </w:rPr>
              <w:t xml:space="preserve"> 39</w:t>
            </w:r>
          </w:p>
        </w:tc>
        <w:tc>
          <w:tcPr>
            <w:tcW w:w="12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39"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rPr>
                <w:sz w:val="20"/>
              </w:rPr>
            </w:pPr>
            <w:r>
              <w:rPr>
                <w:sz w:val="20"/>
              </w:rPr>
              <w:t>$</w:t>
            </w:r>
          </w:p>
        </w:tc>
        <w:tc>
          <w:tcPr>
            <w:tcW w:w="542"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 xml:space="preserve"> 74</w:t>
            </w:r>
          </w:p>
        </w:tc>
      </w:tr>
      <w:tr w:rsidR="0018024C" w:rsidTr="0018024C">
        <w:trPr>
          <w:trHeight w:hRule="exact" w:val="255"/>
        </w:trPr>
        <w:tc>
          <w:tcPr>
            <w:tcW w:w="3512" w:type="pct"/>
            <w:tcBorders>
              <w:top w:val="nil"/>
              <w:left w:val="nil"/>
              <w:bottom w:val="nil"/>
              <w:right w:val="nil"/>
              <w:tl2br w:val="nil"/>
              <w:tr2bl w:val="nil"/>
            </w:tcBorders>
            <w:vAlign w:val="bottom"/>
          </w:tcPr>
          <w:p w:rsidR="0018024C" w:rsidRDefault="0018024C" w:rsidP="0018024C">
            <w:pPr>
              <w:keepNext/>
              <w:spacing w:before="1" w:after="1"/>
              <w:rPr>
                <w:sz w:val="20"/>
              </w:rPr>
            </w:pPr>
            <w:r>
              <w:rPr>
                <w:sz w:val="20"/>
              </w:rPr>
              <w:t>Income tax expense</w:t>
            </w:r>
          </w:p>
        </w:tc>
        <w:tc>
          <w:tcPr>
            <w:tcW w:w="139" w:type="pct"/>
            <w:tcBorders>
              <w:top w:val="nil"/>
              <w:left w:val="nil"/>
              <w:bottom w:val="nil"/>
              <w:right w:val="nil"/>
              <w:tl2br w:val="nil"/>
              <w:tr2bl w:val="nil"/>
            </w:tcBorders>
            <w:vAlign w:val="bottom"/>
          </w:tcPr>
          <w:p w:rsidR="0018024C" w:rsidRDefault="0018024C" w:rsidP="0018024C">
            <w:pPr>
              <w:keepNext/>
              <w:spacing w:before="1" w:after="1"/>
              <w:rPr>
                <w:b/>
                <w:sz w:val="20"/>
              </w:rPr>
            </w:pPr>
          </w:p>
        </w:tc>
        <w:tc>
          <w:tcPr>
            <w:tcW w:w="543" w:type="pct"/>
            <w:tcBorders>
              <w:top w:val="nil"/>
              <w:left w:val="nil"/>
              <w:bottom w:val="nil"/>
              <w:right w:val="nil"/>
              <w:tl2br w:val="nil"/>
              <w:tr2bl w:val="nil"/>
            </w:tcBorders>
            <w:vAlign w:val="bottom"/>
          </w:tcPr>
          <w:p w:rsidR="0018024C" w:rsidRDefault="0018024C" w:rsidP="0018024C">
            <w:pPr>
              <w:keepNext/>
              <w:spacing w:before="1" w:after="1"/>
              <w:ind w:right="63"/>
              <w:jc w:val="right"/>
              <w:rPr>
                <w:b/>
                <w:sz w:val="20"/>
              </w:rPr>
            </w:pPr>
            <w:r>
              <w:rPr>
                <w:b/>
                <w:sz w:val="20"/>
              </w:rPr>
              <w:t xml:space="preserve"> 27</w:t>
            </w:r>
          </w:p>
        </w:tc>
        <w:tc>
          <w:tcPr>
            <w:tcW w:w="125"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139"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542" w:type="pct"/>
            <w:tcBorders>
              <w:top w:val="nil"/>
              <w:left w:val="nil"/>
              <w:bottom w:val="nil"/>
              <w:right w:val="nil"/>
              <w:tl2br w:val="nil"/>
              <w:tr2bl w:val="nil"/>
            </w:tcBorders>
            <w:vAlign w:val="bottom"/>
          </w:tcPr>
          <w:p w:rsidR="0018024C" w:rsidRDefault="0018024C" w:rsidP="0018024C">
            <w:pPr>
              <w:keepNext/>
              <w:spacing w:before="1" w:after="1"/>
              <w:ind w:right="65"/>
              <w:jc w:val="right"/>
              <w:rPr>
                <w:sz w:val="20"/>
              </w:rPr>
            </w:pPr>
            <w:r>
              <w:rPr>
                <w:sz w:val="20"/>
              </w:rPr>
              <w:t xml:space="preserve"> 21</w:t>
            </w:r>
          </w:p>
        </w:tc>
      </w:tr>
      <w:tr w:rsidR="0018024C" w:rsidTr="0018024C">
        <w:trPr>
          <w:trHeight w:hRule="exact" w:val="255"/>
        </w:trPr>
        <w:tc>
          <w:tcPr>
            <w:tcW w:w="3512"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r>
              <w:rPr>
                <w:sz w:val="20"/>
              </w:rPr>
              <w:t>Interest expense</w:t>
            </w:r>
          </w:p>
        </w:tc>
        <w:tc>
          <w:tcPr>
            <w:tcW w:w="139"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sz w:val="20"/>
              </w:rPr>
            </w:pPr>
          </w:p>
        </w:tc>
        <w:tc>
          <w:tcPr>
            <w:tcW w:w="543"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3"/>
              <w:jc w:val="right"/>
              <w:rPr>
                <w:b/>
                <w:sz w:val="20"/>
              </w:rPr>
            </w:pPr>
            <w:r>
              <w:rPr>
                <w:b/>
                <w:sz w:val="20"/>
              </w:rPr>
              <w:t xml:space="preserve"> 40</w:t>
            </w:r>
          </w:p>
        </w:tc>
        <w:tc>
          <w:tcPr>
            <w:tcW w:w="12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39"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542"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 xml:space="preserve"> 38</w:t>
            </w:r>
          </w:p>
        </w:tc>
      </w:tr>
      <w:tr w:rsidR="0018024C" w:rsidTr="0018024C">
        <w:trPr>
          <w:trHeight w:hRule="exact" w:val="255"/>
        </w:trPr>
        <w:tc>
          <w:tcPr>
            <w:tcW w:w="3512" w:type="pct"/>
            <w:tcBorders>
              <w:top w:val="nil"/>
              <w:left w:val="nil"/>
              <w:bottom w:val="nil"/>
              <w:right w:val="nil"/>
              <w:tl2br w:val="nil"/>
              <w:tr2bl w:val="nil"/>
            </w:tcBorders>
            <w:vAlign w:val="bottom"/>
          </w:tcPr>
          <w:p w:rsidR="0018024C" w:rsidRDefault="0018024C" w:rsidP="0018024C">
            <w:pPr>
              <w:keepNext/>
              <w:spacing w:before="1" w:after="1"/>
              <w:rPr>
                <w:sz w:val="20"/>
              </w:rPr>
            </w:pPr>
            <w:r>
              <w:rPr>
                <w:sz w:val="20"/>
              </w:rPr>
              <w:t>Depreciation and amortization</w:t>
            </w:r>
          </w:p>
        </w:tc>
        <w:tc>
          <w:tcPr>
            <w:tcW w:w="139" w:type="pct"/>
            <w:tcBorders>
              <w:top w:val="nil"/>
              <w:left w:val="nil"/>
              <w:bottom w:val="nil"/>
              <w:right w:val="nil"/>
              <w:tl2br w:val="nil"/>
              <w:tr2bl w:val="nil"/>
            </w:tcBorders>
            <w:vAlign w:val="bottom"/>
          </w:tcPr>
          <w:p w:rsidR="0018024C" w:rsidRDefault="0018024C" w:rsidP="0018024C">
            <w:pPr>
              <w:keepNext/>
              <w:spacing w:before="1" w:after="1"/>
              <w:rPr>
                <w:b/>
                <w:sz w:val="20"/>
              </w:rPr>
            </w:pPr>
          </w:p>
        </w:tc>
        <w:tc>
          <w:tcPr>
            <w:tcW w:w="543" w:type="pct"/>
            <w:tcBorders>
              <w:top w:val="nil"/>
              <w:left w:val="nil"/>
              <w:bottom w:val="nil"/>
              <w:right w:val="nil"/>
              <w:tl2br w:val="nil"/>
              <w:tr2bl w:val="nil"/>
            </w:tcBorders>
            <w:vAlign w:val="bottom"/>
          </w:tcPr>
          <w:p w:rsidR="0018024C" w:rsidRDefault="0018024C" w:rsidP="0018024C">
            <w:pPr>
              <w:keepNext/>
              <w:spacing w:before="1" w:after="1"/>
              <w:ind w:right="63"/>
              <w:jc w:val="right"/>
              <w:rPr>
                <w:b/>
                <w:sz w:val="20"/>
              </w:rPr>
            </w:pPr>
            <w:r>
              <w:rPr>
                <w:b/>
                <w:sz w:val="20"/>
              </w:rPr>
              <w:t xml:space="preserve"> 21</w:t>
            </w:r>
          </w:p>
        </w:tc>
        <w:tc>
          <w:tcPr>
            <w:tcW w:w="125"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139"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542" w:type="pct"/>
            <w:tcBorders>
              <w:top w:val="nil"/>
              <w:left w:val="nil"/>
              <w:bottom w:val="nil"/>
              <w:right w:val="nil"/>
              <w:tl2br w:val="nil"/>
              <w:tr2bl w:val="nil"/>
            </w:tcBorders>
            <w:vAlign w:val="bottom"/>
          </w:tcPr>
          <w:p w:rsidR="0018024C" w:rsidRDefault="0018024C" w:rsidP="0018024C">
            <w:pPr>
              <w:keepNext/>
              <w:spacing w:before="1" w:after="1"/>
              <w:ind w:right="65"/>
              <w:jc w:val="right"/>
              <w:rPr>
                <w:sz w:val="20"/>
              </w:rPr>
            </w:pPr>
            <w:r>
              <w:rPr>
                <w:sz w:val="20"/>
              </w:rPr>
              <w:t xml:space="preserve"> 23</w:t>
            </w:r>
          </w:p>
        </w:tc>
      </w:tr>
      <w:tr w:rsidR="0018024C" w:rsidTr="0018024C">
        <w:trPr>
          <w:trHeight w:hRule="exact" w:val="255"/>
        </w:trPr>
        <w:tc>
          <w:tcPr>
            <w:tcW w:w="3512"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r>
              <w:rPr>
                <w:sz w:val="20"/>
              </w:rPr>
              <w:t xml:space="preserve">Amortization of intangibles </w:t>
            </w:r>
          </w:p>
        </w:tc>
        <w:tc>
          <w:tcPr>
            <w:tcW w:w="139"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sz w:val="20"/>
              </w:rPr>
            </w:pPr>
          </w:p>
        </w:tc>
        <w:tc>
          <w:tcPr>
            <w:tcW w:w="543"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3"/>
              <w:jc w:val="right"/>
              <w:rPr>
                <w:b/>
                <w:sz w:val="20"/>
              </w:rPr>
            </w:pPr>
            <w:r>
              <w:rPr>
                <w:b/>
                <w:sz w:val="20"/>
              </w:rPr>
              <w:t xml:space="preserve"> 42</w:t>
            </w:r>
          </w:p>
        </w:tc>
        <w:tc>
          <w:tcPr>
            <w:tcW w:w="12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39"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542"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 xml:space="preserve"> 45</w:t>
            </w:r>
          </w:p>
        </w:tc>
      </w:tr>
      <w:tr w:rsidR="0018024C" w:rsidTr="0018024C">
        <w:trPr>
          <w:trHeight w:hRule="exact" w:val="255"/>
        </w:trPr>
        <w:tc>
          <w:tcPr>
            <w:tcW w:w="3512" w:type="pct"/>
            <w:tcBorders>
              <w:top w:val="nil"/>
              <w:left w:val="nil"/>
              <w:bottom w:val="nil"/>
              <w:right w:val="nil"/>
              <w:tl2br w:val="nil"/>
              <w:tr2bl w:val="nil"/>
            </w:tcBorders>
            <w:vAlign w:val="bottom"/>
          </w:tcPr>
          <w:p w:rsidR="0018024C" w:rsidRDefault="0018024C" w:rsidP="0018024C">
            <w:pPr>
              <w:keepNext/>
              <w:spacing w:before="1" w:after="1"/>
              <w:rPr>
                <w:sz w:val="20"/>
              </w:rPr>
            </w:pPr>
            <w:r>
              <w:rPr>
                <w:sz w:val="20"/>
              </w:rPr>
              <w:t>(Decrease) increase in LIFO reserve</w:t>
            </w:r>
          </w:p>
        </w:tc>
        <w:tc>
          <w:tcPr>
            <w:tcW w:w="139" w:type="pct"/>
            <w:tcBorders>
              <w:top w:val="nil"/>
              <w:left w:val="nil"/>
              <w:bottom w:val="nil"/>
              <w:right w:val="nil"/>
              <w:tl2br w:val="nil"/>
              <w:tr2bl w:val="nil"/>
            </w:tcBorders>
            <w:vAlign w:val="bottom"/>
          </w:tcPr>
          <w:p w:rsidR="0018024C" w:rsidRDefault="0018024C" w:rsidP="0018024C">
            <w:pPr>
              <w:keepNext/>
              <w:spacing w:before="1" w:after="1"/>
              <w:rPr>
                <w:b/>
                <w:sz w:val="20"/>
              </w:rPr>
            </w:pPr>
          </w:p>
        </w:tc>
        <w:tc>
          <w:tcPr>
            <w:tcW w:w="543" w:type="pct"/>
            <w:tcBorders>
              <w:top w:val="nil"/>
              <w:left w:val="nil"/>
              <w:bottom w:val="nil"/>
              <w:right w:val="nil"/>
              <w:tl2br w:val="nil"/>
              <w:tr2bl w:val="nil"/>
            </w:tcBorders>
            <w:vAlign w:val="bottom"/>
          </w:tcPr>
          <w:p w:rsidR="0018024C" w:rsidRDefault="0018024C" w:rsidP="0018024C">
            <w:pPr>
              <w:keepNext/>
              <w:spacing w:before="1" w:after="1"/>
              <w:jc w:val="right"/>
              <w:rPr>
                <w:b/>
                <w:sz w:val="20"/>
              </w:rPr>
            </w:pPr>
            <w:r>
              <w:rPr>
                <w:b/>
                <w:sz w:val="20"/>
              </w:rPr>
              <w:t xml:space="preserve"> (2)</w:t>
            </w:r>
          </w:p>
        </w:tc>
        <w:tc>
          <w:tcPr>
            <w:tcW w:w="125"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139"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542" w:type="pct"/>
            <w:tcBorders>
              <w:top w:val="nil"/>
              <w:left w:val="nil"/>
              <w:bottom w:val="nil"/>
              <w:right w:val="nil"/>
              <w:tl2br w:val="nil"/>
              <w:tr2bl w:val="nil"/>
            </w:tcBorders>
            <w:vAlign w:val="bottom"/>
          </w:tcPr>
          <w:p w:rsidR="0018024C" w:rsidRDefault="0018024C" w:rsidP="0018024C">
            <w:pPr>
              <w:keepNext/>
              <w:spacing w:before="1" w:after="1"/>
              <w:ind w:right="65"/>
              <w:jc w:val="right"/>
              <w:rPr>
                <w:sz w:val="20"/>
              </w:rPr>
            </w:pPr>
            <w:r>
              <w:rPr>
                <w:sz w:val="20"/>
              </w:rPr>
              <w:t xml:space="preserve"> 62</w:t>
            </w:r>
          </w:p>
        </w:tc>
      </w:tr>
      <w:tr w:rsidR="0018024C" w:rsidTr="0018024C">
        <w:trPr>
          <w:trHeight w:hRule="exact" w:val="255"/>
        </w:trPr>
        <w:tc>
          <w:tcPr>
            <w:tcW w:w="3512"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r>
              <w:rPr>
                <w:sz w:val="20"/>
              </w:rPr>
              <w:t>Inventory-related charges</w:t>
            </w:r>
          </w:p>
        </w:tc>
        <w:tc>
          <w:tcPr>
            <w:tcW w:w="139"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sz w:val="20"/>
              </w:rPr>
            </w:pPr>
          </w:p>
        </w:tc>
        <w:tc>
          <w:tcPr>
            <w:tcW w:w="543"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3"/>
              <w:jc w:val="right"/>
              <w:rPr>
                <w:b/>
                <w:sz w:val="20"/>
              </w:rPr>
            </w:pPr>
            <w:r>
              <w:rPr>
                <w:b/>
                <w:sz w:val="20"/>
              </w:rPr>
              <w:t xml:space="preserve"> 5</w:t>
            </w:r>
          </w:p>
        </w:tc>
        <w:tc>
          <w:tcPr>
            <w:tcW w:w="12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39"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542"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 xml:space="preserve"> -</w:t>
            </w:r>
          </w:p>
        </w:tc>
      </w:tr>
      <w:tr w:rsidR="0018024C" w:rsidTr="0018024C">
        <w:trPr>
          <w:trHeight w:hRule="exact" w:val="255"/>
        </w:trPr>
        <w:tc>
          <w:tcPr>
            <w:tcW w:w="3512" w:type="pct"/>
            <w:tcBorders>
              <w:top w:val="nil"/>
              <w:left w:val="nil"/>
              <w:bottom w:val="nil"/>
              <w:right w:val="nil"/>
              <w:tl2br w:val="nil"/>
              <w:tr2bl w:val="nil"/>
            </w:tcBorders>
            <w:vAlign w:val="bottom"/>
          </w:tcPr>
          <w:p w:rsidR="0018024C" w:rsidRDefault="0018024C" w:rsidP="0018024C">
            <w:pPr>
              <w:keepNext/>
              <w:spacing w:before="1" w:after="1"/>
              <w:rPr>
                <w:sz w:val="20"/>
              </w:rPr>
            </w:pPr>
            <w:r>
              <w:rPr>
                <w:sz w:val="20"/>
              </w:rPr>
              <w:t>Equity-based compensation expense</w:t>
            </w:r>
          </w:p>
        </w:tc>
        <w:tc>
          <w:tcPr>
            <w:tcW w:w="139" w:type="pct"/>
            <w:tcBorders>
              <w:top w:val="nil"/>
              <w:left w:val="nil"/>
              <w:bottom w:val="nil"/>
              <w:right w:val="nil"/>
              <w:tl2br w:val="nil"/>
              <w:tr2bl w:val="nil"/>
            </w:tcBorders>
            <w:vAlign w:val="bottom"/>
          </w:tcPr>
          <w:p w:rsidR="0018024C" w:rsidRDefault="0018024C" w:rsidP="0018024C">
            <w:pPr>
              <w:keepNext/>
              <w:spacing w:before="1" w:after="1"/>
              <w:rPr>
                <w:b/>
                <w:sz w:val="20"/>
              </w:rPr>
            </w:pPr>
          </w:p>
        </w:tc>
        <w:tc>
          <w:tcPr>
            <w:tcW w:w="543" w:type="pct"/>
            <w:tcBorders>
              <w:top w:val="nil"/>
              <w:left w:val="nil"/>
              <w:bottom w:val="nil"/>
              <w:right w:val="nil"/>
              <w:tl2br w:val="nil"/>
              <w:tr2bl w:val="nil"/>
            </w:tcBorders>
            <w:vAlign w:val="bottom"/>
          </w:tcPr>
          <w:p w:rsidR="0018024C" w:rsidRDefault="0018024C" w:rsidP="0018024C">
            <w:pPr>
              <w:keepNext/>
              <w:spacing w:before="1" w:after="1"/>
              <w:ind w:right="63"/>
              <w:jc w:val="right"/>
              <w:rPr>
                <w:b/>
                <w:sz w:val="20"/>
              </w:rPr>
            </w:pPr>
            <w:r>
              <w:rPr>
                <w:b/>
                <w:sz w:val="20"/>
              </w:rPr>
              <w:t xml:space="preserve"> 16</w:t>
            </w:r>
          </w:p>
        </w:tc>
        <w:tc>
          <w:tcPr>
            <w:tcW w:w="125"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139"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542" w:type="pct"/>
            <w:tcBorders>
              <w:top w:val="nil"/>
              <w:left w:val="nil"/>
              <w:bottom w:val="nil"/>
              <w:right w:val="nil"/>
              <w:tl2br w:val="nil"/>
              <w:tr2bl w:val="nil"/>
            </w:tcBorders>
            <w:vAlign w:val="bottom"/>
          </w:tcPr>
          <w:p w:rsidR="0018024C" w:rsidRDefault="0018024C" w:rsidP="0018024C">
            <w:pPr>
              <w:keepNext/>
              <w:spacing w:before="1" w:after="1"/>
              <w:ind w:right="65"/>
              <w:jc w:val="right"/>
              <w:rPr>
                <w:sz w:val="20"/>
              </w:rPr>
            </w:pPr>
            <w:r>
              <w:rPr>
                <w:sz w:val="20"/>
              </w:rPr>
              <w:t xml:space="preserve"> 14</w:t>
            </w:r>
          </w:p>
        </w:tc>
      </w:tr>
      <w:tr w:rsidR="0018024C" w:rsidTr="0018024C">
        <w:trPr>
          <w:trHeight w:hRule="exact" w:val="255"/>
        </w:trPr>
        <w:tc>
          <w:tcPr>
            <w:tcW w:w="3512"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r>
              <w:rPr>
                <w:sz w:val="20"/>
              </w:rPr>
              <w:t>Severance and restructuring charges</w:t>
            </w:r>
          </w:p>
        </w:tc>
        <w:tc>
          <w:tcPr>
            <w:tcW w:w="139"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sz w:val="20"/>
              </w:rPr>
            </w:pPr>
          </w:p>
        </w:tc>
        <w:tc>
          <w:tcPr>
            <w:tcW w:w="543"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3"/>
              <w:jc w:val="right"/>
              <w:rPr>
                <w:b/>
                <w:sz w:val="20"/>
              </w:rPr>
            </w:pPr>
            <w:r>
              <w:rPr>
                <w:b/>
                <w:sz w:val="20"/>
              </w:rPr>
              <w:t xml:space="preserve"> 9</w:t>
            </w:r>
          </w:p>
        </w:tc>
        <w:tc>
          <w:tcPr>
            <w:tcW w:w="12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sz w:val="20"/>
              </w:rPr>
            </w:pPr>
          </w:p>
        </w:tc>
        <w:tc>
          <w:tcPr>
            <w:tcW w:w="139"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542"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 xml:space="preserve"> 4</w:t>
            </w:r>
          </w:p>
        </w:tc>
      </w:tr>
      <w:tr w:rsidR="0018024C" w:rsidTr="0018024C">
        <w:trPr>
          <w:trHeight w:hRule="exact" w:val="255"/>
        </w:trPr>
        <w:tc>
          <w:tcPr>
            <w:tcW w:w="3512" w:type="pct"/>
            <w:tcBorders>
              <w:top w:val="nil"/>
              <w:left w:val="nil"/>
              <w:bottom w:val="nil"/>
              <w:right w:val="nil"/>
              <w:tl2br w:val="nil"/>
              <w:tr2bl w:val="nil"/>
            </w:tcBorders>
            <w:vAlign w:val="bottom"/>
          </w:tcPr>
          <w:p w:rsidR="0018024C" w:rsidRDefault="0018024C" w:rsidP="0018024C">
            <w:pPr>
              <w:keepNext/>
              <w:spacing w:before="1" w:after="1"/>
              <w:rPr>
                <w:sz w:val="20"/>
              </w:rPr>
            </w:pPr>
            <w:r>
              <w:rPr>
                <w:sz w:val="20"/>
              </w:rPr>
              <w:t>Foreign currency gains</w:t>
            </w:r>
          </w:p>
        </w:tc>
        <w:tc>
          <w:tcPr>
            <w:tcW w:w="139" w:type="pct"/>
            <w:tcBorders>
              <w:top w:val="nil"/>
              <w:left w:val="nil"/>
              <w:bottom w:val="nil"/>
              <w:right w:val="nil"/>
              <w:tl2br w:val="nil"/>
              <w:tr2bl w:val="nil"/>
            </w:tcBorders>
            <w:vAlign w:val="bottom"/>
          </w:tcPr>
          <w:p w:rsidR="0018024C" w:rsidRDefault="0018024C" w:rsidP="0018024C">
            <w:pPr>
              <w:keepNext/>
              <w:spacing w:before="1" w:after="1"/>
              <w:rPr>
                <w:b/>
                <w:sz w:val="20"/>
              </w:rPr>
            </w:pPr>
          </w:p>
        </w:tc>
        <w:tc>
          <w:tcPr>
            <w:tcW w:w="543" w:type="pct"/>
            <w:tcBorders>
              <w:top w:val="nil"/>
              <w:left w:val="nil"/>
              <w:bottom w:val="nil"/>
              <w:right w:val="nil"/>
              <w:tl2br w:val="nil"/>
              <w:tr2bl w:val="nil"/>
            </w:tcBorders>
            <w:vAlign w:val="bottom"/>
          </w:tcPr>
          <w:p w:rsidR="0018024C" w:rsidRDefault="0018024C" w:rsidP="0018024C">
            <w:pPr>
              <w:keepNext/>
              <w:spacing w:before="1" w:after="1"/>
              <w:jc w:val="right"/>
              <w:rPr>
                <w:b/>
                <w:sz w:val="20"/>
              </w:rPr>
            </w:pPr>
            <w:r>
              <w:rPr>
                <w:b/>
                <w:sz w:val="20"/>
              </w:rPr>
              <w:t xml:space="preserve"> (1)</w:t>
            </w:r>
          </w:p>
        </w:tc>
        <w:tc>
          <w:tcPr>
            <w:tcW w:w="125"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139"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542" w:type="pct"/>
            <w:tcBorders>
              <w:top w:val="nil"/>
              <w:left w:val="nil"/>
              <w:bottom w:val="nil"/>
              <w:right w:val="nil"/>
              <w:tl2br w:val="nil"/>
              <w:tr2bl w:val="nil"/>
            </w:tcBorders>
            <w:vAlign w:val="bottom"/>
          </w:tcPr>
          <w:p w:rsidR="0018024C" w:rsidRDefault="0018024C" w:rsidP="0018024C">
            <w:pPr>
              <w:keepNext/>
              <w:spacing w:before="1" w:after="1"/>
              <w:ind w:right="3"/>
              <w:jc w:val="right"/>
              <w:rPr>
                <w:sz w:val="20"/>
              </w:rPr>
            </w:pPr>
            <w:r>
              <w:rPr>
                <w:sz w:val="20"/>
              </w:rPr>
              <w:t xml:space="preserve"> (1)</w:t>
            </w:r>
          </w:p>
        </w:tc>
      </w:tr>
      <w:tr w:rsidR="0018024C" w:rsidTr="0018024C">
        <w:trPr>
          <w:trHeight w:hRule="exact" w:val="255"/>
        </w:trPr>
        <w:tc>
          <w:tcPr>
            <w:tcW w:w="3512"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r>
              <w:rPr>
                <w:sz w:val="20"/>
              </w:rPr>
              <w:t>Write off of debt issuance costs</w:t>
            </w:r>
          </w:p>
        </w:tc>
        <w:tc>
          <w:tcPr>
            <w:tcW w:w="139"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b/>
                <w:sz w:val="20"/>
              </w:rPr>
            </w:pPr>
          </w:p>
        </w:tc>
        <w:tc>
          <w:tcPr>
            <w:tcW w:w="543"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3"/>
              <w:jc w:val="right"/>
              <w:rPr>
                <w:b/>
                <w:sz w:val="20"/>
              </w:rPr>
            </w:pPr>
            <w:r>
              <w:rPr>
                <w:b/>
                <w:sz w:val="20"/>
              </w:rPr>
              <w:t xml:space="preserve"> -</w:t>
            </w:r>
          </w:p>
        </w:tc>
        <w:tc>
          <w:tcPr>
            <w:tcW w:w="12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39"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542"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ind w:right="65"/>
              <w:jc w:val="right"/>
              <w:rPr>
                <w:sz w:val="20"/>
              </w:rPr>
            </w:pPr>
            <w:r>
              <w:rPr>
                <w:sz w:val="20"/>
              </w:rPr>
              <w:t xml:space="preserve"> 1</w:t>
            </w:r>
          </w:p>
        </w:tc>
      </w:tr>
      <w:tr w:rsidR="0018024C" w:rsidTr="0018024C">
        <w:trPr>
          <w:trHeight w:hRule="exact" w:val="255"/>
        </w:trPr>
        <w:tc>
          <w:tcPr>
            <w:tcW w:w="3512" w:type="pct"/>
            <w:tcBorders>
              <w:top w:val="nil"/>
              <w:left w:val="nil"/>
              <w:bottom w:val="nil"/>
              <w:right w:val="nil"/>
              <w:tl2br w:val="nil"/>
              <w:tr2bl w:val="nil"/>
            </w:tcBorders>
            <w:vAlign w:val="bottom"/>
          </w:tcPr>
          <w:p w:rsidR="0018024C" w:rsidRDefault="0018024C" w:rsidP="0018024C">
            <w:pPr>
              <w:keepNext/>
              <w:spacing w:before="1" w:after="1"/>
              <w:rPr>
                <w:sz w:val="20"/>
              </w:rPr>
            </w:pPr>
            <w:r>
              <w:rPr>
                <w:sz w:val="20"/>
              </w:rPr>
              <w:t>Supplier bad debt</w:t>
            </w:r>
          </w:p>
        </w:tc>
        <w:tc>
          <w:tcPr>
            <w:tcW w:w="139" w:type="pct"/>
            <w:tcBorders>
              <w:top w:val="nil"/>
              <w:left w:val="nil"/>
              <w:bottom w:val="nil"/>
              <w:right w:val="nil"/>
              <w:tl2br w:val="nil"/>
              <w:tr2bl w:val="nil"/>
            </w:tcBorders>
            <w:vAlign w:val="bottom"/>
          </w:tcPr>
          <w:p w:rsidR="0018024C" w:rsidRDefault="0018024C" w:rsidP="0018024C">
            <w:pPr>
              <w:keepNext/>
              <w:spacing w:before="1" w:after="1"/>
              <w:rPr>
                <w:b/>
                <w:sz w:val="20"/>
              </w:rPr>
            </w:pPr>
          </w:p>
        </w:tc>
        <w:tc>
          <w:tcPr>
            <w:tcW w:w="543" w:type="pct"/>
            <w:tcBorders>
              <w:top w:val="nil"/>
              <w:left w:val="nil"/>
              <w:bottom w:val="nil"/>
              <w:right w:val="nil"/>
              <w:tl2br w:val="nil"/>
              <w:tr2bl w:val="nil"/>
            </w:tcBorders>
            <w:vAlign w:val="bottom"/>
          </w:tcPr>
          <w:p w:rsidR="0018024C" w:rsidRDefault="0018024C" w:rsidP="0018024C">
            <w:pPr>
              <w:keepNext/>
              <w:spacing w:before="1" w:after="1"/>
              <w:ind w:right="63"/>
              <w:jc w:val="right"/>
              <w:rPr>
                <w:b/>
                <w:sz w:val="20"/>
              </w:rPr>
            </w:pPr>
            <w:r>
              <w:rPr>
                <w:b/>
                <w:sz w:val="20"/>
              </w:rPr>
              <w:t xml:space="preserve"> 5</w:t>
            </w:r>
          </w:p>
        </w:tc>
        <w:tc>
          <w:tcPr>
            <w:tcW w:w="125"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139"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542" w:type="pct"/>
            <w:tcBorders>
              <w:top w:val="nil"/>
              <w:left w:val="nil"/>
              <w:bottom w:val="nil"/>
              <w:right w:val="nil"/>
              <w:tl2br w:val="nil"/>
              <w:tr2bl w:val="nil"/>
            </w:tcBorders>
            <w:vAlign w:val="bottom"/>
          </w:tcPr>
          <w:p w:rsidR="0018024C" w:rsidRDefault="0018024C" w:rsidP="0018024C">
            <w:pPr>
              <w:keepNext/>
              <w:spacing w:before="1" w:after="1"/>
              <w:ind w:right="65"/>
              <w:jc w:val="right"/>
              <w:rPr>
                <w:sz w:val="20"/>
              </w:rPr>
            </w:pPr>
            <w:r>
              <w:rPr>
                <w:sz w:val="20"/>
              </w:rPr>
              <w:t xml:space="preserve"> -</w:t>
            </w:r>
          </w:p>
        </w:tc>
      </w:tr>
      <w:tr w:rsidR="0018024C" w:rsidTr="0018024C">
        <w:trPr>
          <w:trHeight w:hRule="exact" w:val="255"/>
        </w:trPr>
        <w:tc>
          <w:tcPr>
            <w:tcW w:w="3512"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r>
              <w:rPr>
                <w:sz w:val="20"/>
              </w:rPr>
              <w:t>Change in fair value of derivative instruments</w:t>
            </w:r>
          </w:p>
        </w:tc>
        <w:tc>
          <w:tcPr>
            <w:tcW w:w="139"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rPr>
                <w:b/>
                <w:sz w:val="20"/>
              </w:rPr>
            </w:pPr>
          </w:p>
        </w:tc>
        <w:tc>
          <w:tcPr>
            <w:tcW w:w="543"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ind w:right="63"/>
              <w:jc w:val="right"/>
              <w:rPr>
                <w:b/>
                <w:sz w:val="20"/>
              </w:rPr>
            </w:pPr>
            <w:r>
              <w:rPr>
                <w:b/>
                <w:sz w:val="20"/>
              </w:rPr>
              <w:t xml:space="preserve"> -</w:t>
            </w:r>
          </w:p>
        </w:tc>
        <w:tc>
          <w:tcPr>
            <w:tcW w:w="125" w:type="pct"/>
            <w:tcBorders>
              <w:top w:val="nil"/>
              <w:left w:val="nil"/>
              <w:bottom w:val="nil"/>
              <w:right w:val="nil"/>
              <w:tl2br w:val="nil"/>
              <w:tr2bl w:val="nil"/>
            </w:tcBorders>
            <w:shd w:val="clear" w:color="auto" w:fill="CCEEFF"/>
            <w:vAlign w:val="bottom"/>
          </w:tcPr>
          <w:p w:rsidR="0018024C" w:rsidRDefault="0018024C" w:rsidP="0018024C">
            <w:pPr>
              <w:keepNext/>
              <w:spacing w:before="1" w:after="1"/>
              <w:rPr>
                <w:sz w:val="20"/>
              </w:rPr>
            </w:pPr>
          </w:p>
        </w:tc>
        <w:tc>
          <w:tcPr>
            <w:tcW w:w="139"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rPr>
                <w:sz w:val="20"/>
              </w:rPr>
            </w:pPr>
          </w:p>
        </w:tc>
        <w:tc>
          <w:tcPr>
            <w:tcW w:w="542" w:type="pct"/>
            <w:tcBorders>
              <w:top w:val="nil"/>
              <w:left w:val="nil"/>
              <w:bottom w:val="single" w:sz="12" w:space="0" w:color="000000"/>
              <w:right w:val="nil"/>
              <w:tl2br w:val="nil"/>
              <w:tr2bl w:val="nil"/>
            </w:tcBorders>
            <w:shd w:val="clear" w:color="auto" w:fill="CCEEFF"/>
            <w:vAlign w:val="bottom"/>
          </w:tcPr>
          <w:p w:rsidR="0018024C" w:rsidRDefault="0018024C" w:rsidP="0018024C">
            <w:pPr>
              <w:keepNext/>
              <w:spacing w:before="1" w:after="1"/>
              <w:ind w:right="3"/>
              <w:jc w:val="right"/>
              <w:rPr>
                <w:sz w:val="20"/>
              </w:rPr>
            </w:pPr>
            <w:r>
              <w:rPr>
                <w:sz w:val="20"/>
              </w:rPr>
              <w:t xml:space="preserve"> (1)</w:t>
            </w:r>
          </w:p>
        </w:tc>
      </w:tr>
      <w:tr w:rsidR="0018024C" w:rsidTr="0018024C">
        <w:trPr>
          <w:trHeight w:hRule="exact" w:val="255"/>
        </w:trPr>
        <w:tc>
          <w:tcPr>
            <w:tcW w:w="3512" w:type="pct"/>
            <w:tcBorders>
              <w:top w:val="nil"/>
              <w:left w:val="nil"/>
              <w:bottom w:val="nil"/>
              <w:right w:val="nil"/>
              <w:tl2br w:val="nil"/>
              <w:tr2bl w:val="nil"/>
            </w:tcBorders>
            <w:vAlign w:val="bottom"/>
          </w:tcPr>
          <w:p w:rsidR="0018024C" w:rsidRDefault="0018024C" w:rsidP="0018024C">
            <w:pPr>
              <w:keepNext/>
              <w:spacing w:before="1" w:after="1"/>
              <w:rPr>
                <w:sz w:val="20"/>
              </w:rPr>
            </w:pPr>
            <w:r>
              <w:rPr>
                <w:sz w:val="20"/>
              </w:rPr>
              <w:t>Adjusted EBITDA</w:t>
            </w:r>
          </w:p>
        </w:tc>
        <w:tc>
          <w:tcPr>
            <w:tcW w:w="139" w:type="pct"/>
            <w:tcBorders>
              <w:top w:val="nil"/>
              <w:left w:val="nil"/>
              <w:bottom w:val="double" w:sz="4" w:space="0" w:color="000000"/>
              <w:right w:val="nil"/>
              <w:tl2br w:val="nil"/>
              <w:tr2bl w:val="nil"/>
            </w:tcBorders>
            <w:vAlign w:val="bottom"/>
          </w:tcPr>
          <w:p w:rsidR="0018024C" w:rsidRDefault="0018024C" w:rsidP="0018024C">
            <w:pPr>
              <w:keepNext/>
              <w:spacing w:before="1" w:after="1"/>
              <w:rPr>
                <w:b/>
                <w:sz w:val="20"/>
              </w:rPr>
            </w:pPr>
            <w:r>
              <w:rPr>
                <w:b/>
                <w:sz w:val="20"/>
              </w:rPr>
              <w:t>$</w:t>
            </w:r>
          </w:p>
        </w:tc>
        <w:tc>
          <w:tcPr>
            <w:tcW w:w="543" w:type="pct"/>
            <w:tcBorders>
              <w:top w:val="single" w:sz="0" w:space="0" w:color="000000"/>
              <w:left w:val="nil"/>
              <w:bottom w:val="double" w:sz="4" w:space="0" w:color="000000"/>
              <w:right w:val="nil"/>
              <w:tl2br w:val="nil"/>
              <w:tr2bl w:val="nil"/>
            </w:tcBorders>
            <w:vAlign w:val="bottom"/>
          </w:tcPr>
          <w:p w:rsidR="0018024C" w:rsidRDefault="0018024C" w:rsidP="0018024C">
            <w:pPr>
              <w:keepNext/>
              <w:spacing w:before="1" w:after="1"/>
              <w:ind w:right="63"/>
              <w:jc w:val="right"/>
              <w:rPr>
                <w:b/>
                <w:sz w:val="20"/>
              </w:rPr>
            </w:pPr>
            <w:r>
              <w:rPr>
                <w:b/>
                <w:sz w:val="20"/>
              </w:rPr>
              <w:t xml:space="preserve"> 201</w:t>
            </w:r>
          </w:p>
        </w:tc>
        <w:tc>
          <w:tcPr>
            <w:tcW w:w="125" w:type="pct"/>
            <w:tcBorders>
              <w:top w:val="nil"/>
              <w:left w:val="nil"/>
              <w:bottom w:val="nil"/>
              <w:right w:val="nil"/>
              <w:tl2br w:val="nil"/>
              <w:tr2bl w:val="nil"/>
            </w:tcBorders>
            <w:vAlign w:val="bottom"/>
          </w:tcPr>
          <w:p w:rsidR="0018024C" w:rsidRDefault="0018024C" w:rsidP="0018024C">
            <w:pPr>
              <w:keepNext/>
              <w:spacing w:before="1" w:after="1"/>
              <w:rPr>
                <w:sz w:val="20"/>
              </w:rPr>
            </w:pPr>
          </w:p>
        </w:tc>
        <w:tc>
          <w:tcPr>
            <w:tcW w:w="139" w:type="pct"/>
            <w:tcBorders>
              <w:top w:val="nil"/>
              <w:left w:val="nil"/>
              <w:bottom w:val="double" w:sz="4" w:space="0" w:color="000000"/>
              <w:right w:val="nil"/>
              <w:tl2br w:val="nil"/>
              <w:tr2bl w:val="nil"/>
            </w:tcBorders>
            <w:vAlign w:val="bottom"/>
          </w:tcPr>
          <w:p w:rsidR="0018024C" w:rsidRDefault="0018024C" w:rsidP="0018024C">
            <w:pPr>
              <w:keepNext/>
              <w:spacing w:before="1" w:after="1"/>
              <w:rPr>
                <w:sz w:val="20"/>
              </w:rPr>
            </w:pPr>
            <w:r>
              <w:rPr>
                <w:sz w:val="20"/>
              </w:rPr>
              <w:t>$</w:t>
            </w:r>
          </w:p>
        </w:tc>
        <w:tc>
          <w:tcPr>
            <w:tcW w:w="542" w:type="pct"/>
            <w:tcBorders>
              <w:top w:val="single" w:sz="0" w:space="0" w:color="000000"/>
              <w:left w:val="nil"/>
              <w:bottom w:val="double" w:sz="4" w:space="0" w:color="000000"/>
              <w:right w:val="nil"/>
              <w:tl2br w:val="nil"/>
              <w:tr2bl w:val="nil"/>
            </w:tcBorders>
            <w:vAlign w:val="bottom"/>
          </w:tcPr>
          <w:p w:rsidR="0018024C" w:rsidRDefault="0018024C" w:rsidP="0018024C">
            <w:pPr>
              <w:keepNext/>
              <w:spacing w:before="1" w:after="1"/>
              <w:ind w:right="65"/>
              <w:jc w:val="right"/>
              <w:rPr>
                <w:sz w:val="20"/>
              </w:rPr>
            </w:pPr>
            <w:r>
              <w:rPr>
                <w:sz w:val="20"/>
              </w:rPr>
              <w:t xml:space="preserve"> 280</w:t>
            </w:r>
          </w:p>
        </w:tc>
      </w:tr>
    </w:tbl>
    <w:p w:rsidR="000121CD" w:rsidRDefault="000121CD">
      <w:pPr>
        <w:pStyle w:val="NormalWeb"/>
        <w:keepNext/>
        <w:spacing w:before="0" w:beforeAutospacing="0" w:after="0" w:afterAutospacing="0"/>
        <w:rPr>
          <w:b/>
          <w:bCs/>
          <w:i/>
          <w:iCs/>
          <w:sz w:val="20"/>
          <w:szCs w:val="20"/>
        </w:rPr>
      </w:pPr>
    </w:p>
    <w:p w:rsidR="00AB27B0" w:rsidRDefault="00AB27B0" w:rsidP="00CD5277">
      <w:pPr>
        <w:pStyle w:val="NormalWeb"/>
        <w:keepNext/>
        <w:spacing w:before="0" w:beforeAutospacing="0" w:after="90" w:afterAutospacing="0"/>
        <w:rPr>
          <w:sz w:val="20"/>
          <w:szCs w:val="20"/>
        </w:rPr>
      </w:pPr>
      <w:r>
        <w:rPr>
          <w:b/>
          <w:bCs/>
          <w:i/>
          <w:iCs/>
          <w:sz w:val="20"/>
          <w:szCs w:val="20"/>
        </w:rPr>
        <w:t xml:space="preserve">Year Ended </w:t>
      </w:r>
      <w:r w:rsidRPr="003A4344">
        <w:rPr>
          <w:b/>
          <w:bCs/>
          <w:i/>
          <w:iCs/>
          <w:sz w:val="20"/>
          <w:szCs w:val="20"/>
        </w:rPr>
        <w:t>December 31, 20</w:t>
      </w:r>
      <w:r>
        <w:rPr>
          <w:b/>
          <w:bCs/>
          <w:i/>
          <w:iCs/>
          <w:sz w:val="20"/>
          <w:szCs w:val="20"/>
        </w:rPr>
        <w:t xml:space="preserve">18 Compared to the Year Ended </w:t>
      </w:r>
      <w:r w:rsidRPr="003A4344">
        <w:rPr>
          <w:b/>
          <w:bCs/>
          <w:i/>
          <w:iCs/>
          <w:sz w:val="20"/>
          <w:szCs w:val="20"/>
        </w:rPr>
        <w:t>December 31, 201</w:t>
      </w:r>
      <w:r>
        <w:rPr>
          <w:b/>
          <w:bCs/>
          <w:i/>
          <w:iCs/>
          <w:sz w:val="20"/>
          <w:szCs w:val="20"/>
        </w:rPr>
        <w:t xml:space="preserve">7 </w:t>
      </w:r>
    </w:p>
    <w:p w:rsidR="000121CD" w:rsidRPr="00565197" w:rsidRDefault="00601E53" w:rsidP="00CD5277">
      <w:pPr>
        <w:pStyle w:val="NormalWeb"/>
        <w:keepNext/>
        <w:spacing w:before="0" w:beforeAutospacing="0" w:after="90" w:afterAutospacing="0"/>
        <w:rPr>
          <w:bCs/>
          <w:iCs/>
          <w:sz w:val="20"/>
          <w:szCs w:val="20"/>
        </w:rPr>
      </w:pPr>
      <w:r w:rsidRPr="00565197">
        <w:rPr>
          <w:bCs/>
          <w:iCs/>
          <w:sz w:val="20"/>
          <w:szCs w:val="20"/>
        </w:rPr>
        <w:t>For discussion and analysis of fiscal year 2018 compared to fiscal year 2017, please refer to Item 7 of Part II, “Management’s Discussion and Analysis of Financial Condition and Results of Operations” in our Annual Report on Form 10-K for the fiscal year ended December 31, 2018</w:t>
      </w:r>
      <w:r w:rsidR="00565197" w:rsidRPr="00565197">
        <w:rPr>
          <w:bCs/>
          <w:iCs/>
          <w:sz w:val="20"/>
          <w:szCs w:val="20"/>
        </w:rPr>
        <w:t>, which was filed with the</w:t>
      </w:r>
      <w:r w:rsidR="00AB27B0">
        <w:rPr>
          <w:bCs/>
          <w:iCs/>
          <w:sz w:val="20"/>
          <w:szCs w:val="20"/>
        </w:rPr>
        <w:t xml:space="preserve"> Securities and Exchange Commission (“</w:t>
      </w:r>
      <w:r w:rsidR="00565197" w:rsidRPr="00565197">
        <w:rPr>
          <w:bCs/>
          <w:iCs/>
          <w:sz w:val="20"/>
          <w:szCs w:val="20"/>
        </w:rPr>
        <w:t>SEC</w:t>
      </w:r>
      <w:r w:rsidR="00AB27B0">
        <w:rPr>
          <w:bCs/>
          <w:iCs/>
          <w:sz w:val="20"/>
          <w:szCs w:val="20"/>
        </w:rPr>
        <w:t>”)</w:t>
      </w:r>
      <w:r w:rsidR="00565197" w:rsidRPr="00565197">
        <w:rPr>
          <w:bCs/>
          <w:iCs/>
          <w:sz w:val="20"/>
          <w:szCs w:val="20"/>
        </w:rPr>
        <w:t xml:space="preserve"> on February 15, 2019</w:t>
      </w:r>
      <w:r w:rsidR="00E6298E">
        <w:rPr>
          <w:bCs/>
          <w:iCs/>
          <w:sz w:val="20"/>
          <w:szCs w:val="20"/>
        </w:rPr>
        <w:t xml:space="preserve"> and is incorporated herein by reference</w:t>
      </w:r>
      <w:r w:rsidR="00565197" w:rsidRPr="00565197">
        <w:rPr>
          <w:bCs/>
          <w:iCs/>
          <w:sz w:val="20"/>
          <w:szCs w:val="20"/>
        </w:rPr>
        <w:t>.</w:t>
      </w:r>
    </w:p>
    <w:p w:rsidR="00601E53" w:rsidRDefault="00601E53">
      <w:pPr>
        <w:rPr>
          <w:b/>
          <w:bCs/>
          <w:i/>
          <w:iCs/>
          <w:sz w:val="20"/>
        </w:rPr>
      </w:pPr>
    </w:p>
    <w:p w:rsidR="000121CD" w:rsidRDefault="00590862" w:rsidP="00565197">
      <w:pPr>
        <w:pStyle w:val="NormalWeb"/>
        <w:keepNext/>
        <w:spacing w:before="0" w:beforeAutospacing="0" w:after="0" w:afterAutospacing="0"/>
        <w:rPr>
          <w:b/>
          <w:bCs/>
          <w:sz w:val="20"/>
          <w:szCs w:val="20"/>
        </w:rPr>
      </w:pPr>
      <w:r>
        <w:rPr>
          <w:b/>
          <w:bCs/>
          <w:sz w:val="20"/>
          <w:szCs w:val="20"/>
        </w:rPr>
        <w:t xml:space="preserve">Financial Condition and Cash Flows </w:t>
      </w:r>
    </w:p>
    <w:p w:rsidR="00565197" w:rsidRDefault="00565197" w:rsidP="00565197">
      <w:pPr>
        <w:pStyle w:val="NormalWeb"/>
        <w:keepNext/>
        <w:spacing w:before="0" w:beforeAutospacing="0" w:after="0" w:afterAutospacing="0"/>
        <w:rPr>
          <w:sz w:val="20"/>
          <w:szCs w:val="20"/>
        </w:rPr>
      </w:pPr>
    </w:p>
    <w:p w:rsidR="000121CD" w:rsidRDefault="00590862" w:rsidP="00565197">
      <w:pPr>
        <w:pStyle w:val="NormalWeb"/>
        <w:keepNext/>
        <w:spacing w:before="0" w:beforeAutospacing="0" w:after="0" w:afterAutospacing="0"/>
        <w:rPr>
          <w:sz w:val="20"/>
          <w:szCs w:val="20"/>
        </w:rPr>
      </w:pPr>
      <w:r>
        <w:rPr>
          <w:b/>
          <w:bCs/>
          <w:i/>
          <w:iCs/>
          <w:sz w:val="20"/>
          <w:szCs w:val="20"/>
        </w:rPr>
        <w:t xml:space="preserve">Cash Flows </w:t>
      </w:r>
    </w:p>
    <w:p w:rsidR="000121CD" w:rsidRDefault="00590862">
      <w:pPr>
        <w:pStyle w:val="NormalWeb"/>
        <w:keepNext/>
        <w:spacing w:before="90" w:beforeAutospacing="0" w:after="0" w:afterAutospacing="0"/>
        <w:rPr>
          <w:sz w:val="20"/>
          <w:szCs w:val="20"/>
        </w:rPr>
      </w:pPr>
      <w:r>
        <w:rPr>
          <w:sz w:val="20"/>
          <w:szCs w:val="20"/>
        </w:rPr>
        <w:t xml:space="preserve">The following table sets forth our cash flows for the periods indicated below (in millions): </w:t>
      </w:r>
    </w:p>
    <w:p w:rsidR="000121CD" w:rsidRDefault="000121CD">
      <w:pPr>
        <w:pStyle w:val="NormalWeb"/>
        <w:keepNext/>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6330"/>
        <w:gridCol w:w="356"/>
        <w:gridCol w:w="1760"/>
        <w:gridCol w:w="244"/>
        <w:gridCol w:w="356"/>
        <w:gridCol w:w="1754"/>
      </w:tblGrid>
      <w:tr w:rsidR="0018024C" w:rsidTr="0018024C">
        <w:trPr>
          <w:trHeight w:hRule="exact" w:val="20"/>
        </w:trPr>
        <w:tc>
          <w:tcPr>
            <w:tcW w:w="2930" w:type="pct"/>
            <w:tcBorders>
              <w:top w:val="nil"/>
              <w:left w:val="nil"/>
              <w:bottom w:val="nil"/>
              <w:right w:val="nil"/>
            </w:tcBorders>
            <w:shd w:val="clear" w:color="auto" w:fill="auto"/>
            <w:vAlign w:val="bottom"/>
          </w:tcPr>
          <w:p w:rsidR="0018024C" w:rsidRDefault="0018024C" w:rsidP="0018024C">
            <w:pPr>
              <w:keepNext/>
              <w:rPr>
                <w:sz w:val="2"/>
              </w:rPr>
            </w:pPr>
          </w:p>
        </w:tc>
        <w:tc>
          <w:tcPr>
            <w:tcW w:w="165" w:type="pct"/>
            <w:tcBorders>
              <w:top w:val="nil"/>
              <w:left w:val="nil"/>
              <w:bottom w:val="nil"/>
              <w:right w:val="nil"/>
            </w:tcBorders>
            <w:shd w:val="clear" w:color="auto" w:fill="auto"/>
            <w:vAlign w:val="bottom"/>
          </w:tcPr>
          <w:p w:rsidR="0018024C" w:rsidRDefault="0018024C" w:rsidP="0018024C">
            <w:pPr>
              <w:keepNext/>
              <w:rPr>
                <w:sz w:val="2"/>
              </w:rPr>
            </w:pPr>
          </w:p>
        </w:tc>
        <w:tc>
          <w:tcPr>
            <w:tcW w:w="815" w:type="pct"/>
            <w:tcBorders>
              <w:top w:val="nil"/>
              <w:left w:val="nil"/>
              <w:bottom w:val="nil"/>
              <w:right w:val="nil"/>
            </w:tcBorders>
            <w:shd w:val="clear" w:color="auto" w:fill="auto"/>
            <w:vAlign w:val="bottom"/>
          </w:tcPr>
          <w:p w:rsidR="0018024C" w:rsidRDefault="0018024C" w:rsidP="0018024C">
            <w:pPr>
              <w:keepNext/>
              <w:rPr>
                <w:sz w:val="2"/>
              </w:rPr>
            </w:pPr>
          </w:p>
        </w:tc>
        <w:tc>
          <w:tcPr>
            <w:tcW w:w="113" w:type="pct"/>
            <w:tcBorders>
              <w:top w:val="nil"/>
              <w:left w:val="nil"/>
              <w:bottom w:val="nil"/>
              <w:right w:val="nil"/>
            </w:tcBorders>
            <w:shd w:val="clear" w:color="auto" w:fill="auto"/>
            <w:vAlign w:val="bottom"/>
          </w:tcPr>
          <w:p w:rsidR="0018024C" w:rsidRDefault="0018024C" w:rsidP="0018024C">
            <w:pPr>
              <w:keepNext/>
              <w:rPr>
                <w:sz w:val="2"/>
              </w:rPr>
            </w:pPr>
          </w:p>
        </w:tc>
        <w:tc>
          <w:tcPr>
            <w:tcW w:w="165" w:type="pct"/>
            <w:tcBorders>
              <w:top w:val="nil"/>
              <w:left w:val="nil"/>
              <w:bottom w:val="nil"/>
              <w:right w:val="nil"/>
            </w:tcBorders>
            <w:shd w:val="clear" w:color="auto" w:fill="auto"/>
            <w:vAlign w:val="bottom"/>
          </w:tcPr>
          <w:p w:rsidR="0018024C" w:rsidRDefault="0018024C" w:rsidP="0018024C">
            <w:pPr>
              <w:keepNext/>
              <w:rPr>
                <w:sz w:val="2"/>
              </w:rPr>
            </w:pPr>
          </w:p>
        </w:tc>
        <w:tc>
          <w:tcPr>
            <w:tcW w:w="813" w:type="pct"/>
            <w:tcBorders>
              <w:top w:val="nil"/>
              <w:left w:val="nil"/>
              <w:bottom w:val="nil"/>
              <w:right w:val="nil"/>
            </w:tcBorders>
            <w:shd w:val="clear" w:color="auto" w:fill="auto"/>
            <w:vAlign w:val="bottom"/>
          </w:tcPr>
          <w:p w:rsidR="0018024C" w:rsidRDefault="0018024C" w:rsidP="0018024C">
            <w:pPr>
              <w:keepNext/>
              <w:rPr>
                <w:sz w:val="2"/>
              </w:rPr>
            </w:pPr>
          </w:p>
        </w:tc>
      </w:tr>
      <w:tr w:rsidR="0018024C" w:rsidTr="0018024C">
        <w:trPr>
          <w:trHeight w:hRule="exact" w:val="315"/>
        </w:trPr>
        <w:tc>
          <w:tcPr>
            <w:tcW w:w="2930" w:type="pct"/>
            <w:tcBorders>
              <w:top w:val="nil"/>
              <w:left w:val="nil"/>
              <w:bottom w:val="nil"/>
              <w:right w:val="nil"/>
              <w:tl2br w:val="nil"/>
              <w:tr2bl w:val="nil"/>
            </w:tcBorders>
            <w:shd w:val="clear" w:color="auto" w:fill="auto"/>
            <w:vAlign w:val="bottom"/>
          </w:tcPr>
          <w:p w:rsidR="0018024C" w:rsidRDefault="0018024C" w:rsidP="0018024C">
            <w:pPr>
              <w:keepNext/>
              <w:rPr>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18024C" w:rsidRDefault="0018024C" w:rsidP="0018024C">
            <w:pPr>
              <w:keepNext/>
              <w:jc w:val="center"/>
              <w:rPr>
                <w:b/>
                <w:color w:val="000000"/>
                <w:sz w:val="20"/>
              </w:rPr>
            </w:pPr>
            <w:r>
              <w:rPr>
                <w:b/>
                <w:color w:val="000000"/>
                <w:sz w:val="20"/>
              </w:rPr>
              <w:t xml:space="preserve">Year Ended December 31, </w:t>
            </w:r>
          </w:p>
        </w:tc>
      </w:tr>
      <w:tr w:rsidR="0018024C" w:rsidTr="0018024C">
        <w:trPr>
          <w:trHeight w:hRule="exact" w:val="255"/>
        </w:trPr>
        <w:tc>
          <w:tcPr>
            <w:tcW w:w="2930" w:type="pct"/>
            <w:tcBorders>
              <w:top w:val="nil"/>
              <w:left w:val="nil"/>
              <w:bottom w:val="nil"/>
              <w:right w:val="nil"/>
              <w:tl2br w:val="nil"/>
              <w:tr2bl w:val="nil"/>
            </w:tcBorders>
            <w:shd w:val="clear" w:color="auto" w:fill="auto"/>
            <w:vAlign w:val="bottom"/>
          </w:tcPr>
          <w:p w:rsidR="0018024C" w:rsidRDefault="0018024C" w:rsidP="0018024C">
            <w:pPr>
              <w:keepNext/>
              <w:rPr>
                <w:color w:val="000000"/>
                <w:sz w:val="20"/>
              </w:rPr>
            </w:pPr>
          </w:p>
        </w:tc>
        <w:tc>
          <w:tcPr>
            <w:tcW w:w="165" w:type="pct"/>
            <w:tcBorders>
              <w:top w:val="nil"/>
              <w:left w:val="nil"/>
              <w:bottom w:val="single" w:sz="12" w:space="0" w:color="000000"/>
              <w:right w:val="nil"/>
              <w:tl2br w:val="nil"/>
              <w:tr2bl w:val="nil"/>
            </w:tcBorders>
            <w:shd w:val="clear" w:color="auto" w:fill="auto"/>
            <w:vAlign w:val="bottom"/>
          </w:tcPr>
          <w:p w:rsidR="0018024C" w:rsidRDefault="0018024C" w:rsidP="0018024C">
            <w:pPr>
              <w:keepNext/>
              <w:rPr>
                <w:b/>
                <w:color w:val="000000"/>
                <w:sz w:val="20"/>
              </w:rPr>
            </w:pPr>
          </w:p>
        </w:tc>
        <w:tc>
          <w:tcPr>
            <w:tcW w:w="815" w:type="pct"/>
            <w:tcBorders>
              <w:top w:val="nil"/>
              <w:left w:val="nil"/>
              <w:bottom w:val="single" w:sz="12" w:space="0" w:color="000000"/>
              <w:right w:val="nil"/>
              <w:tl2br w:val="nil"/>
              <w:tr2bl w:val="nil"/>
            </w:tcBorders>
            <w:shd w:val="clear" w:color="auto" w:fill="auto"/>
            <w:vAlign w:val="bottom"/>
          </w:tcPr>
          <w:p w:rsidR="0018024C" w:rsidRDefault="0018024C" w:rsidP="0018024C">
            <w:pPr>
              <w:keepNext/>
              <w:jc w:val="center"/>
              <w:rPr>
                <w:b/>
                <w:color w:val="000000"/>
                <w:sz w:val="20"/>
              </w:rPr>
            </w:pPr>
            <w:r>
              <w:rPr>
                <w:b/>
                <w:color w:val="000000"/>
                <w:sz w:val="20"/>
              </w:rPr>
              <w:t>2019</w:t>
            </w:r>
          </w:p>
        </w:tc>
        <w:tc>
          <w:tcPr>
            <w:tcW w:w="113" w:type="pct"/>
            <w:tcBorders>
              <w:top w:val="nil"/>
              <w:left w:val="nil"/>
              <w:bottom w:val="nil"/>
              <w:right w:val="nil"/>
              <w:tl2br w:val="nil"/>
              <w:tr2bl w:val="nil"/>
            </w:tcBorders>
            <w:shd w:val="clear" w:color="auto" w:fill="auto"/>
            <w:vAlign w:val="bottom"/>
          </w:tcPr>
          <w:p w:rsidR="0018024C" w:rsidRDefault="0018024C" w:rsidP="0018024C">
            <w:pPr>
              <w:keepNext/>
              <w:jc w:val="center"/>
              <w:rPr>
                <w:color w:val="000000"/>
                <w:sz w:val="20"/>
              </w:rPr>
            </w:pPr>
          </w:p>
        </w:tc>
        <w:tc>
          <w:tcPr>
            <w:tcW w:w="165" w:type="pct"/>
            <w:tcBorders>
              <w:top w:val="nil"/>
              <w:left w:val="nil"/>
              <w:bottom w:val="single" w:sz="12" w:space="0" w:color="000000"/>
              <w:right w:val="nil"/>
              <w:tl2br w:val="nil"/>
              <w:tr2bl w:val="nil"/>
            </w:tcBorders>
            <w:shd w:val="clear" w:color="auto" w:fill="auto"/>
            <w:vAlign w:val="bottom"/>
          </w:tcPr>
          <w:p w:rsidR="0018024C" w:rsidRDefault="0018024C" w:rsidP="0018024C">
            <w:pPr>
              <w:keepNext/>
              <w:rPr>
                <w:color w:val="000000"/>
                <w:sz w:val="20"/>
              </w:rPr>
            </w:pPr>
          </w:p>
        </w:tc>
        <w:tc>
          <w:tcPr>
            <w:tcW w:w="813" w:type="pct"/>
            <w:tcBorders>
              <w:top w:val="nil"/>
              <w:left w:val="nil"/>
              <w:bottom w:val="single" w:sz="12" w:space="0" w:color="000000"/>
              <w:right w:val="nil"/>
              <w:tl2br w:val="nil"/>
              <w:tr2bl w:val="nil"/>
            </w:tcBorders>
            <w:shd w:val="clear" w:color="auto" w:fill="auto"/>
            <w:vAlign w:val="bottom"/>
          </w:tcPr>
          <w:p w:rsidR="0018024C" w:rsidRDefault="0018024C" w:rsidP="0018024C">
            <w:pPr>
              <w:keepNext/>
              <w:jc w:val="center"/>
              <w:rPr>
                <w:b/>
                <w:color w:val="000000"/>
                <w:sz w:val="20"/>
              </w:rPr>
            </w:pPr>
            <w:r>
              <w:rPr>
                <w:b/>
                <w:color w:val="000000"/>
                <w:sz w:val="20"/>
              </w:rPr>
              <w:t>2018</w:t>
            </w:r>
          </w:p>
        </w:tc>
      </w:tr>
      <w:tr w:rsidR="0018024C" w:rsidTr="0018024C">
        <w:trPr>
          <w:trHeight w:hRule="exact" w:val="255"/>
        </w:trPr>
        <w:tc>
          <w:tcPr>
            <w:tcW w:w="2930" w:type="pct"/>
            <w:tcBorders>
              <w:top w:val="nil"/>
              <w:left w:val="nil"/>
              <w:bottom w:val="nil"/>
              <w:right w:val="nil"/>
              <w:tl2br w:val="nil"/>
              <w:tr2bl w:val="nil"/>
            </w:tcBorders>
            <w:shd w:val="clear" w:color="auto" w:fill="CCEEFF"/>
            <w:vAlign w:val="bottom"/>
          </w:tcPr>
          <w:p w:rsidR="0018024C" w:rsidRDefault="0018024C" w:rsidP="0018024C">
            <w:pPr>
              <w:keepNext/>
              <w:rPr>
                <w:color w:val="000000"/>
                <w:sz w:val="20"/>
              </w:rPr>
            </w:pPr>
            <w:r>
              <w:rPr>
                <w:color w:val="000000"/>
                <w:sz w:val="20"/>
              </w:rPr>
              <w:t>Net cash provided by (used in):</w:t>
            </w:r>
          </w:p>
        </w:tc>
        <w:tc>
          <w:tcPr>
            <w:tcW w:w="165"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rPr>
                <w:b/>
                <w:color w:val="000000"/>
                <w:sz w:val="20"/>
              </w:rPr>
            </w:pPr>
          </w:p>
        </w:tc>
        <w:tc>
          <w:tcPr>
            <w:tcW w:w="815"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rPr>
                <w:b/>
                <w:color w:val="000000"/>
                <w:sz w:val="20"/>
              </w:rPr>
            </w:pPr>
          </w:p>
        </w:tc>
        <w:tc>
          <w:tcPr>
            <w:tcW w:w="113" w:type="pct"/>
            <w:tcBorders>
              <w:top w:val="nil"/>
              <w:left w:val="nil"/>
              <w:bottom w:val="nil"/>
              <w:right w:val="nil"/>
              <w:tl2br w:val="nil"/>
              <w:tr2bl w:val="nil"/>
            </w:tcBorders>
            <w:shd w:val="clear" w:color="auto" w:fill="CCEEFF"/>
            <w:vAlign w:val="bottom"/>
          </w:tcPr>
          <w:p w:rsidR="0018024C" w:rsidRDefault="0018024C" w:rsidP="0018024C">
            <w:pPr>
              <w:keepNext/>
              <w:rPr>
                <w:color w:val="000000"/>
                <w:sz w:val="20"/>
              </w:rPr>
            </w:pPr>
          </w:p>
        </w:tc>
        <w:tc>
          <w:tcPr>
            <w:tcW w:w="165"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rPr>
                <w:color w:val="000000"/>
                <w:sz w:val="20"/>
              </w:rPr>
            </w:pPr>
          </w:p>
        </w:tc>
        <w:tc>
          <w:tcPr>
            <w:tcW w:w="813" w:type="pct"/>
            <w:tcBorders>
              <w:top w:val="single" w:sz="0" w:space="0" w:color="000000"/>
              <w:left w:val="nil"/>
              <w:bottom w:val="nil"/>
              <w:right w:val="nil"/>
              <w:tl2br w:val="nil"/>
              <w:tr2bl w:val="nil"/>
            </w:tcBorders>
            <w:shd w:val="clear" w:color="auto" w:fill="CCEEFF"/>
            <w:vAlign w:val="bottom"/>
          </w:tcPr>
          <w:p w:rsidR="0018024C" w:rsidRDefault="0018024C" w:rsidP="0018024C">
            <w:pPr>
              <w:keepNext/>
              <w:rPr>
                <w:color w:val="000000"/>
                <w:sz w:val="20"/>
              </w:rPr>
            </w:pPr>
          </w:p>
        </w:tc>
      </w:tr>
      <w:tr w:rsidR="0018024C" w:rsidTr="0018024C">
        <w:trPr>
          <w:trHeight w:hRule="exact" w:val="255"/>
        </w:trPr>
        <w:tc>
          <w:tcPr>
            <w:tcW w:w="2930" w:type="pct"/>
            <w:tcBorders>
              <w:top w:val="nil"/>
              <w:left w:val="nil"/>
              <w:bottom w:val="nil"/>
              <w:right w:val="nil"/>
              <w:tl2br w:val="nil"/>
              <w:tr2bl w:val="nil"/>
            </w:tcBorders>
            <w:vAlign w:val="bottom"/>
          </w:tcPr>
          <w:p w:rsidR="0018024C" w:rsidRDefault="0018024C" w:rsidP="0018024C">
            <w:pPr>
              <w:keepNext/>
              <w:rPr>
                <w:sz w:val="20"/>
              </w:rPr>
            </w:pPr>
            <w:r>
              <w:rPr>
                <w:sz w:val="20"/>
              </w:rPr>
              <w:t xml:space="preserve">   Operating activities</w:t>
            </w:r>
          </w:p>
        </w:tc>
        <w:tc>
          <w:tcPr>
            <w:tcW w:w="165" w:type="pct"/>
            <w:tcBorders>
              <w:top w:val="nil"/>
              <w:left w:val="nil"/>
              <w:bottom w:val="nil"/>
              <w:right w:val="nil"/>
              <w:tl2br w:val="nil"/>
              <w:tr2bl w:val="nil"/>
            </w:tcBorders>
            <w:vAlign w:val="bottom"/>
          </w:tcPr>
          <w:p w:rsidR="0018024C" w:rsidRDefault="0018024C" w:rsidP="0018024C">
            <w:pPr>
              <w:keepNext/>
              <w:rPr>
                <w:b/>
                <w:sz w:val="20"/>
              </w:rPr>
            </w:pPr>
            <w:r>
              <w:rPr>
                <w:b/>
                <w:sz w:val="20"/>
              </w:rPr>
              <w:t>$</w:t>
            </w:r>
          </w:p>
        </w:tc>
        <w:tc>
          <w:tcPr>
            <w:tcW w:w="815" w:type="pct"/>
            <w:tcBorders>
              <w:top w:val="nil"/>
              <w:left w:val="nil"/>
              <w:bottom w:val="nil"/>
              <w:right w:val="nil"/>
              <w:tl2br w:val="nil"/>
              <w:tr2bl w:val="nil"/>
            </w:tcBorders>
            <w:vAlign w:val="bottom"/>
          </w:tcPr>
          <w:p w:rsidR="0018024C" w:rsidRDefault="0018024C" w:rsidP="0018024C">
            <w:pPr>
              <w:keepNext/>
              <w:ind w:right="63"/>
              <w:jc w:val="right"/>
              <w:rPr>
                <w:b/>
                <w:color w:val="000000"/>
                <w:sz w:val="20"/>
              </w:rPr>
            </w:pPr>
            <w:r>
              <w:rPr>
                <w:b/>
                <w:color w:val="000000"/>
                <w:sz w:val="20"/>
              </w:rPr>
              <w:t xml:space="preserve"> 242</w:t>
            </w:r>
          </w:p>
        </w:tc>
        <w:tc>
          <w:tcPr>
            <w:tcW w:w="113" w:type="pct"/>
            <w:tcBorders>
              <w:top w:val="nil"/>
              <w:left w:val="nil"/>
              <w:bottom w:val="nil"/>
              <w:right w:val="nil"/>
              <w:tl2br w:val="nil"/>
              <w:tr2bl w:val="nil"/>
            </w:tcBorders>
            <w:vAlign w:val="bottom"/>
          </w:tcPr>
          <w:p w:rsidR="0018024C" w:rsidRDefault="0018024C" w:rsidP="0018024C">
            <w:pPr>
              <w:keepNext/>
              <w:rPr>
                <w:color w:val="000000"/>
                <w:sz w:val="20"/>
              </w:rPr>
            </w:pPr>
          </w:p>
        </w:tc>
        <w:tc>
          <w:tcPr>
            <w:tcW w:w="165" w:type="pct"/>
            <w:tcBorders>
              <w:top w:val="nil"/>
              <w:left w:val="nil"/>
              <w:bottom w:val="nil"/>
              <w:right w:val="nil"/>
              <w:tl2br w:val="nil"/>
              <w:tr2bl w:val="nil"/>
            </w:tcBorders>
            <w:vAlign w:val="bottom"/>
          </w:tcPr>
          <w:p w:rsidR="0018024C" w:rsidRDefault="0018024C" w:rsidP="0018024C">
            <w:pPr>
              <w:keepNext/>
              <w:rPr>
                <w:sz w:val="20"/>
              </w:rPr>
            </w:pPr>
            <w:r>
              <w:rPr>
                <w:sz w:val="20"/>
              </w:rPr>
              <w:t>$</w:t>
            </w:r>
          </w:p>
        </w:tc>
        <w:tc>
          <w:tcPr>
            <w:tcW w:w="813" w:type="pct"/>
            <w:tcBorders>
              <w:top w:val="nil"/>
              <w:left w:val="nil"/>
              <w:bottom w:val="nil"/>
              <w:right w:val="nil"/>
              <w:tl2br w:val="nil"/>
              <w:tr2bl w:val="nil"/>
            </w:tcBorders>
            <w:vAlign w:val="bottom"/>
          </w:tcPr>
          <w:p w:rsidR="0018024C" w:rsidRDefault="0018024C" w:rsidP="0018024C">
            <w:pPr>
              <w:keepNext/>
              <w:ind w:right="3"/>
              <w:jc w:val="right"/>
              <w:rPr>
                <w:color w:val="000000"/>
                <w:sz w:val="20"/>
              </w:rPr>
            </w:pPr>
            <w:r>
              <w:rPr>
                <w:color w:val="000000"/>
                <w:sz w:val="20"/>
              </w:rPr>
              <w:t xml:space="preserve"> (11)</w:t>
            </w:r>
          </w:p>
        </w:tc>
      </w:tr>
      <w:tr w:rsidR="0018024C" w:rsidTr="0018024C">
        <w:trPr>
          <w:trHeight w:hRule="exact" w:val="255"/>
        </w:trPr>
        <w:tc>
          <w:tcPr>
            <w:tcW w:w="2930" w:type="pct"/>
            <w:tcBorders>
              <w:top w:val="nil"/>
              <w:left w:val="nil"/>
              <w:bottom w:val="nil"/>
              <w:right w:val="nil"/>
              <w:tl2br w:val="nil"/>
              <w:tr2bl w:val="nil"/>
            </w:tcBorders>
            <w:shd w:val="clear" w:color="auto" w:fill="CCEEFF"/>
            <w:vAlign w:val="bottom"/>
          </w:tcPr>
          <w:p w:rsidR="0018024C" w:rsidRDefault="0018024C" w:rsidP="0018024C">
            <w:pPr>
              <w:keepNext/>
              <w:rPr>
                <w:sz w:val="20"/>
              </w:rPr>
            </w:pPr>
            <w:r>
              <w:rPr>
                <w:sz w:val="20"/>
              </w:rPr>
              <w:t xml:space="preserve">   Investing activities</w:t>
            </w:r>
          </w:p>
        </w:tc>
        <w:tc>
          <w:tcPr>
            <w:tcW w:w="165" w:type="pct"/>
            <w:tcBorders>
              <w:top w:val="nil"/>
              <w:left w:val="nil"/>
              <w:bottom w:val="nil"/>
              <w:right w:val="nil"/>
              <w:tl2br w:val="nil"/>
              <w:tr2bl w:val="nil"/>
            </w:tcBorders>
            <w:shd w:val="clear" w:color="auto" w:fill="CCEEFF"/>
            <w:vAlign w:val="bottom"/>
          </w:tcPr>
          <w:p w:rsidR="0018024C" w:rsidRDefault="0018024C" w:rsidP="0018024C">
            <w:pPr>
              <w:keepNext/>
              <w:rPr>
                <w:b/>
                <w:sz w:val="20"/>
              </w:rPr>
            </w:pPr>
          </w:p>
        </w:tc>
        <w:tc>
          <w:tcPr>
            <w:tcW w:w="815" w:type="pct"/>
            <w:tcBorders>
              <w:top w:val="nil"/>
              <w:left w:val="nil"/>
              <w:bottom w:val="nil"/>
              <w:right w:val="nil"/>
              <w:tl2br w:val="nil"/>
              <w:tr2bl w:val="nil"/>
            </w:tcBorders>
            <w:shd w:val="clear" w:color="auto" w:fill="CCEEFF"/>
            <w:vAlign w:val="bottom"/>
          </w:tcPr>
          <w:p w:rsidR="0018024C" w:rsidRDefault="0018024C" w:rsidP="0018024C">
            <w:pPr>
              <w:keepNext/>
              <w:jc w:val="right"/>
              <w:rPr>
                <w:b/>
                <w:color w:val="000000"/>
                <w:sz w:val="20"/>
              </w:rPr>
            </w:pPr>
            <w:r>
              <w:rPr>
                <w:b/>
                <w:color w:val="000000"/>
                <w:sz w:val="20"/>
              </w:rPr>
              <w:t xml:space="preserve"> (16)</w:t>
            </w:r>
          </w:p>
        </w:tc>
        <w:tc>
          <w:tcPr>
            <w:tcW w:w="113" w:type="pct"/>
            <w:tcBorders>
              <w:top w:val="nil"/>
              <w:left w:val="nil"/>
              <w:bottom w:val="nil"/>
              <w:right w:val="nil"/>
              <w:tl2br w:val="nil"/>
              <w:tr2bl w:val="nil"/>
            </w:tcBorders>
            <w:shd w:val="clear" w:color="auto" w:fill="CCEEFF"/>
            <w:vAlign w:val="bottom"/>
          </w:tcPr>
          <w:p w:rsidR="0018024C" w:rsidRDefault="0018024C" w:rsidP="0018024C">
            <w:pPr>
              <w:keepNext/>
              <w:rPr>
                <w:color w:val="000000"/>
                <w:sz w:val="20"/>
              </w:rPr>
            </w:pPr>
          </w:p>
        </w:tc>
        <w:tc>
          <w:tcPr>
            <w:tcW w:w="165" w:type="pct"/>
            <w:tcBorders>
              <w:top w:val="nil"/>
              <w:left w:val="nil"/>
              <w:bottom w:val="nil"/>
              <w:right w:val="nil"/>
              <w:tl2br w:val="nil"/>
              <w:tr2bl w:val="nil"/>
            </w:tcBorders>
            <w:shd w:val="clear" w:color="auto" w:fill="CCEEFF"/>
            <w:vAlign w:val="bottom"/>
          </w:tcPr>
          <w:p w:rsidR="0018024C" w:rsidRDefault="0018024C" w:rsidP="0018024C">
            <w:pPr>
              <w:keepNext/>
              <w:rPr>
                <w:sz w:val="20"/>
              </w:rPr>
            </w:pPr>
          </w:p>
        </w:tc>
        <w:tc>
          <w:tcPr>
            <w:tcW w:w="813" w:type="pct"/>
            <w:tcBorders>
              <w:top w:val="nil"/>
              <w:left w:val="nil"/>
              <w:bottom w:val="nil"/>
              <w:right w:val="nil"/>
              <w:tl2br w:val="nil"/>
              <w:tr2bl w:val="nil"/>
            </w:tcBorders>
            <w:shd w:val="clear" w:color="auto" w:fill="CCEEFF"/>
            <w:vAlign w:val="bottom"/>
          </w:tcPr>
          <w:p w:rsidR="0018024C" w:rsidRDefault="0018024C" w:rsidP="0018024C">
            <w:pPr>
              <w:keepNext/>
              <w:ind w:right="3"/>
              <w:jc w:val="right"/>
              <w:rPr>
                <w:color w:val="000000"/>
                <w:sz w:val="20"/>
              </w:rPr>
            </w:pPr>
            <w:r>
              <w:rPr>
                <w:color w:val="000000"/>
                <w:sz w:val="20"/>
              </w:rPr>
              <w:t xml:space="preserve"> (14)</w:t>
            </w:r>
          </w:p>
        </w:tc>
      </w:tr>
      <w:tr w:rsidR="0018024C" w:rsidTr="0018024C">
        <w:trPr>
          <w:trHeight w:hRule="exact" w:val="255"/>
        </w:trPr>
        <w:tc>
          <w:tcPr>
            <w:tcW w:w="2930" w:type="pct"/>
            <w:tcBorders>
              <w:top w:val="nil"/>
              <w:left w:val="nil"/>
              <w:bottom w:val="nil"/>
              <w:right w:val="nil"/>
              <w:tl2br w:val="nil"/>
              <w:tr2bl w:val="nil"/>
            </w:tcBorders>
            <w:vAlign w:val="bottom"/>
          </w:tcPr>
          <w:p w:rsidR="0018024C" w:rsidRDefault="0018024C" w:rsidP="0018024C">
            <w:pPr>
              <w:keepNext/>
              <w:rPr>
                <w:sz w:val="20"/>
              </w:rPr>
            </w:pPr>
            <w:r>
              <w:rPr>
                <w:sz w:val="20"/>
              </w:rPr>
              <w:t xml:space="preserve">   Financing activities</w:t>
            </w:r>
          </w:p>
        </w:tc>
        <w:tc>
          <w:tcPr>
            <w:tcW w:w="165" w:type="pct"/>
            <w:tcBorders>
              <w:top w:val="nil"/>
              <w:left w:val="nil"/>
              <w:bottom w:val="single" w:sz="12" w:space="0" w:color="000000"/>
              <w:right w:val="nil"/>
              <w:tl2br w:val="nil"/>
              <w:tr2bl w:val="nil"/>
            </w:tcBorders>
            <w:vAlign w:val="bottom"/>
          </w:tcPr>
          <w:p w:rsidR="0018024C" w:rsidRDefault="0018024C" w:rsidP="0018024C">
            <w:pPr>
              <w:keepNext/>
              <w:rPr>
                <w:b/>
                <w:sz w:val="20"/>
              </w:rPr>
            </w:pPr>
          </w:p>
        </w:tc>
        <w:tc>
          <w:tcPr>
            <w:tcW w:w="815" w:type="pct"/>
            <w:tcBorders>
              <w:top w:val="nil"/>
              <w:left w:val="nil"/>
              <w:bottom w:val="single" w:sz="12" w:space="0" w:color="000000"/>
              <w:right w:val="nil"/>
              <w:tl2br w:val="nil"/>
              <w:tr2bl w:val="nil"/>
            </w:tcBorders>
            <w:vAlign w:val="bottom"/>
          </w:tcPr>
          <w:p w:rsidR="0018024C" w:rsidRDefault="0018024C" w:rsidP="0018024C">
            <w:pPr>
              <w:keepNext/>
              <w:jc w:val="right"/>
              <w:rPr>
                <w:b/>
                <w:color w:val="000000"/>
                <w:sz w:val="20"/>
              </w:rPr>
            </w:pPr>
            <w:r>
              <w:rPr>
                <w:b/>
                <w:color w:val="000000"/>
                <w:sz w:val="20"/>
              </w:rPr>
              <w:t xml:space="preserve"> (238)</w:t>
            </w:r>
          </w:p>
        </w:tc>
        <w:tc>
          <w:tcPr>
            <w:tcW w:w="113" w:type="pct"/>
            <w:tcBorders>
              <w:top w:val="nil"/>
              <w:left w:val="nil"/>
              <w:bottom w:val="nil"/>
              <w:right w:val="nil"/>
              <w:tl2br w:val="nil"/>
              <w:tr2bl w:val="nil"/>
            </w:tcBorders>
            <w:vAlign w:val="bottom"/>
          </w:tcPr>
          <w:p w:rsidR="0018024C" w:rsidRDefault="0018024C" w:rsidP="0018024C">
            <w:pPr>
              <w:keepNext/>
              <w:rPr>
                <w:color w:val="000000"/>
                <w:sz w:val="20"/>
              </w:rPr>
            </w:pPr>
          </w:p>
        </w:tc>
        <w:tc>
          <w:tcPr>
            <w:tcW w:w="165" w:type="pct"/>
            <w:tcBorders>
              <w:top w:val="nil"/>
              <w:left w:val="nil"/>
              <w:bottom w:val="single" w:sz="12" w:space="0" w:color="000000"/>
              <w:right w:val="nil"/>
              <w:tl2br w:val="nil"/>
              <w:tr2bl w:val="nil"/>
            </w:tcBorders>
            <w:vAlign w:val="bottom"/>
          </w:tcPr>
          <w:p w:rsidR="0018024C" w:rsidRDefault="0018024C" w:rsidP="0018024C">
            <w:pPr>
              <w:keepNext/>
              <w:rPr>
                <w:sz w:val="20"/>
              </w:rPr>
            </w:pPr>
          </w:p>
        </w:tc>
        <w:tc>
          <w:tcPr>
            <w:tcW w:w="813" w:type="pct"/>
            <w:tcBorders>
              <w:top w:val="nil"/>
              <w:left w:val="nil"/>
              <w:bottom w:val="single" w:sz="12" w:space="0" w:color="000000"/>
              <w:right w:val="nil"/>
              <w:tl2br w:val="nil"/>
              <w:tr2bl w:val="nil"/>
            </w:tcBorders>
            <w:vAlign w:val="bottom"/>
          </w:tcPr>
          <w:p w:rsidR="0018024C" w:rsidRDefault="0018024C" w:rsidP="0018024C">
            <w:pPr>
              <w:keepNext/>
              <w:ind w:right="65"/>
              <w:jc w:val="right"/>
              <w:rPr>
                <w:color w:val="000000"/>
                <w:sz w:val="20"/>
              </w:rPr>
            </w:pPr>
            <w:r>
              <w:rPr>
                <w:color w:val="000000"/>
                <w:sz w:val="20"/>
              </w:rPr>
              <w:t xml:space="preserve"> 24</w:t>
            </w:r>
          </w:p>
        </w:tc>
      </w:tr>
      <w:tr w:rsidR="0018024C" w:rsidTr="0018024C">
        <w:trPr>
          <w:trHeight w:hRule="exact" w:val="255"/>
        </w:trPr>
        <w:tc>
          <w:tcPr>
            <w:tcW w:w="2930" w:type="pct"/>
            <w:tcBorders>
              <w:top w:val="nil"/>
              <w:left w:val="nil"/>
              <w:bottom w:val="nil"/>
              <w:right w:val="nil"/>
              <w:tl2br w:val="nil"/>
              <w:tr2bl w:val="nil"/>
            </w:tcBorders>
            <w:shd w:val="clear" w:color="auto" w:fill="CCEEFF"/>
            <w:vAlign w:val="bottom"/>
          </w:tcPr>
          <w:p w:rsidR="0018024C" w:rsidRDefault="0018024C" w:rsidP="0018024C">
            <w:pPr>
              <w:keepNext/>
              <w:rPr>
                <w:sz w:val="20"/>
              </w:rPr>
            </w:pPr>
            <w:r>
              <w:rPr>
                <w:sz w:val="20"/>
              </w:rPr>
              <w:t>Net cash used:</w:t>
            </w:r>
          </w:p>
        </w:tc>
        <w:tc>
          <w:tcPr>
            <w:tcW w:w="165"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keepNext/>
              <w:rPr>
                <w:b/>
                <w:sz w:val="20"/>
              </w:rPr>
            </w:pPr>
            <w:r>
              <w:rPr>
                <w:b/>
                <w:sz w:val="20"/>
              </w:rPr>
              <w:t>$</w:t>
            </w:r>
          </w:p>
        </w:tc>
        <w:tc>
          <w:tcPr>
            <w:tcW w:w="815"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keepNext/>
              <w:jc w:val="right"/>
              <w:rPr>
                <w:b/>
                <w:color w:val="000000"/>
                <w:sz w:val="20"/>
              </w:rPr>
            </w:pPr>
            <w:r>
              <w:rPr>
                <w:b/>
                <w:color w:val="000000"/>
                <w:sz w:val="20"/>
              </w:rPr>
              <w:t xml:space="preserve"> (12)</w:t>
            </w:r>
          </w:p>
        </w:tc>
        <w:tc>
          <w:tcPr>
            <w:tcW w:w="113" w:type="pct"/>
            <w:tcBorders>
              <w:top w:val="nil"/>
              <w:left w:val="nil"/>
              <w:bottom w:val="nil"/>
              <w:right w:val="nil"/>
              <w:tl2br w:val="nil"/>
              <w:tr2bl w:val="nil"/>
            </w:tcBorders>
            <w:shd w:val="clear" w:color="auto" w:fill="CCEEFF"/>
            <w:vAlign w:val="bottom"/>
          </w:tcPr>
          <w:p w:rsidR="0018024C" w:rsidRDefault="0018024C" w:rsidP="0018024C">
            <w:pPr>
              <w:keepNext/>
              <w:rPr>
                <w:color w:val="000000"/>
                <w:sz w:val="20"/>
              </w:rPr>
            </w:pPr>
          </w:p>
        </w:tc>
        <w:tc>
          <w:tcPr>
            <w:tcW w:w="165"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keepNext/>
              <w:rPr>
                <w:sz w:val="20"/>
              </w:rPr>
            </w:pPr>
            <w:r>
              <w:rPr>
                <w:sz w:val="20"/>
              </w:rPr>
              <w:t>$</w:t>
            </w:r>
          </w:p>
        </w:tc>
        <w:tc>
          <w:tcPr>
            <w:tcW w:w="813"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keepNext/>
              <w:ind w:right="3"/>
              <w:jc w:val="right"/>
              <w:rPr>
                <w:color w:val="000000"/>
                <w:sz w:val="20"/>
              </w:rPr>
            </w:pPr>
            <w:r>
              <w:rPr>
                <w:color w:val="000000"/>
                <w:sz w:val="20"/>
              </w:rPr>
              <w:t xml:space="preserve"> (1)</w:t>
            </w:r>
          </w:p>
        </w:tc>
      </w:tr>
    </w:tbl>
    <w:p w:rsidR="000121CD" w:rsidRDefault="000121CD"/>
    <w:p w:rsidR="000121CD" w:rsidRDefault="00590862">
      <w:pPr>
        <w:pStyle w:val="NormalWeb"/>
        <w:keepNext/>
        <w:spacing w:before="0" w:beforeAutospacing="0" w:after="0" w:afterAutospacing="0"/>
        <w:rPr>
          <w:sz w:val="20"/>
          <w:szCs w:val="20"/>
        </w:rPr>
      </w:pPr>
      <w:r>
        <w:rPr>
          <w:b/>
          <w:i/>
          <w:sz w:val="20"/>
          <w:szCs w:val="20"/>
        </w:rPr>
        <w:t>O</w:t>
      </w:r>
      <w:r>
        <w:rPr>
          <w:b/>
          <w:bCs/>
          <w:i/>
          <w:iCs/>
          <w:sz w:val="20"/>
          <w:szCs w:val="20"/>
        </w:rPr>
        <w:t xml:space="preserve">perating Activities </w:t>
      </w:r>
    </w:p>
    <w:p w:rsidR="0068771A" w:rsidRPr="0068771A" w:rsidRDefault="00590862" w:rsidP="0068771A">
      <w:pPr>
        <w:pStyle w:val="PlainText"/>
        <w:spacing w:before="120" w:after="200"/>
        <w:rPr>
          <w:rFonts w:ascii="Times New Roman" w:hAnsi="Times New Roman" w:cs="Times New Roman"/>
          <w:sz w:val="20"/>
          <w:szCs w:val="20"/>
        </w:rPr>
      </w:pPr>
      <w:r>
        <w:rPr>
          <w:rFonts w:ascii="Times New Roman" w:hAnsi="Times New Roman" w:cs="Times New Roman"/>
          <w:sz w:val="20"/>
          <w:szCs w:val="20"/>
        </w:rPr>
        <w:t xml:space="preserve">Net cash </w:t>
      </w:r>
      <w:r w:rsidR="0068771A">
        <w:rPr>
          <w:rFonts w:ascii="Times New Roman" w:hAnsi="Times New Roman" w:cs="Times New Roman"/>
          <w:sz w:val="20"/>
          <w:szCs w:val="20"/>
        </w:rPr>
        <w:t>provided by</w:t>
      </w:r>
      <w:r>
        <w:rPr>
          <w:rFonts w:ascii="Times New Roman" w:hAnsi="Times New Roman" w:cs="Times New Roman"/>
          <w:sz w:val="20"/>
          <w:szCs w:val="20"/>
        </w:rPr>
        <w:t xml:space="preserve"> operating activities was $</w:t>
      </w:r>
      <w:r w:rsidR="002C1865">
        <w:rPr>
          <w:rFonts w:ascii="Times New Roman" w:hAnsi="Times New Roman" w:cs="Times New Roman"/>
          <w:sz w:val="20"/>
          <w:szCs w:val="20"/>
        </w:rPr>
        <w:t>242</w:t>
      </w:r>
      <w:r w:rsidR="0068771A">
        <w:rPr>
          <w:rFonts w:ascii="Times New Roman" w:hAnsi="Times New Roman" w:cs="Times New Roman"/>
          <w:sz w:val="20"/>
          <w:szCs w:val="20"/>
        </w:rPr>
        <w:t xml:space="preserve"> </w:t>
      </w:r>
      <w:r>
        <w:rPr>
          <w:rFonts w:ascii="Times New Roman" w:hAnsi="Times New Roman" w:cs="Times New Roman"/>
          <w:sz w:val="20"/>
          <w:szCs w:val="20"/>
        </w:rPr>
        <w:t xml:space="preserve">million in </w:t>
      </w:r>
      <w:r w:rsidR="003627E3" w:rsidRPr="003A4344">
        <w:rPr>
          <w:rFonts w:ascii="Times New Roman" w:hAnsi="Times New Roman" w:cs="Times New Roman"/>
          <w:sz w:val="20"/>
          <w:szCs w:val="20"/>
        </w:rPr>
        <w:t>2019</w:t>
      </w:r>
      <w:r>
        <w:rPr>
          <w:rFonts w:ascii="Times New Roman" w:hAnsi="Times New Roman" w:cs="Times New Roman"/>
          <w:sz w:val="20"/>
          <w:szCs w:val="20"/>
        </w:rPr>
        <w:t xml:space="preserve"> compared to $</w:t>
      </w:r>
      <w:r w:rsidR="003627E3" w:rsidRPr="003A4344">
        <w:rPr>
          <w:rFonts w:ascii="Times New Roman" w:hAnsi="Times New Roman" w:cs="Times New Roman"/>
          <w:sz w:val="20"/>
          <w:szCs w:val="20"/>
        </w:rPr>
        <w:t>11</w:t>
      </w:r>
      <w:r>
        <w:rPr>
          <w:rFonts w:ascii="Times New Roman" w:hAnsi="Times New Roman" w:cs="Times New Roman"/>
          <w:sz w:val="20"/>
          <w:szCs w:val="20"/>
        </w:rPr>
        <w:t xml:space="preserve"> million </w:t>
      </w:r>
      <w:r w:rsidR="0068771A">
        <w:rPr>
          <w:rFonts w:ascii="Times New Roman" w:hAnsi="Times New Roman" w:cs="Times New Roman"/>
          <w:sz w:val="20"/>
          <w:szCs w:val="20"/>
        </w:rPr>
        <w:t xml:space="preserve">used in operating activities </w:t>
      </w:r>
      <w:r>
        <w:rPr>
          <w:rFonts w:ascii="Times New Roman" w:hAnsi="Times New Roman" w:cs="Times New Roman"/>
          <w:sz w:val="20"/>
          <w:szCs w:val="20"/>
        </w:rPr>
        <w:t xml:space="preserve">in </w:t>
      </w:r>
      <w:r w:rsidR="003627E3" w:rsidRPr="003A4344">
        <w:rPr>
          <w:rFonts w:ascii="Times New Roman" w:hAnsi="Times New Roman" w:cs="Times New Roman"/>
          <w:sz w:val="20"/>
          <w:szCs w:val="20"/>
        </w:rPr>
        <w:t>2018</w:t>
      </w:r>
      <w:r>
        <w:rPr>
          <w:rFonts w:ascii="Times New Roman" w:hAnsi="Times New Roman" w:cs="Times New Roman"/>
          <w:sz w:val="20"/>
          <w:szCs w:val="20"/>
        </w:rPr>
        <w:t xml:space="preserve">. </w:t>
      </w:r>
      <w:r w:rsidR="0068771A" w:rsidRPr="0068771A">
        <w:rPr>
          <w:rFonts w:ascii="Times New Roman" w:hAnsi="Times New Roman" w:cs="Times New Roman"/>
          <w:sz w:val="20"/>
          <w:szCs w:val="20"/>
        </w:rPr>
        <w:t xml:space="preserve">The change in operating cash flows was primarily the result of lower working capital requirements due to declining </w:t>
      </w:r>
      <w:r w:rsidR="0068771A">
        <w:rPr>
          <w:rFonts w:ascii="Times New Roman" w:hAnsi="Times New Roman" w:cs="Times New Roman"/>
          <w:sz w:val="20"/>
          <w:szCs w:val="20"/>
        </w:rPr>
        <w:t xml:space="preserve">sales in </w:t>
      </w:r>
      <w:r w:rsidR="0068771A" w:rsidRPr="0068771A">
        <w:rPr>
          <w:rFonts w:ascii="Times New Roman" w:hAnsi="Times New Roman" w:cs="Times New Roman"/>
          <w:sz w:val="20"/>
          <w:szCs w:val="20"/>
        </w:rPr>
        <w:t>2019 as compared to 2018. A reduction in working capital provided cash of $1</w:t>
      </w:r>
      <w:r w:rsidR="003609B6">
        <w:rPr>
          <w:rFonts w:ascii="Times New Roman" w:hAnsi="Times New Roman" w:cs="Times New Roman"/>
          <w:sz w:val="20"/>
          <w:szCs w:val="20"/>
        </w:rPr>
        <w:t>1</w:t>
      </w:r>
      <w:r w:rsidR="00D244ED">
        <w:rPr>
          <w:rFonts w:ascii="Times New Roman" w:hAnsi="Times New Roman" w:cs="Times New Roman"/>
          <w:sz w:val="20"/>
          <w:szCs w:val="20"/>
        </w:rPr>
        <w:t>8</w:t>
      </w:r>
      <w:r w:rsidR="0068771A" w:rsidRPr="0068771A">
        <w:rPr>
          <w:rFonts w:ascii="Times New Roman" w:hAnsi="Times New Roman" w:cs="Times New Roman"/>
          <w:sz w:val="20"/>
          <w:szCs w:val="20"/>
        </w:rPr>
        <w:t xml:space="preserve"> million in 2019 compared to $</w:t>
      </w:r>
      <w:r w:rsidR="003609B6">
        <w:rPr>
          <w:rFonts w:ascii="Times New Roman" w:hAnsi="Times New Roman" w:cs="Times New Roman"/>
          <w:sz w:val="20"/>
          <w:szCs w:val="20"/>
        </w:rPr>
        <w:t>231 </w:t>
      </w:r>
      <w:r w:rsidR="0068771A" w:rsidRPr="0068771A">
        <w:rPr>
          <w:rFonts w:ascii="Times New Roman" w:hAnsi="Times New Roman" w:cs="Times New Roman"/>
          <w:sz w:val="20"/>
          <w:szCs w:val="20"/>
        </w:rPr>
        <w:t xml:space="preserve">million used to grow working capital in 2018. In particular, </w:t>
      </w:r>
      <w:r w:rsidR="0068771A">
        <w:rPr>
          <w:rFonts w:ascii="Times New Roman" w:hAnsi="Times New Roman" w:cs="Times New Roman"/>
          <w:sz w:val="20"/>
          <w:szCs w:val="20"/>
        </w:rPr>
        <w:t>the decline</w:t>
      </w:r>
      <w:r w:rsidR="0068771A" w:rsidRPr="0068771A">
        <w:rPr>
          <w:rFonts w:ascii="Times New Roman" w:hAnsi="Times New Roman" w:cs="Times New Roman"/>
          <w:sz w:val="20"/>
          <w:szCs w:val="20"/>
        </w:rPr>
        <w:t xml:space="preserve"> in accounts receivable </w:t>
      </w:r>
      <w:r w:rsidR="0068771A">
        <w:rPr>
          <w:rFonts w:ascii="Times New Roman" w:hAnsi="Times New Roman" w:cs="Times New Roman"/>
          <w:sz w:val="20"/>
          <w:szCs w:val="20"/>
        </w:rPr>
        <w:t>generated $127</w:t>
      </w:r>
      <w:r w:rsidR="0068771A" w:rsidRPr="0068771A">
        <w:rPr>
          <w:rFonts w:ascii="Times New Roman" w:hAnsi="Times New Roman" w:cs="Times New Roman"/>
          <w:sz w:val="20"/>
          <w:szCs w:val="20"/>
        </w:rPr>
        <w:t xml:space="preserve"> million of cash</w:t>
      </w:r>
      <w:r w:rsidR="00757EF6">
        <w:rPr>
          <w:rFonts w:ascii="Times New Roman" w:hAnsi="Times New Roman" w:cs="Times New Roman"/>
          <w:sz w:val="20"/>
          <w:szCs w:val="20"/>
        </w:rPr>
        <w:t xml:space="preserve"> in 2019</w:t>
      </w:r>
      <w:r w:rsidR="0068771A" w:rsidRPr="0068771A">
        <w:rPr>
          <w:rFonts w:ascii="Times New Roman" w:hAnsi="Times New Roman" w:cs="Times New Roman"/>
          <w:sz w:val="20"/>
          <w:szCs w:val="20"/>
        </w:rPr>
        <w:t xml:space="preserve"> </w:t>
      </w:r>
      <w:r w:rsidR="00F87F1F">
        <w:rPr>
          <w:rFonts w:ascii="Times New Roman" w:hAnsi="Times New Roman" w:cs="Times New Roman"/>
          <w:sz w:val="20"/>
          <w:szCs w:val="20"/>
        </w:rPr>
        <w:t>as</w:t>
      </w:r>
      <w:r w:rsidR="0068771A" w:rsidRPr="0068771A">
        <w:rPr>
          <w:rFonts w:ascii="Times New Roman" w:hAnsi="Times New Roman" w:cs="Times New Roman"/>
          <w:sz w:val="20"/>
          <w:szCs w:val="20"/>
        </w:rPr>
        <w:t xml:space="preserve"> compared to</w:t>
      </w:r>
      <w:r w:rsidR="003609B6">
        <w:rPr>
          <w:rFonts w:ascii="Times New Roman" w:hAnsi="Times New Roman" w:cs="Times New Roman"/>
          <w:sz w:val="20"/>
          <w:szCs w:val="20"/>
        </w:rPr>
        <w:t xml:space="preserve"> $74</w:t>
      </w:r>
      <w:r w:rsidR="00757EF6">
        <w:rPr>
          <w:rFonts w:ascii="Times New Roman" w:hAnsi="Times New Roman" w:cs="Times New Roman"/>
          <w:sz w:val="20"/>
          <w:szCs w:val="20"/>
        </w:rPr>
        <w:t> </w:t>
      </w:r>
      <w:r w:rsidR="003609B6">
        <w:rPr>
          <w:rFonts w:ascii="Times New Roman" w:hAnsi="Times New Roman" w:cs="Times New Roman"/>
          <w:sz w:val="20"/>
          <w:szCs w:val="20"/>
        </w:rPr>
        <w:t>million utilized by</w:t>
      </w:r>
      <w:r w:rsidR="0068771A" w:rsidRPr="0068771A">
        <w:rPr>
          <w:rFonts w:ascii="Times New Roman" w:hAnsi="Times New Roman" w:cs="Times New Roman"/>
          <w:sz w:val="20"/>
          <w:szCs w:val="20"/>
        </w:rPr>
        <w:t xml:space="preserve"> </w:t>
      </w:r>
      <w:r w:rsidR="00F87F1F">
        <w:rPr>
          <w:rFonts w:ascii="Times New Roman" w:hAnsi="Times New Roman" w:cs="Times New Roman"/>
          <w:sz w:val="20"/>
          <w:szCs w:val="20"/>
        </w:rPr>
        <w:t xml:space="preserve">a growth in accounts receivable </w:t>
      </w:r>
      <w:r w:rsidR="004C321E">
        <w:rPr>
          <w:rFonts w:ascii="Times New Roman" w:hAnsi="Times New Roman" w:cs="Times New Roman"/>
          <w:sz w:val="20"/>
          <w:szCs w:val="20"/>
        </w:rPr>
        <w:t>in</w:t>
      </w:r>
      <w:r w:rsidR="0068771A" w:rsidRPr="0068771A">
        <w:rPr>
          <w:rFonts w:ascii="Times New Roman" w:hAnsi="Times New Roman" w:cs="Times New Roman"/>
          <w:sz w:val="20"/>
          <w:szCs w:val="20"/>
        </w:rPr>
        <w:t xml:space="preserve"> 2018. In addition, because of the decline in sales, we have reduced inventory resulting in $</w:t>
      </w:r>
      <w:r w:rsidR="00F87F1F">
        <w:rPr>
          <w:rFonts w:ascii="Times New Roman" w:hAnsi="Times New Roman" w:cs="Times New Roman"/>
          <w:sz w:val="20"/>
          <w:szCs w:val="20"/>
        </w:rPr>
        <w:t>95</w:t>
      </w:r>
      <w:r w:rsidR="0068771A" w:rsidRPr="0068771A">
        <w:rPr>
          <w:rFonts w:ascii="Times New Roman" w:hAnsi="Times New Roman" w:cs="Times New Roman"/>
          <w:sz w:val="20"/>
          <w:szCs w:val="20"/>
        </w:rPr>
        <w:t xml:space="preserve"> million of cash provided from inventory in 2019 as compared to </w:t>
      </w:r>
      <w:r w:rsidR="003609B6">
        <w:rPr>
          <w:rFonts w:ascii="Times New Roman" w:hAnsi="Times New Roman" w:cs="Times New Roman"/>
          <w:sz w:val="20"/>
          <w:szCs w:val="20"/>
        </w:rPr>
        <w:t>the utilization of</w:t>
      </w:r>
      <w:r w:rsidR="0068771A" w:rsidRPr="0068771A">
        <w:rPr>
          <w:rFonts w:ascii="Times New Roman" w:hAnsi="Times New Roman" w:cs="Times New Roman"/>
          <w:sz w:val="20"/>
          <w:szCs w:val="20"/>
        </w:rPr>
        <w:t xml:space="preserve"> cash of $</w:t>
      </w:r>
      <w:r w:rsidR="003609B6">
        <w:rPr>
          <w:rFonts w:ascii="Times New Roman" w:hAnsi="Times New Roman" w:cs="Times New Roman"/>
          <w:sz w:val="20"/>
          <w:szCs w:val="20"/>
        </w:rPr>
        <w:t>175 </w:t>
      </w:r>
      <w:r w:rsidR="0068771A" w:rsidRPr="0068771A">
        <w:rPr>
          <w:rFonts w:ascii="Times New Roman" w:hAnsi="Times New Roman" w:cs="Times New Roman"/>
          <w:sz w:val="20"/>
          <w:szCs w:val="20"/>
        </w:rPr>
        <w:t>million in 2018. These reductions in the use of cash were offset by $</w:t>
      </w:r>
      <w:r w:rsidR="00F87F1F">
        <w:rPr>
          <w:rFonts w:ascii="Times New Roman" w:hAnsi="Times New Roman" w:cs="Times New Roman"/>
          <w:sz w:val="20"/>
          <w:szCs w:val="20"/>
        </w:rPr>
        <w:t>79</w:t>
      </w:r>
      <w:r w:rsidR="0068771A" w:rsidRPr="0068771A">
        <w:rPr>
          <w:rFonts w:ascii="Times New Roman" w:hAnsi="Times New Roman" w:cs="Times New Roman"/>
          <w:sz w:val="20"/>
          <w:szCs w:val="20"/>
        </w:rPr>
        <w:t> million of cash utilized from a reduction in accounts payable in 2019 as compared to $</w:t>
      </w:r>
      <w:r w:rsidR="00F87F1F">
        <w:rPr>
          <w:rFonts w:ascii="Times New Roman" w:hAnsi="Times New Roman" w:cs="Times New Roman"/>
          <w:sz w:val="20"/>
          <w:szCs w:val="20"/>
        </w:rPr>
        <w:t>27</w:t>
      </w:r>
      <w:r w:rsidR="0068771A" w:rsidRPr="0068771A">
        <w:rPr>
          <w:rFonts w:ascii="Times New Roman" w:hAnsi="Times New Roman" w:cs="Times New Roman"/>
          <w:sz w:val="20"/>
          <w:szCs w:val="20"/>
        </w:rPr>
        <w:t> million of cash provided from accounts payable in 2018.</w:t>
      </w:r>
    </w:p>
    <w:p w:rsidR="000121CD" w:rsidRDefault="00590862" w:rsidP="00F87F1F">
      <w:pPr>
        <w:pStyle w:val="NormalWeb"/>
        <w:keepNext/>
        <w:keepLines/>
        <w:widowControl w:val="0"/>
        <w:spacing w:before="90" w:beforeAutospacing="0" w:after="0" w:afterAutospacing="0"/>
        <w:rPr>
          <w:sz w:val="20"/>
          <w:szCs w:val="20"/>
        </w:rPr>
      </w:pPr>
      <w:r>
        <w:rPr>
          <w:b/>
          <w:bCs/>
          <w:i/>
          <w:iCs/>
          <w:sz w:val="20"/>
          <w:szCs w:val="20"/>
        </w:rPr>
        <w:lastRenderedPageBreak/>
        <w:t xml:space="preserve">Investing Activities </w:t>
      </w:r>
    </w:p>
    <w:p w:rsidR="000121CD" w:rsidRDefault="00590862" w:rsidP="00F87F1F">
      <w:pPr>
        <w:pStyle w:val="NormalWeb"/>
        <w:keepNext/>
        <w:keepLines/>
        <w:widowControl w:val="0"/>
        <w:spacing w:before="120" w:beforeAutospacing="0" w:after="0" w:afterAutospacing="0"/>
        <w:rPr>
          <w:sz w:val="20"/>
          <w:szCs w:val="20"/>
        </w:rPr>
      </w:pPr>
      <w:r>
        <w:rPr>
          <w:sz w:val="20"/>
          <w:szCs w:val="20"/>
        </w:rPr>
        <w:t>Net cash used in investing activities was $</w:t>
      </w:r>
      <w:r w:rsidR="002C1865">
        <w:rPr>
          <w:sz w:val="20"/>
          <w:szCs w:val="20"/>
        </w:rPr>
        <w:t>16</w:t>
      </w:r>
      <w:r>
        <w:rPr>
          <w:sz w:val="20"/>
          <w:szCs w:val="20"/>
        </w:rPr>
        <w:t xml:space="preserve"> million in </w:t>
      </w:r>
      <w:r w:rsidR="003627E3" w:rsidRPr="003A4344">
        <w:rPr>
          <w:sz w:val="20"/>
          <w:szCs w:val="20"/>
        </w:rPr>
        <w:t>2019</w:t>
      </w:r>
      <w:r>
        <w:rPr>
          <w:sz w:val="20"/>
          <w:szCs w:val="20"/>
        </w:rPr>
        <w:t xml:space="preserve"> compared to $</w:t>
      </w:r>
      <w:r w:rsidR="003627E3" w:rsidRPr="003A4344">
        <w:rPr>
          <w:sz w:val="20"/>
          <w:szCs w:val="20"/>
        </w:rPr>
        <w:t>14</w:t>
      </w:r>
      <w:r>
        <w:rPr>
          <w:sz w:val="20"/>
          <w:szCs w:val="20"/>
        </w:rPr>
        <w:t xml:space="preserve"> million in </w:t>
      </w:r>
      <w:r w:rsidR="003627E3" w:rsidRPr="003A4344">
        <w:rPr>
          <w:sz w:val="20"/>
          <w:szCs w:val="20"/>
        </w:rPr>
        <w:t>2018</w:t>
      </w:r>
      <w:r>
        <w:rPr>
          <w:sz w:val="20"/>
          <w:szCs w:val="20"/>
        </w:rPr>
        <w:t xml:space="preserve">. </w:t>
      </w:r>
      <w:r w:rsidR="00F87F1F" w:rsidRPr="00F87F1F">
        <w:rPr>
          <w:sz w:val="20"/>
          <w:szCs w:val="20"/>
        </w:rPr>
        <w:t>Purchases of property, plant and equipment utilized cash of $18 million and $20 million in 2019 and 2018, respectively.  In 2018, we had $6 million of proceeds from the sale of property.</w:t>
      </w:r>
      <w:r w:rsidR="00F87F1F">
        <w:t xml:space="preserve">    </w:t>
      </w:r>
      <w:r>
        <w:t xml:space="preserve">  </w:t>
      </w:r>
    </w:p>
    <w:p w:rsidR="000121CD" w:rsidRDefault="00590862">
      <w:pPr>
        <w:pStyle w:val="NormalWeb"/>
        <w:keepNext/>
        <w:spacing w:before="270" w:beforeAutospacing="0" w:after="0" w:afterAutospacing="0"/>
        <w:rPr>
          <w:sz w:val="20"/>
          <w:szCs w:val="20"/>
        </w:rPr>
      </w:pPr>
      <w:r>
        <w:rPr>
          <w:b/>
          <w:bCs/>
          <w:i/>
          <w:iCs/>
          <w:sz w:val="20"/>
          <w:szCs w:val="20"/>
        </w:rPr>
        <w:t xml:space="preserve">Financing Activities </w:t>
      </w:r>
    </w:p>
    <w:p w:rsidR="000121CD" w:rsidRDefault="00590862">
      <w:pPr>
        <w:pStyle w:val="NormalWeb"/>
        <w:spacing w:before="90" w:beforeAutospacing="0" w:after="0" w:afterAutospacing="0"/>
        <w:rPr>
          <w:sz w:val="20"/>
          <w:szCs w:val="20"/>
        </w:rPr>
      </w:pPr>
      <w:r>
        <w:rPr>
          <w:sz w:val="20"/>
          <w:szCs w:val="20"/>
        </w:rPr>
        <w:t xml:space="preserve">Net cash </w:t>
      </w:r>
      <w:r w:rsidR="001F77E2">
        <w:rPr>
          <w:sz w:val="20"/>
          <w:szCs w:val="20"/>
        </w:rPr>
        <w:t>used in</w:t>
      </w:r>
      <w:r>
        <w:rPr>
          <w:sz w:val="20"/>
          <w:szCs w:val="20"/>
        </w:rPr>
        <w:t xml:space="preserve"> financing activities was $</w:t>
      </w:r>
      <w:r w:rsidR="002C1865">
        <w:rPr>
          <w:sz w:val="20"/>
          <w:szCs w:val="20"/>
        </w:rPr>
        <w:t>238</w:t>
      </w:r>
      <w:r>
        <w:rPr>
          <w:sz w:val="20"/>
          <w:szCs w:val="20"/>
        </w:rPr>
        <w:t xml:space="preserve"> million in </w:t>
      </w:r>
      <w:r w:rsidR="003627E3" w:rsidRPr="003A4344">
        <w:rPr>
          <w:sz w:val="20"/>
          <w:szCs w:val="20"/>
        </w:rPr>
        <w:t>2019</w:t>
      </w:r>
      <w:r>
        <w:rPr>
          <w:sz w:val="20"/>
          <w:szCs w:val="20"/>
        </w:rPr>
        <w:t>, compared to net cash provided by financing activities of $</w:t>
      </w:r>
      <w:r w:rsidR="003627E3" w:rsidRPr="003A4344">
        <w:rPr>
          <w:sz w:val="20"/>
          <w:szCs w:val="20"/>
        </w:rPr>
        <w:t>24</w:t>
      </w:r>
      <w:r>
        <w:rPr>
          <w:sz w:val="20"/>
          <w:szCs w:val="20"/>
        </w:rPr>
        <w:t> million</w:t>
      </w:r>
      <w:r w:rsidR="003609B6">
        <w:rPr>
          <w:sz w:val="20"/>
          <w:szCs w:val="20"/>
        </w:rPr>
        <w:t xml:space="preserve"> </w:t>
      </w:r>
      <w:r>
        <w:rPr>
          <w:sz w:val="20"/>
          <w:szCs w:val="20"/>
        </w:rPr>
        <w:t xml:space="preserve">in </w:t>
      </w:r>
      <w:r w:rsidR="005A76D0">
        <w:rPr>
          <w:sz w:val="20"/>
          <w:szCs w:val="20"/>
        </w:rPr>
        <w:t>2018</w:t>
      </w:r>
      <w:r>
        <w:rPr>
          <w:sz w:val="20"/>
          <w:szCs w:val="20"/>
        </w:rPr>
        <w:t xml:space="preserve">. Net </w:t>
      </w:r>
      <w:r w:rsidR="001F77E2">
        <w:rPr>
          <w:sz w:val="20"/>
          <w:szCs w:val="20"/>
        </w:rPr>
        <w:t>payments</w:t>
      </w:r>
      <w:r>
        <w:rPr>
          <w:sz w:val="20"/>
          <w:szCs w:val="20"/>
        </w:rPr>
        <w:t xml:space="preserve"> on our Global ABL Facility totaled $</w:t>
      </w:r>
      <w:r w:rsidR="001F77E2">
        <w:rPr>
          <w:sz w:val="20"/>
          <w:szCs w:val="20"/>
        </w:rPr>
        <w:t>129</w:t>
      </w:r>
      <w:r>
        <w:rPr>
          <w:sz w:val="20"/>
          <w:szCs w:val="20"/>
        </w:rPr>
        <w:t xml:space="preserve"> million in </w:t>
      </w:r>
      <w:r w:rsidR="003627E3" w:rsidRPr="003A4344">
        <w:rPr>
          <w:sz w:val="20"/>
          <w:szCs w:val="20"/>
        </w:rPr>
        <w:t>2019</w:t>
      </w:r>
      <w:r>
        <w:rPr>
          <w:sz w:val="20"/>
          <w:szCs w:val="20"/>
        </w:rPr>
        <w:t xml:space="preserve"> compared to </w:t>
      </w:r>
      <w:r w:rsidR="001F77E2">
        <w:rPr>
          <w:sz w:val="20"/>
          <w:szCs w:val="20"/>
        </w:rPr>
        <w:t xml:space="preserve">proceeds of </w:t>
      </w:r>
      <w:r>
        <w:rPr>
          <w:sz w:val="20"/>
          <w:szCs w:val="20"/>
        </w:rPr>
        <w:t>$1</w:t>
      </w:r>
      <w:r w:rsidR="00E3157C">
        <w:rPr>
          <w:sz w:val="20"/>
          <w:szCs w:val="20"/>
        </w:rPr>
        <w:t>62</w:t>
      </w:r>
      <w:r>
        <w:rPr>
          <w:sz w:val="20"/>
          <w:szCs w:val="20"/>
        </w:rPr>
        <w:t xml:space="preserve"> million</w:t>
      </w:r>
      <w:r w:rsidR="003609B6">
        <w:rPr>
          <w:sz w:val="20"/>
          <w:szCs w:val="20"/>
        </w:rPr>
        <w:t xml:space="preserve"> </w:t>
      </w:r>
      <w:r>
        <w:rPr>
          <w:sz w:val="20"/>
          <w:szCs w:val="20"/>
        </w:rPr>
        <w:t xml:space="preserve">in </w:t>
      </w:r>
      <w:r w:rsidR="005A76D0">
        <w:rPr>
          <w:sz w:val="20"/>
          <w:szCs w:val="20"/>
        </w:rPr>
        <w:t>2018</w:t>
      </w:r>
      <w:r>
        <w:rPr>
          <w:sz w:val="20"/>
          <w:szCs w:val="20"/>
        </w:rPr>
        <w:t>. In 201</w:t>
      </w:r>
      <w:r w:rsidR="00E3157C">
        <w:rPr>
          <w:sz w:val="20"/>
          <w:szCs w:val="20"/>
        </w:rPr>
        <w:t>9</w:t>
      </w:r>
      <w:r w:rsidR="00D244ED">
        <w:rPr>
          <w:sz w:val="20"/>
          <w:szCs w:val="20"/>
        </w:rPr>
        <w:t xml:space="preserve"> and</w:t>
      </w:r>
      <w:r>
        <w:rPr>
          <w:sz w:val="20"/>
          <w:szCs w:val="20"/>
        </w:rPr>
        <w:t xml:space="preserve"> 201</w:t>
      </w:r>
      <w:r w:rsidR="00E3157C">
        <w:rPr>
          <w:sz w:val="20"/>
          <w:szCs w:val="20"/>
        </w:rPr>
        <w:t>8</w:t>
      </w:r>
      <w:r>
        <w:rPr>
          <w:sz w:val="20"/>
          <w:szCs w:val="20"/>
        </w:rPr>
        <w:t>, we used $</w:t>
      </w:r>
      <w:r w:rsidR="001F77E2">
        <w:rPr>
          <w:sz w:val="20"/>
          <w:szCs w:val="20"/>
        </w:rPr>
        <w:t>75</w:t>
      </w:r>
      <w:r>
        <w:rPr>
          <w:sz w:val="20"/>
          <w:szCs w:val="20"/>
        </w:rPr>
        <w:t xml:space="preserve"> million</w:t>
      </w:r>
      <w:r w:rsidR="00D244ED">
        <w:rPr>
          <w:sz w:val="20"/>
          <w:szCs w:val="20"/>
        </w:rPr>
        <w:t xml:space="preserve"> and</w:t>
      </w:r>
      <w:r>
        <w:rPr>
          <w:sz w:val="20"/>
          <w:szCs w:val="20"/>
        </w:rPr>
        <w:t xml:space="preserve"> $</w:t>
      </w:r>
      <w:r w:rsidR="00E3157C">
        <w:rPr>
          <w:sz w:val="20"/>
          <w:szCs w:val="20"/>
        </w:rPr>
        <w:t>125</w:t>
      </w:r>
      <w:r>
        <w:rPr>
          <w:sz w:val="20"/>
          <w:szCs w:val="20"/>
        </w:rPr>
        <w:t xml:space="preserve"> million to fund purchases of our common stock, respectively. We used $24 million to fund dividends on our preferred stock in each of 201</w:t>
      </w:r>
      <w:r w:rsidR="00E3157C">
        <w:rPr>
          <w:sz w:val="20"/>
          <w:szCs w:val="20"/>
        </w:rPr>
        <w:t>9</w:t>
      </w:r>
      <w:r w:rsidR="00D244ED">
        <w:rPr>
          <w:sz w:val="20"/>
          <w:szCs w:val="20"/>
        </w:rPr>
        <w:t xml:space="preserve"> and</w:t>
      </w:r>
      <w:r>
        <w:rPr>
          <w:sz w:val="20"/>
          <w:szCs w:val="20"/>
        </w:rPr>
        <w:t xml:space="preserve"> 201</w:t>
      </w:r>
      <w:r w:rsidR="00E3157C">
        <w:rPr>
          <w:sz w:val="20"/>
          <w:szCs w:val="20"/>
        </w:rPr>
        <w:t>8</w:t>
      </w:r>
      <w:r>
        <w:rPr>
          <w:sz w:val="20"/>
          <w:szCs w:val="20"/>
        </w:rPr>
        <w:t xml:space="preserve">. In addition, we received </w:t>
      </w:r>
      <w:r w:rsidR="003609B6">
        <w:rPr>
          <w:sz w:val="20"/>
          <w:szCs w:val="20"/>
        </w:rPr>
        <w:t>no</w:t>
      </w:r>
      <w:r>
        <w:rPr>
          <w:sz w:val="20"/>
          <w:szCs w:val="20"/>
        </w:rPr>
        <w:t xml:space="preserve"> proceeds from stock option exercises in 201</w:t>
      </w:r>
      <w:r w:rsidR="00E3157C">
        <w:rPr>
          <w:sz w:val="20"/>
          <w:szCs w:val="20"/>
        </w:rPr>
        <w:t>9</w:t>
      </w:r>
      <w:r>
        <w:rPr>
          <w:sz w:val="20"/>
          <w:szCs w:val="20"/>
        </w:rPr>
        <w:t xml:space="preserve"> as compared to $</w:t>
      </w:r>
      <w:r w:rsidR="00E3157C">
        <w:rPr>
          <w:sz w:val="20"/>
          <w:szCs w:val="20"/>
        </w:rPr>
        <w:t>2</w:t>
      </w:r>
      <w:r>
        <w:rPr>
          <w:sz w:val="20"/>
          <w:szCs w:val="20"/>
        </w:rPr>
        <w:t xml:space="preserve">1 million </w:t>
      </w:r>
      <w:r w:rsidR="00E3157C">
        <w:rPr>
          <w:sz w:val="20"/>
          <w:szCs w:val="20"/>
        </w:rPr>
        <w:t xml:space="preserve">in </w:t>
      </w:r>
      <w:r w:rsidR="003609B6">
        <w:rPr>
          <w:sz w:val="20"/>
          <w:szCs w:val="20"/>
        </w:rPr>
        <w:t>2018</w:t>
      </w:r>
      <w:r>
        <w:rPr>
          <w:sz w:val="20"/>
          <w:szCs w:val="20"/>
        </w:rPr>
        <w:t>.</w:t>
      </w:r>
    </w:p>
    <w:p w:rsidR="003609B6" w:rsidRDefault="003609B6">
      <w:pPr>
        <w:pStyle w:val="NormalWeb"/>
        <w:spacing w:before="90" w:beforeAutospacing="0" w:after="0" w:afterAutospacing="0"/>
        <w:rPr>
          <w:b/>
          <w:bCs/>
          <w:sz w:val="20"/>
          <w:szCs w:val="20"/>
        </w:rPr>
      </w:pPr>
    </w:p>
    <w:p w:rsidR="000121CD" w:rsidRDefault="00590862">
      <w:pPr>
        <w:pStyle w:val="NormalWeb"/>
        <w:spacing w:before="90" w:beforeAutospacing="0" w:after="0" w:afterAutospacing="0"/>
        <w:rPr>
          <w:b/>
          <w:bCs/>
          <w:sz w:val="20"/>
          <w:szCs w:val="20"/>
        </w:rPr>
      </w:pPr>
      <w:r>
        <w:rPr>
          <w:b/>
          <w:bCs/>
          <w:sz w:val="20"/>
          <w:szCs w:val="20"/>
        </w:rPr>
        <w:t xml:space="preserve">Liquidity and Capital Resources </w:t>
      </w:r>
    </w:p>
    <w:p w:rsidR="000121CD" w:rsidRDefault="00590862" w:rsidP="00757EF6">
      <w:pPr>
        <w:shd w:val="clear" w:color="auto" w:fill="FFFFFF"/>
        <w:spacing w:before="150" w:after="120" w:line="0" w:lineRule="atLeast"/>
        <w:rPr>
          <w:sz w:val="20"/>
        </w:rPr>
      </w:pPr>
      <w:r>
        <w:rPr>
          <w:sz w:val="20"/>
        </w:rPr>
        <w:t xml:space="preserve">Our primary sources of liquidity consist of cash generated from our operating activities, existing cash balances and borrowings under our existing Global ABL Facility. At </w:t>
      </w:r>
      <w:r w:rsidR="003627E3" w:rsidRPr="003A4344">
        <w:rPr>
          <w:sz w:val="20"/>
        </w:rPr>
        <w:t>December 31, 2019</w:t>
      </w:r>
      <w:r>
        <w:rPr>
          <w:sz w:val="20"/>
        </w:rPr>
        <w:t>, our total liquidity, consisting of cash on hand and amounts available under our Global ABL Facility, was $4</w:t>
      </w:r>
      <w:r w:rsidR="001F77E2">
        <w:rPr>
          <w:sz w:val="20"/>
        </w:rPr>
        <w:t>83</w:t>
      </w:r>
      <w:r>
        <w:rPr>
          <w:sz w:val="20"/>
        </w:rPr>
        <w:t xml:space="preserve"> million. Our ability to generate sufficient cash flows from our operating activities is primarily dependent on our sales of products to our customers at profits sufficient to cover our fixed and variable expenses. As of </w:t>
      </w:r>
      <w:r w:rsidR="00E22153">
        <w:rPr>
          <w:sz w:val="20"/>
        </w:rPr>
        <w:t>December</w:t>
      </w:r>
      <w:r w:rsidR="00757EF6">
        <w:rPr>
          <w:sz w:val="20"/>
        </w:rPr>
        <w:t> </w:t>
      </w:r>
      <w:r w:rsidR="00E22153">
        <w:rPr>
          <w:sz w:val="20"/>
        </w:rPr>
        <w:t>31,</w:t>
      </w:r>
      <w:r w:rsidR="00757EF6">
        <w:rPr>
          <w:sz w:val="20"/>
        </w:rPr>
        <w:t> </w:t>
      </w:r>
      <w:r w:rsidR="00E22153">
        <w:rPr>
          <w:sz w:val="20"/>
        </w:rPr>
        <w:t>2019 and 2018</w:t>
      </w:r>
      <w:r>
        <w:rPr>
          <w:sz w:val="20"/>
        </w:rPr>
        <w:t>, we had cash and cash equivalents of $</w:t>
      </w:r>
      <w:r w:rsidR="002C1865">
        <w:rPr>
          <w:sz w:val="20"/>
        </w:rPr>
        <w:t>32</w:t>
      </w:r>
      <w:r>
        <w:rPr>
          <w:sz w:val="20"/>
        </w:rPr>
        <w:t> million and $</w:t>
      </w:r>
      <w:r w:rsidR="003627E3" w:rsidRPr="003A4344">
        <w:rPr>
          <w:sz w:val="20"/>
        </w:rPr>
        <w:t>43</w:t>
      </w:r>
      <w:r>
        <w:rPr>
          <w:sz w:val="20"/>
        </w:rPr>
        <w:t xml:space="preserve"> million, respectively. As of </w:t>
      </w:r>
      <w:r w:rsidR="00E22153">
        <w:rPr>
          <w:sz w:val="20"/>
        </w:rPr>
        <w:t>December</w:t>
      </w:r>
      <w:r w:rsidR="00757EF6">
        <w:rPr>
          <w:sz w:val="20"/>
        </w:rPr>
        <w:t> </w:t>
      </w:r>
      <w:r w:rsidR="00E22153">
        <w:rPr>
          <w:sz w:val="20"/>
        </w:rPr>
        <w:t>31,</w:t>
      </w:r>
      <w:r w:rsidR="00757EF6">
        <w:rPr>
          <w:sz w:val="20"/>
        </w:rPr>
        <w:t> </w:t>
      </w:r>
      <w:r w:rsidR="00E22153">
        <w:rPr>
          <w:sz w:val="20"/>
        </w:rPr>
        <w:t>2019 and 2018</w:t>
      </w:r>
      <w:r>
        <w:rPr>
          <w:sz w:val="20"/>
        </w:rPr>
        <w:t>, $</w:t>
      </w:r>
      <w:r w:rsidR="002C1865">
        <w:rPr>
          <w:sz w:val="20"/>
        </w:rPr>
        <w:t>32</w:t>
      </w:r>
      <w:r>
        <w:rPr>
          <w:sz w:val="20"/>
        </w:rPr>
        <w:t xml:space="preserve"> million and $</w:t>
      </w:r>
      <w:r w:rsidR="003627E3" w:rsidRPr="003A4344">
        <w:rPr>
          <w:sz w:val="20"/>
        </w:rPr>
        <w:t>41</w:t>
      </w:r>
      <w:r>
        <w:rPr>
          <w:sz w:val="20"/>
        </w:rPr>
        <w:t xml:space="preserve"> million of our cash and cash equivalents were maintained in the accounts of our various foreign subsidiaries and, if those amounts were transferred among countries or repatriated to the U.S., those amounts may be subject to additional tax liabilities, which would be recognized in our financial statements in the period during which the transfer decision was made. During 201</w:t>
      </w:r>
      <w:r w:rsidR="00E3157C">
        <w:rPr>
          <w:sz w:val="20"/>
        </w:rPr>
        <w:t>9</w:t>
      </w:r>
      <w:r>
        <w:rPr>
          <w:sz w:val="20"/>
        </w:rPr>
        <w:t>, we repatriated $</w:t>
      </w:r>
      <w:r w:rsidR="001F77E2">
        <w:rPr>
          <w:sz w:val="20"/>
        </w:rPr>
        <w:t>21</w:t>
      </w:r>
      <w:r>
        <w:rPr>
          <w:sz w:val="20"/>
        </w:rPr>
        <w:t xml:space="preserve"> million of cash from our Canadian subsidiaries.  </w:t>
      </w:r>
    </w:p>
    <w:p w:rsidR="000121CD" w:rsidRDefault="00590862">
      <w:pPr>
        <w:pStyle w:val="NormalWeb"/>
        <w:spacing w:beforeLines="90" w:before="216" w:beforeAutospacing="0" w:after="0" w:afterAutospacing="0"/>
        <w:rPr>
          <w:sz w:val="20"/>
        </w:rPr>
      </w:pPr>
      <w:r>
        <w:rPr>
          <w:sz w:val="20"/>
        </w:rPr>
        <w:t xml:space="preserve">Our primary credit facilities consist of a seven-year Term Loan maturing in September 2024 with an original principal amount of $400 million and a five-year $800 million Global ABL Facility that provides $675 million in revolver commitments in the United States, $65 million in Canada, $18 million in Norway, $15 million in Australia, $13 million in the Netherlands, $7 million in the United Kingdom and $7 million in Belgium. As of </w:t>
      </w:r>
      <w:r w:rsidR="00E3157C" w:rsidRPr="003A4344">
        <w:rPr>
          <w:sz w:val="20"/>
        </w:rPr>
        <w:t>December 31, 2019</w:t>
      </w:r>
      <w:r>
        <w:rPr>
          <w:sz w:val="20"/>
        </w:rPr>
        <w:t>, the outstanding balance on our Term Loan, net of original issue discount and issuance costs, was $39</w:t>
      </w:r>
      <w:r w:rsidR="001F77E2">
        <w:rPr>
          <w:sz w:val="20"/>
        </w:rPr>
        <w:t>0</w:t>
      </w:r>
      <w:r>
        <w:rPr>
          <w:sz w:val="20"/>
        </w:rPr>
        <w:t xml:space="preserve"> million. The Global ABL Facility matures in September 2022. The Global ABL Facility contains an accordion feature that allows us to increase the principal amount of the facility by up to $200 million, subject to securing additional lender commitments. As of </w:t>
      </w:r>
      <w:r w:rsidR="003627E3" w:rsidRPr="003A4344">
        <w:rPr>
          <w:sz w:val="20"/>
        </w:rPr>
        <w:t>December 31, 2019</w:t>
      </w:r>
      <w:r>
        <w:rPr>
          <w:sz w:val="20"/>
        </w:rPr>
        <w:t>, we had $</w:t>
      </w:r>
      <w:r w:rsidR="001F77E2">
        <w:rPr>
          <w:sz w:val="20"/>
        </w:rPr>
        <w:t>161</w:t>
      </w:r>
      <w:r>
        <w:rPr>
          <w:sz w:val="20"/>
        </w:rPr>
        <w:t xml:space="preserve"> million of borrowings outstanding and $</w:t>
      </w:r>
      <w:r w:rsidR="001F77E2">
        <w:rPr>
          <w:sz w:val="20"/>
        </w:rPr>
        <w:t>451</w:t>
      </w:r>
      <w:r>
        <w:rPr>
          <w:sz w:val="20"/>
        </w:rPr>
        <w:t xml:space="preserve"> million of Excess Availability, as defined under our Global ABL Facility. Availability is dependent on a borrowing base comprised of a percentage of eligible accounts receivable and inventory which is subject to redetermination from time to time.</w:t>
      </w:r>
    </w:p>
    <w:p w:rsidR="000121CD" w:rsidRDefault="00590862">
      <w:pPr>
        <w:pStyle w:val="NormalWeb"/>
        <w:spacing w:before="180" w:beforeAutospacing="0" w:after="0" w:afterAutospacing="0"/>
        <w:rPr>
          <w:sz w:val="20"/>
          <w:szCs w:val="20"/>
        </w:rPr>
      </w:pPr>
      <w:r>
        <w:rPr>
          <w:sz w:val="20"/>
          <w:szCs w:val="20"/>
        </w:rPr>
        <w:t xml:space="preserve">Our credit ratings are below “investment grade” and, as such, could impact both our ability to raise new funds as well as the interest rates on our future borrowings. Our existing obligations restrict our ability to incur additional debt. We were in compliance with the covenants contained in our various credit facilities as of and during the year ended </w:t>
      </w:r>
      <w:r w:rsidR="00E3157C" w:rsidRPr="003A4344">
        <w:rPr>
          <w:sz w:val="20"/>
          <w:szCs w:val="20"/>
        </w:rPr>
        <w:t>December 31, 2019</w:t>
      </w:r>
      <w:r w:rsidRPr="00DA2A30">
        <w:rPr>
          <w:sz w:val="20"/>
          <w:szCs w:val="20"/>
        </w:rPr>
        <w:t xml:space="preserve">. </w:t>
      </w:r>
      <w:r w:rsidR="00DA2A30" w:rsidRPr="00DA2A30">
        <w:rPr>
          <w:sz w:val="20"/>
          <w:szCs w:val="20"/>
        </w:rPr>
        <w:t>The 2019 implementation of the new lease accounting standard did not impact our compliance with debt covenants, as our credit facilities contain provisions that grandfather our previous method of accounting for leases for debt compliance purposes. In addition, our credit facilities contain provisions that address the potential need to transition away from LIBOR if LIBOR is discontinued or replaced.</w:t>
      </w:r>
    </w:p>
    <w:p w:rsidR="000121CD" w:rsidRDefault="000121CD">
      <w:pPr>
        <w:pStyle w:val="NormalWeb"/>
        <w:spacing w:before="0" w:beforeAutospacing="0" w:after="0" w:afterAutospacing="0"/>
        <w:rPr>
          <w:sz w:val="20"/>
          <w:szCs w:val="20"/>
        </w:rPr>
      </w:pPr>
    </w:p>
    <w:p w:rsidR="000121CD" w:rsidRDefault="00590862">
      <w:pPr>
        <w:rPr>
          <w:sz w:val="20"/>
        </w:rPr>
      </w:pPr>
      <w:r>
        <w:rPr>
          <w:sz w:val="20"/>
        </w:rPr>
        <w:t>We believe our sources of liquidity will be sufficient to satisfy the anticipated cash requirements associated with our existing operations for at least the next twelve months. However, our future cash requirements could be higher than we currently expect as a result of various factors. Additionally, our ability to generate sufficient cash from our operating activities depends on our future performance, which is subject to general economic, political, financial, competitive and other factors beyond our control. We may, from time to time, seek to raise additional debt or equity financing or re-price or refinance existing debt in the public or private markets, based on market conditions. Any such capital markets activities would be subject to market conditions, reaching final agreement with lenders or investors, and other factors, and there can be no assurance that we would successfully consummate any such transactions.</w:t>
      </w:r>
      <w:r w:rsidR="001F77E2">
        <w:rPr>
          <w:sz w:val="20"/>
        </w:rPr>
        <w:t xml:space="preserve"> </w:t>
      </w:r>
    </w:p>
    <w:p w:rsidR="00124DEA" w:rsidRDefault="00124DEA">
      <w:pPr>
        <w:rPr>
          <w:sz w:val="20"/>
        </w:rPr>
      </w:pPr>
    </w:p>
    <w:p w:rsidR="000121CD" w:rsidRPr="00D334F0" w:rsidRDefault="00565197">
      <w:pPr>
        <w:rPr>
          <w:bCs/>
          <w:sz w:val="20"/>
        </w:rPr>
      </w:pPr>
      <w:r>
        <w:rPr>
          <w:sz w:val="20"/>
        </w:rPr>
        <w:t>O</w:t>
      </w:r>
      <w:r w:rsidR="00590862">
        <w:rPr>
          <w:sz w:val="20"/>
        </w:rPr>
        <w:t>ur board of directors</w:t>
      </w:r>
      <w:r w:rsidR="00D334F0">
        <w:rPr>
          <w:sz w:val="20"/>
        </w:rPr>
        <w:t xml:space="preserve"> has</w:t>
      </w:r>
      <w:r w:rsidR="00590862">
        <w:rPr>
          <w:sz w:val="20"/>
        </w:rPr>
        <w:t xml:space="preserve"> authorized share repurchase program</w:t>
      </w:r>
      <w:r w:rsidR="00D334F0">
        <w:rPr>
          <w:sz w:val="20"/>
        </w:rPr>
        <w:t>s</w:t>
      </w:r>
      <w:r w:rsidR="00590862">
        <w:rPr>
          <w:sz w:val="20"/>
        </w:rPr>
        <w:t xml:space="preserve"> for our common stock</w:t>
      </w:r>
      <w:r w:rsidR="00D334F0">
        <w:rPr>
          <w:sz w:val="20"/>
        </w:rPr>
        <w:t xml:space="preserve"> between 2015 and 2019</w:t>
      </w:r>
      <w:r w:rsidR="00590862">
        <w:rPr>
          <w:sz w:val="20"/>
        </w:rPr>
        <w:t xml:space="preserve">. The shares </w:t>
      </w:r>
      <w:r w:rsidR="00D334F0">
        <w:rPr>
          <w:sz w:val="20"/>
        </w:rPr>
        <w:t>were</w:t>
      </w:r>
      <w:r w:rsidR="00590862">
        <w:rPr>
          <w:sz w:val="20"/>
        </w:rPr>
        <w:t xml:space="preserve"> repurchased at management’s discretion in the open market. Under </w:t>
      </w:r>
      <w:r w:rsidR="00D334F0">
        <w:rPr>
          <w:sz w:val="20"/>
        </w:rPr>
        <w:t>these</w:t>
      </w:r>
      <w:r w:rsidR="00590862">
        <w:rPr>
          <w:sz w:val="20"/>
        </w:rPr>
        <w:t xml:space="preserve"> plans, between the fourth quarter of 2015 and </w:t>
      </w:r>
      <w:r w:rsidR="00D334F0">
        <w:rPr>
          <w:sz w:val="20"/>
        </w:rPr>
        <w:t>the end of 2019</w:t>
      </w:r>
      <w:r w:rsidR="00590862">
        <w:rPr>
          <w:sz w:val="20"/>
        </w:rPr>
        <w:t xml:space="preserve"> we purchased </w:t>
      </w:r>
      <w:r w:rsidR="00D334F0">
        <w:rPr>
          <w:sz w:val="20"/>
        </w:rPr>
        <w:t>24,216,33</w:t>
      </w:r>
      <w:r w:rsidR="006135CE">
        <w:rPr>
          <w:sz w:val="20"/>
        </w:rPr>
        <w:t>0</w:t>
      </w:r>
      <w:r w:rsidR="00590862">
        <w:rPr>
          <w:sz w:val="20"/>
        </w:rPr>
        <w:t xml:space="preserve"> shares of the Company’s common stock at an average price per share of $15.</w:t>
      </w:r>
      <w:r w:rsidR="00D334F0">
        <w:rPr>
          <w:sz w:val="20"/>
        </w:rPr>
        <w:t>4</w:t>
      </w:r>
      <w:r w:rsidR="00590862">
        <w:rPr>
          <w:sz w:val="20"/>
        </w:rPr>
        <w:t>8 for a total cost of $</w:t>
      </w:r>
      <w:r w:rsidR="00D334F0">
        <w:rPr>
          <w:sz w:val="20"/>
        </w:rPr>
        <w:t>37</w:t>
      </w:r>
      <w:r w:rsidR="00590862">
        <w:rPr>
          <w:sz w:val="20"/>
        </w:rPr>
        <w:t>5</w:t>
      </w:r>
      <w:r w:rsidR="00D334F0">
        <w:rPr>
          <w:sz w:val="20"/>
        </w:rPr>
        <w:t> </w:t>
      </w:r>
      <w:r w:rsidR="00590862">
        <w:rPr>
          <w:sz w:val="20"/>
        </w:rPr>
        <w:t>million.</w:t>
      </w:r>
      <w:r w:rsidR="00590862">
        <w:rPr>
          <w:b/>
          <w:bCs/>
          <w:sz w:val="20"/>
        </w:rPr>
        <w:t xml:space="preserve"> </w:t>
      </w:r>
      <w:r w:rsidR="00D334F0">
        <w:rPr>
          <w:b/>
          <w:bCs/>
          <w:sz w:val="20"/>
        </w:rPr>
        <w:t xml:space="preserve"> </w:t>
      </w:r>
      <w:r w:rsidR="003609B6">
        <w:rPr>
          <w:bCs/>
          <w:sz w:val="20"/>
        </w:rPr>
        <w:t>As of December 31, 2019, a</w:t>
      </w:r>
      <w:r w:rsidR="004C321E">
        <w:rPr>
          <w:bCs/>
          <w:sz w:val="20"/>
        </w:rPr>
        <w:t>ll</w:t>
      </w:r>
      <w:r w:rsidR="003609B6">
        <w:rPr>
          <w:bCs/>
          <w:sz w:val="20"/>
        </w:rPr>
        <w:t xml:space="preserve"> previous</w:t>
      </w:r>
      <w:r w:rsidR="00D334F0">
        <w:rPr>
          <w:bCs/>
          <w:sz w:val="20"/>
        </w:rPr>
        <w:t xml:space="preserve"> share repurchase programs ha</w:t>
      </w:r>
      <w:r w:rsidR="003609B6">
        <w:rPr>
          <w:bCs/>
          <w:sz w:val="20"/>
        </w:rPr>
        <w:t>d</w:t>
      </w:r>
      <w:r w:rsidR="00D334F0">
        <w:rPr>
          <w:bCs/>
          <w:sz w:val="20"/>
        </w:rPr>
        <w:t xml:space="preserve"> expired.</w:t>
      </w:r>
    </w:p>
    <w:p w:rsidR="000121CD" w:rsidRDefault="000121CD">
      <w:pPr>
        <w:rPr>
          <w:b/>
          <w:bCs/>
          <w:sz w:val="20"/>
        </w:rPr>
      </w:pPr>
    </w:p>
    <w:p w:rsidR="000121CD" w:rsidRDefault="00590862" w:rsidP="006135CE">
      <w:pPr>
        <w:keepNext/>
        <w:widowControl w:val="0"/>
        <w:rPr>
          <w:sz w:val="20"/>
        </w:rPr>
      </w:pPr>
      <w:r>
        <w:rPr>
          <w:b/>
          <w:bCs/>
          <w:sz w:val="20"/>
        </w:rPr>
        <w:lastRenderedPageBreak/>
        <w:t xml:space="preserve">Contractual Obligations, Commitments and Contingencies </w:t>
      </w:r>
    </w:p>
    <w:p w:rsidR="000121CD" w:rsidRDefault="00590862" w:rsidP="006135CE">
      <w:pPr>
        <w:pStyle w:val="NormalWeb"/>
        <w:keepNext/>
        <w:widowControl w:val="0"/>
        <w:spacing w:before="240" w:beforeAutospacing="0" w:after="0" w:afterAutospacing="0"/>
        <w:rPr>
          <w:sz w:val="20"/>
          <w:szCs w:val="20"/>
        </w:rPr>
      </w:pPr>
      <w:r>
        <w:rPr>
          <w:b/>
          <w:bCs/>
          <w:i/>
          <w:iCs/>
          <w:sz w:val="20"/>
          <w:szCs w:val="20"/>
        </w:rPr>
        <w:t>Contractual Obligations</w:t>
      </w:r>
    </w:p>
    <w:p w:rsidR="000121CD" w:rsidRDefault="00590862" w:rsidP="006135CE">
      <w:pPr>
        <w:pStyle w:val="NormalWeb"/>
        <w:keepNext/>
        <w:widowControl w:val="0"/>
        <w:spacing w:before="60" w:beforeAutospacing="0" w:after="0" w:afterAutospacing="0"/>
        <w:rPr>
          <w:sz w:val="20"/>
          <w:szCs w:val="20"/>
        </w:rPr>
      </w:pPr>
      <w:r>
        <w:rPr>
          <w:sz w:val="20"/>
          <w:szCs w:val="20"/>
        </w:rPr>
        <w:t xml:space="preserve">The following table summarizes our minimum payment obligations as of </w:t>
      </w:r>
      <w:r w:rsidR="003627E3" w:rsidRPr="003A4344">
        <w:rPr>
          <w:sz w:val="20"/>
          <w:szCs w:val="20"/>
        </w:rPr>
        <w:t>December 31, 2019</w:t>
      </w:r>
      <w:r>
        <w:rPr>
          <w:sz w:val="20"/>
          <w:szCs w:val="20"/>
        </w:rPr>
        <w:t xml:space="preserve"> relating to long-term debt, interest payments, capital leases, operating leases, purchase obligations and other long-term liabilities for the periods indicated (in millions):</w:t>
      </w:r>
    </w:p>
    <w:p w:rsidR="000121CD" w:rsidRDefault="000121CD">
      <w:pPr>
        <w:pStyle w:val="NormalWeb"/>
        <w:keepNext/>
        <w:spacing w:before="0" w:beforeAutospacing="0" w:after="0" w:afterAutospacing="0"/>
        <w:rPr>
          <w:sz w:val="20"/>
          <w:szCs w:val="20"/>
        </w:rPr>
      </w:pPr>
    </w:p>
    <w:tbl>
      <w:tblPr>
        <w:tblW w:w="5000" w:type="pct"/>
        <w:tblCellMar>
          <w:left w:w="0" w:type="dxa"/>
          <w:right w:w="0" w:type="dxa"/>
        </w:tblCellMar>
        <w:tblLook w:val="04A0" w:firstRow="1" w:lastRow="0" w:firstColumn="1" w:lastColumn="0" w:noHBand="0" w:noVBand="1"/>
      </w:tblPr>
      <w:tblGrid>
        <w:gridCol w:w="3107"/>
        <w:gridCol w:w="853"/>
        <w:gridCol w:w="240"/>
        <w:gridCol w:w="1000"/>
        <w:gridCol w:w="160"/>
        <w:gridCol w:w="240"/>
        <w:gridCol w:w="1000"/>
        <w:gridCol w:w="160"/>
        <w:gridCol w:w="240"/>
        <w:gridCol w:w="1000"/>
        <w:gridCol w:w="160"/>
        <w:gridCol w:w="240"/>
        <w:gridCol w:w="1000"/>
        <w:gridCol w:w="160"/>
        <w:gridCol w:w="240"/>
        <w:gridCol w:w="1000"/>
      </w:tblGrid>
      <w:tr w:rsidR="0018024C" w:rsidTr="0018024C">
        <w:trPr>
          <w:trHeight w:hRule="exact" w:val="20"/>
        </w:trPr>
        <w:tc>
          <w:tcPr>
            <w:tcW w:w="1438" w:type="pct"/>
            <w:tcBorders>
              <w:top w:val="nil"/>
              <w:left w:val="nil"/>
              <w:bottom w:val="nil"/>
              <w:right w:val="nil"/>
            </w:tcBorders>
            <w:shd w:val="clear" w:color="auto" w:fill="auto"/>
            <w:vAlign w:val="bottom"/>
          </w:tcPr>
          <w:p w:rsidR="0018024C" w:rsidRDefault="0018024C" w:rsidP="0018024C">
            <w:pPr>
              <w:rPr>
                <w:sz w:val="2"/>
              </w:rPr>
            </w:pPr>
          </w:p>
        </w:tc>
        <w:tc>
          <w:tcPr>
            <w:tcW w:w="395" w:type="pct"/>
            <w:tcBorders>
              <w:top w:val="nil"/>
              <w:left w:val="nil"/>
              <w:bottom w:val="nil"/>
              <w:right w:val="nil"/>
            </w:tcBorders>
            <w:shd w:val="clear" w:color="auto" w:fill="auto"/>
            <w:vAlign w:val="bottom"/>
          </w:tcPr>
          <w:p w:rsidR="0018024C" w:rsidRDefault="0018024C" w:rsidP="0018024C">
            <w:pPr>
              <w:rPr>
                <w:sz w:val="2"/>
              </w:rPr>
            </w:pPr>
          </w:p>
        </w:tc>
        <w:tc>
          <w:tcPr>
            <w:tcW w:w="111" w:type="pct"/>
            <w:tcBorders>
              <w:top w:val="nil"/>
              <w:left w:val="nil"/>
              <w:bottom w:val="nil"/>
              <w:right w:val="nil"/>
            </w:tcBorders>
            <w:shd w:val="clear" w:color="auto" w:fill="auto"/>
            <w:vAlign w:val="bottom"/>
          </w:tcPr>
          <w:p w:rsidR="0018024C" w:rsidRDefault="0018024C" w:rsidP="0018024C">
            <w:pPr>
              <w:rPr>
                <w:sz w:val="2"/>
              </w:rPr>
            </w:pPr>
          </w:p>
        </w:tc>
        <w:tc>
          <w:tcPr>
            <w:tcW w:w="463" w:type="pct"/>
            <w:tcBorders>
              <w:top w:val="nil"/>
              <w:left w:val="nil"/>
              <w:bottom w:val="nil"/>
              <w:right w:val="nil"/>
            </w:tcBorders>
            <w:shd w:val="clear" w:color="auto" w:fill="auto"/>
            <w:vAlign w:val="bottom"/>
          </w:tcPr>
          <w:p w:rsidR="0018024C" w:rsidRDefault="0018024C" w:rsidP="0018024C">
            <w:pPr>
              <w:rPr>
                <w:sz w:val="2"/>
              </w:rPr>
            </w:pPr>
          </w:p>
        </w:tc>
        <w:tc>
          <w:tcPr>
            <w:tcW w:w="74" w:type="pct"/>
            <w:tcBorders>
              <w:top w:val="nil"/>
              <w:left w:val="nil"/>
              <w:bottom w:val="nil"/>
              <w:right w:val="nil"/>
            </w:tcBorders>
            <w:shd w:val="clear" w:color="auto" w:fill="auto"/>
            <w:vAlign w:val="bottom"/>
          </w:tcPr>
          <w:p w:rsidR="0018024C" w:rsidRDefault="0018024C" w:rsidP="0018024C">
            <w:pPr>
              <w:rPr>
                <w:sz w:val="2"/>
              </w:rPr>
            </w:pPr>
          </w:p>
        </w:tc>
        <w:tc>
          <w:tcPr>
            <w:tcW w:w="111" w:type="pct"/>
            <w:tcBorders>
              <w:top w:val="nil"/>
              <w:left w:val="nil"/>
              <w:bottom w:val="nil"/>
              <w:right w:val="nil"/>
            </w:tcBorders>
            <w:shd w:val="clear" w:color="auto" w:fill="auto"/>
            <w:vAlign w:val="bottom"/>
          </w:tcPr>
          <w:p w:rsidR="0018024C" w:rsidRDefault="0018024C" w:rsidP="0018024C">
            <w:pPr>
              <w:rPr>
                <w:sz w:val="2"/>
              </w:rPr>
            </w:pPr>
          </w:p>
        </w:tc>
        <w:tc>
          <w:tcPr>
            <w:tcW w:w="463" w:type="pct"/>
            <w:tcBorders>
              <w:top w:val="nil"/>
              <w:left w:val="nil"/>
              <w:bottom w:val="nil"/>
              <w:right w:val="nil"/>
            </w:tcBorders>
            <w:shd w:val="clear" w:color="auto" w:fill="auto"/>
            <w:vAlign w:val="bottom"/>
          </w:tcPr>
          <w:p w:rsidR="0018024C" w:rsidRDefault="0018024C" w:rsidP="0018024C">
            <w:pPr>
              <w:rPr>
                <w:sz w:val="2"/>
              </w:rPr>
            </w:pPr>
          </w:p>
        </w:tc>
        <w:tc>
          <w:tcPr>
            <w:tcW w:w="74" w:type="pct"/>
            <w:tcBorders>
              <w:top w:val="nil"/>
              <w:left w:val="nil"/>
              <w:bottom w:val="nil"/>
              <w:right w:val="nil"/>
            </w:tcBorders>
            <w:shd w:val="clear" w:color="auto" w:fill="auto"/>
            <w:vAlign w:val="bottom"/>
          </w:tcPr>
          <w:p w:rsidR="0018024C" w:rsidRDefault="0018024C" w:rsidP="0018024C">
            <w:pPr>
              <w:rPr>
                <w:sz w:val="2"/>
              </w:rPr>
            </w:pPr>
          </w:p>
        </w:tc>
        <w:tc>
          <w:tcPr>
            <w:tcW w:w="111" w:type="pct"/>
            <w:tcBorders>
              <w:top w:val="nil"/>
              <w:left w:val="nil"/>
              <w:bottom w:val="nil"/>
              <w:right w:val="nil"/>
            </w:tcBorders>
            <w:shd w:val="clear" w:color="auto" w:fill="auto"/>
            <w:vAlign w:val="bottom"/>
          </w:tcPr>
          <w:p w:rsidR="0018024C" w:rsidRDefault="0018024C" w:rsidP="0018024C">
            <w:pPr>
              <w:rPr>
                <w:sz w:val="2"/>
              </w:rPr>
            </w:pPr>
          </w:p>
        </w:tc>
        <w:tc>
          <w:tcPr>
            <w:tcW w:w="463" w:type="pct"/>
            <w:tcBorders>
              <w:top w:val="nil"/>
              <w:left w:val="nil"/>
              <w:bottom w:val="nil"/>
              <w:right w:val="nil"/>
            </w:tcBorders>
            <w:shd w:val="clear" w:color="auto" w:fill="auto"/>
            <w:vAlign w:val="bottom"/>
          </w:tcPr>
          <w:p w:rsidR="0018024C" w:rsidRDefault="0018024C" w:rsidP="0018024C">
            <w:pPr>
              <w:rPr>
                <w:sz w:val="2"/>
              </w:rPr>
            </w:pPr>
          </w:p>
        </w:tc>
        <w:tc>
          <w:tcPr>
            <w:tcW w:w="74" w:type="pct"/>
            <w:tcBorders>
              <w:top w:val="nil"/>
              <w:left w:val="nil"/>
              <w:bottom w:val="nil"/>
              <w:right w:val="nil"/>
            </w:tcBorders>
            <w:shd w:val="clear" w:color="auto" w:fill="auto"/>
            <w:vAlign w:val="bottom"/>
          </w:tcPr>
          <w:p w:rsidR="0018024C" w:rsidRDefault="0018024C" w:rsidP="0018024C">
            <w:pPr>
              <w:rPr>
                <w:sz w:val="2"/>
              </w:rPr>
            </w:pPr>
          </w:p>
        </w:tc>
        <w:tc>
          <w:tcPr>
            <w:tcW w:w="111" w:type="pct"/>
            <w:tcBorders>
              <w:top w:val="nil"/>
              <w:left w:val="nil"/>
              <w:bottom w:val="nil"/>
              <w:right w:val="nil"/>
            </w:tcBorders>
            <w:shd w:val="clear" w:color="auto" w:fill="auto"/>
            <w:vAlign w:val="bottom"/>
          </w:tcPr>
          <w:p w:rsidR="0018024C" w:rsidRDefault="0018024C" w:rsidP="0018024C">
            <w:pPr>
              <w:rPr>
                <w:sz w:val="2"/>
              </w:rPr>
            </w:pPr>
          </w:p>
        </w:tc>
        <w:tc>
          <w:tcPr>
            <w:tcW w:w="463" w:type="pct"/>
            <w:tcBorders>
              <w:top w:val="nil"/>
              <w:left w:val="nil"/>
              <w:bottom w:val="nil"/>
              <w:right w:val="nil"/>
            </w:tcBorders>
            <w:shd w:val="clear" w:color="auto" w:fill="auto"/>
            <w:vAlign w:val="bottom"/>
          </w:tcPr>
          <w:p w:rsidR="0018024C" w:rsidRDefault="0018024C" w:rsidP="0018024C">
            <w:pPr>
              <w:rPr>
                <w:sz w:val="2"/>
              </w:rPr>
            </w:pPr>
          </w:p>
        </w:tc>
        <w:tc>
          <w:tcPr>
            <w:tcW w:w="74" w:type="pct"/>
            <w:tcBorders>
              <w:top w:val="nil"/>
              <w:left w:val="nil"/>
              <w:bottom w:val="nil"/>
              <w:right w:val="nil"/>
            </w:tcBorders>
            <w:shd w:val="clear" w:color="auto" w:fill="auto"/>
            <w:vAlign w:val="bottom"/>
          </w:tcPr>
          <w:p w:rsidR="0018024C" w:rsidRDefault="0018024C" w:rsidP="0018024C">
            <w:pPr>
              <w:rPr>
                <w:sz w:val="2"/>
              </w:rPr>
            </w:pPr>
          </w:p>
        </w:tc>
        <w:tc>
          <w:tcPr>
            <w:tcW w:w="111" w:type="pct"/>
            <w:tcBorders>
              <w:top w:val="nil"/>
              <w:left w:val="nil"/>
              <w:bottom w:val="nil"/>
              <w:right w:val="nil"/>
            </w:tcBorders>
            <w:shd w:val="clear" w:color="auto" w:fill="auto"/>
            <w:vAlign w:val="bottom"/>
          </w:tcPr>
          <w:p w:rsidR="0018024C" w:rsidRDefault="0018024C" w:rsidP="0018024C">
            <w:pPr>
              <w:rPr>
                <w:sz w:val="2"/>
              </w:rPr>
            </w:pPr>
          </w:p>
        </w:tc>
        <w:tc>
          <w:tcPr>
            <w:tcW w:w="463" w:type="pct"/>
            <w:tcBorders>
              <w:top w:val="nil"/>
              <w:left w:val="nil"/>
              <w:bottom w:val="nil"/>
              <w:right w:val="nil"/>
            </w:tcBorders>
            <w:shd w:val="clear" w:color="auto" w:fill="auto"/>
            <w:vAlign w:val="bottom"/>
          </w:tcPr>
          <w:p w:rsidR="0018024C" w:rsidRDefault="0018024C" w:rsidP="0018024C">
            <w:pPr>
              <w:rPr>
                <w:sz w:val="2"/>
              </w:rPr>
            </w:pPr>
          </w:p>
        </w:tc>
      </w:tr>
      <w:tr w:rsidR="0018024C" w:rsidTr="0018024C">
        <w:trPr>
          <w:trHeight w:hRule="exact" w:val="300"/>
        </w:trPr>
        <w:tc>
          <w:tcPr>
            <w:tcW w:w="1438"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395"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463" w:type="pct"/>
            <w:tcBorders>
              <w:top w:val="nil"/>
              <w:left w:val="nil"/>
              <w:bottom w:val="nil"/>
              <w:right w:val="nil"/>
              <w:tl2br w:val="nil"/>
              <w:tr2bl w:val="nil"/>
            </w:tcBorders>
            <w:shd w:val="clear" w:color="auto" w:fill="auto"/>
            <w:vAlign w:val="bottom"/>
          </w:tcPr>
          <w:p w:rsidR="0018024C" w:rsidRDefault="0018024C" w:rsidP="0018024C">
            <w:pPr>
              <w:rPr>
                <w:b/>
                <w:sz w:val="20"/>
              </w:rPr>
            </w:pPr>
          </w:p>
        </w:tc>
        <w:tc>
          <w:tcPr>
            <w:tcW w:w="74" w:type="pct"/>
            <w:tcBorders>
              <w:top w:val="nil"/>
              <w:left w:val="nil"/>
              <w:bottom w:val="nil"/>
              <w:right w:val="nil"/>
              <w:tl2br w:val="nil"/>
              <w:tr2bl w:val="nil"/>
            </w:tcBorders>
            <w:shd w:val="clear" w:color="auto" w:fill="auto"/>
            <w:vAlign w:val="bottom"/>
          </w:tcPr>
          <w:p w:rsidR="0018024C" w:rsidRDefault="0018024C" w:rsidP="0018024C">
            <w:pPr>
              <w:rPr>
                <w:b/>
                <w:sz w:val="20"/>
              </w:rPr>
            </w:pPr>
          </w:p>
        </w:tc>
        <w:tc>
          <w:tcPr>
            <w:tcW w:w="111" w:type="pct"/>
            <w:tcBorders>
              <w:top w:val="nil"/>
              <w:left w:val="nil"/>
              <w:bottom w:val="nil"/>
              <w:right w:val="nil"/>
              <w:tl2br w:val="nil"/>
              <w:tr2bl w:val="nil"/>
            </w:tcBorders>
            <w:shd w:val="clear" w:color="auto" w:fill="auto"/>
            <w:vAlign w:val="bottom"/>
          </w:tcPr>
          <w:p w:rsidR="0018024C" w:rsidRDefault="0018024C" w:rsidP="0018024C">
            <w:pPr>
              <w:rPr>
                <w:b/>
                <w:sz w:val="20"/>
              </w:rPr>
            </w:pPr>
          </w:p>
        </w:tc>
        <w:tc>
          <w:tcPr>
            <w:tcW w:w="463" w:type="pct"/>
            <w:tcBorders>
              <w:top w:val="nil"/>
              <w:left w:val="nil"/>
              <w:bottom w:val="nil"/>
              <w:right w:val="nil"/>
              <w:tl2br w:val="nil"/>
              <w:tr2bl w:val="nil"/>
            </w:tcBorders>
            <w:shd w:val="clear" w:color="auto" w:fill="auto"/>
            <w:vAlign w:val="bottom"/>
          </w:tcPr>
          <w:p w:rsidR="0018024C" w:rsidRDefault="0018024C" w:rsidP="0018024C">
            <w:pPr>
              <w:rPr>
                <w:b/>
                <w:sz w:val="20"/>
              </w:rPr>
            </w:pPr>
          </w:p>
        </w:tc>
        <w:tc>
          <w:tcPr>
            <w:tcW w:w="74" w:type="pct"/>
            <w:tcBorders>
              <w:top w:val="nil"/>
              <w:left w:val="nil"/>
              <w:bottom w:val="nil"/>
              <w:right w:val="nil"/>
              <w:tl2br w:val="nil"/>
              <w:tr2bl w:val="nil"/>
            </w:tcBorders>
            <w:shd w:val="clear" w:color="auto" w:fill="auto"/>
            <w:vAlign w:val="bottom"/>
          </w:tcPr>
          <w:p w:rsidR="0018024C" w:rsidRDefault="0018024C" w:rsidP="0018024C">
            <w:pPr>
              <w:rPr>
                <w:b/>
                <w:sz w:val="20"/>
              </w:rPr>
            </w:pPr>
          </w:p>
        </w:tc>
        <w:tc>
          <w:tcPr>
            <w:tcW w:w="111" w:type="pct"/>
            <w:tcBorders>
              <w:top w:val="nil"/>
              <w:left w:val="nil"/>
              <w:bottom w:val="nil"/>
              <w:right w:val="nil"/>
              <w:tl2br w:val="nil"/>
              <w:tr2bl w:val="nil"/>
            </w:tcBorders>
            <w:shd w:val="clear" w:color="auto" w:fill="auto"/>
            <w:vAlign w:val="bottom"/>
          </w:tcPr>
          <w:p w:rsidR="0018024C" w:rsidRDefault="0018024C" w:rsidP="0018024C">
            <w:pPr>
              <w:rPr>
                <w:b/>
                <w:sz w:val="20"/>
              </w:rPr>
            </w:pPr>
          </w:p>
        </w:tc>
        <w:tc>
          <w:tcPr>
            <w:tcW w:w="463" w:type="pct"/>
            <w:tcBorders>
              <w:top w:val="nil"/>
              <w:left w:val="nil"/>
              <w:bottom w:val="nil"/>
              <w:right w:val="nil"/>
              <w:tl2br w:val="nil"/>
              <w:tr2bl w:val="nil"/>
            </w:tcBorders>
            <w:shd w:val="clear" w:color="auto" w:fill="auto"/>
            <w:vAlign w:val="bottom"/>
          </w:tcPr>
          <w:p w:rsidR="0018024C" w:rsidRDefault="0018024C" w:rsidP="0018024C">
            <w:pPr>
              <w:rPr>
                <w:b/>
                <w:sz w:val="20"/>
              </w:rPr>
            </w:pPr>
          </w:p>
        </w:tc>
        <w:tc>
          <w:tcPr>
            <w:tcW w:w="74" w:type="pct"/>
            <w:tcBorders>
              <w:top w:val="nil"/>
              <w:left w:val="nil"/>
              <w:bottom w:val="nil"/>
              <w:right w:val="nil"/>
              <w:tl2br w:val="nil"/>
              <w:tr2bl w:val="nil"/>
            </w:tcBorders>
            <w:shd w:val="clear" w:color="auto" w:fill="auto"/>
            <w:vAlign w:val="bottom"/>
          </w:tcPr>
          <w:p w:rsidR="0018024C" w:rsidRDefault="0018024C" w:rsidP="0018024C">
            <w:pPr>
              <w:rPr>
                <w:b/>
                <w:sz w:val="20"/>
              </w:rPr>
            </w:pPr>
          </w:p>
        </w:tc>
        <w:tc>
          <w:tcPr>
            <w:tcW w:w="111" w:type="pct"/>
            <w:tcBorders>
              <w:top w:val="nil"/>
              <w:left w:val="nil"/>
              <w:bottom w:val="nil"/>
              <w:right w:val="nil"/>
              <w:tl2br w:val="nil"/>
              <w:tr2bl w:val="nil"/>
            </w:tcBorders>
            <w:shd w:val="clear" w:color="auto" w:fill="auto"/>
            <w:vAlign w:val="bottom"/>
          </w:tcPr>
          <w:p w:rsidR="0018024C" w:rsidRDefault="0018024C" w:rsidP="0018024C">
            <w:pPr>
              <w:rPr>
                <w:b/>
                <w:sz w:val="20"/>
              </w:rPr>
            </w:pPr>
          </w:p>
        </w:tc>
        <w:tc>
          <w:tcPr>
            <w:tcW w:w="463" w:type="pct"/>
            <w:tcBorders>
              <w:top w:val="nil"/>
              <w:left w:val="nil"/>
              <w:bottom w:val="nil"/>
              <w:right w:val="nil"/>
              <w:tl2br w:val="nil"/>
              <w:tr2bl w:val="nil"/>
            </w:tcBorders>
            <w:shd w:val="clear" w:color="auto" w:fill="auto"/>
            <w:vAlign w:val="bottom"/>
          </w:tcPr>
          <w:p w:rsidR="0018024C" w:rsidRDefault="0018024C" w:rsidP="0018024C">
            <w:pPr>
              <w:rPr>
                <w:b/>
                <w:sz w:val="20"/>
              </w:rPr>
            </w:pPr>
          </w:p>
        </w:tc>
        <w:tc>
          <w:tcPr>
            <w:tcW w:w="74" w:type="pct"/>
            <w:tcBorders>
              <w:top w:val="nil"/>
              <w:left w:val="nil"/>
              <w:bottom w:val="nil"/>
              <w:right w:val="nil"/>
              <w:tl2br w:val="nil"/>
              <w:tr2bl w:val="nil"/>
            </w:tcBorders>
            <w:shd w:val="clear" w:color="auto" w:fill="auto"/>
            <w:vAlign w:val="bottom"/>
          </w:tcPr>
          <w:p w:rsidR="0018024C" w:rsidRDefault="0018024C" w:rsidP="0018024C">
            <w:pPr>
              <w:rPr>
                <w:b/>
                <w:sz w:val="20"/>
              </w:rPr>
            </w:pPr>
          </w:p>
        </w:tc>
        <w:tc>
          <w:tcPr>
            <w:tcW w:w="1" w:type="pct"/>
            <w:gridSpan w:val="2"/>
            <w:tcBorders>
              <w:top w:val="nil"/>
              <w:left w:val="nil"/>
              <w:bottom w:val="nil"/>
              <w:right w:val="nil"/>
              <w:tl2br w:val="nil"/>
              <w:tr2bl w:val="nil"/>
            </w:tcBorders>
            <w:shd w:val="clear" w:color="auto" w:fill="auto"/>
            <w:vAlign w:val="bottom"/>
          </w:tcPr>
          <w:p w:rsidR="0018024C" w:rsidRDefault="0018024C" w:rsidP="0018024C">
            <w:pPr>
              <w:jc w:val="center"/>
              <w:rPr>
                <w:b/>
                <w:sz w:val="20"/>
              </w:rPr>
            </w:pPr>
            <w:r>
              <w:rPr>
                <w:b/>
                <w:sz w:val="20"/>
              </w:rPr>
              <w:t>More Than</w:t>
            </w:r>
          </w:p>
        </w:tc>
      </w:tr>
      <w:tr w:rsidR="0018024C" w:rsidTr="0018024C">
        <w:trPr>
          <w:trHeight w:hRule="exact" w:val="315"/>
        </w:trPr>
        <w:tc>
          <w:tcPr>
            <w:tcW w:w="1438"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395" w:type="pct"/>
            <w:tcBorders>
              <w:top w:val="nil"/>
              <w:left w:val="nil"/>
              <w:bottom w:val="nil"/>
              <w:right w:val="nil"/>
              <w:tl2br w:val="nil"/>
              <w:tr2bl w:val="nil"/>
            </w:tcBorders>
            <w:shd w:val="clear" w:color="auto" w:fill="auto"/>
            <w:vAlign w:val="bottom"/>
          </w:tcPr>
          <w:p w:rsidR="0018024C" w:rsidRDefault="0018024C" w:rsidP="0018024C">
            <w:pPr>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Total</w:t>
            </w:r>
          </w:p>
        </w:tc>
        <w:tc>
          <w:tcPr>
            <w:tcW w:w="74" w:type="pct"/>
            <w:tcBorders>
              <w:top w:val="nil"/>
              <w:left w:val="nil"/>
              <w:bottom w:val="nil"/>
              <w:right w:val="nil"/>
              <w:tl2br w:val="nil"/>
              <w:tr2bl w:val="nil"/>
            </w:tcBorders>
            <w:shd w:val="clear" w:color="auto" w:fill="auto"/>
            <w:vAlign w:val="bottom"/>
          </w:tcPr>
          <w:p w:rsidR="0018024C" w:rsidRDefault="0018024C" w:rsidP="0018024C">
            <w:pPr>
              <w:rPr>
                <w:b/>
                <w:sz w:val="20"/>
              </w:rPr>
            </w:pPr>
          </w:p>
        </w:tc>
        <w:tc>
          <w:tcPr>
            <w:tcW w:w="1" w:type="pct"/>
            <w:gridSpan w:val="2"/>
            <w:tcBorders>
              <w:top w:val="nil"/>
              <w:left w:val="nil"/>
              <w:bottom w:val="single" w:sz="12" w:space="0" w:color="000000"/>
              <w:right w:val="nil"/>
              <w:tl2br w:val="nil"/>
              <w:tr2bl w:val="nil"/>
            </w:tcBorders>
            <w:shd w:val="clear" w:color="auto" w:fill="auto"/>
          </w:tcPr>
          <w:p w:rsidR="0018024C" w:rsidRDefault="0018024C" w:rsidP="0018024C">
            <w:pPr>
              <w:jc w:val="center"/>
              <w:rPr>
                <w:b/>
                <w:sz w:val="20"/>
              </w:rPr>
            </w:pPr>
            <w:r>
              <w:rPr>
                <w:b/>
                <w:sz w:val="20"/>
              </w:rPr>
              <w:t>2020</w:t>
            </w:r>
          </w:p>
        </w:tc>
        <w:tc>
          <w:tcPr>
            <w:tcW w:w="74" w:type="pct"/>
            <w:tcBorders>
              <w:top w:val="nil"/>
              <w:left w:val="nil"/>
              <w:bottom w:val="nil"/>
              <w:right w:val="nil"/>
              <w:tl2br w:val="nil"/>
              <w:tr2bl w:val="nil"/>
            </w:tcBorders>
            <w:shd w:val="clear" w:color="auto" w:fill="auto"/>
            <w:vAlign w:val="bottom"/>
          </w:tcPr>
          <w:p w:rsidR="0018024C" w:rsidRDefault="0018024C" w:rsidP="0018024C">
            <w:pPr>
              <w:rPr>
                <w:b/>
                <w:sz w:val="20"/>
              </w:rPr>
            </w:pPr>
          </w:p>
        </w:tc>
        <w:tc>
          <w:tcPr>
            <w:tcW w:w="1" w:type="pct"/>
            <w:gridSpan w:val="2"/>
            <w:tcBorders>
              <w:top w:val="nil"/>
              <w:left w:val="nil"/>
              <w:bottom w:val="single" w:sz="12" w:space="0" w:color="000000"/>
              <w:right w:val="nil"/>
              <w:tl2br w:val="nil"/>
              <w:tr2bl w:val="nil"/>
            </w:tcBorders>
            <w:shd w:val="clear" w:color="auto" w:fill="auto"/>
          </w:tcPr>
          <w:p w:rsidR="0018024C" w:rsidRDefault="0018024C" w:rsidP="0018024C">
            <w:pPr>
              <w:jc w:val="center"/>
              <w:rPr>
                <w:b/>
                <w:sz w:val="20"/>
              </w:rPr>
            </w:pPr>
            <w:r>
              <w:rPr>
                <w:b/>
                <w:sz w:val="20"/>
              </w:rPr>
              <w:t>2021-2022</w:t>
            </w:r>
          </w:p>
        </w:tc>
        <w:tc>
          <w:tcPr>
            <w:tcW w:w="74" w:type="pct"/>
            <w:tcBorders>
              <w:top w:val="nil"/>
              <w:left w:val="nil"/>
              <w:bottom w:val="nil"/>
              <w:right w:val="nil"/>
              <w:tl2br w:val="nil"/>
              <w:tr2bl w:val="nil"/>
            </w:tcBorders>
            <w:shd w:val="clear" w:color="auto" w:fill="auto"/>
            <w:vAlign w:val="bottom"/>
          </w:tcPr>
          <w:p w:rsidR="0018024C" w:rsidRDefault="0018024C" w:rsidP="0018024C">
            <w:pPr>
              <w:rPr>
                <w:b/>
                <w:sz w:val="20"/>
              </w:rPr>
            </w:pPr>
          </w:p>
        </w:tc>
        <w:tc>
          <w:tcPr>
            <w:tcW w:w="1" w:type="pct"/>
            <w:gridSpan w:val="2"/>
            <w:tcBorders>
              <w:top w:val="nil"/>
              <w:left w:val="nil"/>
              <w:bottom w:val="single" w:sz="12" w:space="0" w:color="000000"/>
              <w:right w:val="nil"/>
              <w:tl2br w:val="nil"/>
              <w:tr2bl w:val="nil"/>
            </w:tcBorders>
            <w:shd w:val="clear" w:color="auto" w:fill="auto"/>
          </w:tcPr>
          <w:p w:rsidR="0018024C" w:rsidRDefault="0018024C" w:rsidP="0018024C">
            <w:pPr>
              <w:jc w:val="center"/>
              <w:rPr>
                <w:b/>
                <w:sz w:val="20"/>
              </w:rPr>
            </w:pPr>
            <w:r>
              <w:rPr>
                <w:b/>
                <w:sz w:val="20"/>
              </w:rPr>
              <w:t>2023-2024</w:t>
            </w:r>
          </w:p>
        </w:tc>
        <w:tc>
          <w:tcPr>
            <w:tcW w:w="74" w:type="pct"/>
            <w:tcBorders>
              <w:top w:val="nil"/>
              <w:left w:val="nil"/>
              <w:bottom w:val="nil"/>
              <w:right w:val="nil"/>
              <w:tl2br w:val="nil"/>
              <w:tr2bl w:val="nil"/>
            </w:tcBorders>
            <w:shd w:val="clear" w:color="auto" w:fill="auto"/>
            <w:vAlign w:val="bottom"/>
          </w:tcPr>
          <w:p w:rsidR="0018024C" w:rsidRDefault="0018024C" w:rsidP="0018024C">
            <w:pPr>
              <w:rPr>
                <w:b/>
                <w:sz w:val="20"/>
              </w:rPr>
            </w:pPr>
          </w:p>
        </w:tc>
        <w:tc>
          <w:tcPr>
            <w:tcW w:w="1" w:type="pct"/>
            <w:gridSpan w:val="2"/>
            <w:tcBorders>
              <w:top w:val="nil"/>
              <w:left w:val="nil"/>
              <w:bottom w:val="single" w:sz="12" w:space="0" w:color="000000"/>
              <w:right w:val="nil"/>
              <w:tl2br w:val="nil"/>
              <w:tr2bl w:val="nil"/>
            </w:tcBorders>
            <w:shd w:val="clear" w:color="auto" w:fill="auto"/>
          </w:tcPr>
          <w:p w:rsidR="0018024C" w:rsidRDefault="0018024C" w:rsidP="0018024C">
            <w:pPr>
              <w:jc w:val="center"/>
              <w:rPr>
                <w:b/>
                <w:sz w:val="20"/>
              </w:rPr>
            </w:pPr>
            <w:r>
              <w:rPr>
                <w:b/>
                <w:sz w:val="20"/>
              </w:rPr>
              <w:t>5 Years</w:t>
            </w:r>
          </w:p>
        </w:tc>
      </w:tr>
      <w:tr w:rsidR="0018024C" w:rsidTr="0018024C">
        <w:trPr>
          <w:trHeight w:hRule="exact" w:val="300"/>
        </w:trPr>
        <w:tc>
          <w:tcPr>
            <w:tcW w:w="1438"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Long-term debt (1)</w:t>
            </w:r>
          </w:p>
        </w:tc>
        <w:tc>
          <w:tcPr>
            <w:tcW w:w="395"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r>
              <w:rPr>
                <w:sz w:val="20"/>
              </w:rPr>
              <w:t>$</w:t>
            </w:r>
          </w:p>
        </w:tc>
        <w:tc>
          <w:tcPr>
            <w:tcW w:w="463"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551</w:t>
            </w:r>
          </w:p>
        </w:tc>
        <w:tc>
          <w:tcPr>
            <w:tcW w:w="74"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r>
              <w:rPr>
                <w:sz w:val="20"/>
              </w:rPr>
              <w:t>$</w:t>
            </w:r>
          </w:p>
        </w:tc>
        <w:tc>
          <w:tcPr>
            <w:tcW w:w="463"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4</w:t>
            </w:r>
          </w:p>
        </w:tc>
        <w:tc>
          <w:tcPr>
            <w:tcW w:w="74"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r>
              <w:rPr>
                <w:sz w:val="20"/>
              </w:rPr>
              <w:t>$</w:t>
            </w:r>
          </w:p>
        </w:tc>
        <w:tc>
          <w:tcPr>
            <w:tcW w:w="463"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169</w:t>
            </w:r>
          </w:p>
        </w:tc>
        <w:tc>
          <w:tcPr>
            <w:tcW w:w="74"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r>
              <w:rPr>
                <w:sz w:val="20"/>
              </w:rPr>
              <w:t>$</w:t>
            </w:r>
          </w:p>
        </w:tc>
        <w:tc>
          <w:tcPr>
            <w:tcW w:w="463"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378</w:t>
            </w:r>
          </w:p>
        </w:tc>
        <w:tc>
          <w:tcPr>
            <w:tcW w:w="74"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single" w:sz="0" w:space="0" w:color="000000"/>
              <w:left w:val="nil"/>
              <w:bottom w:val="nil"/>
              <w:right w:val="nil"/>
              <w:tl2br w:val="nil"/>
              <w:tr2bl w:val="nil"/>
            </w:tcBorders>
            <w:shd w:val="clear" w:color="auto" w:fill="CCEEFF"/>
            <w:vAlign w:val="bottom"/>
          </w:tcPr>
          <w:p w:rsidR="0018024C" w:rsidRDefault="0018024C" w:rsidP="0018024C">
            <w:pPr>
              <w:rPr>
                <w:sz w:val="20"/>
              </w:rPr>
            </w:pPr>
          </w:p>
        </w:tc>
        <w:tc>
          <w:tcPr>
            <w:tcW w:w="463" w:type="pct"/>
            <w:tcBorders>
              <w:top w:val="single" w:sz="0" w:space="0" w:color="000000"/>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w:t>
            </w:r>
          </w:p>
        </w:tc>
      </w:tr>
      <w:tr w:rsidR="0018024C" w:rsidTr="0018024C">
        <w:trPr>
          <w:trHeight w:hRule="exact" w:val="300"/>
        </w:trPr>
        <w:tc>
          <w:tcPr>
            <w:tcW w:w="1438" w:type="pct"/>
            <w:tcBorders>
              <w:top w:val="nil"/>
              <w:left w:val="nil"/>
              <w:bottom w:val="nil"/>
              <w:right w:val="nil"/>
              <w:tl2br w:val="nil"/>
              <w:tr2bl w:val="nil"/>
            </w:tcBorders>
            <w:vAlign w:val="bottom"/>
          </w:tcPr>
          <w:p w:rsidR="0018024C" w:rsidRDefault="0018024C" w:rsidP="0018024C">
            <w:pPr>
              <w:rPr>
                <w:sz w:val="20"/>
              </w:rPr>
            </w:pPr>
            <w:r>
              <w:rPr>
                <w:sz w:val="20"/>
              </w:rPr>
              <w:t>Interest payments (2)</w:t>
            </w:r>
          </w:p>
        </w:tc>
        <w:tc>
          <w:tcPr>
            <w:tcW w:w="395"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463"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102</w:t>
            </w:r>
          </w:p>
        </w:tc>
        <w:tc>
          <w:tcPr>
            <w:tcW w:w="74"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463"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25</w:t>
            </w:r>
          </w:p>
        </w:tc>
        <w:tc>
          <w:tcPr>
            <w:tcW w:w="74" w:type="pct"/>
            <w:tcBorders>
              <w:top w:val="nil"/>
              <w:left w:val="nil"/>
              <w:bottom w:val="nil"/>
              <w:right w:val="nil"/>
              <w:tl2br w:val="nil"/>
              <w:tr2bl w:val="nil"/>
            </w:tcBorders>
            <w:vAlign w:val="bottom"/>
          </w:tcPr>
          <w:p w:rsidR="0018024C" w:rsidRDefault="0018024C" w:rsidP="0018024C">
            <w:pPr>
              <w:rPr>
                <w:rFonts w:ascii="Calibri" w:eastAsia="Calibri" w:hAnsi="Calibri" w:cs="Calibri"/>
                <w:sz w:val="22"/>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463"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46</w:t>
            </w:r>
          </w:p>
        </w:tc>
        <w:tc>
          <w:tcPr>
            <w:tcW w:w="74" w:type="pct"/>
            <w:tcBorders>
              <w:top w:val="nil"/>
              <w:left w:val="nil"/>
              <w:bottom w:val="nil"/>
              <w:right w:val="nil"/>
              <w:tl2br w:val="nil"/>
              <w:tr2bl w:val="nil"/>
            </w:tcBorders>
            <w:vAlign w:val="bottom"/>
          </w:tcPr>
          <w:p w:rsidR="0018024C" w:rsidRDefault="0018024C" w:rsidP="0018024C">
            <w:pPr>
              <w:rPr>
                <w:rFonts w:ascii="Calibri" w:eastAsia="Calibri" w:hAnsi="Calibri" w:cs="Calibri"/>
                <w:sz w:val="22"/>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463"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31</w:t>
            </w:r>
          </w:p>
        </w:tc>
        <w:tc>
          <w:tcPr>
            <w:tcW w:w="74" w:type="pct"/>
            <w:tcBorders>
              <w:top w:val="nil"/>
              <w:left w:val="nil"/>
              <w:bottom w:val="nil"/>
              <w:right w:val="nil"/>
              <w:tl2br w:val="nil"/>
              <w:tr2bl w:val="nil"/>
            </w:tcBorders>
            <w:vAlign w:val="bottom"/>
          </w:tcPr>
          <w:p w:rsidR="0018024C" w:rsidRDefault="0018024C" w:rsidP="0018024C">
            <w:pPr>
              <w:rPr>
                <w:rFonts w:ascii="Calibri" w:eastAsia="Calibri" w:hAnsi="Calibri" w:cs="Calibri"/>
                <w:sz w:val="22"/>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463"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w:t>
            </w:r>
          </w:p>
        </w:tc>
      </w:tr>
      <w:tr w:rsidR="0018024C" w:rsidTr="0018024C">
        <w:trPr>
          <w:trHeight w:hRule="exact" w:val="300"/>
        </w:trPr>
        <w:tc>
          <w:tcPr>
            <w:tcW w:w="1438"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Operating leases</w:t>
            </w:r>
          </w:p>
        </w:tc>
        <w:tc>
          <w:tcPr>
            <w:tcW w:w="395"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463"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332</w:t>
            </w:r>
          </w:p>
        </w:tc>
        <w:tc>
          <w:tcPr>
            <w:tcW w:w="74"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463"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40</w:t>
            </w:r>
          </w:p>
        </w:tc>
        <w:tc>
          <w:tcPr>
            <w:tcW w:w="74" w:type="pct"/>
            <w:tcBorders>
              <w:top w:val="nil"/>
              <w:left w:val="nil"/>
              <w:bottom w:val="nil"/>
              <w:right w:val="nil"/>
              <w:tl2br w:val="nil"/>
              <w:tr2bl w:val="nil"/>
            </w:tcBorders>
            <w:shd w:val="clear" w:color="auto" w:fill="CCEEFF"/>
            <w:vAlign w:val="bottom"/>
          </w:tcPr>
          <w:p w:rsidR="0018024C" w:rsidRDefault="0018024C" w:rsidP="0018024C">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463"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62</w:t>
            </w:r>
          </w:p>
        </w:tc>
        <w:tc>
          <w:tcPr>
            <w:tcW w:w="74" w:type="pct"/>
            <w:tcBorders>
              <w:top w:val="nil"/>
              <w:left w:val="nil"/>
              <w:bottom w:val="nil"/>
              <w:right w:val="nil"/>
              <w:tl2br w:val="nil"/>
              <w:tr2bl w:val="nil"/>
            </w:tcBorders>
            <w:shd w:val="clear" w:color="auto" w:fill="CCEEFF"/>
            <w:vAlign w:val="bottom"/>
          </w:tcPr>
          <w:p w:rsidR="0018024C" w:rsidRDefault="0018024C" w:rsidP="0018024C">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463"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38</w:t>
            </w:r>
          </w:p>
        </w:tc>
        <w:tc>
          <w:tcPr>
            <w:tcW w:w="74" w:type="pct"/>
            <w:tcBorders>
              <w:top w:val="nil"/>
              <w:left w:val="nil"/>
              <w:bottom w:val="nil"/>
              <w:right w:val="nil"/>
              <w:tl2br w:val="nil"/>
              <w:tr2bl w:val="nil"/>
            </w:tcBorders>
            <w:shd w:val="clear" w:color="auto" w:fill="CCEEFF"/>
            <w:vAlign w:val="bottom"/>
          </w:tcPr>
          <w:p w:rsidR="0018024C" w:rsidRDefault="0018024C" w:rsidP="0018024C">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463"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192</w:t>
            </w:r>
          </w:p>
        </w:tc>
      </w:tr>
      <w:tr w:rsidR="0018024C" w:rsidTr="0018024C">
        <w:trPr>
          <w:trHeight w:hRule="exact" w:val="300"/>
        </w:trPr>
        <w:tc>
          <w:tcPr>
            <w:tcW w:w="1438" w:type="pct"/>
            <w:tcBorders>
              <w:top w:val="nil"/>
              <w:left w:val="nil"/>
              <w:bottom w:val="nil"/>
              <w:right w:val="nil"/>
              <w:tl2br w:val="nil"/>
              <w:tr2bl w:val="nil"/>
            </w:tcBorders>
            <w:vAlign w:val="bottom"/>
          </w:tcPr>
          <w:p w:rsidR="0018024C" w:rsidRDefault="0018024C" w:rsidP="0018024C">
            <w:pPr>
              <w:rPr>
                <w:sz w:val="20"/>
              </w:rPr>
            </w:pPr>
            <w:r>
              <w:rPr>
                <w:sz w:val="20"/>
              </w:rPr>
              <w:t>Purchase obligations (3)</w:t>
            </w:r>
          </w:p>
        </w:tc>
        <w:tc>
          <w:tcPr>
            <w:tcW w:w="395"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463"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501</w:t>
            </w:r>
          </w:p>
        </w:tc>
        <w:tc>
          <w:tcPr>
            <w:tcW w:w="74"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463"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501</w:t>
            </w:r>
          </w:p>
        </w:tc>
        <w:tc>
          <w:tcPr>
            <w:tcW w:w="74" w:type="pct"/>
            <w:tcBorders>
              <w:top w:val="nil"/>
              <w:left w:val="nil"/>
              <w:bottom w:val="nil"/>
              <w:right w:val="nil"/>
              <w:tl2br w:val="nil"/>
              <w:tr2bl w:val="nil"/>
            </w:tcBorders>
            <w:vAlign w:val="bottom"/>
          </w:tcPr>
          <w:p w:rsidR="0018024C" w:rsidRDefault="0018024C" w:rsidP="0018024C">
            <w:pPr>
              <w:rPr>
                <w:rFonts w:ascii="Calibri" w:eastAsia="Calibri" w:hAnsi="Calibri" w:cs="Calibri"/>
                <w:sz w:val="22"/>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463"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w:t>
            </w:r>
          </w:p>
        </w:tc>
        <w:tc>
          <w:tcPr>
            <w:tcW w:w="74" w:type="pct"/>
            <w:tcBorders>
              <w:top w:val="nil"/>
              <w:left w:val="nil"/>
              <w:bottom w:val="nil"/>
              <w:right w:val="nil"/>
              <w:tl2br w:val="nil"/>
              <w:tr2bl w:val="nil"/>
            </w:tcBorders>
            <w:vAlign w:val="bottom"/>
          </w:tcPr>
          <w:p w:rsidR="0018024C" w:rsidRDefault="0018024C" w:rsidP="0018024C">
            <w:pPr>
              <w:rPr>
                <w:rFonts w:ascii="Calibri" w:eastAsia="Calibri" w:hAnsi="Calibri" w:cs="Calibri"/>
                <w:sz w:val="22"/>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463"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w:t>
            </w:r>
          </w:p>
        </w:tc>
        <w:tc>
          <w:tcPr>
            <w:tcW w:w="74" w:type="pct"/>
            <w:tcBorders>
              <w:top w:val="nil"/>
              <w:left w:val="nil"/>
              <w:bottom w:val="nil"/>
              <w:right w:val="nil"/>
              <w:tl2br w:val="nil"/>
              <w:tr2bl w:val="nil"/>
            </w:tcBorders>
            <w:vAlign w:val="bottom"/>
          </w:tcPr>
          <w:p w:rsidR="0018024C" w:rsidRDefault="0018024C" w:rsidP="0018024C">
            <w:pPr>
              <w:rPr>
                <w:rFonts w:ascii="Calibri" w:eastAsia="Calibri" w:hAnsi="Calibri" w:cs="Calibri"/>
                <w:sz w:val="22"/>
              </w:rPr>
            </w:pPr>
          </w:p>
        </w:tc>
        <w:tc>
          <w:tcPr>
            <w:tcW w:w="111" w:type="pct"/>
            <w:tcBorders>
              <w:top w:val="nil"/>
              <w:left w:val="nil"/>
              <w:bottom w:val="nil"/>
              <w:right w:val="nil"/>
              <w:tl2br w:val="nil"/>
              <w:tr2bl w:val="nil"/>
            </w:tcBorders>
            <w:vAlign w:val="bottom"/>
          </w:tcPr>
          <w:p w:rsidR="0018024C" w:rsidRDefault="0018024C" w:rsidP="0018024C">
            <w:pPr>
              <w:rPr>
                <w:sz w:val="20"/>
              </w:rPr>
            </w:pPr>
          </w:p>
        </w:tc>
        <w:tc>
          <w:tcPr>
            <w:tcW w:w="463" w:type="pct"/>
            <w:tcBorders>
              <w:top w:val="nil"/>
              <w:left w:val="nil"/>
              <w:bottom w:val="nil"/>
              <w:right w:val="nil"/>
              <w:tl2br w:val="nil"/>
              <w:tr2bl w:val="nil"/>
            </w:tcBorders>
            <w:vAlign w:val="bottom"/>
          </w:tcPr>
          <w:p w:rsidR="0018024C" w:rsidRDefault="0018024C" w:rsidP="0018024C">
            <w:pPr>
              <w:ind w:right="65"/>
              <w:jc w:val="right"/>
              <w:rPr>
                <w:sz w:val="20"/>
              </w:rPr>
            </w:pPr>
            <w:r>
              <w:rPr>
                <w:sz w:val="20"/>
              </w:rPr>
              <w:t xml:space="preserve"> -</w:t>
            </w:r>
          </w:p>
        </w:tc>
      </w:tr>
      <w:tr w:rsidR="0018024C" w:rsidTr="0018024C">
        <w:trPr>
          <w:trHeight w:hRule="exact" w:val="300"/>
        </w:trPr>
        <w:tc>
          <w:tcPr>
            <w:tcW w:w="1438"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Foreign exchange forward contracts</w:t>
            </w:r>
          </w:p>
        </w:tc>
        <w:tc>
          <w:tcPr>
            <w:tcW w:w="395"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463"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w:t>
            </w:r>
          </w:p>
        </w:tc>
        <w:tc>
          <w:tcPr>
            <w:tcW w:w="74"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463"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w:t>
            </w:r>
          </w:p>
        </w:tc>
        <w:tc>
          <w:tcPr>
            <w:tcW w:w="74" w:type="pct"/>
            <w:tcBorders>
              <w:top w:val="nil"/>
              <w:left w:val="nil"/>
              <w:bottom w:val="nil"/>
              <w:right w:val="nil"/>
              <w:tl2br w:val="nil"/>
              <w:tr2bl w:val="nil"/>
            </w:tcBorders>
            <w:shd w:val="clear" w:color="auto" w:fill="CCEEFF"/>
            <w:vAlign w:val="bottom"/>
          </w:tcPr>
          <w:p w:rsidR="0018024C" w:rsidRDefault="0018024C" w:rsidP="0018024C">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463"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w:t>
            </w:r>
          </w:p>
        </w:tc>
        <w:tc>
          <w:tcPr>
            <w:tcW w:w="74" w:type="pct"/>
            <w:tcBorders>
              <w:top w:val="nil"/>
              <w:left w:val="nil"/>
              <w:bottom w:val="nil"/>
              <w:right w:val="nil"/>
              <w:tl2br w:val="nil"/>
              <w:tr2bl w:val="nil"/>
            </w:tcBorders>
            <w:shd w:val="clear" w:color="auto" w:fill="CCEEFF"/>
            <w:vAlign w:val="bottom"/>
          </w:tcPr>
          <w:p w:rsidR="0018024C" w:rsidRDefault="0018024C" w:rsidP="0018024C">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463"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w:t>
            </w:r>
          </w:p>
        </w:tc>
        <w:tc>
          <w:tcPr>
            <w:tcW w:w="74" w:type="pct"/>
            <w:tcBorders>
              <w:top w:val="nil"/>
              <w:left w:val="nil"/>
              <w:bottom w:val="nil"/>
              <w:right w:val="nil"/>
              <w:tl2br w:val="nil"/>
              <w:tr2bl w:val="nil"/>
            </w:tcBorders>
            <w:shd w:val="clear" w:color="auto" w:fill="CCEEFF"/>
            <w:vAlign w:val="bottom"/>
          </w:tcPr>
          <w:p w:rsidR="0018024C" w:rsidRDefault="0018024C" w:rsidP="0018024C">
            <w:pPr>
              <w:rPr>
                <w:rFonts w:ascii="Calibri" w:eastAsia="Calibri" w:hAnsi="Calibri" w:cs="Calibri"/>
                <w:sz w:val="22"/>
              </w:rPr>
            </w:pPr>
          </w:p>
        </w:tc>
        <w:tc>
          <w:tcPr>
            <w:tcW w:w="111"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463" w:type="pct"/>
            <w:tcBorders>
              <w:top w:val="nil"/>
              <w:left w:val="nil"/>
              <w:bottom w:val="nil"/>
              <w:right w:val="nil"/>
              <w:tl2br w:val="nil"/>
              <w:tr2bl w:val="nil"/>
            </w:tcBorders>
            <w:shd w:val="clear" w:color="auto" w:fill="CCEEFF"/>
            <w:vAlign w:val="bottom"/>
          </w:tcPr>
          <w:p w:rsidR="0018024C" w:rsidRDefault="0018024C" w:rsidP="0018024C">
            <w:pPr>
              <w:ind w:right="65"/>
              <w:jc w:val="right"/>
              <w:rPr>
                <w:sz w:val="20"/>
              </w:rPr>
            </w:pPr>
            <w:r>
              <w:rPr>
                <w:sz w:val="20"/>
              </w:rPr>
              <w:t xml:space="preserve"> -</w:t>
            </w:r>
          </w:p>
        </w:tc>
      </w:tr>
      <w:tr w:rsidR="0018024C" w:rsidTr="0018024C">
        <w:trPr>
          <w:trHeight w:hRule="exact" w:val="300"/>
        </w:trPr>
        <w:tc>
          <w:tcPr>
            <w:tcW w:w="1438" w:type="pct"/>
            <w:tcBorders>
              <w:top w:val="nil"/>
              <w:left w:val="nil"/>
              <w:bottom w:val="nil"/>
              <w:right w:val="nil"/>
              <w:tl2br w:val="nil"/>
              <w:tr2bl w:val="nil"/>
            </w:tcBorders>
            <w:vAlign w:val="bottom"/>
          </w:tcPr>
          <w:p w:rsidR="0018024C" w:rsidRDefault="0018024C" w:rsidP="0018024C">
            <w:pPr>
              <w:rPr>
                <w:sz w:val="20"/>
              </w:rPr>
            </w:pPr>
            <w:r>
              <w:rPr>
                <w:sz w:val="20"/>
              </w:rPr>
              <w:t>Other long-term liabilities</w:t>
            </w:r>
          </w:p>
        </w:tc>
        <w:tc>
          <w:tcPr>
            <w:tcW w:w="395"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463" w:type="pct"/>
            <w:tcBorders>
              <w:top w:val="nil"/>
              <w:left w:val="nil"/>
              <w:bottom w:val="single" w:sz="12" w:space="0" w:color="000000"/>
              <w:right w:val="nil"/>
              <w:tl2br w:val="nil"/>
              <w:tr2bl w:val="nil"/>
            </w:tcBorders>
            <w:vAlign w:val="bottom"/>
          </w:tcPr>
          <w:p w:rsidR="0018024C" w:rsidRDefault="0018024C" w:rsidP="0018024C">
            <w:pPr>
              <w:ind w:right="65"/>
              <w:jc w:val="right"/>
              <w:rPr>
                <w:sz w:val="20"/>
              </w:rPr>
            </w:pPr>
            <w:r>
              <w:rPr>
                <w:sz w:val="20"/>
              </w:rPr>
              <w:t xml:space="preserve"> 37</w:t>
            </w:r>
          </w:p>
        </w:tc>
        <w:tc>
          <w:tcPr>
            <w:tcW w:w="74" w:type="pct"/>
            <w:tcBorders>
              <w:top w:val="nil"/>
              <w:left w:val="nil"/>
              <w:bottom w:val="nil"/>
              <w:right w:val="nil"/>
              <w:tl2br w:val="nil"/>
              <w:tr2bl w:val="nil"/>
            </w:tcBorders>
            <w:vAlign w:val="bottom"/>
          </w:tcPr>
          <w:p w:rsidR="0018024C" w:rsidRDefault="0018024C" w:rsidP="0018024C">
            <w:pPr>
              <w:rPr>
                <w:sz w:val="20"/>
              </w:rPr>
            </w:pPr>
          </w:p>
        </w:tc>
        <w:tc>
          <w:tcPr>
            <w:tcW w:w="111"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463" w:type="pct"/>
            <w:tcBorders>
              <w:top w:val="nil"/>
              <w:left w:val="nil"/>
              <w:bottom w:val="single" w:sz="12" w:space="0" w:color="000000"/>
              <w:right w:val="nil"/>
              <w:tl2br w:val="nil"/>
              <w:tr2bl w:val="nil"/>
            </w:tcBorders>
            <w:vAlign w:val="bottom"/>
          </w:tcPr>
          <w:p w:rsidR="0018024C" w:rsidRDefault="0018024C" w:rsidP="0018024C">
            <w:pPr>
              <w:ind w:right="65"/>
              <w:jc w:val="right"/>
              <w:rPr>
                <w:sz w:val="20"/>
              </w:rPr>
            </w:pPr>
            <w:r>
              <w:rPr>
                <w:sz w:val="20"/>
              </w:rPr>
              <w:t xml:space="preserve"> -</w:t>
            </w:r>
          </w:p>
        </w:tc>
        <w:tc>
          <w:tcPr>
            <w:tcW w:w="74" w:type="pct"/>
            <w:tcBorders>
              <w:top w:val="nil"/>
              <w:left w:val="nil"/>
              <w:bottom w:val="nil"/>
              <w:right w:val="nil"/>
              <w:tl2br w:val="nil"/>
              <w:tr2bl w:val="nil"/>
            </w:tcBorders>
            <w:vAlign w:val="bottom"/>
          </w:tcPr>
          <w:p w:rsidR="0018024C" w:rsidRDefault="0018024C" w:rsidP="0018024C">
            <w:pPr>
              <w:rPr>
                <w:rFonts w:ascii="Calibri" w:eastAsia="Calibri" w:hAnsi="Calibri" w:cs="Calibri"/>
                <w:sz w:val="22"/>
              </w:rPr>
            </w:pPr>
          </w:p>
        </w:tc>
        <w:tc>
          <w:tcPr>
            <w:tcW w:w="111"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463" w:type="pct"/>
            <w:tcBorders>
              <w:top w:val="nil"/>
              <w:left w:val="nil"/>
              <w:bottom w:val="single" w:sz="12" w:space="0" w:color="000000"/>
              <w:right w:val="nil"/>
              <w:tl2br w:val="nil"/>
              <w:tr2bl w:val="nil"/>
            </w:tcBorders>
            <w:vAlign w:val="bottom"/>
          </w:tcPr>
          <w:p w:rsidR="0018024C" w:rsidRDefault="0018024C" w:rsidP="0018024C">
            <w:pPr>
              <w:ind w:right="65"/>
              <w:jc w:val="right"/>
              <w:rPr>
                <w:sz w:val="20"/>
              </w:rPr>
            </w:pPr>
            <w:r>
              <w:rPr>
                <w:sz w:val="20"/>
              </w:rPr>
              <w:t xml:space="preserve"> -</w:t>
            </w:r>
          </w:p>
        </w:tc>
        <w:tc>
          <w:tcPr>
            <w:tcW w:w="74" w:type="pct"/>
            <w:tcBorders>
              <w:top w:val="nil"/>
              <w:left w:val="nil"/>
              <w:bottom w:val="nil"/>
              <w:right w:val="nil"/>
              <w:tl2br w:val="nil"/>
              <w:tr2bl w:val="nil"/>
            </w:tcBorders>
            <w:vAlign w:val="bottom"/>
          </w:tcPr>
          <w:p w:rsidR="0018024C" w:rsidRDefault="0018024C" w:rsidP="0018024C">
            <w:pPr>
              <w:rPr>
                <w:rFonts w:ascii="Calibri" w:eastAsia="Calibri" w:hAnsi="Calibri" w:cs="Calibri"/>
                <w:sz w:val="22"/>
              </w:rPr>
            </w:pPr>
          </w:p>
        </w:tc>
        <w:tc>
          <w:tcPr>
            <w:tcW w:w="111"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463" w:type="pct"/>
            <w:tcBorders>
              <w:top w:val="nil"/>
              <w:left w:val="nil"/>
              <w:bottom w:val="single" w:sz="12" w:space="0" w:color="000000"/>
              <w:right w:val="nil"/>
              <w:tl2br w:val="nil"/>
              <w:tr2bl w:val="nil"/>
            </w:tcBorders>
            <w:vAlign w:val="bottom"/>
          </w:tcPr>
          <w:p w:rsidR="0018024C" w:rsidRDefault="0018024C" w:rsidP="0018024C">
            <w:pPr>
              <w:ind w:right="65"/>
              <w:jc w:val="right"/>
              <w:rPr>
                <w:sz w:val="20"/>
              </w:rPr>
            </w:pPr>
            <w:r>
              <w:rPr>
                <w:sz w:val="20"/>
              </w:rPr>
              <w:t xml:space="preserve"> -</w:t>
            </w:r>
          </w:p>
        </w:tc>
        <w:tc>
          <w:tcPr>
            <w:tcW w:w="74" w:type="pct"/>
            <w:tcBorders>
              <w:top w:val="nil"/>
              <w:left w:val="nil"/>
              <w:bottom w:val="nil"/>
              <w:right w:val="nil"/>
              <w:tl2br w:val="nil"/>
              <w:tr2bl w:val="nil"/>
            </w:tcBorders>
            <w:vAlign w:val="bottom"/>
          </w:tcPr>
          <w:p w:rsidR="0018024C" w:rsidRDefault="0018024C" w:rsidP="0018024C">
            <w:pPr>
              <w:rPr>
                <w:rFonts w:ascii="Calibri" w:eastAsia="Calibri" w:hAnsi="Calibri" w:cs="Calibri"/>
                <w:sz w:val="22"/>
              </w:rPr>
            </w:pPr>
          </w:p>
        </w:tc>
        <w:tc>
          <w:tcPr>
            <w:tcW w:w="111" w:type="pct"/>
            <w:tcBorders>
              <w:top w:val="nil"/>
              <w:left w:val="nil"/>
              <w:bottom w:val="single" w:sz="12" w:space="0" w:color="000000"/>
              <w:right w:val="nil"/>
              <w:tl2br w:val="nil"/>
              <w:tr2bl w:val="nil"/>
            </w:tcBorders>
            <w:vAlign w:val="bottom"/>
          </w:tcPr>
          <w:p w:rsidR="0018024C" w:rsidRDefault="0018024C" w:rsidP="0018024C">
            <w:pPr>
              <w:rPr>
                <w:sz w:val="20"/>
              </w:rPr>
            </w:pPr>
          </w:p>
        </w:tc>
        <w:tc>
          <w:tcPr>
            <w:tcW w:w="463" w:type="pct"/>
            <w:tcBorders>
              <w:top w:val="nil"/>
              <w:left w:val="nil"/>
              <w:bottom w:val="single" w:sz="12" w:space="0" w:color="000000"/>
              <w:right w:val="nil"/>
              <w:tl2br w:val="nil"/>
              <w:tr2bl w:val="nil"/>
            </w:tcBorders>
            <w:vAlign w:val="bottom"/>
          </w:tcPr>
          <w:p w:rsidR="0018024C" w:rsidRDefault="0018024C" w:rsidP="0018024C">
            <w:pPr>
              <w:ind w:right="65"/>
              <w:jc w:val="right"/>
              <w:rPr>
                <w:sz w:val="20"/>
              </w:rPr>
            </w:pPr>
            <w:r>
              <w:rPr>
                <w:sz w:val="20"/>
              </w:rPr>
              <w:t xml:space="preserve"> 37</w:t>
            </w:r>
          </w:p>
        </w:tc>
      </w:tr>
      <w:tr w:rsidR="0018024C" w:rsidTr="0018024C">
        <w:trPr>
          <w:trHeight w:hRule="exact" w:val="255"/>
        </w:trPr>
        <w:tc>
          <w:tcPr>
            <w:tcW w:w="1438" w:type="pct"/>
            <w:tcBorders>
              <w:top w:val="nil"/>
              <w:left w:val="nil"/>
              <w:bottom w:val="nil"/>
              <w:right w:val="nil"/>
              <w:tl2br w:val="nil"/>
              <w:tr2bl w:val="nil"/>
            </w:tcBorders>
            <w:shd w:val="clear" w:color="auto" w:fill="CCEEFF"/>
            <w:vAlign w:val="bottom"/>
          </w:tcPr>
          <w:p w:rsidR="0018024C" w:rsidRDefault="0018024C" w:rsidP="0018024C">
            <w:pPr>
              <w:rPr>
                <w:sz w:val="20"/>
              </w:rPr>
            </w:pPr>
            <w:r>
              <w:rPr>
                <w:sz w:val="20"/>
              </w:rPr>
              <w:t>Total</w:t>
            </w:r>
          </w:p>
        </w:tc>
        <w:tc>
          <w:tcPr>
            <w:tcW w:w="395"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rPr>
                <w:sz w:val="20"/>
              </w:rPr>
            </w:pPr>
            <w:r>
              <w:rPr>
                <w:sz w:val="20"/>
              </w:rPr>
              <w:t>$</w:t>
            </w:r>
          </w:p>
        </w:tc>
        <w:tc>
          <w:tcPr>
            <w:tcW w:w="463"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ind w:right="65"/>
              <w:jc w:val="right"/>
              <w:rPr>
                <w:sz w:val="20"/>
              </w:rPr>
            </w:pPr>
            <w:r>
              <w:rPr>
                <w:sz w:val="20"/>
              </w:rPr>
              <w:t xml:space="preserve"> 1,523</w:t>
            </w:r>
          </w:p>
        </w:tc>
        <w:tc>
          <w:tcPr>
            <w:tcW w:w="74"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rPr>
                <w:sz w:val="20"/>
              </w:rPr>
            </w:pPr>
            <w:r>
              <w:rPr>
                <w:sz w:val="20"/>
              </w:rPr>
              <w:t>$</w:t>
            </w:r>
          </w:p>
        </w:tc>
        <w:tc>
          <w:tcPr>
            <w:tcW w:w="463"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ind w:right="65"/>
              <w:jc w:val="right"/>
              <w:rPr>
                <w:sz w:val="20"/>
              </w:rPr>
            </w:pPr>
            <w:r>
              <w:rPr>
                <w:sz w:val="20"/>
              </w:rPr>
              <w:t xml:space="preserve"> 570</w:t>
            </w:r>
          </w:p>
        </w:tc>
        <w:tc>
          <w:tcPr>
            <w:tcW w:w="74"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rPr>
                <w:sz w:val="20"/>
              </w:rPr>
            </w:pPr>
            <w:r>
              <w:rPr>
                <w:sz w:val="20"/>
              </w:rPr>
              <w:t>$</w:t>
            </w:r>
          </w:p>
        </w:tc>
        <w:tc>
          <w:tcPr>
            <w:tcW w:w="463"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ind w:right="65"/>
              <w:jc w:val="right"/>
              <w:rPr>
                <w:sz w:val="20"/>
              </w:rPr>
            </w:pPr>
            <w:r>
              <w:rPr>
                <w:sz w:val="20"/>
              </w:rPr>
              <w:t xml:space="preserve"> 277</w:t>
            </w:r>
          </w:p>
        </w:tc>
        <w:tc>
          <w:tcPr>
            <w:tcW w:w="74"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rPr>
                <w:sz w:val="20"/>
              </w:rPr>
            </w:pPr>
            <w:r>
              <w:rPr>
                <w:sz w:val="20"/>
              </w:rPr>
              <w:t>$</w:t>
            </w:r>
          </w:p>
        </w:tc>
        <w:tc>
          <w:tcPr>
            <w:tcW w:w="463"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ind w:right="65"/>
              <w:jc w:val="right"/>
              <w:rPr>
                <w:sz w:val="20"/>
              </w:rPr>
            </w:pPr>
            <w:r>
              <w:rPr>
                <w:sz w:val="20"/>
              </w:rPr>
              <w:t xml:space="preserve"> 447</w:t>
            </w:r>
          </w:p>
        </w:tc>
        <w:tc>
          <w:tcPr>
            <w:tcW w:w="74" w:type="pct"/>
            <w:tcBorders>
              <w:top w:val="nil"/>
              <w:left w:val="nil"/>
              <w:bottom w:val="nil"/>
              <w:right w:val="nil"/>
              <w:tl2br w:val="nil"/>
              <w:tr2bl w:val="nil"/>
            </w:tcBorders>
            <w:shd w:val="clear" w:color="auto" w:fill="CCEEFF"/>
            <w:vAlign w:val="bottom"/>
          </w:tcPr>
          <w:p w:rsidR="0018024C" w:rsidRDefault="0018024C" w:rsidP="0018024C">
            <w:pPr>
              <w:rPr>
                <w:sz w:val="20"/>
              </w:rPr>
            </w:pPr>
          </w:p>
        </w:tc>
        <w:tc>
          <w:tcPr>
            <w:tcW w:w="111"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rPr>
                <w:sz w:val="20"/>
              </w:rPr>
            </w:pPr>
            <w:r>
              <w:rPr>
                <w:sz w:val="20"/>
              </w:rPr>
              <w:t>$</w:t>
            </w:r>
          </w:p>
        </w:tc>
        <w:tc>
          <w:tcPr>
            <w:tcW w:w="463"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ind w:right="65"/>
              <w:jc w:val="right"/>
              <w:rPr>
                <w:sz w:val="20"/>
              </w:rPr>
            </w:pPr>
            <w:r>
              <w:rPr>
                <w:sz w:val="20"/>
              </w:rPr>
              <w:t xml:space="preserve"> 229</w:t>
            </w:r>
          </w:p>
        </w:tc>
      </w:tr>
    </w:tbl>
    <w:p w:rsidR="000121CD" w:rsidRDefault="000121CD"/>
    <w:p w:rsidR="000121CD" w:rsidRDefault="00590862">
      <w:pPr>
        <w:pStyle w:val="NormalWeb"/>
        <w:keepNext/>
        <w:spacing w:before="0" w:beforeAutospacing="0" w:after="0" w:afterAutospacing="0"/>
        <w:rPr>
          <w:sz w:val="20"/>
          <w:szCs w:val="20"/>
        </w:rPr>
      </w:pPr>
      <w:r>
        <w:rPr>
          <w:sz w:val="20"/>
          <w:szCs w:val="20"/>
        </w:rPr>
        <w:t xml:space="preserve">(1)     Long-term debt is based on debt outstanding at </w:t>
      </w:r>
      <w:r w:rsidR="003627E3" w:rsidRPr="003A4344">
        <w:rPr>
          <w:sz w:val="20"/>
          <w:szCs w:val="20"/>
        </w:rPr>
        <w:t>December 31, 2019</w:t>
      </w:r>
      <w:r>
        <w:rPr>
          <w:sz w:val="20"/>
          <w:szCs w:val="20"/>
        </w:rPr>
        <w:t xml:space="preserve">. </w:t>
      </w:r>
    </w:p>
    <w:p w:rsidR="000121CD" w:rsidRDefault="00590862">
      <w:pPr>
        <w:pStyle w:val="NormalWeb"/>
        <w:spacing w:before="0" w:beforeAutospacing="0" w:after="0" w:afterAutospacing="0"/>
        <w:ind w:left="489" w:hanging="490"/>
        <w:rPr>
          <w:sz w:val="20"/>
          <w:szCs w:val="20"/>
        </w:rPr>
      </w:pPr>
      <w:r>
        <w:rPr>
          <w:sz w:val="20"/>
          <w:szCs w:val="20"/>
        </w:rPr>
        <w:t xml:space="preserve">(2)     Interest payments are based on interest rates in effect at </w:t>
      </w:r>
      <w:r w:rsidR="003627E3" w:rsidRPr="003A4344">
        <w:rPr>
          <w:sz w:val="20"/>
          <w:szCs w:val="20"/>
        </w:rPr>
        <w:t>December 31, 2019</w:t>
      </w:r>
      <w:r>
        <w:rPr>
          <w:sz w:val="20"/>
          <w:szCs w:val="20"/>
        </w:rPr>
        <w:t xml:space="preserve"> and assume contractual amortization payments. </w:t>
      </w:r>
    </w:p>
    <w:p w:rsidR="000121CD" w:rsidRDefault="00590862">
      <w:pPr>
        <w:pStyle w:val="NormalWeb"/>
        <w:spacing w:before="0" w:beforeAutospacing="0" w:after="0" w:afterAutospacing="0"/>
        <w:ind w:left="489" w:hanging="490"/>
        <w:rPr>
          <w:sz w:val="20"/>
          <w:szCs w:val="20"/>
        </w:rPr>
      </w:pPr>
      <w:r>
        <w:rPr>
          <w:sz w:val="20"/>
          <w:szCs w:val="20"/>
        </w:rPr>
        <w:t xml:space="preserve">(3)     Purchase obligations reflect our commitments to purchase PVF products in the ordinary course of business. While our vendors often allow us to cancel these purchase orders without penalty, in certain cases cancellations may subject us to cancellation fees or penalties, depending on the terms of the contract. </w:t>
      </w:r>
    </w:p>
    <w:p w:rsidR="000121CD" w:rsidRDefault="00590862">
      <w:pPr>
        <w:pStyle w:val="NormalWeb"/>
        <w:spacing w:before="180" w:beforeAutospacing="0" w:after="0" w:afterAutospacing="0"/>
        <w:rPr>
          <w:sz w:val="20"/>
          <w:szCs w:val="20"/>
        </w:rPr>
      </w:pPr>
      <w:r>
        <w:rPr>
          <w:sz w:val="20"/>
          <w:szCs w:val="20"/>
        </w:rPr>
        <w:t xml:space="preserve">We historically have been an acquisitive company. We expect to fund future acquisitions primarily from (i) borrowings, either the unused portion of our facilities or new debt issuances, (ii) cash provided by operations or (iii) the issuance of additional equity in connection with the acquisitions. </w:t>
      </w:r>
    </w:p>
    <w:p w:rsidR="000121CD" w:rsidRDefault="00590862">
      <w:pPr>
        <w:pStyle w:val="NormalWeb"/>
        <w:keepNext/>
        <w:spacing w:before="270" w:beforeAutospacing="0" w:after="0" w:afterAutospacing="0"/>
        <w:rPr>
          <w:sz w:val="20"/>
          <w:szCs w:val="20"/>
        </w:rPr>
      </w:pPr>
      <w:r>
        <w:rPr>
          <w:b/>
          <w:bCs/>
          <w:i/>
          <w:iCs/>
          <w:sz w:val="20"/>
          <w:szCs w:val="20"/>
        </w:rPr>
        <w:t xml:space="preserve">Other Commitments </w:t>
      </w:r>
    </w:p>
    <w:p w:rsidR="000121CD" w:rsidRDefault="00590862">
      <w:pPr>
        <w:pStyle w:val="NormalWeb"/>
        <w:spacing w:before="90" w:beforeAutospacing="0" w:after="0" w:afterAutospacing="0"/>
        <w:rPr>
          <w:sz w:val="20"/>
          <w:szCs w:val="20"/>
        </w:rPr>
      </w:pPr>
      <w:r>
        <w:rPr>
          <w:sz w:val="20"/>
          <w:szCs w:val="20"/>
        </w:rPr>
        <w:t>In the normal course of business with customers, vendors and others, we are contingently liable for performance under standby letters of credit and bid, performance and surety bonds. We were contingently liable for approximately $</w:t>
      </w:r>
      <w:r w:rsidR="00107081">
        <w:rPr>
          <w:sz w:val="20"/>
          <w:szCs w:val="20"/>
        </w:rPr>
        <w:t>39</w:t>
      </w:r>
      <w:r>
        <w:rPr>
          <w:sz w:val="20"/>
          <w:szCs w:val="20"/>
        </w:rPr>
        <w:t xml:space="preserve"> million of standby letters of credit, trade guarantees that banks issue and bid, and performance and surety bonds at </w:t>
      </w:r>
      <w:r w:rsidR="003627E3" w:rsidRPr="003A4344">
        <w:rPr>
          <w:sz w:val="20"/>
          <w:szCs w:val="20"/>
        </w:rPr>
        <w:t>December 31, 2019</w:t>
      </w:r>
      <w:r>
        <w:rPr>
          <w:sz w:val="20"/>
          <w:szCs w:val="20"/>
        </w:rPr>
        <w:t xml:space="preserve">. Management does not expect any material amounts to be drawn on these instruments. </w:t>
      </w:r>
    </w:p>
    <w:p w:rsidR="000121CD" w:rsidRDefault="00590862">
      <w:pPr>
        <w:pStyle w:val="NormalWeb"/>
        <w:keepNext/>
        <w:spacing w:before="275" w:beforeAutospacing="0" w:after="0" w:afterAutospacing="0"/>
        <w:rPr>
          <w:b/>
          <w:bCs/>
          <w:i/>
          <w:iCs/>
          <w:sz w:val="20"/>
          <w:szCs w:val="20"/>
        </w:rPr>
      </w:pPr>
      <w:bookmarkStart w:id="12" w:name="_Hlk535848076"/>
      <w:r>
        <w:rPr>
          <w:b/>
          <w:bCs/>
          <w:i/>
          <w:iCs/>
          <w:sz w:val="20"/>
          <w:szCs w:val="20"/>
        </w:rPr>
        <w:t xml:space="preserve">Legal Proceedings </w:t>
      </w:r>
    </w:p>
    <w:p w:rsidR="000121CD" w:rsidRDefault="00590862">
      <w:pPr>
        <w:spacing w:before="180"/>
        <w:rPr>
          <w:sz w:val="20"/>
        </w:rPr>
      </w:pPr>
      <w:r>
        <w:rPr>
          <w:i/>
          <w:iCs/>
          <w:sz w:val="20"/>
        </w:rPr>
        <w:t>Asbestos Claims.</w:t>
      </w:r>
      <w:r>
        <w:rPr>
          <w:sz w:val="20"/>
        </w:rPr>
        <w:t xml:space="preserve">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various defendants’ manufacture, distribution, supply or other involvement with asbestos, asbestos-containing products or equipment or activities that allegedly caused plaintiffs to be exposed to asbestos. These plaintiffs typically assert exposure to asbestos as a consequence of third-party manufactured products that the Company’s subsidiary, MRC Global (US) Inc., purportedly distributed. As of </w:t>
      </w:r>
      <w:r w:rsidR="003627E3" w:rsidRPr="003A4344">
        <w:rPr>
          <w:sz w:val="20"/>
        </w:rPr>
        <w:t>December 31, 2019</w:t>
      </w:r>
      <w:r>
        <w:rPr>
          <w:sz w:val="20"/>
        </w:rPr>
        <w:t xml:space="preserve">, we are a named defendant in approximately </w:t>
      </w:r>
      <w:r w:rsidR="0068771A">
        <w:rPr>
          <w:sz w:val="20"/>
        </w:rPr>
        <w:t>597</w:t>
      </w:r>
      <w:r w:rsidR="00757EF6">
        <w:rPr>
          <w:sz w:val="20"/>
        </w:rPr>
        <w:t xml:space="preserve"> </w:t>
      </w:r>
      <w:r>
        <w:rPr>
          <w:sz w:val="20"/>
        </w:rPr>
        <w:t>lawsuits involving approximately 1,1</w:t>
      </w:r>
      <w:r w:rsidR="00672452">
        <w:rPr>
          <w:sz w:val="20"/>
        </w:rPr>
        <w:t>73</w:t>
      </w:r>
      <w:r>
        <w:rPr>
          <w:sz w:val="20"/>
        </w:rPr>
        <w:t xml:space="preserve"> claims. No asbestos lawsuit has resulted in a judgment against us to date, with the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 </w:t>
      </w:r>
    </w:p>
    <w:bookmarkEnd w:id="12"/>
    <w:p w:rsidR="000121CD" w:rsidRDefault="00590862">
      <w:pPr>
        <w:spacing w:before="180"/>
        <w:rPr>
          <w:sz w:val="20"/>
        </w:rPr>
      </w:pPr>
      <w:r>
        <w:rPr>
          <w:sz w:val="20"/>
        </w:rPr>
        <w:t xml:space="preserve">We annually conduct analyses of our asbestos-related litigation to estimate the adequacy of the reserve for pending and probable asbestos-related claims. Given these estimated reserves and existing insurance coverage that has been available to cover substantial portions of these claims, we believe that our current accruals and associated estimates relating to pending and probable asbestos-related litigation likely to be asserted over the next 15 years are currently adequate. This belief, however, relies on a number of assumptions, including:  </w:t>
      </w:r>
    </w:p>
    <w:p w:rsidR="000121CD" w:rsidRDefault="000121CD">
      <w:pPr>
        <w:rPr>
          <w:sz w:val="20"/>
        </w:rPr>
      </w:pPr>
    </w:p>
    <w:p w:rsidR="000121CD" w:rsidRDefault="00590862">
      <w:pPr>
        <w:pStyle w:val="NormalWeb"/>
        <w:numPr>
          <w:ilvl w:val="0"/>
          <w:numId w:val="27"/>
        </w:numPr>
        <w:spacing w:before="90" w:beforeAutospacing="0" w:after="0" w:afterAutospacing="0"/>
        <w:rPr>
          <w:sz w:val="20"/>
          <w:szCs w:val="20"/>
        </w:rPr>
      </w:pPr>
      <w:r>
        <w:rPr>
          <w:sz w:val="20"/>
          <w:szCs w:val="20"/>
        </w:rPr>
        <w:t>That our future settlement payments, disease mix and dismissal rates will be materially consistent with historic experience;</w:t>
      </w:r>
    </w:p>
    <w:p w:rsidR="000121CD" w:rsidRDefault="00590862">
      <w:pPr>
        <w:pStyle w:val="NormalWeb"/>
        <w:numPr>
          <w:ilvl w:val="0"/>
          <w:numId w:val="27"/>
        </w:numPr>
        <w:spacing w:before="90" w:beforeAutospacing="0" w:after="0" w:afterAutospacing="0"/>
        <w:rPr>
          <w:sz w:val="20"/>
          <w:szCs w:val="20"/>
        </w:rPr>
      </w:pPr>
      <w:r>
        <w:rPr>
          <w:sz w:val="20"/>
          <w:szCs w:val="20"/>
        </w:rPr>
        <w:t>That future incidences of asbestos-related diseases in the U.S. will be materially consistent with current public health estimates;</w:t>
      </w:r>
    </w:p>
    <w:p w:rsidR="000121CD" w:rsidRDefault="00590862">
      <w:pPr>
        <w:pStyle w:val="NormalWeb"/>
        <w:numPr>
          <w:ilvl w:val="0"/>
          <w:numId w:val="27"/>
        </w:numPr>
        <w:spacing w:before="90" w:beforeAutospacing="0" w:after="0" w:afterAutospacing="0"/>
        <w:rPr>
          <w:sz w:val="20"/>
          <w:szCs w:val="20"/>
        </w:rPr>
      </w:pPr>
      <w:r>
        <w:rPr>
          <w:sz w:val="20"/>
          <w:szCs w:val="20"/>
        </w:rPr>
        <w:lastRenderedPageBreak/>
        <w:t>That the rates at which future asbestos-related mesothelioma incidences result in compensable claims filings against us will be materially consistent with its historic experience;</w:t>
      </w:r>
    </w:p>
    <w:p w:rsidR="000121CD" w:rsidRDefault="00590862">
      <w:pPr>
        <w:pStyle w:val="NormalWeb"/>
        <w:numPr>
          <w:ilvl w:val="0"/>
          <w:numId w:val="27"/>
        </w:numPr>
        <w:spacing w:before="90" w:beforeAutospacing="0" w:after="0" w:afterAutospacing="0"/>
        <w:rPr>
          <w:sz w:val="20"/>
          <w:szCs w:val="20"/>
        </w:rPr>
      </w:pPr>
      <w:r>
        <w:rPr>
          <w:sz w:val="20"/>
          <w:szCs w:val="20"/>
        </w:rPr>
        <w:t>That insurance recoveries for settlement payments and defense costs will be materially consistent with historic experience;</w:t>
      </w:r>
    </w:p>
    <w:p w:rsidR="000121CD" w:rsidRDefault="00590862">
      <w:pPr>
        <w:pStyle w:val="NormalWeb"/>
        <w:numPr>
          <w:ilvl w:val="0"/>
          <w:numId w:val="27"/>
        </w:numPr>
        <w:spacing w:before="90" w:beforeAutospacing="0" w:after="0" w:afterAutospacing="0"/>
        <w:rPr>
          <w:sz w:val="20"/>
          <w:szCs w:val="20"/>
        </w:rPr>
      </w:pPr>
      <w:r>
        <w:rPr>
          <w:sz w:val="20"/>
          <w:szCs w:val="20"/>
        </w:rPr>
        <w:t>That legal standards (and the interpretation of these standards) applicable to asbestos litigation will not change in material respects;</w:t>
      </w:r>
    </w:p>
    <w:p w:rsidR="000121CD" w:rsidRDefault="00590862">
      <w:pPr>
        <w:pStyle w:val="NormalWeb"/>
        <w:numPr>
          <w:ilvl w:val="0"/>
          <w:numId w:val="27"/>
        </w:numPr>
        <w:spacing w:before="90" w:beforeAutospacing="0" w:after="0" w:afterAutospacing="0"/>
        <w:rPr>
          <w:sz w:val="20"/>
          <w:szCs w:val="20"/>
        </w:rPr>
      </w:pPr>
      <w:r>
        <w:rPr>
          <w:sz w:val="20"/>
          <w:szCs w:val="20"/>
        </w:rPr>
        <w:t>That there are no materially negative developments in the claims pending against us; and</w:t>
      </w:r>
    </w:p>
    <w:p w:rsidR="000121CD" w:rsidRDefault="00590862">
      <w:pPr>
        <w:pStyle w:val="NormalWeb"/>
        <w:numPr>
          <w:ilvl w:val="0"/>
          <w:numId w:val="27"/>
        </w:numPr>
        <w:spacing w:before="90" w:beforeAutospacing="0" w:after="0" w:afterAutospacing="0"/>
        <w:rPr>
          <w:sz w:val="20"/>
          <w:szCs w:val="20"/>
        </w:rPr>
      </w:pPr>
      <w:r>
        <w:rPr>
          <w:sz w:val="20"/>
          <w:szCs w:val="20"/>
        </w:rPr>
        <w:t>That key co-defendants in current and future claims remain solvent.</w:t>
      </w:r>
    </w:p>
    <w:p w:rsidR="000121CD" w:rsidRDefault="000121CD">
      <w:pPr>
        <w:pStyle w:val="NormalWeb"/>
        <w:spacing w:before="90" w:beforeAutospacing="0" w:after="0" w:afterAutospacing="0"/>
        <w:ind w:left="720"/>
        <w:rPr>
          <w:sz w:val="20"/>
          <w:szCs w:val="20"/>
        </w:rPr>
      </w:pPr>
    </w:p>
    <w:p w:rsidR="000121CD" w:rsidRDefault="00590862" w:rsidP="00825487">
      <w:pPr>
        <w:rPr>
          <w:sz w:val="20"/>
        </w:rPr>
      </w:pPr>
      <w:r>
        <w:rPr>
          <w:sz w:val="20"/>
        </w:rPr>
        <w:t>If any of these assumptions prove to be materially different in light of future developments, liabilities related to asbestos-related litigation may be materially different than amounts accrued or estimated. Further, while we anticipate that additional claims will be filed in the future, we are unable to predict with any certainty the number, timing and magnitude of such future claims.</w:t>
      </w:r>
      <w:r w:rsidR="00825487">
        <w:rPr>
          <w:sz w:val="20"/>
        </w:rPr>
        <w:t xml:space="preserve"> In addition, applicable insurance policies are subject to overall caps on limits, which coverage may exhaust the amount available from insurers under those limits.  In those cases, the Company would seek indemnity payments from excess insurance policies, but the insurers that issued those policies </w:t>
      </w:r>
      <w:r w:rsidR="00D244ED">
        <w:rPr>
          <w:sz w:val="20"/>
        </w:rPr>
        <w:t>may not be</w:t>
      </w:r>
      <w:r w:rsidR="00825487">
        <w:rPr>
          <w:sz w:val="20"/>
        </w:rPr>
        <w:t xml:space="preserve"> solvent or </w:t>
      </w:r>
      <w:r w:rsidR="00D244ED">
        <w:rPr>
          <w:sz w:val="20"/>
        </w:rPr>
        <w:t xml:space="preserve">may not </w:t>
      </w:r>
      <w:r w:rsidR="00825487">
        <w:rPr>
          <w:sz w:val="20"/>
        </w:rPr>
        <w:t>make payments under the policies without contesting their liability.</w:t>
      </w:r>
      <w:r>
        <w:rPr>
          <w:sz w:val="20"/>
        </w:rPr>
        <w:t xml:space="preserve"> In our opinion, there are no pending legal proceedings that are likely to have a material adverse effect on our consolidated financial statements.</w:t>
      </w:r>
    </w:p>
    <w:p w:rsidR="000121CD" w:rsidRDefault="000121CD">
      <w:pPr>
        <w:jc w:val="both"/>
        <w:rPr>
          <w:sz w:val="20"/>
        </w:rPr>
      </w:pPr>
    </w:p>
    <w:p w:rsidR="000121CD" w:rsidRDefault="00590862">
      <w:pPr>
        <w:jc w:val="both"/>
        <w:rPr>
          <w:sz w:val="20"/>
        </w:rPr>
      </w:pPr>
      <w:r>
        <w:rPr>
          <w:i/>
          <w:iCs/>
          <w:sz w:val="20"/>
        </w:rPr>
        <w:t xml:space="preserve">Other Legal Claims and Proceedings.  </w:t>
      </w:r>
      <w:r>
        <w:rPr>
          <w:sz w:val="20"/>
        </w:rPr>
        <w:t>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are likely to have a material adverse effect on our consolidated financial statements. See also “Note 1</w:t>
      </w:r>
      <w:r w:rsidR="000A090A">
        <w:rPr>
          <w:sz w:val="20"/>
        </w:rPr>
        <w:t>7</w:t>
      </w:r>
      <w:r>
        <w:rPr>
          <w:sz w:val="20"/>
        </w:rPr>
        <w:t xml:space="preserve">—Commitments and Contingencies” to the audited consolidated financial statements as of </w:t>
      </w:r>
      <w:r w:rsidR="003627E3" w:rsidRPr="003A4344">
        <w:rPr>
          <w:sz w:val="20"/>
        </w:rPr>
        <w:t>December 31, 2019</w:t>
      </w:r>
      <w:r>
        <w:rPr>
          <w:sz w:val="20"/>
        </w:rPr>
        <w:t xml:space="preserve">. </w:t>
      </w:r>
    </w:p>
    <w:p w:rsidR="000121CD" w:rsidRDefault="000121CD">
      <w:pPr>
        <w:jc w:val="both"/>
        <w:rPr>
          <w:sz w:val="20"/>
        </w:rPr>
      </w:pPr>
    </w:p>
    <w:p w:rsidR="000121CD" w:rsidRDefault="00590862">
      <w:pPr>
        <w:keepNext/>
        <w:spacing w:before="120"/>
        <w:rPr>
          <w:sz w:val="20"/>
        </w:rPr>
      </w:pPr>
      <w:r>
        <w:rPr>
          <w:b/>
          <w:bCs/>
          <w:sz w:val="20"/>
        </w:rPr>
        <w:t xml:space="preserve">Off-Balance Sheet Arrangements </w:t>
      </w:r>
    </w:p>
    <w:p w:rsidR="000121CD" w:rsidRDefault="00590862">
      <w:pPr>
        <w:pStyle w:val="NormalWeb"/>
        <w:keepNext/>
        <w:spacing w:before="90" w:beforeAutospacing="0" w:after="0" w:afterAutospacing="0"/>
        <w:rPr>
          <w:sz w:val="20"/>
          <w:szCs w:val="20"/>
        </w:rPr>
      </w:pPr>
      <w:r>
        <w:rPr>
          <w:sz w:val="20"/>
          <w:szCs w:val="20"/>
        </w:rPr>
        <w:t xml:space="preserve">We do not have any material “off-balance sheet arrangements” as such term is defined within the rules and regulations of the SEC. </w:t>
      </w:r>
    </w:p>
    <w:p w:rsidR="000121CD" w:rsidRDefault="00590862">
      <w:pPr>
        <w:pStyle w:val="NormalWeb"/>
        <w:keepNext/>
        <w:spacing w:before="270" w:beforeAutospacing="0" w:after="0" w:afterAutospacing="0"/>
        <w:rPr>
          <w:sz w:val="20"/>
          <w:szCs w:val="20"/>
        </w:rPr>
      </w:pPr>
      <w:r>
        <w:rPr>
          <w:b/>
          <w:bCs/>
          <w:sz w:val="20"/>
          <w:szCs w:val="20"/>
        </w:rPr>
        <w:t xml:space="preserve">Critical Accounting Estimates </w:t>
      </w:r>
    </w:p>
    <w:p w:rsidR="000121CD" w:rsidRDefault="00590862">
      <w:pPr>
        <w:pStyle w:val="NormalWeb"/>
        <w:keepNext/>
        <w:spacing w:before="90" w:beforeAutospacing="0" w:after="0" w:afterAutospacing="0"/>
        <w:rPr>
          <w:sz w:val="20"/>
          <w:szCs w:val="20"/>
        </w:rPr>
      </w:pPr>
      <w:r>
        <w:rPr>
          <w:sz w:val="20"/>
          <w:szCs w:val="20"/>
        </w:rPr>
        <w:t xml:space="preserve">We prepare our consolidated financial statements in accordance with U.S. generally accepted accounting principles. To apply these principles, management must make judgments and assumptions and develop estimates based on the best available information at the time. Actual results may differ based on the accuracy of the information utilized and subsequent events. The notes to our audited financial statements included elsewhere in this report describe our accounting policies. These critical accounting policies could materially affect the amounts recorded in our financial statements. We believe the following describes significant judgments and estimates used in the preparation of our consolidated financial statements: </w:t>
      </w:r>
    </w:p>
    <w:p w:rsidR="000121CD" w:rsidRDefault="00590862">
      <w:pPr>
        <w:pStyle w:val="NormalWeb"/>
        <w:spacing w:before="180" w:beforeAutospacing="0" w:after="0" w:afterAutospacing="0"/>
      </w:pPr>
      <w:r>
        <w:rPr>
          <w:i/>
          <w:sz w:val="20"/>
          <w:szCs w:val="20"/>
        </w:rPr>
        <w:t>Inventories:</w:t>
      </w:r>
      <w:r>
        <w:t xml:space="preserve"> </w:t>
      </w:r>
      <w:r>
        <w:rPr>
          <w:sz w:val="20"/>
          <w:szCs w:val="20"/>
        </w:rPr>
        <w:t xml:space="preserve">Our </w:t>
      </w:r>
      <w:smartTag w:uri="urn:schemas-microsoft-com:office:smarttags" w:element="country-region">
        <w:smartTag w:uri="urn:schemas-microsoft-com:office:smarttags" w:element="place">
          <w:r>
            <w:rPr>
              <w:sz w:val="20"/>
              <w:szCs w:val="20"/>
            </w:rPr>
            <w:t>U.S.</w:t>
          </w:r>
        </w:smartTag>
      </w:smartTag>
      <w:r>
        <w:rPr>
          <w:sz w:val="20"/>
          <w:szCs w:val="20"/>
        </w:rPr>
        <w:t xml:space="preserve"> inventories are valued at the lower of cost (principally using the LIFO method) or market. We record an estimate each quarter, if necessary, for the expected annual effect of inflation (using period to date inflation rates) and estimated year-end inventory balances. These estimates are adjusted to actual results determined at year-end. Our inventories that are held outside of the U.S., totaling $18</w:t>
      </w:r>
      <w:r w:rsidR="00AB27B0">
        <w:rPr>
          <w:sz w:val="20"/>
          <w:szCs w:val="20"/>
        </w:rPr>
        <w:t>1</w:t>
      </w:r>
      <w:r>
        <w:rPr>
          <w:sz w:val="20"/>
          <w:szCs w:val="20"/>
        </w:rPr>
        <w:t xml:space="preserve"> million and $1</w:t>
      </w:r>
      <w:r w:rsidR="00FB6555">
        <w:rPr>
          <w:sz w:val="20"/>
          <w:szCs w:val="20"/>
        </w:rPr>
        <w:t>87</w:t>
      </w:r>
      <w:r>
        <w:rPr>
          <w:sz w:val="20"/>
          <w:szCs w:val="20"/>
        </w:rPr>
        <w:t xml:space="preserve"> million at </w:t>
      </w:r>
      <w:r w:rsidR="003627E3" w:rsidRPr="003A4344">
        <w:rPr>
          <w:sz w:val="20"/>
          <w:szCs w:val="20"/>
        </w:rPr>
        <w:t>December 31, 2019</w:t>
      </w:r>
      <w:r>
        <w:rPr>
          <w:sz w:val="20"/>
          <w:szCs w:val="20"/>
        </w:rPr>
        <w:t xml:space="preserve"> and </w:t>
      </w:r>
      <w:r w:rsidR="003627E3" w:rsidRPr="003A4344">
        <w:rPr>
          <w:sz w:val="20"/>
          <w:szCs w:val="20"/>
        </w:rPr>
        <w:t>2018</w:t>
      </w:r>
      <w:r>
        <w:rPr>
          <w:sz w:val="20"/>
          <w:szCs w:val="20"/>
        </w:rPr>
        <w:t xml:space="preserve">, respectively, were valued at the lower of weighted-average cost or estimated net realizable value. </w:t>
      </w:r>
    </w:p>
    <w:p w:rsidR="000121CD" w:rsidRDefault="00590862">
      <w:pPr>
        <w:pStyle w:val="NormalWeb"/>
        <w:spacing w:before="180" w:beforeAutospacing="0" w:after="0" w:afterAutospacing="0"/>
      </w:pPr>
      <w:r>
        <w:rPr>
          <w:sz w:val="20"/>
          <w:szCs w:val="20"/>
        </w:rPr>
        <w:t xml:space="preserve">Under the LIFO inventory valuation method, changes in the cost of inventory are recognized in cost of sales in the current period even though these costs may have been incurred at significantly different values. Since the Company values most of its inventory using the LIFO inventory costing methodology, a rise in inventory costs has a negative effect on operating results, while, conversely, a fall in inventory costs results in a benefit to operating results. </w:t>
      </w:r>
    </w:p>
    <w:p w:rsidR="000121CD" w:rsidRDefault="00590862">
      <w:pPr>
        <w:pStyle w:val="NormalWeb"/>
        <w:spacing w:before="180" w:after="0"/>
        <w:rPr>
          <w:rFonts w:eastAsia="PMingLiU"/>
          <w:lang w:eastAsia="zh-TW"/>
        </w:rPr>
      </w:pPr>
      <w:r>
        <w:rPr>
          <w:sz w:val="20"/>
          <w:szCs w:val="20"/>
        </w:rPr>
        <w:t xml:space="preserve">We determine reserves for inventory based on historical usage of inventory on-hand, assumptions about future demand and market conditions. Customers rely on the company to stock specialized items for certain projects and other needs. Therefore, the estimated carrying value of inventory depends upon demand driven by oil and gas spending activity, which in turn depends on oil and gas prices, the general outlook for economic growth worldwide, political stability in major oil and gas producing areas, and the potential obsolescence of various inventory items we sell.  </w:t>
      </w:r>
    </w:p>
    <w:p w:rsidR="000121CD" w:rsidRDefault="00590862">
      <w:pPr>
        <w:pStyle w:val="NormalWeb"/>
        <w:spacing w:before="140" w:beforeAutospacing="0" w:after="0" w:afterAutospacing="0"/>
        <w:rPr>
          <w:iCs/>
          <w:sz w:val="20"/>
          <w:szCs w:val="20"/>
        </w:rPr>
      </w:pPr>
      <w:r>
        <w:rPr>
          <w:i/>
          <w:iCs/>
          <w:sz w:val="20"/>
          <w:szCs w:val="20"/>
        </w:rPr>
        <w:t>Goodwill and Intangible Assets:</w:t>
      </w:r>
      <w:r>
        <w:rPr>
          <w:iCs/>
          <w:sz w:val="20"/>
          <w:szCs w:val="20"/>
        </w:rPr>
        <w:t xml:space="preserve"> We record goodwill and intangible assets in conjunction with acquisitions that we make. These assets comprise </w:t>
      </w:r>
      <w:r w:rsidR="00AB27B0">
        <w:rPr>
          <w:iCs/>
          <w:sz w:val="20"/>
          <w:szCs w:val="20"/>
        </w:rPr>
        <w:t>33</w:t>
      </w:r>
      <w:r>
        <w:rPr>
          <w:iCs/>
          <w:sz w:val="20"/>
          <w:szCs w:val="20"/>
        </w:rPr>
        <w:t xml:space="preserve">% of our total assets as of </w:t>
      </w:r>
      <w:r w:rsidR="003627E3" w:rsidRPr="003A4344">
        <w:rPr>
          <w:iCs/>
          <w:sz w:val="20"/>
          <w:szCs w:val="20"/>
        </w:rPr>
        <w:t>December 31, 2019</w:t>
      </w:r>
      <w:r>
        <w:rPr>
          <w:iCs/>
          <w:sz w:val="20"/>
          <w:szCs w:val="20"/>
        </w:rPr>
        <w:t xml:space="preserve">. We record goodwill as the excess of cost over the fair value of net assets that we acquire. We record intangible assets at fair value at the date of acquisition and amortize the value of intangible assets over the assets’ estimated useful lives unless we determine that an asset has an indefinite life. </w:t>
      </w:r>
      <w:r>
        <w:rPr>
          <w:sz w:val="20"/>
          <w:szCs w:val="20"/>
        </w:rPr>
        <w:t xml:space="preserve">We make significant judgments and estimates in </w:t>
      </w:r>
      <w:r>
        <w:rPr>
          <w:sz w:val="20"/>
          <w:szCs w:val="20"/>
        </w:rPr>
        <w:lastRenderedPageBreak/>
        <w:t xml:space="preserve">both calculating the fair value of these assets and determining their estimated useful lives. </w:t>
      </w:r>
      <w:r>
        <w:rPr>
          <w:iCs/>
          <w:sz w:val="20"/>
          <w:szCs w:val="20"/>
        </w:rPr>
        <w:t xml:space="preserve">The carrying values of our goodwill and intangible assets, by reporting unit, were as follows as of </w:t>
      </w:r>
      <w:r w:rsidR="003627E3" w:rsidRPr="003A4344">
        <w:rPr>
          <w:iCs/>
          <w:sz w:val="20"/>
          <w:szCs w:val="20"/>
        </w:rPr>
        <w:t>December 31, 2019</w:t>
      </w:r>
      <w:r>
        <w:rPr>
          <w:iCs/>
          <w:sz w:val="20"/>
          <w:szCs w:val="20"/>
        </w:rPr>
        <w:t xml:space="preserve"> (in millions):</w:t>
      </w:r>
    </w:p>
    <w:p w:rsidR="000121CD" w:rsidRDefault="000121CD">
      <w:pPr>
        <w:pStyle w:val="NormalWeb"/>
        <w:spacing w:before="140" w:beforeAutospacing="0" w:after="0" w:afterAutospacing="0"/>
        <w:rPr>
          <w:iCs/>
          <w:sz w:val="20"/>
          <w:szCs w:val="20"/>
        </w:rPr>
      </w:pPr>
    </w:p>
    <w:p w:rsidR="000121CD" w:rsidRDefault="000121CD">
      <w:pPr>
        <w:rPr>
          <w:sz w:val="2"/>
        </w:rPr>
      </w:pPr>
    </w:p>
    <w:tbl>
      <w:tblPr>
        <w:tblW w:w="5000" w:type="pct"/>
        <w:tblCellMar>
          <w:left w:w="0" w:type="dxa"/>
          <w:right w:w="0" w:type="dxa"/>
        </w:tblCellMar>
        <w:tblLook w:val="04A0" w:firstRow="1" w:lastRow="0" w:firstColumn="1" w:lastColumn="0" w:noHBand="0" w:noVBand="1"/>
      </w:tblPr>
      <w:tblGrid>
        <w:gridCol w:w="2919"/>
        <w:gridCol w:w="348"/>
        <w:gridCol w:w="1449"/>
        <w:gridCol w:w="231"/>
        <w:gridCol w:w="348"/>
        <w:gridCol w:w="1449"/>
        <w:gridCol w:w="231"/>
        <w:gridCol w:w="348"/>
        <w:gridCol w:w="1449"/>
        <w:gridCol w:w="231"/>
        <w:gridCol w:w="348"/>
        <w:gridCol w:w="1449"/>
      </w:tblGrid>
      <w:tr w:rsidR="0018024C" w:rsidTr="0018024C">
        <w:trPr>
          <w:trHeight w:hRule="exact" w:val="20"/>
        </w:trPr>
        <w:tc>
          <w:tcPr>
            <w:tcW w:w="1351"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61"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671"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07"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61"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671"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07"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61"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671"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07"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61"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671" w:type="pct"/>
            <w:tcBorders>
              <w:top w:val="nil"/>
              <w:left w:val="nil"/>
              <w:bottom w:val="nil"/>
              <w:right w:val="nil"/>
            </w:tcBorders>
            <w:shd w:val="clear" w:color="auto" w:fill="auto"/>
            <w:vAlign w:val="bottom"/>
          </w:tcPr>
          <w:p w:rsidR="0018024C" w:rsidRDefault="0018024C" w:rsidP="0018024C">
            <w:pPr>
              <w:spacing w:before="1" w:after="1"/>
              <w:rPr>
                <w:sz w:val="2"/>
              </w:rPr>
            </w:pPr>
          </w:p>
        </w:tc>
      </w:tr>
      <w:tr w:rsidR="0018024C" w:rsidTr="0018024C">
        <w:trPr>
          <w:trHeight w:hRule="exact" w:val="270"/>
        </w:trPr>
        <w:tc>
          <w:tcPr>
            <w:tcW w:w="1351"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20"/>
              </w:rPr>
            </w:pPr>
          </w:p>
        </w:tc>
        <w:tc>
          <w:tcPr>
            <w:tcW w:w="161" w:type="pct"/>
            <w:tcBorders>
              <w:top w:val="nil"/>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sz w:val="20"/>
              </w:rPr>
            </w:pPr>
          </w:p>
        </w:tc>
        <w:tc>
          <w:tcPr>
            <w:tcW w:w="671" w:type="pct"/>
            <w:tcBorders>
              <w:top w:val="nil"/>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sz w:val="20"/>
              </w:rPr>
            </w:pPr>
            <w:r>
              <w:rPr>
                <w:sz w:val="20"/>
              </w:rPr>
              <w:t xml:space="preserve"> U.S. </w:t>
            </w:r>
          </w:p>
        </w:tc>
        <w:tc>
          <w:tcPr>
            <w:tcW w:w="107" w:type="pct"/>
            <w:tcBorders>
              <w:top w:val="nil"/>
              <w:left w:val="nil"/>
              <w:bottom w:val="nil"/>
              <w:right w:val="nil"/>
              <w:tl2br w:val="nil"/>
              <w:tr2bl w:val="nil"/>
            </w:tcBorders>
            <w:shd w:val="clear" w:color="auto" w:fill="auto"/>
            <w:vAlign w:val="bottom"/>
          </w:tcPr>
          <w:p w:rsidR="0018024C" w:rsidRDefault="0018024C" w:rsidP="0018024C">
            <w:pPr>
              <w:spacing w:before="1" w:after="1"/>
              <w:jc w:val="center"/>
              <w:rPr>
                <w:sz w:val="20"/>
              </w:rPr>
            </w:pPr>
          </w:p>
        </w:tc>
        <w:tc>
          <w:tcPr>
            <w:tcW w:w="161" w:type="pct"/>
            <w:tcBorders>
              <w:top w:val="nil"/>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sz w:val="20"/>
              </w:rPr>
            </w:pPr>
          </w:p>
        </w:tc>
        <w:tc>
          <w:tcPr>
            <w:tcW w:w="671" w:type="pct"/>
            <w:tcBorders>
              <w:top w:val="nil"/>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sz w:val="20"/>
              </w:rPr>
            </w:pPr>
            <w:r>
              <w:rPr>
                <w:sz w:val="20"/>
              </w:rPr>
              <w:t>Canada</w:t>
            </w:r>
          </w:p>
        </w:tc>
        <w:tc>
          <w:tcPr>
            <w:tcW w:w="107" w:type="pct"/>
            <w:tcBorders>
              <w:top w:val="nil"/>
              <w:left w:val="nil"/>
              <w:bottom w:val="nil"/>
              <w:right w:val="nil"/>
              <w:tl2br w:val="nil"/>
              <w:tr2bl w:val="nil"/>
            </w:tcBorders>
            <w:shd w:val="clear" w:color="auto" w:fill="auto"/>
            <w:vAlign w:val="bottom"/>
          </w:tcPr>
          <w:p w:rsidR="0018024C" w:rsidRDefault="0018024C" w:rsidP="0018024C">
            <w:pPr>
              <w:spacing w:before="1" w:after="1"/>
              <w:jc w:val="center"/>
              <w:rPr>
                <w:sz w:val="20"/>
              </w:rPr>
            </w:pPr>
          </w:p>
        </w:tc>
        <w:tc>
          <w:tcPr>
            <w:tcW w:w="161" w:type="pct"/>
            <w:tcBorders>
              <w:top w:val="nil"/>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sz w:val="20"/>
              </w:rPr>
            </w:pPr>
          </w:p>
        </w:tc>
        <w:tc>
          <w:tcPr>
            <w:tcW w:w="671" w:type="pct"/>
            <w:tcBorders>
              <w:top w:val="nil"/>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sz w:val="20"/>
              </w:rPr>
            </w:pPr>
            <w:r>
              <w:rPr>
                <w:sz w:val="20"/>
              </w:rPr>
              <w:t>International</w:t>
            </w:r>
          </w:p>
        </w:tc>
        <w:tc>
          <w:tcPr>
            <w:tcW w:w="107" w:type="pct"/>
            <w:tcBorders>
              <w:top w:val="nil"/>
              <w:left w:val="nil"/>
              <w:bottom w:val="nil"/>
              <w:right w:val="nil"/>
              <w:tl2br w:val="nil"/>
              <w:tr2bl w:val="nil"/>
            </w:tcBorders>
            <w:shd w:val="clear" w:color="auto" w:fill="auto"/>
            <w:vAlign w:val="bottom"/>
          </w:tcPr>
          <w:p w:rsidR="0018024C" w:rsidRDefault="0018024C" w:rsidP="0018024C">
            <w:pPr>
              <w:spacing w:before="1" w:after="1"/>
              <w:jc w:val="center"/>
              <w:rPr>
                <w:sz w:val="20"/>
              </w:rPr>
            </w:pPr>
          </w:p>
        </w:tc>
        <w:tc>
          <w:tcPr>
            <w:tcW w:w="161" w:type="pct"/>
            <w:tcBorders>
              <w:top w:val="nil"/>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sz w:val="20"/>
              </w:rPr>
            </w:pPr>
          </w:p>
        </w:tc>
        <w:tc>
          <w:tcPr>
            <w:tcW w:w="671" w:type="pct"/>
            <w:tcBorders>
              <w:top w:val="nil"/>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sz w:val="20"/>
              </w:rPr>
            </w:pPr>
            <w:r>
              <w:rPr>
                <w:sz w:val="20"/>
              </w:rPr>
              <w:t>Total</w:t>
            </w:r>
          </w:p>
        </w:tc>
      </w:tr>
      <w:tr w:rsidR="0018024C" w:rsidTr="0018024C">
        <w:trPr>
          <w:trHeight w:hRule="exact" w:val="255"/>
        </w:trPr>
        <w:tc>
          <w:tcPr>
            <w:tcW w:w="1351"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Customer base intangibles</w:t>
            </w:r>
          </w:p>
        </w:tc>
        <w:tc>
          <w:tcPr>
            <w:tcW w:w="161"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w:t>
            </w:r>
          </w:p>
        </w:tc>
        <w:tc>
          <w:tcPr>
            <w:tcW w:w="671"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138</w:t>
            </w:r>
          </w:p>
        </w:tc>
        <w:tc>
          <w:tcPr>
            <w:tcW w:w="107"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61"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w:t>
            </w:r>
          </w:p>
        </w:tc>
        <w:tc>
          <w:tcPr>
            <w:tcW w:w="671"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2</w:t>
            </w:r>
          </w:p>
        </w:tc>
        <w:tc>
          <w:tcPr>
            <w:tcW w:w="107"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61"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w:t>
            </w:r>
          </w:p>
        </w:tc>
        <w:tc>
          <w:tcPr>
            <w:tcW w:w="671"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9</w:t>
            </w:r>
          </w:p>
        </w:tc>
        <w:tc>
          <w:tcPr>
            <w:tcW w:w="107"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61"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w:t>
            </w:r>
          </w:p>
        </w:tc>
        <w:tc>
          <w:tcPr>
            <w:tcW w:w="671"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149</w:t>
            </w:r>
          </w:p>
        </w:tc>
      </w:tr>
      <w:tr w:rsidR="0018024C" w:rsidTr="0018024C">
        <w:trPr>
          <w:trHeight w:hRule="exact" w:val="255"/>
        </w:trPr>
        <w:tc>
          <w:tcPr>
            <w:tcW w:w="1351" w:type="pct"/>
            <w:tcBorders>
              <w:top w:val="nil"/>
              <w:left w:val="nil"/>
              <w:bottom w:val="nil"/>
              <w:right w:val="nil"/>
              <w:tl2br w:val="nil"/>
              <w:tr2bl w:val="nil"/>
            </w:tcBorders>
            <w:vAlign w:val="bottom"/>
          </w:tcPr>
          <w:p w:rsidR="0018024C" w:rsidRDefault="0018024C" w:rsidP="0018024C">
            <w:pPr>
              <w:spacing w:before="1" w:after="1"/>
              <w:rPr>
                <w:sz w:val="20"/>
              </w:rPr>
            </w:pPr>
            <w:r>
              <w:rPr>
                <w:sz w:val="20"/>
              </w:rPr>
              <w:t>Indefinite lived trade name</w:t>
            </w:r>
          </w:p>
        </w:tc>
        <w:tc>
          <w:tcPr>
            <w:tcW w:w="161"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71" w:type="pct"/>
            <w:tcBorders>
              <w:top w:val="nil"/>
              <w:left w:val="nil"/>
              <w:bottom w:val="nil"/>
              <w:right w:val="nil"/>
              <w:tl2br w:val="nil"/>
              <w:tr2bl w:val="nil"/>
            </w:tcBorders>
            <w:vAlign w:val="bottom"/>
          </w:tcPr>
          <w:p w:rsidR="0018024C" w:rsidRDefault="0018024C" w:rsidP="0018024C">
            <w:pPr>
              <w:spacing w:before="1" w:after="1"/>
              <w:ind w:right="65"/>
              <w:jc w:val="right"/>
              <w:rPr>
                <w:sz w:val="20"/>
              </w:rPr>
            </w:pPr>
            <w:r>
              <w:rPr>
                <w:sz w:val="20"/>
              </w:rPr>
              <w:t xml:space="preserve"> 132</w:t>
            </w:r>
          </w:p>
        </w:tc>
        <w:tc>
          <w:tcPr>
            <w:tcW w:w="107"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61"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71" w:type="pct"/>
            <w:tcBorders>
              <w:top w:val="nil"/>
              <w:left w:val="nil"/>
              <w:bottom w:val="nil"/>
              <w:right w:val="nil"/>
              <w:tl2br w:val="nil"/>
              <w:tr2bl w:val="nil"/>
            </w:tcBorders>
            <w:vAlign w:val="bottom"/>
          </w:tcPr>
          <w:p w:rsidR="0018024C" w:rsidRDefault="0018024C" w:rsidP="0018024C">
            <w:pPr>
              <w:spacing w:before="1" w:after="1"/>
              <w:ind w:right="185"/>
              <w:jc w:val="right"/>
              <w:rPr>
                <w:sz w:val="20"/>
              </w:rPr>
            </w:pPr>
            <w:r>
              <w:rPr>
                <w:sz w:val="20"/>
              </w:rPr>
              <w:t xml:space="preserve"> -</w:t>
            </w:r>
          </w:p>
        </w:tc>
        <w:tc>
          <w:tcPr>
            <w:tcW w:w="107"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61"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71" w:type="pct"/>
            <w:tcBorders>
              <w:top w:val="nil"/>
              <w:left w:val="nil"/>
              <w:bottom w:val="nil"/>
              <w:right w:val="nil"/>
              <w:tl2br w:val="nil"/>
              <w:tr2bl w:val="nil"/>
            </w:tcBorders>
            <w:vAlign w:val="bottom"/>
          </w:tcPr>
          <w:p w:rsidR="0018024C" w:rsidRDefault="0018024C" w:rsidP="0018024C">
            <w:pPr>
              <w:spacing w:before="1" w:after="1"/>
              <w:ind w:right="185"/>
              <w:jc w:val="right"/>
              <w:rPr>
                <w:sz w:val="20"/>
              </w:rPr>
            </w:pPr>
            <w:r>
              <w:rPr>
                <w:sz w:val="20"/>
              </w:rPr>
              <w:t xml:space="preserve"> -</w:t>
            </w:r>
          </w:p>
        </w:tc>
        <w:tc>
          <w:tcPr>
            <w:tcW w:w="107"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61"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671" w:type="pct"/>
            <w:tcBorders>
              <w:top w:val="nil"/>
              <w:left w:val="nil"/>
              <w:bottom w:val="nil"/>
              <w:right w:val="nil"/>
              <w:tl2br w:val="nil"/>
              <w:tr2bl w:val="nil"/>
            </w:tcBorders>
            <w:vAlign w:val="bottom"/>
          </w:tcPr>
          <w:p w:rsidR="0018024C" w:rsidRDefault="0018024C" w:rsidP="0018024C">
            <w:pPr>
              <w:spacing w:before="1" w:after="1"/>
              <w:ind w:right="65"/>
              <w:jc w:val="right"/>
              <w:rPr>
                <w:sz w:val="20"/>
              </w:rPr>
            </w:pPr>
            <w:r>
              <w:rPr>
                <w:sz w:val="20"/>
              </w:rPr>
              <w:t xml:space="preserve"> 132</w:t>
            </w:r>
          </w:p>
        </w:tc>
      </w:tr>
      <w:tr w:rsidR="0018024C" w:rsidTr="0018024C">
        <w:trPr>
          <w:trHeight w:hRule="exact" w:val="255"/>
        </w:trPr>
        <w:tc>
          <w:tcPr>
            <w:tcW w:w="1351"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Goodwill</w:t>
            </w:r>
          </w:p>
        </w:tc>
        <w:tc>
          <w:tcPr>
            <w:tcW w:w="161"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71" w:type="pct"/>
            <w:tcBorders>
              <w:top w:val="nil"/>
              <w:left w:val="nil"/>
              <w:bottom w:val="nil"/>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441</w:t>
            </w:r>
          </w:p>
        </w:tc>
        <w:tc>
          <w:tcPr>
            <w:tcW w:w="107"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61"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71" w:type="pct"/>
            <w:tcBorders>
              <w:top w:val="nil"/>
              <w:left w:val="nil"/>
              <w:bottom w:val="nil"/>
              <w:right w:val="nil"/>
              <w:tl2br w:val="nil"/>
              <w:tr2bl w:val="nil"/>
            </w:tcBorders>
            <w:shd w:val="clear" w:color="auto" w:fill="CCEEFF"/>
            <w:vAlign w:val="bottom"/>
          </w:tcPr>
          <w:p w:rsidR="0018024C" w:rsidRDefault="0018024C" w:rsidP="0018024C">
            <w:pPr>
              <w:spacing w:before="1" w:after="1"/>
              <w:ind w:right="185"/>
              <w:jc w:val="right"/>
              <w:rPr>
                <w:sz w:val="20"/>
              </w:rPr>
            </w:pPr>
            <w:r>
              <w:rPr>
                <w:sz w:val="20"/>
              </w:rPr>
              <w:t xml:space="preserve"> -</w:t>
            </w:r>
          </w:p>
        </w:tc>
        <w:tc>
          <w:tcPr>
            <w:tcW w:w="107"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61"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71" w:type="pct"/>
            <w:tcBorders>
              <w:top w:val="nil"/>
              <w:left w:val="nil"/>
              <w:bottom w:val="nil"/>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42</w:t>
            </w:r>
          </w:p>
        </w:tc>
        <w:tc>
          <w:tcPr>
            <w:tcW w:w="107"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61"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671" w:type="pct"/>
            <w:tcBorders>
              <w:top w:val="nil"/>
              <w:left w:val="nil"/>
              <w:bottom w:val="nil"/>
              <w:right w:val="nil"/>
              <w:tl2br w:val="nil"/>
              <w:tr2bl w:val="nil"/>
            </w:tcBorders>
            <w:shd w:val="clear" w:color="auto" w:fill="CCEEFF"/>
            <w:vAlign w:val="bottom"/>
          </w:tcPr>
          <w:p w:rsidR="0018024C" w:rsidRDefault="0018024C" w:rsidP="0018024C">
            <w:pPr>
              <w:spacing w:before="1" w:after="1"/>
              <w:ind w:right="65"/>
              <w:jc w:val="right"/>
              <w:rPr>
                <w:sz w:val="20"/>
              </w:rPr>
            </w:pPr>
            <w:r>
              <w:rPr>
                <w:sz w:val="20"/>
              </w:rPr>
              <w:t xml:space="preserve"> 483</w:t>
            </w:r>
          </w:p>
        </w:tc>
      </w:tr>
    </w:tbl>
    <w:p w:rsidR="000121CD" w:rsidRDefault="00590862">
      <w:pPr>
        <w:pStyle w:val="NormalWeb"/>
        <w:spacing w:before="140" w:beforeAutospacing="0" w:after="0" w:afterAutospacing="0"/>
        <w:rPr>
          <w:sz w:val="20"/>
          <w:szCs w:val="20"/>
        </w:rPr>
      </w:pPr>
      <w:r>
        <w:rPr>
          <w:i/>
          <w:iCs/>
          <w:sz w:val="20"/>
          <w:szCs w:val="20"/>
        </w:rPr>
        <w:t>Impairment of Long-Lived Assets:</w:t>
      </w:r>
      <w:r>
        <w:rPr>
          <w:sz w:val="20"/>
          <w:szCs w:val="20"/>
        </w:rPr>
        <w:t> </w:t>
      </w:r>
    </w:p>
    <w:p w:rsidR="000121CD" w:rsidRDefault="00590862">
      <w:pPr>
        <w:pStyle w:val="NormalWeb"/>
        <w:spacing w:before="140" w:beforeAutospacing="0" w:after="0" w:afterAutospacing="0"/>
        <w:rPr>
          <w:sz w:val="20"/>
          <w:szCs w:val="20"/>
        </w:rPr>
      </w:pPr>
      <w:r>
        <w:rPr>
          <w:sz w:val="20"/>
          <w:szCs w:val="20"/>
        </w:rPr>
        <w:t>Our long-lived assets consist primarily of:</w:t>
      </w:r>
    </w:p>
    <w:p w:rsidR="000121CD" w:rsidRDefault="00590862">
      <w:pPr>
        <w:pStyle w:val="NormalWeb"/>
        <w:numPr>
          <w:ilvl w:val="0"/>
          <w:numId w:val="27"/>
        </w:numPr>
        <w:spacing w:before="90" w:beforeAutospacing="0" w:after="0" w:afterAutospacing="0"/>
        <w:rPr>
          <w:sz w:val="20"/>
          <w:szCs w:val="20"/>
        </w:rPr>
      </w:pPr>
      <w:r>
        <w:rPr>
          <w:sz w:val="20"/>
          <w:szCs w:val="20"/>
        </w:rPr>
        <w:t>customer base intangibles; and</w:t>
      </w:r>
    </w:p>
    <w:p w:rsidR="000121CD" w:rsidRDefault="00590862">
      <w:pPr>
        <w:pStyle w:val="NormalWeb"/>
        <w:numPr>
          <w:ilvl w:val="0"/>
          <w:numId w:val="27"/>
        </w:numPr>
        <w:spacing w:before="90" w:beforeAutospacing="0" w:after="0" w:afterAutospacing="0"/>
        <w:rPr>
          <w:sz w:val="20"/>
          <w:szCs w:val="20"/>
        </w:rPr>
      </w:pPr>
      <w:r>
        <w:rPr>
          <w:sz w:val="20"/>
          <w:szCs w:val="20"/>
        </w:rPr>
        <w:t xml:space="preserve">property, plant and equipment. </w:t>
      </w:r>
    </w:p>
    <w:p w:rsidR="000121CD" w:rsidRDefault="00590862">
      <w:pPr>
        <w:pStyle w:val="NormalWeb"/>
        <w:spacing w:before="140" w:beforeAutospacing="0" w:after="0" w:afterAutospacing="0"/>
        <w:rPr>
          <w:sz w:val="20"/>
          <w:szCs w:val="20"/>
        </w:rPr>
      </w:pPr>
      <w:r>
        <w:rPr>
          <w:sz w:val="20"/>
          <w:szCs w:val="20"/>
        </w:rPr>
        <w:t xml:space="preserve">The carrying value of these assets is subject to an impairment test when circumstances indicate a possible impairment. These circumstances would include significant decreases in our operating results and significant changes in market demand for our products and services. When events and circumstances indicate a possible impairment, we assess recoverability from future operations using an undiscounted cash flow analysis, derived from the lowest appropriate asset group. If the carrying value exceeds the undiscounted cash flows, we would recognize an impairment charge to the extent that the carrying value exceeds the fair value.    </w:t>
      </w:r>
    </w:p>
    <w:p w:rsidR="000121CD" w:rsidRDefault="00590862">
      <w:pPr>
        <w:pStyle w:val="NormalWeb"/>
        <w:spacing w:before="180" w:beforeAutospacing="0" w:after="0" w:afterAutospacing="0"/>
        <w:rPr>
          <w:sz w:val="20"/>
          <w:szCs w:val="20"/>
        </w:rPr>
      </w:pPr>
      <w:r>
        <w:rPr>
          <w:sz w:val="20"/>
          <w:szCs w:val="20"/>
        </w:rPr>
        <w:t>We group customer base intangible assets on a basis consistent with our reporting units. We determine the fair value of customer base intangibles using a discounted cash flow analysis. The most significant factor in the determination of the fair value of our customer base intangibles is forecasted sales to our customers including, in particular, our largest customers. Possible indicators of impairment could include the following:</w:t>
      </w:r>
    </w:p>
    <w:p w:rsidR="000121CD" w:rsidRDefault="00590862">
      <w:pPr>
        <w:pStyle w:val="NormalWeb"/>
        <w:numPr>
          <w:ilvl w:val="0"/>
          <w:numId w:val="27"/>
        </w:numPr>
        <w:spacing w:before="90" w:beforeAutospacing="0" w:after="0" w:afterAutospacing="0"/>
        <w:rPr>
          <w:sz w:val="20"/>
          <w:szCs w:val="20"/>
        </w:rPr>
      </w:pPr>
      <w:r>
        <w:rPr>
          <w:sz w:val="20"/>
          <w:szCs w:val="20"/>
        </w:rPr>
        <w:t>prolonged decline in commodity oil and natural gas prices;</w:t>
      </w:r>
    </w:p>
    <w:p w:rsidR="000121CD" w:rsidRDefault="00590862">
      <w:pPr>
        <w:pStyle w:val="NormalWeb"/>
        <w:numPr>
          <w:ilvl w:val="0"/>
          <w:numId w:val="27"/>
        </w:numPr>
        <w:spacing w:before="90" w:beforeAutospacing="0" w:after="0" w:afterAutospacing="0"/>
        <w:rPr>
          <w:sz w:val="20"/>
          <w:szCs w:val="20"/>
        </w:rPr>
      </w:pPr>
      <w:r>
        <w:rPr>
          <w:sz w:val="20"/>
          <w:szCs w:val="20"/>
        </w:rPr>
        <w:t>the resulting decline in activity levels of many of our major customers;</w:t>
      </w:r>
    </w:p>
    <w:p w:rsidR="000121CD" w:rsidRDefault="00590862">
      <w:pPr>
        <w:pStyle w:val="NormalWeb"/>
        <w:numPr>
          <w:ilvl w:val="0"/>
          <w:numId w:val="27"/>
        </w:numPr>
        <w:spacing w:before="90" w:beforeAutospacing="0" w:after="0" w:afterAutospacing="0"/>
        <w:rPr>
          <w:sz w:val="20"/>
          <w:szCs w:val="20"/>
        </w:rPr>
      </w:pPr>
      <w:r>
        <w:rPr>
          <w:sz w:val="20"/>
          <w:szCs w:val="20"/>
        </w:rPr>
        <w:t>significant reductions in capital spending budgets of our customers; and</w:t>
      </w:r>
    </w:p>
    <w:p w:rsidR="000121CD" w:rsidRDefault="00590862">
      <w:pPr>
        <w:pStyle w:val="NormalWeb"/>
        <w:numPr>
          <w:ilvl w:val="0"/>
          <w:numId w:val="27"/>
        </w:numPr>
        <w:spacing w:before="90" w:beforeAutospacing="0" w:after="0" w:afterAutospacing="0"/>
        <w:rPr>
          <w:sz w:val="20"/>
          <w:szCs w:val="20"/>
        </w:rPr>
      </w:pPr>
      <w:r>
        <w:rPr>
          <w:sz w:val="20"/>
          <w:szCs w:val="20"/>
        </w:rPr>
        <w:t xml:space="preserve">a pessimistic outlook for the price of oil and natural gas. </w:t>
      </w:r>
    </w:p>
    <w:p w:rsidR="000121CD" w:rsidRDefault="00590862">
      <w:pPr>
        <w:pStyle w:val="NormalWeb"/>
        <w:spacing w:before="180" w:beforeAutospacing="0" w:after="0" w:afterAutospacing="0"/>
        <w:rPr>
          <w:sz w:val="20"/>
          <w:szCs w:val="20"/>
        </w:rPr>
      </w:pPr>
      <w:r>
        <w:rPr>
          <w:sz w:val="20"/>
          <w:szCs w:val="20"/>
        </w:rPr>
        <w:t>Although we determined there were no impairments in 201</w:t>
      </w:r>
      <w:r w:rsidR="00FB6555">
        <w:rPr>
          <w:sz w:val="20"/>
          <w:szCs w:val="20"/>
        </w:rPr>
        <w:t>9</w:t>
      </w:r>
      <w:r>
        <w:rPr>
          <w:sz w:val="20"/>
          <w:szCs w:val="20"/>
        </w:rPr>
        <w:t xml:space="preserve"> and 201</w:t>
      </w:r>
      <w:r w:rsidR="00FB6555">
        <w:rPr>
          <w:sz w:val="20"/>
          <w:szCs w:val="20"/>
        </w:rPr>
        <w:t>8</w:t>
      </w:r>
      <w:r>
        <w:rPr>
          <w:sz w:val="20"/>
          <w:szCs w:val="20"/>
        </w:rPr>
        <w:t>, significant decreases in our forecasted sales, particularly with our largest customers, could result in future impairments of our customer base intangible assets.</w:t>
      </w:r>
    </w:p>
    <w:p w:rsidR="000121CD" w:rsidRDefault="00590862">
      <w:pPr>
        <w:pStyle w:val="NormalWeb"/>
        <w:spacing w:before="180" w:beforeAutospacing="0" w:after="0" w:afterAutospacing="0"/>
        <w:rPr>
          <w:strike/>
          <w:sz w:val="20"/>
          <w:szCs w:val="20"/>
        </w:rPr>
      </w:pPr>
      <w:r>
        <w:rPr>
          <w:sz w:val="20"/>
          <w:szCs w:val="20"/>
        </w:rPr>
        <w:t xml:space="preserve">The carrying value of property, plant and equipment as of </w:t>
      </w:r>
      <w:r w:rsidR="003627E3" w:rsidRPr="003A4344">
        <w:rPr>
          <w:sz w:val="20"/>
          <w:szCs w:val="20"/>
        </w:rPr>
        <w:t>December 31, 2019</w:t>
      </w:r>
      <w:r>
        <w:rPr>
          <w:sz w:val="20"/>
          <w:szCs w:val="20"/>
        </w:rPr>
        <w:t xml:space="preserve"> was $</w:t>
      </w:r>
      <w:r w:rsidR="005A76D0">
        <w:rPr>
          <w:sz w:val="20"/>
          <w:szCs w:val="20"/>
        </w:rPr>
        <w:t>138</w:t>
      </w:r>
      <w:r>
        <w:rPr>
          <w:sz w:val="20"/>
          <w:szCs w:val="20"/>
        </w:rPr>
        <w:t xml:space="preserve"> million, or </w:t>
      </w:r>
      <w:r w:rsidR="005A76D0">
        <w:rPr>
          <w:sz w:val="20"/>
          <w:szCs w:val="20"/>
        </w:rPr>
        <w:t>6%</w:t>
      </w:r>
      <w:r>
        <w:rPr>
          <w:sz w:val="20"/>
          <w:szCs w:val="20"/>
        </w:rPr>
        <w:t xml:space="preserve"> of total assets. This amount was comprised of $108 million, $14 million and $</w:t>
      </w:r>
      <w:r w:rsidR="00693CCE">
        <w:rPr>
          <w:sz w:val="20"/>
          <w:szCs w:val="20"/>
        </w:rPr>
        <w:t>16</w:t>
      </w:r>
      <w:r>
        <w:rPr>
          <w:sz w:val="20"/>
          <w:szCs w:val="20"/>
        </w:rPr>
        <w:t xml:space="preserve"> million in our U.S., Canada and International segments, respectively. We group property, plant and equipment and evaluate it for recoverability at a country or regional level. We determine the fair value of property, plant and equipment based on appraisal procedures which involve both market and cost techniques depending on the nature of the specific assets and the availability of market information. In </w:t>
      </w:r>
      <w:r w:rsidR="003627E3" w:rsidRPr="003A4344">
        <w:rPr>
          <w:sz w:val="20"/>
          <w:szCs w:val="20"/>
        </w:rPr>
        <w:t>2019</w:t>
      </w:r>
      <w:r>
        <w:rPr>
          <w:sz w:val="20"/>
          <w:szCs w:val="20"/>
        </w:rPr>
        <w:t>, no indicators of property, plant and equipment impairment were present. Based on the nature of our property, plant and equipment and the reduction in carrying value each year through depreciation, we believe future impairments are not likely.</w:t>
      </w:r>
    </w:p>
    <w:p w:rsidR="000121CD" w:rsidRDefault="00590862">
      <w:pPr>
        <w:pStyle w:val="NormalWeb"/>
        <w:spacing w:before="180" w:beforeAutospacing="0" w:after="0" w:afterAutospacing="0"/>
        <w:rPr>
          <w:sz w:val="20"/>
          <w:szCs w:val="20"/>
        </w:rPr>
      </w:pPr>
      <w:r>
        <w:rPr>
          <w:sz w:val="20"/>
          <w:szCs w:val="20"/>
        </w:rPr>
        <w:t>When testing for the impairment of the value of long-lived assets, we make forecasts of:</w:t>
      </w:r>
    </w:p>
    <w:p w:rsidR="000121CD" w:rsidRDefault="00590862">
      <w:pPr>
        <w:pStyle w:val="NormalWeb"/>
        <w:numPr>
          <w:ilvl w:val="0"/>
          <w:numId w:val="27"/>
        </w:numPr>
        <w:spacing w:before="90" w:beforeAutospacing="0" w:after="0" w:afterAutospacing="0"/>
        <w:rPr>
          <w:sz w:val="20"/>
          <w:szCs w:val="20"/>
        </w:rPr>
      </w:pPr>
      <w:r>
        <w:rPr>
          <w:sz w:val="20"/>
          <w:szCs w:val="20"/>
        </w:rPr>
        <w:t>our future operating results;</w:t>
      </w:r>
    </w:p>
    <w:p w:rsidR="000121CD" w:rsidRDefault="00590862">
      <w:pPr>
        <w:pStyle w:val="NormalWeb"/>
        <w:numPr>
          <w:ilvl w:val="0"/>
          <w:numId w:val="27"/>
        </w:numPr>
        <w:spacing w:before="90" w:beforeAutospacing="0" w:after="0" w:afterAutospacing="0"/>
        <w:rPr>
          <w:sz w:val="20"/>
          <w:szCs w:val="20"/>
        </w:rPr>
      </w:pPr>
      <w:r>
        <w:rPr>
          <w:sz w:val="20"/>
          <w:szCs w:val="20"/>
        </w:rPr>
        <w:t>the extent and timing of future cash flows;</w:t>
      </w:r>
    </w:p>
    <w:p w:rsidR="000121CD" w:rsidRDefault="00590862">
      <w:pPr>
        <w:pStyle w:val="NormalWeb"/>
        <w:numPr>
          <w:ilvl w:val="0"/>
          <w:numId w:val="27"/>
        </w:numPr>
        <w:spacing w:before="90" w:beforeAutospacing="0" w:after="0" w:afterAutospacing="0"/>
        <w:rPr>
          <w:sz w:val="20"/>
          <w:szCs w:val="20"/>
        </w:rPr>
      </w:pPr>
      <w:r>
        <w:rPr>
          <w:sz w:val="20"/>
          <w:szCs w:val="20"/>
        </w:rPr>
        <w:t>working capital;</w:t>
      </w:r>
    </w:p>
    <w:p w:rsidR="000121CD" w:rsidRDefault="00590862">
      <w:pPr>
        <w:pStyle w:val="NormalWeb"/>
        <w:numPr>
          <w:ilvl w:val="0"/>
          <w:numId w:val="27"/>
        </w:numPr>
        <w:spacing w:before="90" w:beforeAutospacing="0" w:after="0" w:afterAutospacing="0"/>
        <w:rPr>
          <w:sz w:val="20"/>
          <w:szCs w:val="20"/>
        </w:rPr>
      </w:pPr>
      <w:r>
        <w:rPr>
          <w:sz w:val="20"/>
          <w:szCs w:val="20"/>
        </w:rPr>
        <w:t>profitability; and</w:t>
      </w:r>
    </w:p>
    <w:p w:rsidR="000121CD" w:rsidRDefault="00590862">
      <w:pPr>
        <w:pStyle w:val="NormalWeb"/>
        <w:numPr>
          <w:ilvl w:val="0"/>
          <w:numId w:val="27"/>
        </w:numPr>
        <w:spacing w:before="90" w:beforeAutospacing="0" w:after="0" w:afterAutospacing="0"/>
        <w:rPr>
          <w:sz w:val="20"/>
          <w:szCs w:val="20"/>
        </w:rPr>
      </w:pPr>
      <w:r>
        <w:rPr>
          <w:sz w:val="20"/>
          <w:szCs w:val="20"/>
        </w:rPr>
        <w:t xml:space="preserve">sales growth trends.  </w:t>
      </w:r>
    </w:p>
    <w:p w:rsidR="000121CD" w:rsidRDefault="00590862">
      <w:pPr>
        <w:pStyle w:val="NormalWeb"/>
        <w:tabs>
          <w:tab w:val="left" w:pos="720"/>
        </w:tabs>
        <w:spacing w:before="180" w:beforeAutospacing="0" w:after="0" w:afterAutospacing="0"/>
        <w:rPr>
          <w:sz w:val="20"/>
          <w:szCs w:val="20"/>
        </w:rPr>
      </w:pPr>
      <w:r>
        <w:rPr>
          <w:sz w:val="20"/>
          <w:szCs w:val="20"/>
        </w:rPr>
        <w:t xml:space="preserve">We make these forecasts using the best available information at the time, including information regarding current market conditions and customer spending forecasts. While we believe our assumptions and estimates are reasonable, because of the volatile nature of the energy industry, actual results may differ materially from the projected results which could result in the recognition of additional impairment charges. Factors that could lead to actual results differing materially from projected results include, among other things, further reductions of oil and natural gas prices and changes in projected sales growth rates.  </w:t>
      </w:r>
    </w:p>
    <w:p w:rsidR="000121CD" w:rsidRDefault="00590862">
      <w:pPr>
        <w:pStyle w:val="NormalWeb"/>
        <w:spacing w:before="180" w:beforeAutospacing="0" w:after="0" w:afterAutospacing="0"/>
        <w:rPr>
          <w:sz w:val="20"/>
          <w:szCs w:val="20"/>
        </w:rPr>
      </w:pPr>
      <w:r>
        <w:rPr>
          <w:i/>
          <w:iCs/>
          <w:sz w:val="20"/>
          <w:szCs w:val="20"/>
        </w:rPr>
        <w:t>Impairment of Goodwill and Other Indefinite-Lived Intangible Assets:</w:t>
      </w:r>
      <w:r>
        <w:rPr>
          <w:sz w:val="20"/>
          <w:szCs w:val="20"/>
        </w:rPr>
        <w:t xml:space="preserve"> We test goodwill and intangible assets with indefinite useful lives for impairment annually, or more frequently if events and circumstances indicate that impairment may exist. We evaluate goodwill for impairment at </w:t>
      </w:r>
      <w:r w:rsidR="00264EC4">
        <w:rPr>
          <w:sz w:val="20"/>
          <w:szCs w:val="20"/>
        </w:rPr>
        <w:t>the reporting unit level</w:t>
      </w:r>
      <w:r>
        <w:rPr>
          <w:sz w:val="20"/>
          <w:szCs w:val="20"/>
        </w:rPr>
        <w:t xml:space="preserve">. Within each reporting unit, we have elected to aggregate the component countries </w:t>
      </w:r>
      <w:r>
        <w:rPr>
          <w:sz w:val="20"/>
          <w:szCs w:val="20"/>
        </w:rPr>
        <w:lastRenderedPageBreak/>
        <w:t>and regions into a single reporting unit based on their similar economic characteristics, products, customers, suppliers, methods of distribution and the manner in which we operate each segment. We perform our annual tests for goodwill impairment as of October 1</w:t>
      </w:r>
      <w:r>
        <w:rPr>
          <w:sz w:val="20"/>
          <w:szCs w:val="20"/>
          <w:vertAlign w:val="superscript"/>
        </w:rPr>
        <w:t>st</w:t>
      </w:r>
      <w:r>
        <w:rPr>
          <w:sz w:val="20"/>
          <w:szCs w:val="20"/>
        </w:rPr>
        <w:t xml:space="preserve"> of each year, updating on an interim basis should indications of impairment exist. </w:t>
      </w:r>
    </w:p>
    <w:p w:rsidR="000121CD" w:rsidRDefault="00590862">
      <w:pPr>
        <w:pStyle w:val="NormalWeb"/>
        <w:spacing w:before="180" w:beforeAutospacing="0" w:after="0" w:afterAutospacing="0"/>
        <w:rPr>
          <w:sz w:val="20"/>
          <w:szCs w:val="20"/>
        </w:rPr>
      </w:pPr>
      <w:r>
        <w:rPr>
          <w:sz w:val="20"/>
          <w:szCs w:val="20"/>
        </w:rPr>
        <w:t xml:space="preserve">When we perform the goodwill impairment test, we compare the carrying value of the reporting unit that has the goodwill with the estimated fair value of that reporting unit. </w:t>
      </w:r>
      <w:r w:rsidR="005A25ED">
        <w:rPr>
          <w:sz w:val="20"/>
          <w:szCs w:val="20"/>
        </w:rPr>
        <w:t>To the extent</w:t>
      </w:r>
      <w:r w:rsidR="00264EC4">
        <w:rPr>
          <w:sz w:val="20"/>
          <w:szCs w:val="20"/>
        </w:rPr>
        <w:t xml:space="preserve"> the carrying value of a reporting unit is greater than its estimated fair value, a goodwill impairment charge</w:t>
      </w:r>
      <w:r w:rsidR="00CF6705">
        <w:rPr>
          <w:sz w:val="20"/>
          <w:szCs w:val="20"/>
        </w:rPr>
        <w:t xml:space="preserve"> is recorded</w:t>
      </w:r>
      <w:r w:rsidR="00264EC4">
        <w:rPr>
          <w:sz w:val="20"/>
          <w:szCs w:val="20"/>
        </w:rPr>
        <w:t xml:space="preserve"> for the difference, up to the carrying value of goodwill. </w:t>
      </w:r>
      <w:r>
        <w:rPr>
          <w:sz w:val="20"/>
          <w:szCs w:val="20"/>
        </w:rPr>
        <w:t>Our impairment methodology uses discounted cash flow and multiples of cash earnings valuation techniques, acquisition control premium and valuation comparisons to similar businesses to determine the fair value of a reporting unit. Each of these methods involves Level 3 unobservable market inputs and require us to make certain assumptions and estimates regarding:</w:t>
      </w:r>
    </w:p>
    <w:p w:rsidR="000121CD" w:rsidRDefault="00590862">
      <w:pPr>
        <w:pStyle w:val="NormalWeb"/>
        <w:numPr>
          <w:ilvl w:val="0"/>
          <w:numId w:val="27"/>
        </w:numPr>
        <w:spacing w:before="90" w:beforeAutospacing="0" w:after="0" w:afterAutospacing="0"/>
        <w:rPr>
          <w:sz w:val="20"/>
          <w:szCs w:val="20"/>
        </w:rPr>
      </w:pPr>
      <w:r>
        <w:rPr>
          <w:sz w:val="20"/>
          <w:szCs w:val="20"/>
        </w:rPr>
        <w:t>future operating results,</w:t>
      </w:r>
    </w:p>
    <w:p w:rsidR="000121CD" w:rsidRDefault="00590862">
      <w:pPr>
        <w:pStyle w:val="NormalWeb"/>
        <w:numPr>
          <w:ilvl w:val="0"/>
          <w:numId w:val="27"/>
        </w:numPr>
        <w:spacing w:before="90" w:beforeAutospacing="0" w:after="0" w:afterAutospacing="0"/>
        <w:rPr>
          <w:sz w:val="20"/>
          <w:szCs w:val="20"/>
        </w:rPr>
      </w:pPr>
      <w:r>
        <w:rPr>
          <w:sz w:val="20"/>
          <w:szCs w:val="20"/>
        </w:rPr>
        <w:t>the extent and timing of future cash flows,</w:t>
      </w:r>
    </w:p>
    <w:p w:rsidR="000121CD" w:rsidRDefault="00590862">
      <w:pPr>
        <w:pStyle w:val="NormalWeb"/>
        <w:numPr>
          <w:ilvl w:val="0"/>
          <w:numId w:val="27"/>
        </w:numPr>
        <w:spacing w:before="90" w:beforeAutospacing="0" w:after="0" w:afterAutospacing="0"/>
        <w:rPr>
          <w:sz w:val="20"/>
          <w:szCs w:val="20"/>
        </w:rPr>
      </w:pPr>
      <w:r>
        <w:rPr>
          <w:sz w:val="20"/>
          <w:szCs w:val="20"/>
        </w:rPr>
        <w:t>working capital,</w:t>
      </w:r>
    </w:p>
    <w:p w:rsidR="000121CD" w:rsidRDefault="00590862">
      <w:pPr>
        <w:pStyle w:val="NormalWeb"/>
        <w:numPr>
          <w:ilvl w:val="0"/>
          <w:numId w:val="27"/>
        </w:numPr>
        <w:spacing w:before="90" w:beforeAutospacing="0" w:after="0" w:afterAutospacing="0"/>
        <w:rPr>
          <w:sz w:val="20"/>
          <w:szCs w:val="20"/>
        </w:rPr>
      </w:pPr>
      <w:r>
        <w:rPr>
          <w:sz w:val="20"/>
          <w:szCs w:val="20"/>
        </w:rPr>
        <w:t>sales prices,</w:t>
      </w:r>
    </w:p>
    <w:p w:rsidR="000121CD" w:rsidRDefault="00590862">
      <w:pPr>
        <w:pStyle w:val="NormalWeb"/>
        <w:numPr>
          <w:ilvl w:val="0"/>
          <w:numId w:val="27"/>
        </w:numPr>
        <w:spacing w:before="90" w:beforeAutospacing="0" w:after="0" w:afterAutospacing="0"/>
        <w:rPr>
          <w:sz w:val="20"/>
          <w:szCs w:val="20"/>
        </w:rPr>
      </w:pPr>
      <w:r>
        <w:rPr>
          <w:sz w:val="20"/>
          <w:szCs w:val="20"/>
        </w:rPr>
        <w:t>profitability,</w:t>
      </w:r>
    </w:p>
    <w:p w:rsidR="000121CD" w:rsidRDefault="00590862">
      <w:pPr>
        <w:pStyle w:val="NormalWeb"/>
        <w:numPr>
          <w:ilvl w:val="0"/>
          <w:numId w:val="27"/>
        </w:numPr>
        <w:spacing w:before="90" w:beforeAutospacing="0" w:after="0" w:afterAutospacing="0"/>
        <w:rPr>
          <w:sz w:val="20"/>
          <w:szCs w:val="20"/>
        </w:rPr>
      </w:pPr>
      <w:r>
        <w:rPr>
          <w:sz w:val="20"/>
          <w:szCs w:val="20"/>
        </w:rPr>
        <w:t>discount rates; and</w:t>
      </w:r>
    </w:p>
    <w:p w:rsidR="000121CD" w:rsidRDefault="00590862">
      <w:pPr>
        <w:pStyle w:val="NormalWeb"/>
        <w:numPr>
          <w:ilvl w:val="0"/>
          <w:numId w:val="27"/>
        </w:numPr>
        <w:spacing w:before="90" w:beforeAutospacing="0" w:after="0" w:afterAutospacing="0"/>
        <w:rPr>
          <w:sz w:val="20"/>
          <w:szCs w:val="20"/>
        </w:rPr>
      </w:pPr>
      <w:r>
        <w:rPr>
          <w:sz w:val="20"/>
          <w:szCs w:val="20"/>
        </w:rPr>
        <w:t xml:space="preserve">sales growth trends.  </w:t>
      </w:r>
    </w:p>
    <w:p w:rsidR="000121CD" w:rsidRDefault="00590862">
      <w:pPr>
        <w:pStyle w:val="NormalWeb"/>
        <w:spacing w:before="180" w:beforeAutospacing="0" w:after="0" w:afterAutospacing="0"/>
        <w:rPr>
          <w:sz w:val="20"/>
          <w:szCs w:val="20"/>
        </w:rPr>
      </w:pPr>
      <w:r>
        <w:rPr>
          <w:sz w:val="20"/>
          <w:szCs w:val="20"/>
        </w:rPr>
        <w:t>We make these forecasts using the best available information at the time including information regarding current market conditions and customer spending forecasts. While we believe that these assumptions and estimates are reasonable, because of the volatile nature of the energy industry, actual results may differ materially from the projected results which could result in the recognition of additional impairment charges. Factors that could lead to actual results differing materially from projected results include, among other things:</w:t>
      </w:r>
    </w:p>
    <w:p w:rsidR="000121CD" w:rsidRDefault="00590862">
      <w:pPr>
        <w:pStyle w:val="NormalWeb"/>
        <w:numPr>
          <w:ilvl w:val="0"/>
          <w:numId w:val="27"/>
        </w:numPr>
        <w:spacing w:before="90" w:beforeAutospacing="0" w:after="0" w:afterAutospacing="0"/>
        <w:rPr>
          <w:sz w:val="20"/>
          <w:szCs w:val="20"/>
        </w:rPr>
      </w:pPr>
      <w:r>
        <w:rPr>
          <w:sz w:val="20"/>
          <w:szCs w:val="20"/>
        </w:rPr>
        <w:t>reduction of oil and natural gas prices,</w:t>
      </w:r>
    </w:p>
    <w:p w:rsidR="000121CD" w:rsidRDefault="00590862">
      <w:pPr>
        <w:pStyle w:val="NormalWeb"/>
        <w:numPr>
          <w:ilvl w:val="0"/>
          <w:numId w:val="27"/>
        </w:numPr>
        <w:spacing w:before="90" w:beforeAutospacing="0" w:after="0" w:afterAutospacing="0"/>
        <w:rPr>
          <w:sz w:val="20"/>
          <w:szCs w:val="20"/>
        </w:rPr>
      </w:pPr>
      <w:r>
        <w:rPr>
          <w:sz w:val="20"/>
          <w:szCs w:val="20"/>
        </w:rPr>
        <w:t>changes in projected sales growth rate; and</w:t>
      </w:r>
    </w:p>
    <w:p w:rsidR="000121CD" w:rsidRDefault="00590862">
      <w:pPr>
        <w:pStyle w:val="NormalWeb"/>
        <w:numPr>
          <w:ilvl w:val="0"/>
          <w:numId w:val="27"/>
        </w:numPr>
        <w:spacing w:before="90" w:beforeAutospacing="0" w:after="0" w:afterAutospacing="0"/>
        <w:rPr>
          <w:sz w:val="20"/>
          <w:szCs w:val="20"/>
        </w:rPr>
      </w:pPr>
      <w:r>
        <w:rPr>
          <w:sz w:val="20"/>
          <w:szCs w:val="20"/>
        </w:rPr>
        <w:t xml:space="preserve">changes in factors affecting our discount rate including risk premiums, risk free interest rates and costs of capital.  </w:t>
      </w:r>
    </w:p>
    <w:p w:rsidR="000121CD" w:rsidRDefault="00590862">
      <w:pPr>
        <w:pStyle w:val="NormalWeb"/>
        <w:spacing w:before="180" w:beforeAutospacing="0" w:after="0" w:afterAutospacing="0"/>
        <w:rPr>
          <w:sz w:val="20"/>
          <w:szCs w:val="20"/>
        </w:rPr>
      </w:pPr>
      <w:r>
        <w:rPr>
          <w:sz w:val="20"/>
          <w:szCs w:val="20"/>
        </w:rPr>
        <w:t>In connection with our annual goodwill impairment test as of October 1, 201</w:t>
      </w:r>
      <w:r w:rsidR="00693CCE">
        <w:rPr>
          <w:sz w:val="20"/>
          <w:szCs w:val="20"/>
        </w:rPr>
        <w:t>9</w:t>
      </w:r>
      <w:r>
        <w:rPr>
          <w:sz w:val="20"/>
          <w:szCs w:val="20"/>
        </w:rPr>
        <w:t xml:space="preserve">, we tested the carrying value of goodwill for our U.S. and International reporting units. Our Canada reporting unit has no goodwill. No goodwill impairments were indicated as a result of those tests as the estimated fair value of each of our reporting units substantially exceeded their carrying value. </w:t>
      </w:r>
    </w:p>
    <w:p w:rsidR="000121CD" w:rsidRDefault="00590862">
      <w:pPr>
        <w:pStyle w:val="NormalWeb"/>
        <w:spacing w:before="180" w:beforeAutospacing="0" w:after="0" w:afterAutospacing="0"/>
        <w:rPr>
          <w:sz w:val="20"/>
          <w:szCs w:val="20"/>
        </w:rPr>
      </w:pPr>
      <w:r>
        <w:rPr>
          <w:sz w:val="20"/>
          <w:szCs w:val="20"/>
        </w:rPr>
        <w:t>Intangible assets with indefinite useful lives are recorded in our U.S. segment. We test these assets for impairment annually or more frequently if events and circumstances indicate that impairment may exist. This test compares the carrying value of the indefinite-lived intangible assets with their estimated fair value. If the carrying value is more than the estimated fair value, we recognize impairment losses in an amount equal to the excess of the carrying value over the estimated fair value. Our impairment methodology uses discounted cash flow and estimated royalty rate valuation techniques. Utilizing these valuation methods, we make certain assumptions and estimates regarding:</w:t>
      </w:r>
    </w:p>
    <w:p w:rsidR="000121CD" w:rsidRDefault="00590862">
      <w:pPr>
        <w:pStyle w:val="NormalWeb"/>
        <w:numPr>
          <w:ilvl w:val="0"/>
          <w:numId w:val="27"/>
        </w:numPr>
        <w:spacing w:before="90" w:beforeAutospacing="0" w:after="0" w:afterAutospacing="0"/>
        <w:rPr>
          <w:sz w:val="20"/>
          <w:szCs w:val="20"/>
        </w:rPr>
      </w:pPr>
      <w:r>
        <w:rPr>
          <w:sz w:val="20"/>
          <w:szCs w:val="20"/>
        </w:rPr>
        <w:t>future operating results,</w:t>
      </w:r>
    </w:p>
    <w:p w:rsidR="000121CD" w:rsidRDefault="00590862">
      <w:pPr>
        <w:pStyle w:val="NormalWeb"/>
        <w:numPr>
          <w:ilvl w:val="0"/>
          <w:numId w:val="27"/>
        </w:numPr>
        <w:spacing w:before="90" w:beforeAutospacing="0" w:after="0" w:afterAutospacing="0"/>
        <w:rPr>
          <w:sz w:val="20"/>
          <w:szCs w:val="20"/>
        </w:rPr>
      </w:pPr>
      <w:r>
        <w:rPr>
          <w:sz w:val="20"/>
          <w:szCs w:val="20"/>
        </w:rPr>
        <w:t>sales prices,</w:t>
      </w:r>
    </w:p>
    <w:p w:rsidR="000121CD" w:rsidRDefault="00590862">
      <w:pPr>
        <w:pStyle w:val="NormalWeb"/>
        <w:numPr>
          <w:ilvl w:val="0"/>
          <w:numId w:val="27"/>
        </w:numPr>
        <w:spacing w:before="90" w:beforeAutospacing="0" w:after="0" w:afterAutospacing="0"/>
        <w:rPr>
          <w:sz w:val="20"/>
          <w:szCs w:val="20"/>
        </w:rPr>
      </w:pPr>
      <w:r>
        <w:rPr>
          <w:sz w:val="20"/>
          <w:szCs w:val="20"/>
        </w:rPr>
        <w:t>discount rates; and</w:t>
      </w:r>
    </w:p>
    <w:p w:rsidR="000121CD" w:rsidRDefault="00590862">
      <w:pPr>
        <w:pStyle w:val="NormalWeb"/>
        <w:numPr>
          <w:ilvl w:val="0"/>
          <w:numId w:val="27"/>
        </w:numPr>
        <w:spacing w:before="90" w:beforeAutospacing="0" w:after="0" w:afterAutospacing="0"/>
        <w:rPr>
          <w:sz w:val="20"/>
          <w:szCs w:val="20"/>
        </w:rPr>
      </w:pPr>
      <w:r>
        <w:rPr>
          <w:sz w:val="20"/>
          <w:szCs w:val="20"/>
        </w:rPr>
        <w:t xml:space="preserve">sales growth trends. </w:t>
      </w:r>
    </w:p>
    <w:p w:rsidR="000121CD" w:rsidRDefault="000121CD">
      <w:pPr>
        <w:pStyle w:val="NormalWeb"/>
        <w:spacing w:before="0" w:beforeAutospacing="0" w:after="0" w:afterAutospacing="0"/>
        <w:ind w:left="778"/>
        <w:rPr>
          <w:sz w:val="20"/>
          <w:szCs w:val="20"/>
        </w:rPr>
      </w:pPr>
    </w:p>
    <w:p w:rsidR="000121CD" w:rsidRDefault="00590862">
      <w:pPr>
        <w:rPr>
          <w:sz w:val="20"/>
        </w:rPr>
      </w:pPr>
      <w:r>
        <w:rPr>
          <w:sz w:val="20"/>
        </w:rPr>
        <w:t xml:space="preserve">As with the goodwill impairment test described above, while we believe that our assumptions and estimates are reasonable, because of the volatile nature of the energy industry, actual results may differ materially from the projected results which could result in the recognition of additional impairment charges. The estimated fair value of our indefinite-lived intangible assets substantially exceeded their carrying value. </w:t>
      </w:r>
    </w:p>
    <w:p w:rsidR="000121CD" w:rsidRDefault="000121CD">
      <w:pPr>
        <w:rPr>
          <w:i/>
          <w:iCs/>
          <w:sz w:val="20"/>
        </w:rPr>
      </w:pPr>
    </w:p>
    <w:p w:rsidR="000121CD" w:rsidRDefault="00590862">
      <w:pPr>
        <w:pStyle w:val="NormalWeb"/>
        <w:spacing w:before="180" w:beforeAutospacing="0" w:after="0" w:afterAutospacing="0"/>
        <w:rPr>
          <w:sz w:val="20"/>
          <w:szCs w:val="20"/>
        </w:rPr>
      </w:pPr>
      <w:r>
        <w:rPr>
          <w:i/>
          <w:iCs/>
          <w:sz w:val="20"/>
        </w:rPr>
        <w:t>Income Taxes:</w:t>
      </w:r>
      <w:r>
        <w:rPr>
          <w:sz w:val="20"/>
        </w:rPr>
        <w:t xml:space="preserve"> </w:t>
      </w:r>
      <w:r>
        <w:rPr>
          <w:sz w:val="20"/>
          <w:szCs w:val="20"/>
        </w:rPr>
        <w:t xml:space="preserve">We use the liability method for determining our income taxes, under which current and deferred tax assets and liabilities are recorded in accordance with enacted tax laws and rates. Under this method, deferred tax assets and liabilities are recorded for differences between the financial reporting and tax bases of assets and liabilities using the tax rate expected to be in effect when the taxes will actually be paid or refunds received. The effect on deferred tax assets and liabilities of a change in tax rates is recognized in earnings in the period that includes the enactment date. A valuation allowance to reduce deferred tax assets is established when it is more likely than not that some portion or all of the deferred tax assets will not be realized. </w:t>
      </w:r>
    </w:p>
    <w:p w:rsidR="000121CD" w:rsidRDefault="00590862">
      <w:pPr>
        <w:pStyle w:val="NormalWeb"/>
        <w:spacing w:before="120" w:beforeAutospacing="0" w:after="0" w:afterAutospacing="0"/>
        <w:rPr>
          <w:sz w:val="20"/>
          <w:szCs w:val="20"/>
        </w:rPr>
      </w:pPr>
      <w:r>
        <w:rPr>
          <w:sz w:val="20"/>
          <w:szCs w:val="20"/>
        </w:rPr>
        <w:lastRenderedPageBreak/>
        <w:t xml:space="preserve">In determining the need for valuation allowances and our ability to utilize our deferred tax assets, we consider and make judgments regarding all the available positive and negative evidence, including the timing of the reversal of deferred tax liabilities, estimated future taxable income, ongoing, prudent and feasible tax planning strategies and recent financial results of operations. The amount of valuation allowances, however, could be adjusted in the future if objective negative evidence in the form of cumulative losses is no longer present in certain jurisdictions and additional weight may be given to subjective evidence such as our projections for growth.  </w:t>
      </w:r>
    </w:p>
    <w:p w:rsidR="000121CD" w:rsidRDefault="00590862">
      <w:pPr>
        <w:pStyle w:val="NormalWeb"/>
        <w:spacing w:before="120" w:beforeAutospacing="0" w:after="0" w:afterAutospacing="0"/>
        <w:rPr>
          <w:sz w:val="20"/>
          <w:szCs w:val="20"/>
        </w:rPr>
      </w:pPr>
      <w:r>
        <w:rPr>
          <w:sz w:val="20"/>
          <w:szCs w:val="20"/>
        </w:rPr>
        <w:t xml:space="preserve">Our tax provision is based upon our expected taxable income and statutory rates in effect in each country in which we operate. We are subject to the jurisdiction of numerous domestic and foreign tax authorities, as well as to tax agreements and treaties among these governments. Determination of taxable income in any jurisdiction requires the interpretation of the related tax laws and regulations and the use of estimates and assumptions regarding significant future events such as the amount, timing and character of deductions, permissible revenue recognition methods under the tax law and the sources and character of income and tax credits. Changes in tax laws, regulations, agreements and treaties, foreign currency exchange restrictions or our level of operations or profitability in each taxing jurisdiction could have an impact on the amount of income taxes we provide during any given year. </w:t>
      </w:r>
    </w:p>
    <w:p w:rsidR="000121CD" w:rsidRDefault="00590862">
      <w:pPr>
        <w:pStyle w:val="NormalWeb"/>
        <w:spacing w:before="120" w:beforeAutospacing="0" w:after="0" w:afterAutospacing="0"/>
        <w:rPr>
          <w:sz w:val="20"/>
          <w:szCs w:val="20"/>
        </w:rPr>
      </w:pPr>
      <w:r>
        <w:rPr>
          <w:sz w:val="20"/>
          <w:szCs w:val="20"/>
        </w:rPr>
        <w:t>A tax benefit from an uncertain tax position may be recognized when it is more likely than not that the position will be sustained upon examination, including any related appeals or litigation processes, on the basis of the technical merits. We adjust these liabilities when our judgment changes as a result of the evaluation of new information not previously available. Because of the complexity of some of these uncertainties, the ultimate resolution may result in a payment that is materially different from our current estimate of the tax liabilities. These differences will be reflected as increases or decreases to income tax expense in the period in which the new information is available.</w:t>
      </w:r>
    </w:p>
    <w:p w:rsidR="000121CD" w:rsidRDefault="000121CD">
      <w:pPr>
        <w:rPr>
          <w:b/>
          <w:bCs/>
          <w:sz w:val="20"/>
        </w:rPr>
      </w:pPr>
    </w:p>
    <w:p w:rsidR="000121CD" w:rsidRDefault="00590862">
      <w:pPr>
        <w:pStyle w:val="NormalWeb"/>
        <w:spacing w:before="0" w:beforeAutospacing="0" w:after="0" w:afterAutospacing="0"/>
        <w:rPr>
          <w:sz w:val="20"/>
          <w:szCs w:val="20"/>
        </w:rPr>
      </w:pPr>
      <w:r>
        <w:rPr>
          <w:b/>
          <w:bCs/>
          <w:sz w:val="20"/>
          <w:szCs w:val="20"/>
        </w:rPr>
        <w:t>ITEM 7A.</w:t>
      </w:r>
      <w:r>
        <w:rPr>
          <w:bCs/>
          <w:sz w:val="20"/>
          <w:szCs w:val="20"/>
        </w:rPr>
        <w:tab/>
      </w:r>
      <w:bookmarkStart w:id="13" w:name="QuantitativeandQualitativeRisk"/>
      <w:r>
        <w:rPr>
          <w:b/>
          <w:bCs/>
          <w:sz w:val="20"/>
          <w:szCs w:val="20"/>
        </w:rPr>
        <w:t>QUANTITATIVE AND QUALITATIVE DISCLOSURES ABOUT MARKET RISK</w:t>
      </w:r>
      <w:bookmarkEnd w:id="13"/>
      <w:r>
        <w:rPr>
          <w:b/>
          <w:bCs/>
          <w:sz w:val="20"/>
          <w:szCs w:val="20"/>
        </w:rPr>
        <w:t xml:space="preserve"> </w:t>
      </w:r>
    </w:p>
    <w:p w:rsidR="000121CD" w:rsidRDefault="00590862">
      <w:pPr>
        <w:pStyle w:val="NormalWeb"/>
        <w:keepNext/>
        <w:spacing w:before="90" w:beforeAutospacing="0" w:after="0" w:afterAutospacing="0"/>
        <w:rPr>
          <w:sz w:val="20"/>
          <w:szCs w:val="20"/>
        </w:rPr>
      </w:pPr>
      <w:r>
        <w:rPr>
          <w:b/>
          <w:bCs/>
          <w:i/>
          <w:iCs/>
          <w:sz w:val="20"/>
          <w:szCs w:val="20"/>
        </w:rPr>
        <w:t xml:space="preserve">Interest Rate Risk </w:t>
      </w:r>
    </w:p>
    <w:p w:rsidR="000121CD" w:rsidRDefault="00590862">
      <w:pPr>
        <w:pStyle w:val="NormalWeb"/>
        <w:spacing w:before="90" w:beforeAutospacing="0" w:after="0" w:afterAutospacing="0"/>
        <w:rPr>
          <w:sz w:val="20"/>
          <w:szCs w:val="20"/>
        </w:rPr>
      </w:pPr>
      <w:r>
        <w:rPr>
          <w:sz w:val="20"/>
          <w:szCs w:val="20"/>
        </w:rPr>
        <w:t xml:space="preserve">As of </w:t>
      </w:r>
      <w:r w:rsidR="003627E3" w:rsidRPr="003A4344">
        <w:rPr>
          <w:sz w:val="20"/>
          <w:szCs w:val="20"/>
        </w:rPr>
        <w:t>December 31, 2019</w:t>
      </w:r>
      <w:r>
        <w:rPr>
          <w:sz w:val="20"/>
          <w:szCs w:val="20"/>
        </w:rPr>
        <w:t xml:space="preserve">, all of our outstanding debt was at floating rates. These facilities prescribe the percentage point spreads from U.S. prime, LIBOR, Canadian prime and EURIBOR. Our facilities generally allow us to fix the interest rate, at our option, for a period of 30 to 180 days. </w:t>
      </w:r>
    </w:p>
    <w:p w:rsidR="000121CD" w:rsidRDefault="00590862">
      <w:pPr>
        <w:pStyle w:val="NormalWeb"/>
        <w:spacing w:before="180" w:beforeAutospacing="0" w:after="0" w:afterAutospacing="0"/>
        <w:rPr>
          <w:sz w:val="20"/>
          <w:szCs w:val="20"/>
        </w:rPr>
      </w:pPr>
      <w:r>
        <w:rPr>
          <w:sz w:val="20"/>
          <w:szCs w:val="20"/>
        </w:rPr>
        <w:t xml:space="preserve">As of </w:t>
      </w:r>
      <w:r w:rsidR="003627E3" w:rsidRPr="003A4344">
        <w:rPr>
          <w:sz w:val="20"/>
          <w:szCs w:val="20"/>
        </w:rPr>
        <w:t>December 31, 2019</w:t>
      </w:r>
      <w:r>
        <w:rPr>
          <w:sz w:val="20"/>
          <w:szCs w:val="20"/>
        </w:rPr>
        <w:t>, a 1% increase in the LIBOR rate would result in an increase in our interest expense of approximately $</w:t>
      </w:r>
      <w:r w:rsidR="006135CE">
        <w:rPr>
          <w:sz w:val="20"/>
          <w:szCs w:val="20"/>
        </w:rPr>
        <w:t>3</w:t>
      </w:r>
      <w:r>
        <w:rPr>
          <w:sz w:val="20"/>
          <w:szCs w:val="20"/>
        </w:rPr>
        <w:t xml:space="preserve"> million per year if the amounts outstanding under our Term Loan and Global ABL Facility remained the same for an entire year. </w:t>
      </w:r>
    </w:p>
    <w:p w:rsidR="000121CD" w:rsidRDefault="00780609">
      <w:pPr>
        <w:pStyle w:val="NormalWeb"/>
        <w:spacing w:before="180" w:beforeAutospacing="0" w:after="0" w:afterAutospacing="0"/>
        <w:rPr>
          <w:sz w:val="20"/>
          <w:szCs w:val="20"/>
        </w:rPr>
      </w:pPr>
      <w:r>
        <w:rPr>
          <w:sz w:val="20"/>
          <w:szCs w:val="20"/>
        </w:rPr>
        <w:t>We are currently party to</w:t>
      </w:r>
      <w:r w:rsidR="00590862">
        <w:rPr>
          <w:sz w:val="20"/>
          <w:szCs w:val="20"/>
        </w:rPr>
        <w:t xml:space="preserve"> a $250 million interest rate swap to fix a portion of our variable rate exposure</w:t>
      </w:r>
      <w:r>
        <w:rPr>
          <w:sz w:val="20"/>
          <w:szCs w:val="20"/>
        </w:rPr>
        <w:t xml:space="preserve"> that matures in March 2023</w:t>
      </w:r>
      <w:r w:rsidR="00590862">
        <w:rPr>
          <w:sz w:val="20"/>
          <w:szCs w:val="20"/>
        </w:rPr>
        <w:t>.</w:t>
      </w:r>
    </w:p>
    <w:p w:rsidR="000121CD" w:rsidRDefault="00590862">
      <w:pPr>
        <w:pStyle w:val="NormalWeb"/>
        <w:keepNext/>
        <w:spacing w:before="270" w:beforeAutospacing="0" w:after="0" w:afterAutospacing="0"/>
        <w:rPr>
          <w:sz w:val="20"/>
          <w:szCs w:val="20"/>
        </w:rPr>
      </w:pPr>
      <w:r>
        <w:rPr>
          <w:b/>
          <w:bCs/>
          <w:i/>
          <w:iCs/>
          <w:sz w:val="20"/>
          <w:szCs w:val="20"/>
        </w:rPr>
        <w:t xml:space="preserve">Foreign Currency Exchange Rates </w:t>
      </w:r>
    </w:p>
    <w:p w:rsidR="000121CD" w:rsidRDefault="00590862">
      <w:pPr>
        <w:pStyle w:val="NormalWeb"/>
        <w:spacing w:before="90" w:beforeAutospacing="0" w:after="0" w:afterAutospacing="0"/>
        <w:rPr>
          <w:sz w:val="20"/>
          <w:szCs w:val="20"/>
        </w:rPr>
      </w:pPr>
      <w:r>
        <w:rPr>
          <w:sz w:val="20"/>
          <w:szCs w:val="20"/>
        </w:rPr>
        <w:t xml:space="preserve">Our operations outside of the U.S. expose us to foreign currency exchange rate risk, as these transactions are primarily denominated in currencies other than the U.S. dollar, our functional currency. Our exposure to changes in foreign exchange rates is managed primarily through the use of forward foreign exchange contracts. These contracts increase or decrease in value as foreign exchange rates change, protecting the value of the underlying transactions denominated in foreign currencies. All currency contracts are entered into for the sole purpose of hedging existing or anticipated currency exposure; we do not use foreign currency contracts for trading or speculative purposes. The terms of these contracts generally do not exceed one year. We record all changes in the fair market value of forward foreign exchange contracts in income. We recorded </w:t>
      </w:r>
      <w:r w:rsidR="00917FE5">
        <w:rPr>
          <w:sz w:val="20"/>
          <w:szCs w:val="20"/>
        </w:rPr>
        <w:t>losses</w:t>
      </w:r>
      <w:r>
        <w:rPr>
          <w:sz w:val="20"/>
          <w:szCs w:val="20"/>
        </w:rPr>
        <w:t xml:space="preserve"> related to foreign currency contracts of $</w:t>
      </w:r>
      <w:r w:rsidR="00D470DC">
        <w:rPr>
          <w:sz w:val="20"/>
          <w:szCs w:val="20"/>
        </w:rPr>
        <w:t>0</w:t>
      </w:r>
      <w:r>
        <w:rPr>
          <w:sz w:val="20"/>
          <w:szCs w:val="20"/>
        </w:rPr>
        <w:t xml:space="preserve"> million in the year ended December 31, 201</w:t>
      </w:r>
      <w:r w:rsidR="00FB6555">
        <w:rPr>
          <w:sz w:val="20"/>
          <w:szCs w:val="20"/>
        </w:rPr>
        <w:t>9</w:t>
      </w:r>
      <w:r>
        <w:rPr>
          <w:sz w:val="20"/>
          <w:szCs w:val="20"/>
        </w:rPr>
        <w:t xml:space="preserve">, </w:t>
      </w:r>
      <w:r w:rsidR="00FB6555">
        <w:rPr>
          <w:sz w:val="20"/>
          <w:szCs w:val="20"/>
        </w:rPr>
        <w:t>gains</w:t>
      </w:r>
      <w:r>
        <w:rPr>
          <w:sz w:val="20"/>
          <w:szCs w:val="20"/>
        </w:rPr>
        <w:t xml:space="preserve"> of $1 million in the year ended December 31, 201</w:t>
      </w:r>
      <w:r w:rsidR="00FB6555">
        <w:rPr>
          <w:sz w:val="20"/>
          <w:szCs w:val="20"/>
        </w:rPr>
        <w:t>8</w:t>
      </w:r>
      <w:r>
        <w:rPr>
          <w:sz w:val="20"/>
          <w:szCs w:val="20"/>
        </w:rPr>
        <w:t xml:space="preserve"> and </w:t>
      </w:r>
      <w:r w:rsidR="00FB6555">
        <w:rPr>
          <w:sz w:val="20"/>
          <w:szCs w:val="20"/>
        </w:rPr>
        <w:t>losses</w:t>
      </w:r>
      <w:r>
        <w:rPr>
          <w:sz w:val="20"/>
          <w:szCs w:val="20"/>
        </w:rPr>
        <w:t xml:space="preserve"> of $1 million in the year ended December 31, 201</w:t>
      </w:r>
      <w:r w:rsidR="00FB6555">
        <w:rPr>
          <w:sz w:val="20"/>
          <w:szCs w:val="20"/>
        </w:rPr>
        <w:t>7</w:t>
      </w:r>
      <w:r>
        <w:rPr>
          <w:sz w:val="20"/>
          <w:szCs w:val="20"/>
        </w:rPr>
        <w:t>.</w:t>
      </w:r>
    </w:p>
    <w:p w:rsidR="000121CD" w:rsidRDefault="00590862">
      <w:pPr>
        <w:pStyle w:val="NormalWeb"/>
        <w:keepNext/>
        <w:spacing w:before="270" w:beforeAutospacing="0" w:after="0" w:afterAutospacing="0"/>
        <w:rPr>
          <w:sz w:val="20"/>
          <w:szCs w:val="20"/>
        </w:rPr>
      </w:pPr>
      <w:r>
        <w:rPr>
          <w:b/>
          <w:bCs/>
          <w:i/>
          <w:iCs/>
          <w:sz w:val="20"/>
          <w:szCs w:val="20"/>
        </w:rPr>
        <w:t xml:space="preserve">Steel Prices </w:t>
      </w:r>
    </w:p>
    <w:p w:rsidR="000121CD" w:rsidRDefault="00590862">
      <w:pPr>
        <w:pStyle w:val="NormalWeb"/>
        <w:spacing w:before="90" w:beforeAutospacing="0" w:after="0" w:afterAutospacing="0"/>
        <w:rPr>
          <w:sz w:val="20"/>
          <w:szCs w:val="20"/>
        </w:rPr>
      </w:pPr>
      <w:r>
        <w:rPr>
          <w:sz w:val="20"/>
          <w:szCs w:val="20"/>
        </w:rPr>
        <w:t xml:space="preserve">Our business is sensitive to steel prices, which can impact our product pricing, with carbon steel line pipe prices generally having the highest degree of sensitivity. While we cannot predict steel prices, we manage this risk by managing our inventory levels, including maintaining sufficient quantity on hand to meet demand, while reducing the risk of overstocking. </w:t>
      </w:r>
    </w:p>
    <w:p w:rsidR="000121CD" w:rsidRDefault="00590862">
      <w:pPr>
        <w:pStyle w:val="NormalWeb"/>
        <w:keepNext/>
        <w:pageBreakBefore/>
        <w:spacing w:before="0" w:beforeAutospacing="0" w:after="0" w:afterAutospacing="0"/>
        <w:ind w:left="1224" w:hanging="1224"/>
        <w:rPr>
          <w:sz w:val="20"/>
          <w:szCs w:val="20"/>
        </w:rPr>
      </w:pPr>
      <w:r>
        <w:rPr>
          <w:b/>
          <w:bCs/>
          <w:sz w:val="20"/>
          <w:szCs w:val="20"/>
        </w:rPr>
        <w:lastRenderedPageBreak/>
        <w:t xml:space="preserve">ITEM 8. </w:t>
      </w:r>
      <w:r>
        <w:rPr>
          <w:bCs/>
          <w:sz w:val="20"/>
          <w:szCs w:val="20"/>
        </w:rPr>
        <w:tab/>
      </w:r>
      <w:bookmarkStart w:id="14" w:name="FinancialStatements"/>
      <w:r>
        <w:rPr>
          <w:b/>
          <w:bCs/>
          <w:sz w:val="20"/>
          <w:szCs w:val="20"/>
        </w:rPr>
        <w:t>FINANCIAL STATEMENTS AND SUPPLEMENTARY DATA</w:t>
      </w:r>
      <w:bookmarkEnd w:id="14"/>
    </w:p>
    <w:p w:rsidR="000121CD" w:rsidRDefault="00590862">
      <w:pPr>
        <w:pStyle w:val="NormalWeb"/>
        <w:keepNext/>
        <w:spacing w:before="0" w:beforeAutospacing="0" w:after="0" w:afterAutospacing="0"/>
        <w:rPr>
          <w:sz w:val="20"/>
          <w:szCs w:val="20"/>
        </w:rPr>
      </w:pPr>
      <w:r>
        <w:rPr>
          <w:sz w:val="20"/>
          <w:szCs w:val="20"/>
        </w:rPr>
        <w:t> </w:t>
      </w:r>
    </w:p>
    <w:tbl>
      <w:tblPr>
        <w:tblW w:w="5000" w:type="pct"/>
        <w:jc w:val="center"/>
        <w:tblCellMar>
          <w:left w:w="0" w:type="dxa"/>
          <w:right w:w="0" w:type="dxa"/>
        </w:tblCellMar>
        <w:tblLook w:val="0000" w:firstRow="0" w:lastRow="0" w:firstColumn="0" w:lastColumn="0" w:noHBand="0" w:noVBand="0"/>
      </w:tblPr>
      <w:tblGrid>
        <w:gridCol w:w="10206"/>
        <w:gridCol w:w="594"/>
      </w:tblGrid>
      <w:tr w:rsidR="000121CD">
        <w:trPr>
          <w:trHeight w:hRule="exact" w:val="20"/>
          <w:jc w:val="center"/>
        </w:trPr>
        <w:tc>
          <w:tcPr>
            <w:tcW w:w="4725" w:type="pct"/>
            <w:tcBorders>
              <w:top w:val="nil"/>
              <w:left w:val="nil"/>
              <w:bottom w:val="nil"/>
              <w:right w:val="nil"/>
            </w:tcBorders>
            <w:vAlign w:val="center"/>
          </w:tcPr>
          <w:p w:rsidR="000121CD" w:rsidRDefault="000121CD">
            <w:pPr>
              <w:rPr>
                <w:sz w:val="20"/>
              </w:rPr>
            </w:pPr>
          </w:p>
        </w:tc>
        <w:tc>
          <w:tcPr>
            <w:tcW w:w="275" w:type="pct"/>
            <w:tcBorders>
              <w:top w:val="nil"/>
              <w:left w:val="nil"/>
              <w:bottom w:val="nil"/>
              <w:right w:val="nil"/>
            </w:tcBorders>
            <w:vAlign w:val="center"/>
          </w:tcPr>
          <w:p w:rsidR="000121CD" w:rsidRDefault="000121CD">
            <w:pPr>
              <w:rPr>
                <w:sz w:val="20"/>
              </w:rPr>
            </w:pPr>
          </w:p>
        </w:tc>
      </w:tr>
      <w:tr w:rsidR="000121CD">
        <w:trPr>
          <w:jc w:val="center"/>
        </w:trPr>
        <w:tc>
          <w:tcPr>
            <w:tcW w:w="4725" w:type="pct"/>
            <w:vAlign w:val="center"/>
          </w:tcPr>
          <w:p w:rsidR="000121CD" w:rsidRDefault="000121CD">
            <w:pPr>
              <w:rPr>
                <w:sz w:val="20"/>
              </w:rPr>
            </w:pPr>
          </w:p>
        </w:tc>
        <w:tc>
          <w:tcPr>
            <w:tcW w:w="275" w:type="pct"/>
            <w:vAlign w:val="center"/>
          </w:tcPr>
          <w:p w:rsidR="000121CD" w:rsidRDefault="000121CD">
            <w:pPr>
              <w:rPr>
                <w:sz w:val="20"/>
              </w:rPr>
            </w:pPr>
          </w:p>
        </w:tc>
      </w:tr>
      <w:tr w:rsidR="000121CD">
        <w:trPr>
          <w:cantSplit/>
          <w:jc w:val="center"/>
        </w:trPr>
        <w:tc>
          <w:tcPr>
            <w:tcW w:w="4725" w:type="pct"/>
            <w:shd w:val="clear" w:color="auto" w:fill="CCEEFF"/>
          </w:tcPr>
          <w:p w:rsidR="000121CD" w:rsidRDefault="00590862">
            <w:pPr>
              <w:pStyle w:val="NormalWeb"/>
              <w:tabs>
                <w:tab w:val="right" w:leader="dot" w:pos="10467"/>
              </w:tabs>
              <w:ind w:left="240" w:hanging="240"/>
              <w:rPr>
                <w:sz w:val="20"/>
                <w:szCs w:val="20"/>
              </w:rPr>
            </w:pPr>
            <w:r>
              <w:rPr>
                <w:sz w:val="20"/>
                <w:szCs w:val="20"/>
              </w:rPr>
              <w:t>Management’s Report on Internal Control Over Financial Reporting</w:t>
            </w:r>
          </w:p>
        </w:tc>
        <w:tc>
          <w:tcPr>
            <w:tcW w:w="275" w:type="pct"/>
            <w:shd w:val="clear" w:color="auto" w:fill="CCEEFF"/>
            <w:noWrap/>
            <w:tcMar>
              <w:top w:w="0" w:type="dxa"/>
              <w:left w:w="144" w:type="dxa"/>
              <w:bottom w:w="0" w:type="dxa"/>
              <w:right w:w="0" w:type="dxa"/>
            </w:tcMar>
            <w:vAlign w:val="bottom"/>
          </w:tcPr>
          <w:p w:rsidR="000121CD" w:rsidRDefault="00590862">
            <w:pPr>
              <w:pStyle w:val="NormalWeb"/>
              <w:tabs>
                <w:tab w:val="right" w:pos="360"/>
                <w:tab w:val="decimal" w:pos="400"/>
              </w:tabs>
              <w:spacing w:before="0" w:beforeAutospacing="0" w:after="15" w:afterAutospacing="0"/>
              <w:rPr>
                <w:sz w:val="20"/>
                <w:szCs w:val="20"/>
              </w:rPr>
            </w:pPr>
            <w:r>
              <w:rPr>
                <w:sz w:val="20"/>
                <w:szCs w:val="20"/>
              </w:rPr>
              <w:tab/>
              <w:t>F-1</w:t>
            </w:r>
            <w:r>
              <w:rPr>
                <w:sz w:val="20"/>
                <w:szCs w:val="20"/>
              </w:rPr>
              <w:tab/>
            </w:r>
          </w:p>
        </w:tc>
      </w:tr>
      <w:tr w:rsidR="000121CD">
        <w:trPr>
          <w:cantSplit/>
          <w:jc w:val="center"/>
        </w:trPr>
        <w:tc>
          <w:tcPr>
            <w:tcW w:w="4725" w:type="pct"/>
            <w:shd w:val="clear" w:color="auto" w:fill="auto"/>
          </w:tcPr>
          <w:p w:rsidR="000121CD" w:rsidRDefault="00590862">
            <w:pPr>
              <w:pStyle w:val="NormalWeb"/>
              <w:tabs>
                <w:tab w:val="right" w:leader="dot" w:pos="10467"/>
              </w:tabs>
              <w:ind w:left="240" w:hanging="240"/>
              <w:rPr>
                <w:sz w:val="20"/>
                <w:szCs w:val="20"/>
              </w:rPr>
            </w:pPr>
            <w:r>
              <w:rPr>
                <w:sz w:val="20"/>
                <w:szCs w:val="20"/>
              </w:rPr>
              <w:t>Reports of Ernst &amp; Young LLP, Independent Registered Public Accounting Firm</w:t>
            </w:r>
          </w:p>
        </w:tc>
        <w:tc>
          <w:tcPr>
            <w:tcW w:w="275" w:type="pct"/>
            <w:shd w:val="clear" w:color="auto" w:fill="auto"/>
            <w:noWrap/>
            <w:tcMar>
              <w:top w:w="0" w:type="dxa"/>
              <w:left w:w="144" w:type="dxa"/>
              <w:bottom w:w="0" w:type="dxa"/>
              <w:right w:w="0" w:type="dxa"/>
            </w:tcMar>
            <w:vAlign w:val="bottom"/>
          </w:tcPr>
          <w:p w:rsidR="000121CD" w:rsidRDefault="00590862">
            <w:pPr>
              <w:pStyle w:val="NormalWeb"/>
              <w:tabs>
                <w:tab w:val="right" w:pos="360"/>
                <w:tab w:val="decimal" w:pos="400"/>
              </w:tabs>
              <w:spacing w:before="0" w:beforeAutospacing="0" w:after="15" w:afterAutospacing="0"/>
              <w:rPr>
                <w:sz w:val="20"/>
                <w:szCs w:val="20"/>
              </w:rPr>
            </w:pPr>
            <w:r>
              <w:rPr>
                <w:sz w:val="20"/>
                <w:szCs w:val="20"/>
              </w:rPr>
              <w:tab/>
              <w:t>F-2</w:t>
            </w:r>
            <w:r>
              <w:rPr>
                <w:sz w:val="20"/>
                <w:szCs w:val="20"/>
              </w:rPr>
              <w:tab/>
            </w:r>
          </w:p>
        </w:tc>
      </w:tr>
      <w:tr w:rsidR="000121CD">
        <w:trPr>
          <w:cantSplit/>
          <w:jc w:val="center"/>
        </w:trPr>
        <w:tc>
          <w:tcPr>
            <w:tcW w:w="4725" w:type="pct"/>
            <w:shd w:val="clear" w:color="auto" w:fill="CCEEFF"/>
          </w:tcPr>
          <w:p w:rsidR="000121CD" w:rsidRDefault="00590862">
            <w:pPr>
              <w:pStyle w:val="NormalWeb"/>
              <w:keepNext/>
              <w:ind w:left="240" w:hanging="240"/>
              <w:rPr>
                <w:sz w:val="20"/>
                <w:szCs w:val="20"/>
              </w:rPr>
            </w:pPr>
            <w:r>
              <w:rPr>
                <w:sz w:val="20"/>
                <w:szCs w:val="20"/>
              </w:rPr>
              <w:t>Audited Consolidated Financial Statements of MRC Global Inc.:</w:t>
            </w:r>
          </w:p>
        </w:tc>
        <w:tc>
          <w:tcPr>
            <w:tcW w:w="275" w:type="pct"/>
            <w:shd w:val="clear" w:color="auto" w:fill="CCEEFF"/>
            <w:tcMar>
              <w:top w:w="0" w:type="dxa"/>
              <w:left w:w="144" w:type="dxa"/>
              <w:bottom w:w="0" w:type="dxa"/>
              <w:right w:w="0" w:type="dxa"/>
            </w:tcMar>
            <w:vAlign w:val="bottom"/>
          </w:tcPr>
          <w:p w:rsidR="000121CD" w:rsidRDefault="00590862">
            <w:pPr>
              <w:pStyle w:val="la2"/>
              <w:rPr>
                <w:sz w:val="20"/>
                <w:szCs w:val="20"/>
              </w:rPr>
            </w:pPr>
            <w:r>
              <w:rPr>
                <w:sz w:val="20"/>
                <w:szCs w:val="20"/>
              </w:rPr>
              <w:t> </w:t>
            </w:r>
          </w:p>
        </w:tc>
      </w:tr>
      <w:tr w:rsidR="006135CE">
        <w:trPr>
          <w:cantSplit/>
          <w:jc w:val="center"/>
        </w:trPr>
        <w:tc>
          <w:tcPr>
            <w:tcW w:w="4725" w:type="pct"/>
          </w:tcPr>
          <w:p w:rsidR="006135CE" w:rsidRDefault="006135CE" w:rsidP="006135CE">
            <w:pPr>
              <w:pStyle w:val="NormalWeb"/>
              <w:tabs>
                <w:tab w:val="right" w:leader="dot" w:pos="10467"/>
              </w:tabs>
              <w:ind w:left="240" w:hanging="240"/>
              <w:rPr>
                <w:sz w:val="20"/>
                <w:szCs w:val="20"/>
              </w:rPr>
            </w:pPr>
            <w:r>
              <w:rPr>
                <w:sz w:val="20"/>
                <w:szCs w:val="20"/>
              </w:rPr>
              <w:t>Consolidated Balance Sheets as of December 31, 2019 and 2018</w:t>
            </w:r>
          </w:p>
        </w:tc>
        <w:tc>
          <w:tcPr>
            <w:tcW w:w="275" w:type="pct"/>
            <w:noWrap/>
            <w:tcMar>
              <w:top w:w="0" w:type="dxa"/>
              <w:left w:w="144" w:type="dxa"/>
              <w:bottom w:w="0" w:type="dxa"/>
              <w:right w:w="0" w:type="dxa"/>
            </w:tcMar>
            <w:vAlign w:val="bottom"/>
          </w:tcPr>
          <w:p w:rsidR="006135CE" w:rsidRDefault="006135CE" w:rsidP="006135CE">
            <w:pPr>
              <w:pStyle w:val="NormalWeb"/>
              <w:tabs>
                <w:tab w:val="right" w:pos="360"/>
                <w:tab w:val="decimal" w:pos="400"/>
              </w:tabs>
              <w:spacing w:before="0" w:beforeAutospacing="0" w:after="15" w:afterAutospacing="0"/>
              <w:rPr>
                <w:sz w:val="20"/>
                <w:szCs w:val="20"/>
              </w:rPr>
            </w:pPr>
            <w:r>
              <w:rPr>
                <w:sz w:val="20"/>
                <w:szCs w:val="20"/>
              </w:rPr>
              <w:tab/>
              <w:t>F-5</w:t>
            </w:r>
            <w:r>
              <w:rPr>
                <w:sz w:val="20"/>
                <w:szCs w:val="20"/>
              </w:rPr>
              <w:tab/>
            </w:r>
          </w:p>
        </w:tc>
      </w:tr>
      <w:tr w:rsidR="006135CE">
        <w:trPr>
          <w:cantSplit/>
          <w:jc w:val="center"/>
        </w:trPr>
        <w:tc>
          <w:tcPr>
            <w:tcW w:w="4725" w:type="pct"/>
            <w:shd w:val="clear" w:color="auto" w:fill="CCEEFF"/>
          </w:tcPr>
          <w:p w:rsidR="006135CE" w:rsidRDefault="006135CE" w:rsidP="006135CE">
            <w:pPr>
              <w:pStyle w:val="NormalWeb"/>
              <w:tabs>
                <w:tab w:val="right" w:leader="dot" w:pos="10467"/>
              </w:tabs>
              <w:ind w:left="240" w:hanging="240"/>
              <w:rPr>
                <w:sz w:val="20"/>
                <w:szCs w:val="20"/>
              </w:rPr>
            </w:pPr>
            <w:r>
              <w:rPr>
                <w:sz w:val="20"/>
                <w:szCs w:val="20"/>
              </w:rPr>
              <w:t>Consolidated Statements of Operations for the years ended December 31, 2019, 2018, and 2017</w:t>
            </w:r>
          </w:p>
        </w:tc>
        <w:tc>
          <w:tcPr>
            <w:tcW w:w="275" w:type="pct"/>
            <w:shd w:val="clear" w:color="auto" w:fill="CCEEFF"/>
            <w:noWrap/>
            <w:tcMar>
              <w:top w:w="0" w:type="dxa"/>
              <w:left w:w="144" w:type="dxa"/>
              <w:bottom w:w="0" w:type="dxa"/>
              <w:right w:w="0" w:type="dxa"/>
            </w:tcMar>
            <w:vAlign w:val="bottom"/>
          </w:tcPr>
          <w:p w:rsidR="006135CE" w:rsidRDefault="006135CE" w:rsidP="006135CE">
            <w:pPr>
              <w:pStyle w:val="NormalWeb"/>
              <w:tabs>
                <w:tab w:val="right" w:pos="360"/>
                <w:tab w:val="decimal" w:pos="400"/>
              </w:tabs>
              <w:spacing w:before="0" w:beforeAutospacing="0" w:after="15" w:afterAutospacing="0"/>
              <w:rPr>
                <w:sz w:val="20"/>
                <w:szCs w:val="20"/>
              </w:rPr>
            </w:pPr>
            <w:r>
              <w:rPr>
                <w:sz w:val="20"/>
                <w:szCs w:val="20"/>
              </w:rPr>
              <w:tab/>
              <w:t>F-6</w:t>
            </w:r>
            <w:r>
              <w:rPr>
                <w:sz w:val="20"/>
                <w:szCs w:val="20"/>
              </w:rPr>
              <w:tab/>
            </w:r>
          </w:p>
        </w:tc>
      </w:tr>
      <w:tr w:rsidR="006135CE">
        <w:trPr>
          <w:cantSplit/>
          <w:jc w:val="center"/>
        </w:trPr>
        <w:tc>
          <w:tcPr>
            <w:tcW w:w="4725" w:type="pct"/>
          </w:tcPr>
          <w:p w:rsidR="006135CE" w:rsidRDefault="006135CE" w:rsidP="006135CE">
            <w:pPr>
              <w:pStyle w:val="NormalWeb"/>
              <w:tabs>
                <w:tab w:val="right" w:leader="dot" w:pos="10467"/>
              </w:tabs>
              <w:ind w:left="240" w:hanging="240"/>
              <w:rPr>
                <w:sz w:val="20"/>
                <w:szCs w:val="20"/>
              </w:rPr>
            </w:pPr>
            <w:r>
              <w:rPr>
                <w:sz w:val="20"/>
                <w:szCs w:val="20"/>
              </w:rPr>
              <w:t>Consolidated Statements of Comprehensive Income for the years ended December 31, 2019, 2018, and 2017</w:t>
            </w:r>
          </w:p>
        </w:tc>
        <w:tc>
          <w:tcPr>
            <w:tcW w:w="275" w:type="pct"/>
            <w:noWrap/>
            <w:tcMar>
              <w:top w:w="0" w:type="dxa"/>
              <w:left w:w="144" w:type="dxa"/>
              <w:bottom w:w="0" w:type="dxa"/>
              <w:right w:w="0" w:type="dxa"/>
            </w:tcMar>
            <w:vAlign w:val="bottom"/>
          </w:tcPr>
          <w:p w:rsidR="006135CE" w:rsidRDefault="006135CE" w:rsidP="006135CE">
            <w:pPr>
              <w:pStyle w:val="NormalWeb"/>
              <w:tabs>
                <w:tab w:val="right" w:pos="360"/>
                <w:tab w:val="decimal" w:pos="400"/>
              </w:tabs>
              <w:spacing w:before="0" w:beforeAutospacing="0" w:after="15" w:afterAutospacing="0"/>
              <w:rPr>
                <w:sz w:val="20"/>
                <w:szCs w:val="20"/>
              </w:rPr>
            </w:pPr>
            <w:r>
              <w:rPr>
                <w:sz w:val="20"/>
                <w:szCs w:val="20"/>
              </w:rPr>
              <w:tab/>
              <w:t>F-7</w:t>
            </w:r>
            <w:r>
              <w:rPr>
                <w:sz w:val="20"/>
                <w:szCs w:val="20"/>
              </w:rPr>
              <w:tab/>
            </w:r>
          </w:p>
        </w:tc>
      </w:tr>
      <w:tr w:rsidR="006135CE">
        <w:trPr>
          <w:cantSplit/>
          <w:jc w:val="center"/>
        </w:trPr>
        <w:tc>
          <w:tcPr>
            <w:tcW w:w="4725" w:type="pct"/>
            <w:shd w:val="clear" w:color="auto" w:fill="CCEEFF"/>
          </w:tcPr>
          <w:p w:rsidR="006135CE" w:rsidRDefault="006135CE" w:rsidP="006135CE">
            <w:pPr>
              <w:pStyle w:val="NormalWeb"/>
              <w:tabs>
                <w:tab w:val="right" w:leader="dot" w:pos="10467"/>
              </w:tabs>
              <w:ind w:left="240" w:hanging="240"/>
              <w:rPr>
                <w:sz w:val="20"/>
                <w:szCs w:val="20"/>
              </w:rPr>
            </w:pPr>
            <w:r>
              <w:rPr>
                <w:sz w:val="20"/>
                <w:szCs w:val="20"/>
              </w:rPr>
              <w:t>Consolidated Statements of Stockholders’ Equity for the years ended December 31, 2019, 2018, and 2017</w:t>
            </w:r>
          </w:p>
        </w:tc>
        <w:tc>
          <w:tcPr>
            <w:tcW w:w="275" w:type="pct"/>
            <w:shd w:val="clear" w:color="auto" w:fill="CCEEFF"/>
            <w:noWrap/>
            <w:tcMar>
              <w:top w:w="0" w:type="dxa"/>
              <w:left w:w="144" w:type="dxa"/>
              <w:bottom w:w="0" w:type="dxa"/>
              <w:right w:w="0" w:type="dxa"/>
            </w:tcMar>
            <w:vAlign w:val="bottom"/>
          </w:tcPr>
          <w:p w:rsidR="006135CE" w:rsidRDefault="006135CE" w:rsidP="006135CE">
            <w:pPr>
              <w:pStyle w:val="NormalWeb"/>
              <w:tabs>
                <w:tab w:val="right" w:pos="360"/>
                <w:tab w:val="decimal" w:pos="400"/>
              </w:tabs>
              <w:spacing w:before="0" w:beforeAutospacing="0" w:after="15" w:afterAutospacing="0"/>
              <w:rPr>
                <w:sz w:val="20"/>
                <w:szCs w:val="20"/>
              </w:rPr>
            </w:pPr>
            <w:r>
              <w:rPr>
                <w:sz w:val="20"/>
                <w:szCs w:val="20"/>
              </w:rPr>
              <w:tab/>
              <w:t>F-8</w:t>
            </w:r>
            <w:r>
              <w:rPr>
                <w:sz w:val="20"/>
                <w:szCs w:val="20"/>
              </w:rPr>
              <w:tab/>
            </w:r>
          </w:p>
        </w:tc>
      </w:tr>
      <w:tr w:rsidR="006135CE">
        <w:trPr>
          <w:cantSplit/>
          <w:jc w:val="center"/>
        </w:trPr>
        <w:tc>
          <w:tcPr>
            <w:tcW w:w="4725" w:type="pct"/>
          </w:tcPr>
          <w:p w:rsidR="006135CE" w:rsidRDefault="006135CE" w:rsidP="006135CE">
            <w:pPr>
              <w:pStyle w:val="NormalWeb"/>
              <w:tabs>
                <w:tab w:val="right" w:leader="dot" w:pos="10467"/>
              </w:tabs>
              <w:ind w:left="240" w:hanging="240"/>
              <w:rPr>
                <w:sz w:val="20"/>
                <w:szCs w:val="20"/>
              </w:rPr>
            </w:pPr>
            <w:r>
              <w:rPr>
                <w:sz w:val="20"/>
                <w:szCs w:val="20"/>
              </w:rPr>
              <w:t>Consolidated Statements of Cash Flows for the years ended December 31, 2019, 2018, and 2017</w:t>
            </w:r>
          </w:p>
        </w:tc>
        <w:tc>
          <w:tcPr>
            <w:tcW w:w="275" w:type="pct"/>
            <w:noWrap/>
            <w:tcMar>
              <w:top w:w="0" w:type="dxa"/>
              <w:left w:w="144" w:type="dxa"/>
              <w:bottom w:w="0" w:type="dxa"/>
              <w:right w:w="0" w:type="dxa"/>
            </w:tcMar>
            <w:vAlign w:val="bottom"/>
          </w:tcPr>
          <w:p w:rsidR="006135CE" w:rsidRDefault="006135CE" w:rsidP="006135CE">
            <w:pPr>
              <w:pStyle w:val="NormalWeb"/>
              <w:tabs>
                <w:tab w:val="right" w:pos="360"/>
                <w:tab w:val="decimal" w:pos="400"/>
              </w:tabs>
              <w:spacing w:before="0" w:beforeAutospacing="0" w:after="15" w:afterAutospacing="0"/>
              <w:rPr>
                <w:sz w:val="20"/>
                <w:szCs w:val="20"/>
              </w:rPr>
            </w:pPr>
            <w:r>
              <w:rPr>
                <w:sz w:val="20"/>
                <w:szCs w:val="20"/>
              </w:rPr>
              <w:tab/>
              <w:t>F-9</w:t>
            </w:r>
            <w:r>
              <w:rPr>
                <w:sz w:val="20"/>
                <w:szCs w:val="20"/>
              </w:rPr>
              <w:tab/>
            </w:r>
          </w:p>
        </w:tc>
      </w:tr>
      <w:tr w:rsidR="006135CE">
        <w:trPr>
          <w:cantSplit/>
          <w:jc w:val="center"/>
        </w:trPr>
        <w:tc>
          <w:tcPr>
            <w:tcW w:w="4725" w:type="pct"/>
            <w:shd w:val="clear" w:color="auto" w:fill="CCEEFF"/>
          </w:tcPr>
          <w:p w:rsidR="006135CE" w:rsidRDefault="006135CE" w:rsidP="006135CE">
            <w:pPr>
              <w:pStyle w:val="NormalWeb"/>
              <w:tabs>
                <w:tab w:val="right" w:leader="dot" w:pos="10467"/>
              </w:tabs>
              <w:ind w:left="240" w:hanging="240"/>
              <w:rPr>
                <w:sz w:val="20"/>
                <w:szCs w:val="20"/>
              </w:rPr>
            </w:pPr>
            <w:r>
              <w:rPr>
                <w:sz w:val="20"/>
                <w:szCs w:val="20"/>
              </w:rPr>
              <w:t>Notes to Consolidated Financial Statements</w:t>
            </w:r>
          </w:p>
        </w:tc>
        <w:tc>
          <w:tcPr>
            <w:tcW w:w="275" w:type="pct"/>
            <w:shd w:val="clear" w:color="auto" w:fill="CCEEFF"/>
            <w:noWrap/>
            <w:tcMar>
              <w:top w:w="0" w:type="dxa"/>
              <w:left w:w="144" w:type="dxa"/>
              <w:bottom w:w="0" w:type="dxa"/>
              <w:right w:w="0" w:type="dxa"/>
            </w:tcMar>
            <w:vAlign w:val="bottom"/>
          </w:tcPr>
          <w:p w:rsidR="006135CE" w:rsidRDefault="006135CE" w:rsidP="006135CE">
            <w:pPr>
              <w:pStyle w:val="NormalWeb"/>
              <w:tabs>
                <w:tab w:val="right" w:pos="360"/>
                <w:tab w:val="decimal" w:pos="400"/>
              </w:tabs>
              <w:spacing w:before="0" w:beforeAutospacing="0" w:after="15" w:afterAutospacing="0"/>
              <w:rPr>
                <w:sz w:val="20"/>
                <w:szCs w:val="20"/>
              </w:rPr>
            </w:pPr>
            <w:r>
              <w:rPr>
                <w:sz w:val="20"/>
                <w:szCs w:val="20"/>
              </w:rPr>
              <w:tab/>
              <w:t>F-10</w:t>
            </w:r>
            <w:r>
              <w:rPr>
                <w:sz w:val="20"/>
                <w:szCs w:val="20"/>
              </w:rPr>
              <w:tab/>
            </w:r>
          </w:p>
        </w:tc>
      </w:tr>
    </w:tbl>
    <w:p w:rsidR="000121CD" w:rsidRDefault="000121CD">
      <w:pPr>
        <w:rPr>
          <w:sz w:val="20"/>
        </w:rPr>
      </w:pPr>
    </w:p>
    <w:p w:rsidR="000121CD" w:rsidRDefault="00590862">
      <w:pPr>
        <w:pStyle w:val="NormalWeb"/>
        <w:spacing w:before="180" w:beforeAutospacing="0" w:after="0" w:afterAutospacing="0"/>
        <w:rPr>
          <w:sz w:val="20"/>
          <w:szCs w:val="20"/>
        </w:rPr>
      </w:pPr>
      <w:r>
        <w:rPr>
          <w:sz w:val="20"/>
          <w:szCs w:val="20"/>
        </w:rPr>
        <w:t> </w:t>
      </w:r>
    </w:p>
    <w:p w:rsidR="000121CD" w:rsidRDefault="00590862">
      <w:pPr>
        <w:pStyle w:val="NormalWeb"/>
        <w:keepNext/>
        <w:pageBreakBefore/>
        <w:spacing w:before="0" w:beforeAutospacing="0" w:after="0" w:afterAutospacing="0"/>
        <w:ind w:left="1101" w:hanging="1102"/>
        <w:rPr>
          <w:sz w:val="20"/>
          <w:szCs w:val="20"/>
        </w:rPr>
      </w:pPr>
      <w:r>
        <w:rPr>
          <w:b/>
          <w:bCs/>
          <w:sz w:val="20"/>
          <w:szCs w:val="20"/>
        </w:rPr>
        <w:lastRenderedPageBreak/>
        <w:t xml:space="preserve">ITEM 9. </w:t>
      </w:r>
      <w:r>
        <w:rPr>
          <w:bCs/>
          <w:sz w:val="20"/>
          <w:szCs w:val="20"/>
        </w:rPr>
        <w:tab/>
      </w:r>
      <w:bookmarkStart w:id="15" w:name="ChangesinAuditors"/>
      <w:r>
        <w:rPr>
          <w:b/>
          <w:bCs/>
          <w:sz w:val="20"/>
          <w:szCs w:val="20"/>
        </w:rPr>
        <w:t>CHANGES IN AND DISAGREEMENTS WITH ACCOUNTANTS ON ACCOUNTING AND FINANCIAL DISCLOSURE</w:t>
      </w:r>
      <w:bookmarkEnd w:id="15"/>
      <w:r>
        <w:rPr>
          <w:b/>
          <w:bCs/>
          <w:sz w:val="20"/>
          <w:szCs w:val="20"/>
        </w:rPr>
        <w:t xml:space="preserve"> </w:t>
      </w:r>
    </w:p>
    <w:p w:rsidR="000121CD" w:rsidRDefault="00590862">
      <w:pPr>
        <w:pStyle w:val="NormalWeb"/>
        <w:spacing w:before="90" w:beforeAutospacing="0" w:after="0" w:afterAutospacing="0"/>
        <w:rPr>
          <w:sz w:val="20"/>
          <w:szCs w:val="20"/>
        </w:rPr>
      </w:pPr>
      <w:r>
        <w:rPr>
          <w:sz w:val="20"/>
          <w:szCs w:val="20"/>
        </w:rPr>
        <w:t xml:space="preserve">None. </w:t>
      </w:r>
    </w:p>
    <w:p w:rsidR="000121CD" w:rsidRDefault="00590862">
      <w:pPr>
        <w:pStyle w:val="NormalWeb"/>
        <w:keepNext/>
        <w:spacing w:before="270" w:beforeAutospacing="0" w:after="0" w:afterAutospacing="0"/>
        <w:ind w:left="1224" w:hanging="1224"/>
        <w:rPr>
          <w:sz w:val="20"/>
          <w:szCs w:val="20"/>
        </w:rPr>
      </w:pPr>
      <w:r>
        <w:rPr>
          <w:b/>
          <w:bCs/>
          <w:sz w:val="20"/>
          <w:szCs w:val="20"/>
        </w:rPr>
        <w:t>ITEM 9A.</w:t>
      </w:r>
      <w:r>
        <w:rPr>
          <w:bCs/>
          <w:sz w:val="20"/>
          <w:szCs w:val="20"/>
        </w:rPr>
        <w:tab/>
      </w:r>
      <w:bookmarkStart w:id="16" w:name="ControlsandProcedures"/>
      <w:r>
        <w:rPr>
          <w:b/>
          <w:bCs/>
          <w:sz w:val="20"/>
          <w:szCs w:val="20"/>
        </w:rPr>
        <w:t>CONTROLS AND PROCEDURES</w:t>
      </w:r>
      <w:bookmarkEnd w:id="16"/>
      <w:r>
        <w:rPr>
          <w:b/>
          <w:bCs/>
          <w:sz w:val="20"/>
          <w:szCs w:val="20"/>
        </w:rPr>
        <w:t xml:space="preserve"> </w:t>
      </w:r>
    </w:p>
    <w:p w:rsidR="000121CD" w:rsidRDefault="00590862">
      <w:pPr>
        <w:pStyle w:val="NormalWeb"/>
        <w:spacing w:before="90" w:beforeAutospacing="0" w:after="0" w:afterAutospacing="0"/>
        <w:rPr>
          <w:i/>
          <w:sz w:val="20"/>
          <w:szCs w:val="20"/>
        </w:rPr>
      </w:pPr>
      <w:r>
        <w:rPr>
          <w:i/>
          <w:sz w:val="20"/>
          <w:szCs w:val="20"/>
        </w:rPr>
        <w:t xml:space="preserve">Evaluation of Disclosure Controls and Procedures </w:t>
      </w:r>
    </w:p>
    <w:p w:rsidR="000121CD" w:rsidRDefault="00590862">
      <w:pPr>
        <w:pStyle w:val="NormalWeb"/>
        <w:spacing w:before="180" w:beforeAutospacing="0" w:after="0" w:afterAutospacing="0"/>
        <w:rPr>
          <w:sz w:val="20"/>
          <w:szCs w:val="20"/>
        </w:rPr>
      </w:pPr>
      <w:r>
        <w:rPr>
          <w:sz w:val="20"/>
          <w:szCs w:val="20"/>
        </w:rPr>
        <w:t xml:space="preserve">As required by the Exchange Act, we maintain disclosure controls and procedures designed </w:t>
      </w:r>
      <w:r w:rsidR="00825487">
        <w:rPr>
          <w:sz w:val="20"/>
          <w:szCs w:val="20"/>
        </w:rPr>
        <w:t>to provide assurance</w:t>
      </w:r>
      <w:r>
        <w:rPr>
          <w:sz w:val="20"/>
          <w:szCs w:val="20"/>
        </w:rPr>
        <w:t xml:space="preserve"> that information we are required to disclose in reports that we file or submit under the Exchange Act, is recorded, processed, summarized and reported within the time periods specified in the SEC’s rules and forms. Our disclosure controls and procedures include, without limitation, controls and procedures designed to ensure that information we are required to disclose in reports that we file or submit under the Exchange Act is accumulated and communicated to our management, including our principal executive and principal financial officers, as appropriate to allow timely decisions regarding required disclosure. Our management, with the participation of our principal executive and financial officers, has evaluated our disclosure controls and procedures as of </w:t>
      </w:r>
      <w:r w:rsidR="003627E3" w:rsidRPr="003A4344">
        <w:rPr>
          <w:sz w:val="20"/>
          <w:szCs w:val="20"/>
        </w:rPr>
        <w:t>December 31, 2019</w:t>
      </w:r>
      <w:r>
        <w:rPr>
          <w:sz w:val="20"/>
          <w:szCs w:val="20"/>
        </w:rPr>
        <w:t xml:space="preserve"> and has concluded that our disclosure controls and procedures were effective as of </w:t>
      </w:r>
      <w:r w:rsidR="003627E3" w:rsidRPr="003A4344">
        <w:rPr>
          <w:sz w:val="20"/>
          <w:szCs w:val="20"/>
        </w:rPr>
        <w:t>December 31, 2019</w:t>
      </w:r>
      <w:r>
        <w:rPr>
          <w:sz w:val="20"/>
          <w:szCs w:val="20"/>
        </w:rPr>
        <w:t xml:space="preserve">. </w:t>
      </w:r>
    </w:p>
    <w:p w:rsidR="000121CD" w:rsidRDefault="00590862">
      <w:pPr>
        <w:pStyle w:val="NormalWeb"/>
        <w:spacing w:before="180" w:beforeAutospacing="0" w:after="0" w:afterAutospacing="0"/>
        <w:rPr>
          <w:sz w:val="20"/>
          <w:szCs w:val="20"/>
        </w:rPr>
      </w:pPr>
      <w:r>
        <w:rPr>
          <w:sz w:val="20"/>
          <w:szCs w:val="20"/>
        </w:rPr>
        <w:t xml:space="preserve">Pursuant to section 302 of the Sarbanes-Oxley Act of 2002, our Chief Executive Officer and Chief Financial Officer have provided certain certifications to the Securities and Exchange Commission. These certifications are included herein as Exhibits 31.1 and 31.2. </w:t>
      </w:r>
    </w:p>
    <w:p w:rsidR="000121CD" w:rsidRDefault="00590862">
      <w:pPr>
        <w:pStyle w:val="NormalWeb"/>
        <w:spacing w:before="180" w:beforeAutospacing="0" w:after="0" w:afterAutospacing="0"/>
        <w:rPr>
          <w:i/>
          <w:sz w:val="20"/>
          <w:szCs w:val="20"/>
        </w:rPr>
      </w:pPr>
      <w:r>
        <w:rPr>
          <w:i/>
          <w:sz w:val="20"/>
          <w:szCs w:val="20"/>
        </w:rPr>
        <w:t xml:space="preserve">Management’s Report on Internal Control Over Financial Reporting </w:t>
      </w:r>
    </w:p>
    <w:p w:rsidR="000121CD" w:rsidRDefault="00590862">
      <w:pPr>
        <w:pStyle w:val="NormalWeb"/>
        <w:spacing w:before="180" w:beforeAutospacing="0" w:after="0" w:afterAutospacing="0"/>
        <w:rPr>
          <w:sz w:val="20"/>
          <w:szCs w:val="20"/>
        </w:rPr>
      </w:pPr>
      <w:r>
        <w:rPr>
          <w:sz w:val="20"/>
          <w:szCs w:val="20"/>
        </w:rPr>
        <w:t xml:space="preserve">The Company’s management report on internal control over financial reporting is set forth on page F-1 of this annual report and is incorporated herein by reference. </w:t>
      </w:r>
    </w:p>
    <w:p w:rsidR="000121CD" w:rsidRDefault="00590862">
      <w:pPr>
        <w:pStyle w:val="NormalWeb"/>
        <w:spacing w:before="180" w:beforeAutospacing="0" w:after="0" w:afterAutospacing="0"/>
        <w:rPr>
          <w:i/>
          <w:sz w:val="20"/>
          <w:szCs w:val="20"/>
        </w:rPr>
      </w:pPr>
      <w:r>
        <w:rPr>
          <w:i/>
          <w:sz w:val="20"/>
          <w:szCs w:val="20"/>
        </w:rPr>
        <w:t xml:space="preserve">Attestation Report of our Registered Public Accounting Firm </w:t>
      </w:r>
    </w:p>
    <w:p w:rsidR="000121CD" w:rsidRDefault="00590862">
      <w:pPr>
        <w:pStyle w:val="NormalWeb"/>
        <w:spacing w:before="180" w:beforeAutospacing="0" w:after="0" w:afterAutospacing="0"/>
        <w:rPr>
          <w:sz w:val="20"/>
          <w:szCs w:val="20"/>
        </w:rPr>
      </w:pPr>
      <w:r>
        <w:rPr>
          <w:sz w:val="20"/>
          <w:szCs w:val="20"/>
        </w:rPr>
        <w:t xml:space="preserve">The Company’s registered public accounting firm’s attestation report on our internal control over financial reporting is set forth on page F-2 of this annual report and is incorporated herein by reference. </w:t>
      </w:r>
    </w:p>
    <w:p w:rsidR="000121CD" w:rsidRDefault="00590862">
      <w:pPr>
        <w:pStyle w:val="NormalWeb"/>
        <w:spacing w:before="180" w:beforeAutospacing="0" w:after="0" w:afterAutospacing="0"/>
        <w:rPr>
          <w:i/>
          <w:sz w:val="20"/>
          <w:szCs w:val="20"/>
        </w:rPr>
      </w:pPr>
      <w:r>
        <w:rPr>
          <w:i/>
          <w:sz w:val="20"/>
          <w:szCs w:val="20"/>
        </w:rPr>
        <w:t>Changes in Internal Controls Over Financial Reporting</w:t>
      </w:r>
    </w:p>
    <w:p w:rsidR="000121CD" w:rsidRDefault="000121CD">
      <w:pPr>
        <w:pStyle w:val="BodyTextNew"/>
        <w:spacing w:after="0"/>
        <w:ind w:firstLine="0"/>
        <w:rPr>
          <w:lang w:val="en-US"/>
        </w:rPr>
      </w:pPr>
    </w:p>
    <w:p w:rsidR="000121CD" w:rsidRDefault="00590862">
      <w:pPr>
        <w:pStyle w:val="BodyTextNew"/>
        <w:spacing w:after="0"/>
        <w:ind w:firstLine="0"/>
        <w:rPr>
          <w:lang w:val="en-US"/>
        </w:rPr>
      </w:pPr>
      <w:r>
        <w:rPr>
          <w:lang w:val="en-US"/>
        </w:rPr>
        <w:t>There were no changes in our internal control over financial reporting that occurred during the quarter ended December, 31 201</w:t>
      </w:r>
      <w:r w:rsidR="00FB6555">
        <w:rPr>
          <w:lang w:val="en-US"/>
        </w:rPr>
        <w:t>9</w:t>
      </w:r>
      <w:r>
        <w:rPr>
          <w:lang w:val="en-US"/>
        </w:rPr>
        <w:t xml:space="preserve"> that have materially affected, or are reasonably likely to materially affect, our internal control over financial reporting.</w:t>
      </w:r>
    </w:p>
    <w:p w:rsidR="000121CD" w:rsidRDefault="000121CD">
      <w:pPr>
        <w:pStyle w:val="BodyTextNew"/>
        <w:spacing w:after="0"/>
        <w:ind w:firstLine="0"/>
        <w:rPr>
          <w:lang w:val="en-US"/>
        </w:rPr>
      </w:pPr>
    </w:p>
    <w:p w:rsidR="000121CD" w:rsidRDefault="00590862">
      <w:pPr>
        <w:pStyle w:val="NormalWeb"/>
        <w:spacing w:before="90" w:beforeAutospacing="0" w:after="0" w:afterAutospacing="0"/>
        <w:rPr>
          <w:b/>
          <w:bCs/>
          <w:sz w:val="20"/>
          <w:szCs w:val="20"/>
        </w:rPr>
      </w:pPr>
      <w:r>
        <w:rPr>
          <w:b/>
          <w:bCs/>
          <w:sz w:val="20"/>
          <w:szCs w:val="20"/>
        </w:rPr>
        <w:t>ITEM 9B.</w:t>
      </w:r>
      <w:r>
        <w:rPr>
          <w:bCs/>
          <w:sz w:val="20"/>
          <w:szCs w:val="20"/>
        </w:rPr>
        <w:tab/>
      </w:r>
      <w:bookmarkStart w:id="17" w:name="OtherInformation"/>
      <w:r>
        <w:rPr>
          <w:b/>
          <w:bCs/>
          <w:sz w:val="20"/>
          <w:szCs w:val="20"/>
        </w:rPr>
        <w:t>OTHER INFORMATION</w:t>
      </w:r>
      <w:bookmarkEnd w:id="17"/>
      <w:r>
        <w:rPr>
          <w:b/>
          <w:bCs/>
          <w:sz w:val="20"/>
          <w:szCs w:val="20"/>
        </w:rPr>
        <w:t xml:space="preserve"> </w:t>
      </w:r>
    </w:p>
    <w:p w:rsidR="000121CD" w:rsidRDefault="00590862">
      <w:pPr>
        <w:pStyle w:val="NormalWeb"/>
        <w:spacing w:before="90" w:beforeAutospacing="0" w:after="0" w:afterAutospacing="0"/>
        <w:rPr>
          <w:bCs/>
          <w:sz w:val="20"/>
          <w:szCs w:val="20"/>
        </w:rPr>
      </w:pPr>
      <w:r>
        <w:rPr>
          <w:bCs/>
          <w:sz w:val="20"/>
          <w:szCs w:val="20"/>
        </w:rPr>
        <w:t>None.</w:t>
      </w:r>
    </w:p>
    <w:p w:rsidR="000121CD" w:rsidRDefault="000121CD">
      <w:pPr>
        <w:pStyle w:val="NormalWeb"/>
        <w:shd w:val="clear" w:color="auto" w:fill="FFFFFF"/>
        <w:spacing w:before="0" w:beforeAutospacing="0" w:after="0" w:afterAutospacing="0"/>
        <w:rPr>
          <w:rFonts w:ascii="Arial" w:hAnsi="Arial" w:cs="Arial"/>
          <w:color w:val="000000"/>
          <w:sz w:val="2"/>
          <w:szCs w:val="18"/>
        </w:rPr>
      </w:pPr>
    </w:p>
    <w:p w:rsidR="000121CD" w:rsidRDefault="000121CD">
      <w:pPr>
        <w:pStyle w:val="NormalWeb"/>
        <w:shd w:val="clear" w:color="auto" w:fill="FFFFFF"/>
        <w:rPr>
          <w:rFonts w:ascii="Arial" w:hAnsi="Arial" w:cs="Arial"/>
          <w:color w:val="000000"/>
          <w:sz w:val="18"/>
          <w:szCs w:val="18"/>
        </w:rPr>
      </w:pPr>
    </w:p>
    <w:p w:rsidR="000121CD" w:rsidRDefault="000121CD">
      <w:pPr>
        <w:rPr>
          <w:sz w:val="20"/>
        </w:rPr>
      </w:pPr>
    </w:p>
    <w:p w:rsidR="000121CD" w:rsidRDefault="000121CD">
      <w:pPr>
        <w:rPr>
          <w:sz w:val="20"/>
        </w:rPr>
      </w:pPr>
    </w:p>
    <w:p w:rsidR="000121CD" w:rsidRDefault="000121CD">
      <w:pPr>
        <w:rPr>
          <w:sz w:val="2"/>
        </w:rPr>
      </w:pPr>
    </w:p>
    <w:p w:rsidR="000121CD" w:rsidRDefault="000121CD"/>
    <w:p w:rsidR="000121CD" w:rsidRDefault="000121CD">
      <w:pPr>
        <w:jc w:val="both"/>
        <w:rPr>
          <w:sz w:val="20"/>
        </w:rPr>
      </w:pPr>
    </w:p>
    <w:p w:rsidR="000121CD" w:rsidRDefault="000121CD">
      <w:pPr>
        <w:pStyle w:val="NormalWeb"/>
        <w:spacing w:before="90" w:after="0"/>
        <w:rPr>
          <w:bCs/>
          <w:sz w:val="20"/>
          <w:szCs w:val="20"/>
        </w:rPr>
      </w:pPr>
    </w:p>
    <w:p w:rsidR="000121CD" w:rsidRDefault="000121CD">
      <w:pPr>
        <w:rPr>
          <w:sz w:val="20"/>
        </w:rPr>
      </w:pPr>
    </w:p>
    <w:p w:rsidR="000121CD" w:rsidRDefault="000121CD">
      <w:pPr>
        <w:pStyle w:val="NormalWeb"/>
        <w:spacing w:before="90" w:after="0"/>
        <w:rPr>
          <w:sz w:val="20"/>
          <w:szCs w:val="20"/>
        </w:rPr>
      </w:pPr>
    </w:p>
    <w:p w:rsidR="000121CD" w:rsidRDefault="00590862">
      <w:pPr>
        <w:pStyle w:val="NormalWeb"/>
        <w:spacing w:before="180" w:beforeAutospacing="0" w:after="0" w:afterAutospacing="0"/>
        <w:rPr>
          <w:sz w:val="2"/>
          <w:szCs w:val="2"/>
        </w:rPr>
      </w:pPr>
      <w:r>
        <w:rPr>
          <w:sz w:val="2"/>
          <w:szCs w:val="2"/>
        </w:rPr>
        <w:t> </w:t>
      </w:r>
    </w:p>
    <w:p w:rsidR="000121CD" w:rsidRDefault="00590862">
      <w:pPr>
        <w:pStyle w:val="NormalWeb"/>
        <w:keepNext/>
        <w:pageBreakBefore/>
        <w:spacing w:before="0" w:beforeAutospacing="0" w:after="0" w:afterAutospacing="0"/>
        <w:jc w:val="center"/>
        <w:rPr>
          <w:sz w:val="20"/>
          <w:szCs w:val="20"/>
        </w:rPr>
      </w:pPr>
      <w:r>
        <w:rPr>
          <w:b/>
          <w:bCs/>
          <w:sz w:val="20"/>
          <w:szCs w:val="20"/>
        </w:rPr>
        <w:lastRenderedPageBreak/>
        <w:t xml:space="preserve">PART III </w:t>
      </w:r>
    </w:p>
    <w:p w:rsidR="000121CD" w:rsidRDefault="00590862">
      <w:pPr>
        <w:pStyle w:val="NormalWeb"/>
        <w:keepNext/>
        <w:spacing w:before="180" w:beforeAutospacing="0" w:after="0" w:afterAutospacing="0"/>
        <w:rPr>
          <w:sz w:val="20"/>
          <w:szCs w:val="20"/>
        </w:rPr>
      </w:pPr>
      <w:r>
        <w:rPr>
          <w:b/>
          <w:bCs/>
          <w:sz w:val="20"/>
          <w:szCs w:val="20"/>
        </w:rPr>
        <w:t>ITEM 10.</w:t>
      </w:r>
      <w:r>
        <w:rPr>
          <w:bCs/>
          <w:sz w:val="20"/>
          <w:szCs w:val="20"/>
        </w:rPr>
        <w:tab/>
      </w:r>
      <w:bookmarkStart w:id="18" w:name="DirectorsExecutivesOfficersandCorpGov"/>
      <w:r>
        <w:rPr>
          <w:b/>
          <w:bCs/>
          <w:sz w:val="20"/>
          <w:szCs w:val="20"/>
        </w:rPr>
        <w:t>DIRECTORS, EXECUTIVE OFFICERS AND CORPORATE GOVERNANCE</w:t>
      </w:r>
      <w:bookmarkEnd w:id="18"/>
      <w:r>
        <w:rPr>
          <w:b/>
          <w:bCs/>
          <w:sz w:val="20"/>
          <w:szCs w:val="20"/>
        </w:rPr>
        <w:t xml:space="preserve"> </w:t>
      </w:r>
    </w:p>
    <w:p w:rsidR="000121CD" w:rsidRDefault="00590862">
      <w:pPr>
        <w:pStyle w:val="NormalWeb"/>
        <w:spacing w:before="90" w:beforeAutospacing="0" w:after="0" w:afterAutospacing="0"/>
        <w:rPr>
          <w:sz w:val="20"/>
          <w:szCs w:val="20"/>
        </w:rPr>
      </w:pPr>
      <w:r>
        <w:rPr>
          <w:sz w:val="20"/>
          <w:szCs w:val="20"/>
        </w:rPr>
        <w:t xml:space="preserve">The information regarding our directors and nominees for director required by Item 401 of Regulation S-K will be presented under the heading “PROPOSAL I: ELECTION OF DIRECTORS” in our Proxy Statement prepared for the solicitation of proxies in connection with our annual Meeting of Stockholders to be held </w:t>
      </w:r>
      <w:r w:rsidR="003A4CE4">
        <w:rPr>
          <w:sz w:val="20"/>
          <w:szCs w:val="20"/>
        </w:rPr>
        <w:t xml:space="preserve">in </w:t>
      </w:r>
      <w:r w:rsidR="00D901C9">
        <w:rPr>
          <w:sz w:val="20"/>
          <w:szCs w:val="20"/>
        </w:rPr>
        <w:t>2020</w:t>
      </w:r>
      <w:r>
        <w:rPr>
          <w:sz w:val="20"/>
          <w:szCs w:val="20"/>
        </w:rPr>
        <w:t xml:space="preserve"> (“Proxy Statement”), which information is incorporated by reference herein.</w:t>
      </w:r>
    </w:p>
    <w:p w:rsidR="003A4CE4" w:rsidRDefault="003A4CE4">
      <w:pPr>
        <w:pStyle w:val="NormalWeb"/>
        <w:spacing w:before="90" w:beforeAutospacing="0" w:after="0" w:afterAutospacing="0"/>
        <w:rPr>
          <w:sz w:val="20"/>
          <w:szCs w:val="20"/>
        </w:rPr>
      </w:pPr>
      <w:r>
        <w:rPr>
          <w:sz w:val="20"/>
          <w:szCs w:val="20"/>
        </w:rPr>
        <w:t>Information required by Item 405 of Regulation S-K to the extent required, will be included under the heading “Delinquent Section 16(a) Reports” in our Proxy Statement, which information is incorporated by reference herein.</w:t>
      </w:r>
    </w:p>
    <w:p w:rsidR="000121CD" w:rsidRDefault="00590862">
      <w:pPr>
        <w:pStyle w:val="NormalWeb"/>
        <w:spacing w:before="180" w:beforeAutospacing="0" w:after="0" w:afterAutospacing="0"/>
        <w:rPr>
          <w:sz w:val="20"/>
          <w:szCs w:val="20"/>
        </w:rPr>
      </w:pPr>
      <w:r>
        <w:rPr>
          <w:sz w:val="20"/>
          <w:szCs w:val="20"/>
        </w:rPr>
        <w:t xml:space="preserve">Information regarding our executive officers required by Item 401(b) of Regulation S-K is presented at the end of Part I herein and captioned “Executive Officers of the Registrant” as permitted by General Instruction G(3) to Form 10-K and Instruction 3 to Item 401(b) of Regulation S-K. </w:t>
      </w:r>
    </w:p>
    <w:p w:rsidR="000121CD" w:rsidRDefault="00590862">
      <w:pPr>
        <w:pStyle w:val="NormalWeb"/>
        <w:spacing w:before="180" w:beforeAutospacing="0" w:after="0" w:afterAutospacing="0"/>
        <w:rPr>
          <w:sz w:val="20"/>
          <w:szCs w:val="20"/>
        </w:rPr>
      </w:pPr>
      <w:r>
        <w:rPr>
          <w:sz w:val="20"/>
          <w:szCs w:val="20"/>
        </w:rPr>
        <w:t>Information required by paragraphs (c)(3), (d)(4) and (d)(5) of Item 407 of Regulation S-K will be included under the heading “QUESTIONS AND ANSWERS ABOUT THE ANNUAL MEETING AND VOTING” and “CORPORATE GOVERNANCE</w:t>
      </w:r>
      <w:r w:rsidR="000A09C2">
        <w:rPr>
          <w:sz w:val="20"/>
          <w:szCs w:val="20"/>
        </w:rPr>
        <w:t xml:space="preserve"> MATTERS</w:t>
      </w:r>
      <w:r>
        <w:rPr>
          <w:sz w:val="20"/>
          <w:szCs w:val="20"/>
        </w:rPr>
        <w:t xml:space="preserve">” in our Proxy Statement, which information is incorporated by reference herein. </w:t>
      </w:r>
    </w:p>
    <w:p w:rsidR="000121CD" w:rsidRDefault="00590862">
      <w:pPr>
        <w:pStyle w:val="NormalWeb"/>
        <w:spacing w:before="180" w:beforeAutospacing="0" w:after="0" w:afterAutospacing="0"/>
        <w:rPr>
          <w:sz w:val="20"/>
          <w:szCs w:val="20"/>
        </w:rPr>
      </w:pPr>
      <w:r>
        <w:rPr>
          <w:sz w:val="20"/>
          <w:szCs w:val="20"/>
        </w:rPr>
        <w:t xml:space="preserve">We have adopted a Code of Ethics for Principal Executive and Senior Financial Officers (“Code of Ethics for Senior Officers”) that applies to our Chief Executive Officer, Chief Financial Officer, Chief Accounting Officer, and Controller, or persons performing similar functions. The Code of Ethics for Senior Officers, together with our Corporate Governance Guidelines, the charters for each of our board committees, and our Code of Ethics applicable to all employees are available on our Internet website at </w:t>
      </w:r>
      <w:r>
        <w:rPr>
          <w:i/>
          <w:iCs/>
          <w:sz w:val="20"/>
          <w:szCs w:val="20"/>
          <w:u w:val="single"/>
        </w:rPr>
        <w:t>www.mrcglobal.com</w:t>
      </w:r>
      <w:r>
        <w:rPr>
          <w:sz w:val="20"/>
          <w:szCs w:val="20"/>
        </w:rPr>
        <w:t xml:space="preserve">. We will provide, free of charge, a copy of our Code of Ethics or any of our other corporate documents listed above upon written request to our Corporate Secretary </w:t>
      </w:r>
      <w:r>
        <w:rPr>
          <w:sz w:val="20"/>
        </w:rPr>
        <w:t>at 1301 McKinney Street, Suite 2300, Houston, Texas, 77010</w:t>
      </w:r>
      <w:r>
        <w:rPr>
          <w:sz w:val="20"/>
          <w:szCs w:val="20"/>
        </w:rPr>
        <w:t xml:space="preserve">. We intend to disclose any amendments to or waivers of the Code of Ethics for Senior Officers on behalf of our Chief Executive Officer, Chief Financial Officer, Chief Accounting Officer, and Controller, and persons performing similar functions on our Internet website at </w:t>
      </w:r>
      <w:r>
        <w:rPr>
          <w:i/>
          <w:iCs/>
          <w:sz w:val="20"/>
          <w:szCs w:val="20"/>
          <w:u w:val="single"/>
        </w:rPr>
        <w:t>www.mrcglobal.com</w:t>
      </w:r>
      <w:r>
        <w:rPr>
          <w:sz w:val="20"/>
          <w:szCs w:val="20"/>
        </w:rPr>
        <w:t xml:space="preserve"> under the Investor Relations page, promptly following the date of any such amendment or waiver. </w:t>
      </w:r>
    </w:p>
    <w:p w:rsidR="000121CD" w:rsidRDefault="00590862">
      <w:pPr>
        <w:pStyle w:val="NormalWeb"/>
        <w:keepNext/>
        <w:spacing w:before="270" w:beforeAutospacing="0" w:after="0" w:afterAutospacing="0"/>
        <w:ind w:left="1224" w:hanging="1224"/>
        <w:rPr>
          <w:sz w:val="20"/>
          <w:szCs w:val="20"/>
        </w:rPr>
      </w:pPr>
      <w:r>
        <w:rPr>
          <w:b/>
          <w:bCs/>
          <w:sz w:val="20"/>
          <w:szCs w:val="20"/>
        </w:rPr>
        <w:t>ITEM  11.</w:t>
      </w:r>
      <w:r>
        <w:rPr>
          <w:bCs/>
          <w:sz w:val="20"/>
          <w:szCs w:val="20"/>
        </w:rPr>
        <w:tab/>
      </w:r>
      <w:bookmarkStart w:id="19" w:name="ExecutiveCompensation"/>
      <w:r>
        <w:rPr>
          <w:b/>
          <w:bCs/>
          <w:sz w:val="20"/>
          <w:szCs w:val="20"/>
        </w:rPr>
        <w:t xml:space="preserve">EXECUTIVE COMPENSATION </w:t>
      </w:r>
      <w:bookmarkEnd w:id="19"/>
    </w:p>
    <w:p w:rsidR="000121CD" w:rsidRDefault="00590862">
      <w:pPr>
        <w:pStyle w:val="NormalWeb"/>
        <w:spacing w:before="90" w:beforeAutospacing="0" w:after="0" w:afterAutospacing="0"/>
        <w:rPr>
          <w:sz w:val="20"/>
          <w:szCs w:val="20"/>
        </w:rPr>
      </w:pPr>
      <w:r>
        <w:rPr>
          <w:sz w:val="20"/>
          <w:szCs w:val="20"/>
        </w:rPr>
        <w:t>The information required by Item 402 and paragraphs (e)(4) and (e)(5) of Item 407 of Regulations S-K regarding executive compensation will be presented under the headings “</w:t>
      </w:r>
      <w:r w:rsidR="000A09C2">
        <w:rPr>
          <w:sz w:val="20"/>
          <w:szCs w:val="20"/>
        </w:rPr>
        <w:t>COMPENSATION DISCUSSION AND ANALYSIS</w:t>
      </w:r>
      <w:r>
        <w:rPr>
          <w:sz w:val="20"/>
          <w:szCs w:val="20"/>
        </w:rPr>
        <w:t>,” “Employment and Other Agreements,” “Summary Compensation Table for 201</w:t>
      </w:r>
      <w:r w:rsidR="00FB6555">
        <w:rPr>
          <w:sz w:val="20"/>
          <w:szCs w:val="20"/>
        </w:rPr>
        <w:t>9</w:t>
      </w:r>
      <w:r>
        <w:rPr>
          <w:sz w:val="20"/>
          <w:szCs w:val="20"/>
        </w:rPr>
        <w:t>,” “Grants of Plan-Based Awards in Fiscal Year 201</w:t>
      </w:r>
      <w:r w:rsidR="00FB6555">
        <w:rPr>
          <w:sz w:val="20"/>
          <w:szCs w:val="20"/>
        </w:rPr>
        <w:t>9</w:t>
      </w:r>
      <w:r>
        <w:rPr>
          <w:sz w:val="20"/>
          <w:szCs w:val="20"/>
        </w:rPr>
        <w:t>,” “Outstanding Equity Awards at 201</w:t>
      </w:r>
      <w:r w:rsidR="00FB6555">
        <w:rPr>
          <w:sz w:val="20"/>
          <w:szCs w:val="20"/>
        </w:rPr>
        <w:t>9</w:t>
      </w:r>
      <w:r>
        <w:rPr>
          <w:sz w:val="20"/>
          <w:szCs w:val="20"/>
        </w:rPr>
        <w:t xml:space="preserve"> Fiscal Year-End,” “Option Exercises and Stock Vested During 201</w:t>
      </w:r>
      <w:r w:rsidR="00FB6555">
        <w:rPr>
          <w:sz w:val="20"/>
          <w:szCs w:val="20"/>
        </w:rPr>
        <w:t>9</w:t>
      </w:r>
      <w:r>
        <w:rPr>
          <w:sz w:val="20"/>
          <w:szCs w:val="20"/>
        </w:rPr>
        <w:t>,” “Potential Payments upon Termination or Change in Control,” “Non-Employee Director Compensation</w:t>
      </w:r>
      <w:r w:rsidR="000A09C2">
        <w:rPr>
          <w:sz w:val="20"/>
          <w:szCs w:val="20"/>
        </w:rPr>
        <w:t xml:space="preserve"> Table</w:t>
      </w:r>
      <w:r>
        <w:rPr>
          <w:sz w:val="20"/>
          <w:szCs w:val="20"/>
        </w:rPr>
        <w:t xml:space="preserve">,” “Compensation Committee Report,” and “Compensation Committee Interlocks and Insider Participation” in our Proxy Statement, which information is incorporated by reference herein. Notwithstanding the foregoing, the information provided under the heading “Compensation Committee Report” in our Proxy Statement is furnished and shall not be deemed to be filed for purposes of Section 18 of the Exchange Act is not subject to the liabilities of that section and is not deemed incorporated by reference in any filing under the Securities Act. </w:t>
      </w:r>
    </w:p>
    <w:p w:rsidR="000121CD" w:rsidRDefault="00590862">
      <w:pPr>
        <w:pStyle w:val="NormalWeb"/>
        <w:keepNext/>
        <w:pageBreakBefore/>
        <w:spacing w:before="0" w:beforeAutospacing="0" w:after="0" w:afterAutospacing="0"/>
        <w:ind w:left="1224" w:hanging="1224"/>
      </w:pPr>
      <w:r>
        <w:rPr>
          <w:b/>
          <w:bCs/>
          <w:sz w:val="20"/>
          <w:szCs w:val="20"/>
        </w:rPr>
        <w:lastRenderedPageBreak/>
        <w:t xml:space="preserve">ITEM 12. </w:t>
      </w:r>
      <w:r>
        <w:rPr>
          <w:bCs/>
          <w:sz w:val="20"/>
          <w:szCs w:val="20"/>
        </w:rPr>
        <w:tab/>
      </w:r>
      <w:r>
        <w:rPr>
          <w:b/>
          <w:bCs/>
          <w:sz w:val="20"/>
          <w:szCs w:val="20"/>
        </w:rPr>
        <w:t>SECURITY OW</w:t>
      </w:r>
      <w:bookmarkStart w:id="20" w:name="SecurityOwnership"/>
      <w:bookmarkEnd w:id="20"/>
      <w:r>
        <w:rPr>
          <w:b/>
          <w:bCs/>
          <w:sz w:val="20"/>
          <w:szCs w:val="20"/>
        </w:rPr>
        <w:t xml:space="preserve">NERSHIP OF CERTAIN BENEFICIAL OWNERS AND MANAGEMENT AND RELATED STOCKHOLDER MATTERS </w:t>
      </w:r>
    </w:p>
    <w:p w:rsidR="000121CD" w:rsidRDefault="00590862">
      <w:pPr>
        <w:pStyle w:val="NormalWeb"/>
        <w:spacing w:before="90" w:beforeAutospacing="0" w:after="0" w:afterAutospacing="0"/>
      </w:pPr>
      <w:r>
        <w:rPr>
          <w:sz w:val="20"/>
          <w:szCs w:val="20"/>
        </w:rPr>
        <w:t>The information regarding the security ownership of certain beneficial owners and management required by Item 403 of Regulation S</w:t>
      </w:r>
      <w:r w:rsidR="00825487">
        <w:rPr>
          <w:sz w:val="20"/>
          <w:szCs w:val="20"/>
        </w:rPr>
        <w:noBreakHyphen/>
      </w:r>
      <w:r>
        <w:rPr>
          <w:sz w:val="20"/>
          <w:szCs w:val="20"/>
        </w:rPr>
        <w:t>K will be presented under the heading</w:t>
      </w:r>
      <w:r w:rsidR="000A09C2">
        <w:rPr>
          <w:sz w:val="20"/>
          <w:szCs w:val="20"/>
        </w:rPr>
        <w:t>s</w:t>
      </w:r>
      <w:r>
        <w:rPr>
          <w:sz w:val="20"/>
          <w:szCs w:val="20"/>
        </w:rPr>
        <w:t xml:space="preserve"> “</w:t>
      </w:r>
      <w:r w:rsidR="000A09C2">
        <w:rPr>
          <w:sz w:val="20"/>
          <w:szCs w:val="20"/>
        </w:rPr>
        <w:t>SECURITY OWNERSHIP –</w:t>
      </w:r>
      <w:r>
        <w:rPr>
          <w:sz w:val="20"/>
          <w:szCs w:val="20"/>
        </w:rPr>
        <w:t xml:space="preserve"> </w:t>
      </w:r>
      <w:r w:rsidR="000A09C2">
        <w:rPr>
          <w:sz w:val="20"/>
          <w:szCs w:val="20"/>
        </w:rPr>
        <w:t xml:space="preserve">Directors and Executive Owners” and “SECURITY OWNERSHIP – Certain Beneficial Owners” </w:t>
      </w:r>
      <w:r>
        <w:rPr>
          <w:sz w:val="20"/>
          <w:szCs w:val="20"/>
        </w:rPr>
        <w:t xml:space="preserve">in our Proxy Statement, which information is incorporated by reference herein. </w:t>
      </w:r>
    </w:p>
    <w:p w:rsidR="000121CD" w:rsidRDefault="00590862">
      <w:pPr>
        <w:pStyle w:val="NormalWeb"/>
        <w:spacing w:before="180" w:beforeAutospacing="0" w:after="0" w:afterAutospacing="0"/>
        <w:rPr>
          <w:sz w:val="20"/>
          <w:szCs w:val="20"/>
        </w:rPr>
      </w:pPr>
      <w:r>
        <w:rPr>
          <w:sz w:val="20"/>
          <w:szCs w:val="20"/>
        </w:rPr>
        <w:t xml:space="preserve">The following table summarizes information, as of </w:t>
      </w:r>
      <w:r w:rsidR="003627E3" w:rsidRPr="003A4344">
        <w:rPr>
          <w:sz w:val="20"/>
          <w:szCs w:val="20"/>
        </w:rPr>
        <w:t>December 31, 2019</w:t>
      </w:r>
      <w:r>
        <w:rPr>
          <w:sz w:val="20"/>
          <w:szCs w:val="20"/>
        </w:rPr>
        <w:t>, relating to our equity compensation plans pursuant to which grants of options, restricted stock, or certain other rights to acquire our shares may be granted from time to time.</w:t>
      </w:r>
    </w:p>
    <w:tbl>
      <w:tblPr>
        <w:tblW w:w="5000" w:type="pct"/>
        <w:jc w:val="center"/>
        <w:tblCellMar>
          <w:left w:w="0" w:type="dxa"/>
          <w:right w:w="0" w:type="dxa"/>
        </w:tblCellMar>
        <w:tblLook w:val="0000" w:firstRow="0" w:lastRow="0" w:firstColumn="0" w:lastColumn="0" w:noHBand="0" w:noVBand="0"/>
      </w:tblPr>
      <w:tblGrid>
        <w:gridCol w:w="5401"/>
        <w:gridCol w:w="1868"/>
        <w:gridCol w:w="1663"/>
        <w:gridCol w:w="1868"/>
      </w:tblGrid>
      <w:tr w:rsidR="0018024C" w:rsidTr="0018024C">
        <w:trPr>
          <w:trHeight w:hRule="exact" w:val="20"/>
          <w:tblHeader/>
          <w:jc w:val="center"/>
        </w:trPr>
        <w:tc>
          <w:tcPr>
            <w:tcW w:w="2500" w:type="pct"/>
            <w:tcBorders>
              <w:top w:val="nil"/>
              <w:left w:val="nil"/>
              <w:bottom w:val="nil"/>
              <w:right w:val="nil"/>
            </w:tcBorders>
            <w:vAlign w:val="center"/>
          </w:tcPr>
          <w:p w:rsidR="0018024C" w:rsidRDefault="0018024C" w:rsidP="0018024C">
            <w:pPr>
              <w:rPr>
                <w:sz w:val="20"/>
              </w:rPr>
            </w:pPr>
          </w:p>
        </w:tc>
        <w:tc>
          <w:tcPr>
            <w:tcW w:w="865" w:type="pct"/>
            <w:tcBorders>
              <w:top w:val="nil"/>
              <w:left w:val="nil"/>
              <w:bottom w:val="nil"/>
              <w:right w:val="nil"/>
            </w:tcBorders>
            <w:vAlign w:val="center"/>
          </w:tcPr>
          <w:p w:rsidR="0018024C" w:rsidRDefault="0018024C" w:rsidP="0018024C">
            <w:pPr>
              <w:rPr>
                <w:sz w:val="20"/>
              </w:rPr>
            </w:pPr>
          </w:p>
        </w:tc>
        <w:tc>
          <w:tcPr>
            <w:tcW w:w="770" w:type="pct"/>
            <w:tcBorders>
              <w:top w:val="nil"/>
              <w:left w:val="nil"/>
              <w:bottom w:val="nil"/>
              <w:right w:val="nil"/>
            </w:tcBorders>
            <w:vAlign w:val="center"/>
          </w:tcPr>
          <w:p w:rsidR="0018024C" w:rsidRDefault="0018024C" w:rsidP="0018024C">
            <w:pPr>
              <w:rPr>
                <w:sz w:val="20"/>
              </w:rPr>
            </w:pPr>
          </w:p>
        </w:tc>
        <w:tc>
          <w:tcPr>
            <w:tcW w:w="865" w:type="pct"/>
            <w:tcBorders>
              <w:top w:val="nil"/>
              <w:left w:val="nil"/>
              <w:bottom w:val="nil"/>
              <w:right w:val="nil"/>
            </w:tcBorders>
            <w:vAlign w:val="center"/>
          </w:tcPr>
          <w:p w:rsidR="0018024C" w:rsidRDefault="0018024C" w:rsidP="0018024C">
            <w:pPr>
              <w:rPr>
                <w:sz w:val="20"/>
              </w:rPr>
            </w:pPr>
          </w:p>
        </w:tc>
      </w:tr>
      <w:tr w:rsidR="0018024C" w:rsidTr="0018024C">
        <w:trPr>
          <w:tblHeader/>
          <w:jc w:val="center"/>
        </w:trPr>
        <w:tc>
          <w:tcPr>
            <w:tcW w:w="2500" w:type="pct"/>
            <w:vAlign w:val="center"/>
          </w:tcPr>
          <w:p w:rsidR="0018024C" w:rsidRDefault="0018024C" w:rsidP="0018024C">
            <w:pPr>
              <w:rPr>
                <w:sz w:val="20"/>
              </w:rPr>
            </w:pPr>
          </w:p>
        </w:tc>
        <w:tc>
          <w:tcPr>
            <w:tcW w:w="865" w:type="pct"/>
            <w:vAlign w:val="center"/>
          </w:tcPr>
          <w:p w:rsidR="0018024C" w:rsidRDefault="0018024C" w:rsidP="0018024C">
            <w:pPr>
              <w:rPr>
                <w:sz w:val="20"/>
              </w:rPr>
            </w:pPr>
          </w:p>
        </w:tc>
        <w:tc>
          <w:tcPr>
            <w:tcW w:w="770" w:type="pct"/>
            <w:vAlign w:val="center"/>
          </w:tcPr>
          <w:p w:rsidR="0018024C" w:rsidRDefault="0018024C" w:rsidP="0018024C">
            <w:pPr>
              <w:rPr>
                <w:sz w:val="20"/>
              </w:rPr>
            </w:pPr>
          </w:p>
        </w:tc>
        <w:tc>
          <w:tcPr>
            <w:tcW w:w="865" w:type="pct"/>
            <w:vAlign w:val="center"/>
          </w:tcPr>
          <w:p w:rsidR="0018024C" w:rsidRDefault="0018024C" w:rsidP="0018024C">
            <w:pPr>
              <w:rPr>
                <w:sz w:val="20"/>
              </w:rPr>
            </w:pPr>
          </w:p>
        </w:tc>
      </w:tr>
      <w:tr w:rsidR="0018024C" w:rsidTr="0018024C">
        <w:trPr>
          <w:cantSplit/>
          <w:tblHeader/>
          <w:jc w:val="center"/>
        </w:trPr>
        <w:tc>
          <w:tcPr>
            <w:tcW w:w="2500" w:type="pct"/>
            <w:tcMar>
              <w:top w:w="0" w:type="dxa"/>
              <w:left w:w="144" w:type="dxa"/>
              <w:bottom w:w="0" w:type="dxa"/>
              <w:right w:w="0" w:type="dxa"/>
            </w:tcMar>
            <w:vAlign w:val="bottom"/>
          </w:tcPr>
          <w:p w:rsidR="0018024C" w:rsidRDefault="0018024C" w:rsidP="0018024C">
            <w:pPr>
              <w:pStyle w:val="la2"/>
              <w:keepNext/>
              <w:rPr>
                <w:sz w:val="20"/>
                <w:szCs w:val="20"/>
              </w:rPr>
            </w:pPr>
            <w:r>
              <w:rPr>
                <w:sz w:val="20"/>
                <w:szCs w:val="20"/>
              </w:rPr>
              <w:t> </w:t>
            </w:r>
          </w:p>
        </w:tc>
        <w:tc>
          <w:tcPr>
            <w:tcW w:w="865" w:type="pct"/>
            <w:tcMar>
              <w:top w:w="0" w:type="dxa"/>
              <w:left w:w="144" w:type="dxa"/>
              <w:bottom w:w="0" w:type="dxa"/>
              <w:right w:w="0" w:type="dxa"/>
            </w:tcMar>
            <w:vAlign w:val="bottom"/>
          </w:tcPr>
          <w:p w:rsidR="0018024C" w:rsidRDefault="0018024C" w:rsidP="0018024C">
            <w:pPr>
              <w:jc w:val="center"/>
              <w:rPr>
                <w:sz w:val="20"/>
              </w:rPr>
            </w:pPr>
            <w:r>
              <w:rPr>
                <w:sz w:val="20"/>
              </w:rPr>
              <w:t>(a)</w:t>
            </w:r>
          </w:p>
        </w:tc>
        <w:tc>
          <w:tcPr>
            <w:tcW w:w="770" w:type="pct"/>
            <w:tcMar>
              <w:top w:w="0" w:type="dxa"/>
              <w:left w:w="144" w:type="dxa"/>
              <w:bottom w:w="0" w:type="dxa"/>
              <w:right w:w="0" w:type="dxa"/>
            </w:tcMar>
            <w:vAlign w:val="bottom"/>
          </w:tcPr>
          <w:p w:rsidR="0018024C" w:rsidRDefault="0018024C" w:rsidP="0018024C">
            <w:pPr>
              <w:jc w:val="center"/>
              <w:rPr>
                <w:sz w:val="20"/>
              </w:rPr>
            </w:pPr>
            <w:r>
              <w:rPr>
                <w:sz w:val="20"/>
              </w:rPr>
              <w:t>(b)</w:t>
            </w:r>
          </w:p>
        </w:tc>
        <w:tc>
          <w:tcPr>
            <w:tcW w:w="865" w:type="pct"/>
            <w:tcMar>
              <w:top w:w="0" w:type="dxa"/>
              <w:left w:w="144" w:type="dxa"/>
              <w:bottom w:w="0" w:type="dxa"/>
              <w:right w:w="0" w:type="dxa"/>
            </w:tcMar>
            <w:vAlign w:val="bottom"/>
          </w:tcPr>
          <w:p w:rsidR="0018024C" w:rsidRDefault="0018024C" w:rsidP="0018024C">
            <w:pPr>
              <w:jc w:val="center"/>
              <w:rPr>
                <w:sz w:val="20"/>
              </w:rPr>
            </w:pPr>
            <w:r>
              <w:rPr>
                <w:sz w:val="20"/>
              </w:rPr>
              <w:t>(c)</w:t>
            </w:r>
          </w:p>
        </w:tc>
      </w:tr>
      <w:tr w:rsidR="0018024C" w:rsidTr="0018024C">
        <w:trPr>
          <w:cantSplit/>
          <w:tblHeader/>
          <w:jc w:val="center"/>
        </w:trPr>
        <w:tc>
          <w:tcPr>
            <w:tcW w:w="2500" w:type="pct"/>
            <w:noWrap/>
            <w:vAlign w:val="bottom"/>
          </w:tcPr>
          <w:p w:rsidR="0018024C" w:rsidRDefault="0018024C" w:rsidP="0018024C">
            <w:pPr>
              <w:pStyle w:val="NormalWeb"/>
              <w:keepNext/>
              <w:spacing w:before="0" w:beforeAutospacing="0" w:after="0" w:afterAutospacing="0"/>
              <w:rPr>
                <w:sz w:val="20"/>
                <w:szCs w:val="20"/>
              </w:rPr>
            </w:pPr>
            <w:r>
              <w:rPr>
                <w:sz w:val="20"/>
                <w:szCs w:val="20"/>
              </w:rPr>
              <w:t>Plan Category</w:t>
            </w:r>
          </w:p>
          <w:p w:rsidR="0018024C" w:rsidRDefault="0018024C" w:rsidP="0018024C">
            <w:pPr>
              <w:pStyle w:val="rrdsinglerule"/>
              <w:keepNext/>
              <w:rPr>
                <w:sz w:val="20"/>
                <w:szCs w:val="20"/>
              </w:rPr>
            </w:pPr>
            <w:r>
              <w:rPr>
                <w:sz w:val="20"/>
                <w:szCs w:val="20"/>
              </w:rPr>
              <w:t> </w:t>
            </w:r>
          </w:p>
        </w:tc>
        <w:tc>
          <w:tcPr>
            <w:tcW w:w="865" w:type="pct"/>
            <w:tcMar>
              <w:top w:w="0" w:type="dxa"/>
              <w:left w:w="144" w:type="dxa"/>
              <w:bottom w:w="0" w:type="dxa"/>
              <w:right w:w="0" w:type="dxa"/>
            </w:tcMar>
            <w:vAlign w:val="bottom"/>
          </w:tcPr>
          <w:p w:rsidR="0018024C" w:rsidRDefault="0018024C" w:rsidP="0018024C">
            <w:pPr>
              <w:jc w:val="center"/>
              <w:rPr>
                <w:sz w:val="18"/>
                <w:szCs w:val="18"/>
              </w:rPr>
            </w:pPr>
            <w:r>
              <w:rPr>
                <w:sz w:val="18"/>
                <w:szCs w:val="18"/>
              </w:rPr>
              <w:t>Number of securities to</w:t>
            </w:r>
            <w:r>
              <w:rPr>
                <w:sz w:val="18"/>
                <w:szCs w:val="18"/>
              </w:rPr>
              <w:br/>
              <w:t>be issued upon</w:t>
            </w:r>
            <w:r>
              <w:rPr>
                <w:sz w:val="18"/>
                <w:szCs w:val="18"/>
              </w:rPr>
              <w:br/>
              <w:t>exercise of outstanding</w:t>
            </w:r>
            <w:r>
              <w:rPr>
                <w:sz w:val="18"/>
                <w:szCs w:val="18"/>
              </w:rPr>
              <w:br/>
              <w:t>options, warrants and</w:t>
            </w:r>
            <w:r>
              <w:rPr>
                <w:sz w:val="18"/>
                <w:szCs w:val="18"/>
              </w:rPr>
              <w:br/>
              <w:t xml:space="preserve">rights </w:t>
            </w:r>
          </w:p>
          <w:p w:rsidR="0018024C" w:rsidRDefault="0018024C" w:rsidP="0018024C">
            <w:pPr>
              <w:pStyle w:val="rrdsinglerule"/>
              <w:rPr>
                <w:sz w:val="20"/>
                <w:szCs w:val="20"/>
              </w:rPr>
            </w:pPr>
            <w:r>
              <w:rPr>
                <w:sz w:val="20"/>
                <w:szCs w:val="20"/>
              </w:rPr>
              <w:t> </w:t>
            </w:r>
          </w:p>
        </w:tc>
        <w:tc>
          <w:tcPr>
            <w:tcW w:w="770" w:type="pct"/>
            <w:tcMar>
              <w:top w:w="0" w:type="dxa"/>
              <w:left w:w="144" w:type="dxa"/>
              <w:bottom w:w="0" w:type="dxa"/>
              <w:right w:w="0" w:type="dxa"/>
            </w:tcMar>
            <w:vAlign w:val="bottom"/>
          </w:tcPr>
          <w:p w:rsidR="0018024C" w:rsidRDefault="0018024C" w:rsidP="0018024C">
            <w:pPr>
              <w:jc w:val="center"/>
              <w:rPr>
                <w:sz w:val="18"/>
                <w:szCs w:val="18"/>
              </w:rPr>
            </w:pPr>
            <w:r>
              <w:rPr>
                <w:sz w:val="18"/>
                <w:szCs w:val="18"/>
              </w:rPr>
              <w:t>Weighted-average</w:t>
            </w:r>
            <w:r>
              <w:rPr>
                <w:sz w:val="18"/>
                <w:szCs w:val="18"/>
              </w:rPr>
              <w:br/>
              <w:t>exercise price of</w:t>
            </w:r>
            <w:r>
              <w:rPr>
                <w:sz w:val="18"/>
                <w:szCs w:val="18"/>
              </w:rPr>
              <w:br/>
              <w:t>outstanding options,</w:t>
            </w:r>
            <w:r>
              <w:rPr>
                <w:sz w:val="18"/>
                <w:szCs w:val="18"/>
              </w:rPr>
              <w:br/>
              <w:t xml:space="preserve">warrants and rights </w:t>
            </w:r>
          </w:p>
          <w:p w:rsidR="0018024C" w:rsidRDefault="0018024C" w:rsidP="0018024C">
            <w:pPr>
              <w:pStyle w:val="rrdsinglerule"/>
              <w:rPr>
                <w:sz w:val="20"/>
                <w:szCs w:val="20"/>
              </w:rPr>
            </w:pPr>
            <w:r>
              <w:rPr>
                <w:sz w:val="20"/>
                <w:szCs w:val="20"/>
              </w:rPr>
              <w:t> </w:t>
            </w:r>
          </w:p>
        </w:tc>
        <w:tc>
          <w:tcPr>
            <w:tcW w:w="865" w:type="pct"/>
            <w:tcMar>
              <w:top w:w="0" w:type="dxa"/>
              <w:left w:w="144" w:type="dxa"/>
              <w:bottom w:w="0" w:type="dxa"/>
              <w:right w:w="0" w:type="dxa"/>
            </w:tcMar>
            <w:vAlign w:val="bottom"/>
          </w:tcPr>
          <w:p w:rsidR="0018024C" w:rsidRDefault="0018024C" w:rsidP="0018024C">
            <w:pPr>
              <w:jc w:val="center"/>
              <w:rPr>
                <w:sz w:val="18"/>
                <w:szCs w:val="18"/>
              </w:rPr>
            </w:pPr>
            <w:r>
              <w:rPr>
                <w:sz w:val="18"/>
                <w:szCs w:val="18"/>
              </w:rPr>
              <w:t>Number of securities</w:t>
            </w:r>
            <w:r>
              <w:rPr>
                <w:sz w:val="18"/>
                <w:szCs w:val="18"/>
              </w:rPr>
              <w:br/>
              <w:t>remaining available for</w:t>
            </w:r>
            <w:r>
              <w:rPr>
                <w:sz w:val="18"/>
                <w:szCs w:val="18"/>
              </w:rPr>
              <w:br/>
              <w:t>future issuance under</w:t>
            </w:r>
            <w:r>
              <w:rPr>
                <w:sz w:val="18"/>
                <w:szCs w:val="18"/>
              </w:rPr>
              <w:br/>
              <w:t>equity compensation</w:t>
            </w:r>
            <w:r>
              <w:rPr>
                <w:sz w:val="18"/>
                <w:szCs w:val="18"/>
              </w:rPr>
              <w:br/>
              <w:t>plans (excluding</w:t>
            </w:r>
            <w:r>
              <w:rPr>
                <w:sz w:val="18"/>
                <w:szCs w:val="18"/>
              </w:rPr>
              <w:br/>
              <w:t>securities reflected in</w:t>
            </w:r>
            <w:r>
              <w:rPr>
                <w:sz w:val="18"/>
                <w:szCs w:val="18"/>
              </w:rPr>
              <w:br/>
              <w:t xml:space="preserve">column (a)) </w:t>
            </w:r>
          </w:p>
          <w:p w:rsidR="0018024C" w:rsidRDefault="0018024C" w:rsidP="0018024C">
            <w:pPr>
              <w:pStyle w:val="rrdsinglerule"/>
              <w:rPr>
                <w:sz w:val="20"/>
                <w:szCs w:val="20"/>
              </w:rPr>
            </w:pPr>
            <w:r>
              <w:rPr>
                <w:sz w:val="20"/>
                <w:szCs w:val="20"/>
              </w:rPr>
              <w:t> </w:t>
            </w:r>
          </w:p>
        </w:tc>
      </w:tr>
      <w:tr w:rsidR="0018024C" w:rsidTr="0018024C">
        <w:trPr>
          <w:cantSplit/>
          <w:jc w:val="center"/>
        </w:trPr>
        <w:tc>
          <w:tcPr>
            <w:tcW w:w="2500" w:type="pct"/>
            <w:shd w:val="clear" w:color="auto" w:fill="CCEEFF"/>
          </w:tcPr>
          <w:p w:rsidR="0018024C" w:rsidRDefault="0018024C" w:rsidP="0018024C">
            <w:pPr>
              <w:pStyle w:val="NormalWeb"/>
              <w:keepNext/>
              <w:ind w:left="240" w:hanging="240"/>
              <w:rPr>
                <w:sz w:val="20"/>
                <w:szCs w:val="20"/>
              </w:rPr>
            </w:pPr>
            <w:r>
              <w:rPr>
                <w:sz w:val="20"/>
                <w:szCs w:val="20"/>
              </w:rPr>
              <w:t>Equity compensation plans approved by security holders:</w:t>
            </w:r>
          </w:p>
        </w:tc>
        <w:tc>
          <w:tcPr>
            <w:tcW w:w="865" w:type="pct"/>
            <w:shd w:val="clear" w:color="auto" w:fill="CCEEFF"/>
            <w:tcMar>
              <w:top w:w="0" w:type="dxa"/>
              <w:left w:w="144" w:type="dxa"/>
              <w:bottom w:w="0" w:type="dxa"/>
              <w:right w:w="0" w:type="dxa"/>
            </w:tcMar>
            <w:vAlign w:val="bottom"/>
          </w:tcPr>
          <w:p w:rsidR="0018024C" w:rsidRDefault="0018024C" w:rsidP="0018024C">
            <w:pPr>
              <w:pStyle w:val="la2"/>
              <w:rPr>
                <w:sz w:val="20"/>
                <w:szCs w:val="20"/>
              </w:rPr>
            </w:pPr>
            <w:r>
              <w:rPr>
                <w:sz w:val="20"/>
                <w:szCs w:val="20"/>
              </w:rPr>
              <w:t> </w:t>
            </w:r>
          </w:p>
        </w:tc>
        <w:tc>
          <w:tcPr>
            <w:tcW w:w="770" w:type="pct"/>
            <w:shd w:val="clear" w:color="auto" w:fill="CCEEFF"/>
            <w:tcMar>
              <w:top w:w="0" w:type="dxa"/>
              <w:left w:w="144" w:type="dxa"/>
              <w:bottom w:w="0" w:type="dxa"/>
              <w:right w:w="0" w:type="dxa"/>
            </w:tcMar>
            <w:vAlign w:val="bottom"/>
          </w:tcPr>
          <w:p w:rsidR="0018024C" w:rsidRDefault="0018024C" w:rsidP="0018024C">
            <w:pPr>
              <w:pStyle w:val="la2"/>
              <w:rPr>
                <w:sz w:val="20"/>
                <w:szCs w:val="20"/>
              </w:rPr>
            </w:pPr>
            <w:r>
              <w:rPr>
                <w:sz w:val="20"/>
                <w:szCs w:val="20"/>
              </w:rPr>
              <w:t> </w:t>
            </w:r>
          </w:p>
        </w:tc>
        <w:tc>
          <w:tcPr>
            <w:tcW w:w="865" w:type="pct"/>
            <w:shd w:val="clear" w:color="auto" w:fill="CCEEFF"/>
            <w:tcMar>
              <w:top w:w="0" w:type="dxa"/>
              <w:left w:w="144" w:type="dxa"/>
              <w:bottom w:w="0" w:type="dxa"/>
              <w:right w:w="0" w:type="dxa"/>
            </w:tcMar>
            <w:vAlign w:val="bottom"/>
          </w:tcPr>
          <w:p w:rsidR="0018024C" w:rsidRDefault="0018024C" w:rsidP="0018024C">
            <w:pPr>
              <w:pStyle w:val="la2"/>
              <w:rPr>
                <w:sz w:val="20"/>
                <w:szCs w:val="20"/>
              </w:rPr>
            </w:pPr>
            <w:r>
              <w:rPr>
                <w:sz w:val="20"/>
                <w:szCs w:val="20"/>
              </w:rPr>
              <w:t> </w:t>
            </w:r>
          </w:p>
        </w:tc>
      </w:tr>
      <w:tr w:rsidR="0018024C" w:rsidTr="0018024C">
        <w:trPr>
          <w:cantSplit/>
          <w:jc w:val="center"/>
        </w:trPr>
        <w:tc>
          <w:tcPr>
            <w:tcW w:w="2500" w:type="pct"/>
          </w:tcPr>
          <w:p w:rsidR="0018024C" w:rsidRDefault="0018024C" w:rsidP="0018024C">
            <w:pPr>
              <w:pStyle w:val="NormalWeb"/>
              <w:keepNext/>
              <w:tabs>
                <w:tab w:val="right" w:leader="dot" w:pos="5823"/>
              </w:tabs>
              <w:rPr>
                <w:sz w:val="20"/>
                <w:szCs w:val="20"/>
              </w:rPr>
            </w:pPr>
            <w:r>
              <w:rPr>
                <w:sz w:val="20"/>
                <w:szCs w:val="20"/>
              </w:rPr>
              <w:t>Stock options, restricted stock awards, restricted stock unit awards, and performance share unit awards</w:t>
            </w:r>
          </w:p>
        </w:tc>
        <w:tc>
          <w:tcPr>
            <w:tcW w:w="865" w:type="pct"/>
            <w:noWrap/>
            <w:tcMar>
              <w:top w:w="0" w:type="dxa"/>
              <w:left w:w="144" w:type="dxa"/>
              <w:bottom w:w="0" w:type="dxa"/>
              <w:right w:w="0" w:type="dxa"/>
            </w:tcMar>
            <w:vAlign w:val="bottom"/>
          </w:tcPr>
          <w:p w:rsidR="0018024C" w:rsidRDefault="00CE0C87" w:rsidP="0018024C">
            <w:pPr>
              <w:pStyle w:val="NormalWeb"/>
              <w:tabs>
                <w:tab w:val="right" w:pos="1640"/>
                <w:tab w:val="decimal" w:pos="1680"/>
              </w:tabs>
              <w:spacing w:before="0" w:beforeAutospacing="0" w:after="15" w:afterAutospacing="0"/>
              <w:jc w:val="right"/>
              <w:rPr>
                <w:sz w:val="20"/>
                <w:szCs w:val="20"/>
              </w:rPr>
            </w:pPr>
            <w:r>
              <w:rPr>
                <w:sz w:val="20"/>
                <w:szCs w:val="20"/>
              </w:rPr>
              <w:t>4,226,392</w:t>
            </w:r>
          </w:p>
        </w:tc>
        <w:tc>
          <w:tcPr>
            <w:tcW w:w="770" w:type="pct"/>
            <w:noWrap/>
            <w:tcMar>
              <w:top w:w="0" w:type="dxa"/>
              <w:left w:w="144" w:type="dxa"/>
              <w:bottom w:w="0" w:type="dxa"/>
              <w:right w:w="0" w:type="dxa"/>
            </w:tcMar>
            <w:vAlign w:val="bottom"/>
          </w:tcPr>
          <w:p w:rsidR="0018024C" w:rsidRDefault="0018024C" w:rsidP="0018024C">
            <w:pPr>
              <w:pStyle w:val="NormalWeb"/>
              <w:tabs>
                <w:tab w:val="right" w:pos="1440"/>
                <w:tab w:val="decimal" w:pos="1480"/>
              </w:tabs>
              <w:spacing w:before="0" w:beforeAutospacing="0" w:after="15" w:afterAutospacing="0"/>
              <w:ind w:left="687"/>
              <w:jc w:val="right"/>
              <w:rPr>
                <w:sz w:val="20"/>
                <w:szCs w:val="20"/>
              </w:rPr>
            </w:pPr>
            <w:r>
              <w:rPr>
                <w:sz w:val="20"/>
                <w:szCs w:val="20"/>
              </w:rPr>
              <w:t>$23.99</w:t>
            </w:r>
          </w:p>
        </w:tc>
        <w:tc>
          <w:tcPr>
            <w:tcW w:w="865" w:type="pct"/>
            <w:noWrap/>
            <w:tcMar>
              <w:top w:w="0" w:type="dxa"/>
              <w:left w:w="144" w:type="dxa"/>
              <w:bottom w:w="0" w:type="dxa"/>
              <w:right w:w="0" w:type="dxa"/>
            </w:tcMar>
            <w:vAlign w:val="bottom"/>
          </w:tcPr>
          <w:p w:rsidR="0018024C" w:rsidRDefault="0018024C" w:rsidP="0018024C">
            <w:pPr>
              <w:pStyle w:val="NormalWeb"/>
              <w:tabs>
                <w:tab w:val="right" w:pos="1640"/>
                <w:tab w:val="decimal" w:pos="1680"/>
              </w:tabs>
              <w:spacing w:before="0" w:beforeAutospacing="0" w:after="15" w:afterAutospacing="0"/>
              <w:ind w:left="904"/>
              <w:rPr>
                <w:sz w:val="20"/>
                <w:szCs w:val="20"/>
              </w:rPr>
            </w:pPr>
            <w:r>
              <w:rPr>
                <w:sz w:val="20"/>
                <w:szCs w:val="20"/>
              </w:rPr>
              <w:t>3,322,413</w:t>
            </w:r>
          </w:p>
        </w:tc>
      </w:tr>
      <w:tr w:rsidR="0018024C" w:rsidTr="0018024C">
        <w:trPr>
          <w:cantSplit/>
          <w:jc w:val="center"/>
        </w:trPr>
        <w:tc>
          <w:tcPr>
            <w:tcW w:w="2500" w:type="pct"/>
            <w:tcMar>
              <w:top w:w="0" w:type="dxa"/>
              <w:left w:w="144" w:type="dxa"/>
              <w:bottom w:w="0" w:type="dxa"/>
              <w:right w:w="0" w:type="dxa"/>
            </w:tcMar>
            <w:vAlign w:val="bottom"/>
          </w:tcPr>
          <w:p w:rsidR="0018024C" w:rsidRDefault="0018024C" w:rsidP="0018024C">
            <w:pPr>
              <w:pStyle w:val="la2"/>
              <w:tabs>
                <w:tab w:val="right" w:leader="dot" w:pos="5823"/>
              </w:tabs>
              <w:rPr>
                <w:sz w:val="20"/>
                <w:szCs w:val="20"/>
              </w:rPr>
            </w:pPr>
            <w:r>
              <w:rPr>
                <w:sz w:val="20"/>
                <w:szCs w:val="20"/>
              </w:rPr>
              <w:t> </w:t>
            </w:r>
          </w:p>
        </w:tc>
        <w:tc>
          <w:tcPr>
            <w:tcW w:w="865" w:type="pct"/>
            <w:tcMar>
              <w:top w:w="0" w:type="dxa"/>
              <w:left w:w="144" w:type="dxa"/>
              <w:bottom w:w="0" w:type="dxa"/>
              <w:right w:w="0" w:type="dxa"/>
            </w:tcMar>
            <w:vAlign w:val="bottom"/>
          </w:tcPr>
          <w:p w:rsidR="0018024C" w:rsidRDefault="0018024C" w:rsidP="0018024C">
            <w:pPr>
              <w:pStyle w:val="rrddoublerule"/>
              <w:rPr>
                <w:sz w:val="20"/>
                <w:szCs w:val="20"/>
              </w:rPr>
            </w:pPr>
            <w:r>
              <w:rPr>
                <w:sz w:val="20"/>
                <w:szCs w:val="20"/>
              </w:rPr>
              <w:t> </w:t>
            </w:r>
          </w:p>
        </w:tc>
        <w:tc>
          <w:tcPr>
            <w:tcW w:w="770" w:type="pct"/>
            <w:tcMar>
              <w:top w:w="0" w:type="dxa"/>
              <w:left w:w="144" w:type="dxa"/>
              <w:bottom w:w="0" w:type="dxa"/>
              <w:right w:w="0" w:type="dxa"/>
            </w:tcMar>
            <w:vAlign w:val="bottom"/>
          </w:tcPr>
          <w:p w:rsidR="0018024C" w:rsidRDefault="0018024C" w:rsidP="0018024C">
            <w:pPr>
              <w:pStyle w:val="rrddoublerule"/>
              <w:jc w:val="right"/>
              <w:rPr>
                <w:sz w:val="20"/>
                <w:szCs w:val="20"/>
              </w:rPr>
            </w:pPr>
            <w:r>
              <w:rPr>
                <w:sz w:val="20"/>
                <w:szCs w:val="20"/>
              </w:rPr>
              <w:t> </w:t>
            </w:r>
          </w:p>
        </w:tc>
        <w:tc>
          <w:tcPr>
            <w:tcW w:w="865" w:type="pct"/>
            <w:tcMar>
              <w:top w:w="0" w:type="dxa"/>
              <w:left w:w="144" w:type="dxa"/>
              <w:bottom w:w="0" w:type="dxa"/>
              <w:right w:w="0" w:type="dxa"/>
            </w:tcMar>
            <w:vAlign w:val="bottom"/>
          </w:tcPr>
          <w:p w:rsidR="0018024C" w:rsidRDefault="0018024C" w:rsidP="0018024C">
            <w:pPr>
              <w:pStyle w:val="rrddoublerule"/>
              <w:rPr>
                <w:sz w:val="20"/>
                <w:szCs w:val="20"/>
              </w:rPr>
            </w:pPr>
            <w:r>
              <w:rPr>
                <w:sz w:val="20"/>
                <w:szCs w:val="20"/>
              </w:rPr>
              <w:t> </w:t>
            </w:r>
          </w:p>
        </w:tc>
      </w:tr>
      <w:tr w:rsidR="0018024C" w:rsidTr="0018024C">
        <w:trPr>
          <w:cantSplit/>
          <w:jc w:val="center"/>
        </w:trPr>
        <w:tc>
          <w:tcPr>
            <w:tcW w:w="2500" w:type="pct"/>
            <w:shd w:val="clear" w:color="auto" w:fill="CCEEFF"/>
          </w:tcPr>
          <w:p w:rsidR="0018024C" w:rsidRDefault="0018024C" w:rsidP="0018024C">
            <w:pPr>
              <w:pStyle w:val="NormalWeb"/>
              <w:tabs>
                <w:tab w:val="right" w:leader="dot" w:pos="5823"/>
              </w:tabs>
              <w:ind w:left="240" w:hanging="240"/>
              <w:rPr>
                <w:sz w:val="20"/>
                <w:szCs w:val="20"/>
              </w:rPr>
            </w:pPr>
            <w:r>
              <w:rPr>
                <w:sz w:val="20"/>
                <w:szCs w:val="20"/>
              </w:rPr>
              <w:t>Equity compensation plans not approved by security holders</w:t>
            </w:r>
          </w:p>
        </w:tc>
        <w:tc>
          <w:tcPr>
            <w:tcW w:w="865" w:type="pct"/>
            <w:shd w:val="clear" w:color="auto" w:fill="CCEEFF"/>
            <w:noWrap/>
            <w:tcMar>
              <w:top w:w="0" w:type="dxa"/>
              <w:left w:w="144" w:type="dxa"/>
              <w:bottom w:w="0" w:type="dxa"/>
              <w:right w:w="0" w:type="dxa"/>
            </w:tcMar>
            <w:vAlign w:val="bottom"/>
          </w:tcPr>
          <w:p w:rsidR="0018024C" w:rsidRDefault="0018024C" w:rsidP="0018024C">
            <w:pPr>
              <w:pStyle w:val="NormalWeb"/>
              <w:tabs>
                <w:tab w:val="right" w:pos="1640"/>
                <w:tab w:val="decimal" w:pos="1680"/>
              </w:tabs>
              <w:spacing w:before="0" w:beforeAutospacing="0" w:after="15" w:afterAutospacing="0"/>
              <w:rPr>
                <w:sz w:val="20"/>
                <w:szCs w:val="20"/>
              </w:rPr>
            </w:pPr>
            <w:r>
              <w:rPr>
                <w:sz w:val="20"/>
                <w:szCs w:val="20"/>
              </w:rPr>
              <w:tab/>
              <w:t>None</w:t>
            </w:r>
            <w:r>
              <w:rPr>
                <w:sz w:val="20"/>
                <w:szCs w:val="20"/>
              </w:rPr>
              <w:tab/>
            </w:r>
          </w:p>
        </w:tc>
        <w:tc>
          <w:tcPr>
            <w:tcW w:w="770" w:type="pct"/>
            <w:shd w:val="clear" w:color="auto" w:fill="CCEEFF"/>
            <w:noWrap/>
            <w:tcMar>
              <w:top w:w="0" w:type="dxa"/>
              <w:left w:w="144" w:type="dxa"/>
              <w:bottom w:w="0" w:type="dxa"/>
              <w:right w:w="0" w:type="dxa"/>
            </w:tcMar>
            <w:vAlign w:val="bottom"/>
          </w:tcPr>
          <w:p w:rsidR="0018024C" w:rsidRDefault="0018024C" w:rsidP="0018024C">
            <w:pPr>
              <w:pStyle w:val="NormalWeb"/>
              <w:tabs>
                <w:tab w:val="right" w:pos="1440"/>
                <w:tab w:val="decimal" w:pos="1480"/>
              </w:tabs>
              <w:spacing w:before="0" w:beforeAutospacing="0" w:after="15" w:afterAutospacing="0"/>
              <w:jc w:val="right"/>
              <w:rPr>
                <w:sz w:val="20"/>
                <w:szCs w:val="20"/>
              </w:rPr>
            </w:pPr>
            <w:r>
              <w:rPr>
                <w:sz w:val="20"/>
                <w:szCs w:val="20"/>
              </w:rPr>
              <w:tab/>
              <w:t>N/A</w:t>
            </w:r>
            <w:r>
              <w:rPr>
                <w:sz w:val="20"/>
                <w:szCs w:val="20"/>
              </w:rPr>
              <w:tab/>
            </w:r>
          </w:p>
        </w:tc>
        <w:tc>
          <w:tcPr>
            <w:tcW w:w="865" w:type="pct"/>
            <w:shd w:val="clear" w:color="auto" w:fill="CCEEFF"/>
            <w:noWrap/>
            <w:tcMar>
              <w:top w:w="0" w:type="dxa"/>
              <w:left w:w="144" w:type="dxa"/>
              <w:bottom w:w="0" w:type="dxa"/>
              <w:right w:w="0" w:type="dxa"/>
            </w:tcMar>
            <w:vAlign w:val="bottom"/>
          </w:tcPr>
          <w:p w:rsidR="0018024C" w:rsidRDefault="0018024C" w:rsidP="0018024C">
            <w:pPr>
              <w:pStyle w:val="NormalWeb"/>
              <w:tabs>
                <w:tab w:val="right" w:pos="1640"/>
                <w:tab w:val="decimal" w:pos="1680"/>
              </w:tabs>
              <w:spacing w:before="0" w:beforeAutospacing="0" w:after="15" w:afterAutospacing="0"/>
              <w:rPr>
                <w:sz w:val="20"/>
                <w:szCs w:val="20"/>
              </w:rPr>
            </w:pPr>
            <w:r>
              <w:rPr>
                <w:sz w:val="20"/>
                <w:szCs w:val="20"/>
              </w:rPr>
              <w:tab/>
              <w:t>None</w:t>
            </w:r>
            <w:r>
              <w:rPr>
                <w:sz w:val="20"/>
                <w:szCs w:val="20"/>
              </w:rPr>
              <w:tab/>
            </w:r>
          </w:p>
        </w:tc>
      </w:tr>
      <w:tr w:rsidR="0018024C" w:rsidTr="0018024C">
        <w:trPr>
          <w:cantSplit/>
          <w:jc w:val="center"/>
        </w:trPr>
        <w:tc>
          <w:tcPr>
            <w:tcW w:w="2500" w:type="pct"/>
          </w:tcPr>
          <w:p w:rsidR="0018024C" w:rsidRDefault="0018024C" w:rsidP="0018024C">
            <w:pPr>
              <w:pStyle w:val="NormalWeb"/>
              <w:tabs>
                <w:tab w:val="right" w:leader="dot" w:pos="5823"/>
              </w:tabs>
              <w:ind w:left="240" w:hanging="240"/>
              <w:rPr>
                <w:sz w:val="20"/>
                <w:szCs w:val="20"/>
              </w:rPr>
            </w:pPr>
            <w:r>
              <w:rPr>
                <w:sz w:val="20"/>
                <w:szCs w:val="20"/>
              </w:rPr>
              <w:t>Total</w:t>
            </w:r>
          </w:p>
        </w:tc>
        <w:tc>
          <w:tcPr>
            <w:tcW w:w="865" w:type="pct"/>
            <w:noWrap/>
            <w:tcMar>
              <w:top w:w="0" w:type="dxa"/>
              <w:left w:w="144" w:type="dxa"/>
              <w:bottom w:w="0" w:type="dxa"/>
              <w:right w:w="0" w:type="dxa"/>
            </w:tcMar>
            <w:vAlign w:val="bottom"/>
          </w:tcPr>
          <w:p w:rsidR="0018024C" w:rsidRDefault="00CE0C87" w:rsidP="0018024C">
            <w:pPr>
              <w:pStyle w:val="NormalWeb"/>
              <w:tabs>
                <w:tab w:val="right" w:pos="1640"/>
                <w:tab w:val="decimal" w:pos="1680"/>
              </w:tabs>
              <w:spacing w:before="0" w:beforeAutospacing="0" w:after="15" w:afterAutospacing="0"/>
              <w:jc w:val="right"/>
              <w:rPr>
                <w:sz w:val="20"/>
                <w:szCs w:val="20"/>
              </w:rPr>
            </w:pPr>
            <w:r>
              <w:rPr>
                <w:sz w:val="20"/>
                <w:szCs w:val="20"/>
              </w:rPr>
              <w:t>4,226,392</w:t>
            </w:r>
          </w:p>
        </w:tc>
        <w:tc>
          <w:tcPr>
            <w:tcW w:w="770" w:type="pct"/>
            <w:noWrap/>
            <w:tcMar>
              <w:top w:w="0" w:type="dxa"/>
              <w:left w:w="144" w:type="dxa"/>
              <w:bottom w:w="0" w:type="dxa"/>
              <w:right w:w="0" w:type="dxa"/>
            </w:tcMar>
            <w:vAlign w:val="bottom"/>
          </w:tcPr>
          <w:p w:rsidR="0018024C" w:rsidRDefault="0018024C" w:rsidP="0018024C">
            <w:pPr>
              <w:pStyle w:val="NormalWeb"/>
              <w:tabs>
                <w:tab w:val="right" w:pos="1440"/>
                <w:tab w:val="decimal" w:pos="1480"/>
              </w:tabs>
              <w:spacing w:before="0" w:beforeAutospacing="0" w:after="15" w:afterAutospacing="0"/>
              <w:ind w:left="687"/>
              <w:jc w:val="right"/>
              <w:rPr>
                <w:sz w:val="20"/>
                <w:szCs w:val="20"/>
              </w:rPr>
            </w:pPr>
            <w:r>
              <w:rPr>
                <w:sz w:val="20"/>
                <w:szCs w:val="20"/>
              </w:rPr>
              <w:t>$23.99</w:t>
            </w:r>
          </w:p>
        </w:tc>
        <w:tc>
          <w:tcPr>
            <w:tcW w:w="865" w:type="pct"/>
            <w:noWrap/>
            <w:tcMar>
              <w:top w:w="0" w:type="dxa"/>
              <w:left w:w="144" w:type="dxa"/>
              <w:bottom w:w="0" w:type="dxa"/>
              <w:right w:w="0" w:type="dxa"/>
            </w:tcMar>
            <w:vAlign w:val="bottom"/>
          </w:tcPr>
          <w:p w:rsidR="0018024C" w:rsidRDefault="0018024C" w:rsidP="0018024C">
            <w:pPr>
              <w:pStyle w:val="NormalWeb"/>
              <w:tabs>
                <w:tab w:val="right" w:pos="1640"/>
                <w:tab w:val="decimal" w:pos="1680"/>
              </w:tabs>
              <w:spacing w:before="0" w:beforeAutospacing="0" w:after="15" w:afterAutospacing="0"/>
              <w:ind w:left="904"/>
              <w:rPr>
                <w:sz w:val="20"/>
                <w:szCs w:val="20"/>
              </w:rPr>
            </w:pPr>
            <w:r>
              <w:rPr>
                <w:sz w:val="20"/>
                <w:szCs w:val="20"/>
              </w:rPr>
              <w:t>3,322,413</w:t>
            </w:r>
          </w:p>
        </w:tc>
      </w:tr>
    </w:tbl>
    <w:p w:rsidR="000121CD" w:rsidRDefault="000121CD"/>
    <w:p w:rsidR="000121CD" w:rsidRDefault="00590862">
      <w:pPr>
        <w:pStyle w:val="NormalWeb"/>
        <w:keepNext/>
        <w:spacing w:before="270" w:beforeAutospacing="0" w:after="0" w:afterAutospacing="0"/>
        <w:ind w:left="1224" w:hanging="1224"/>
      </w:pPr>
      <w:r>
        <w:rPr>
          <w:b/>
          <w:bCs/>
          <w:sz w:val="20"/>
          <w:szCs w:val="20"/>
        </w:rPr>
        <w:t>ITEM 13.</w:t>
      </w:r>
      <w:r>
        <w:rPr>
          <w:bCs/>
          <w:sz w:val="20"/>
          <w:szCs w:val="20"/>
        </w:rPr>
        <w:tab/>
      </w:r>
      <w:bookmarkStart w:id="21" w:name="CertainRelationships"/>
      <w:r>
        <w:rPr>
          <w:b/>
          <w:bCs/>
          <w:sz w:val="20"/>
          <w:szCs w:val="20"/>
        </w:rPr>
        <w:t>CERTAIN RELATIONSHIPS AND RELATED TRANSACTIONS, AND DIRECTOR INDEPENDENCE</w:t>
      </w:r>
      <w:bookmarkEnd w:id="21"/>
      <w:r>
        <w:rPr>
          <w:b/>
          <w:bCs/>
          <w:sz w:val="20"/>
          <w:szCs w:val="20"/>
        </w:rPr>
        <w:t xml:space="preserve"> </w:t>
      </w:r>
    </w:p>
    <w:p w:rsidR="000121CD" w:rsidRDefault="00590862">
      <w:pPr>
        <w:pStyle w:val="NormalWeb"/>
        <w:spacing w:before="90" w:beforeAutospacing="0" w:after="0" w:afterAutospacing="0"/>
        <w:rPr>
          <w:sz w:val="20"/>
          <w:szCs w:val="20"/>
        </w:rPr>
      </w:pPr>
      <w:r>
        <w:rPr>
          <w:sz w:val="20"/>
          <w:szCs w:val="20"/>
        </w:rPr>
        <w:t>The information regarding certain relationships and related transactions required by Item 404 and Item 407(a) of Regulation S-K will be presented under the headings “Certain Relationships and Related Transactions”, “Related Party Transaction Policy</w:t>
      </w:r>
      <w:r w:rsidR="000A09C2">
        <w:rPr>
          <w:sz w:val="20"/>
          <w:szCs w:val="20"/>
        </w:rPr>
        <w:t>” and</w:t>
      </w:r>
      <w:r>
        <w:rPr>
          <w:sz w:val="20"/>
          <w:szCs w:val="20"/>
        </w:rPr>
        <w:t xml:space="preserve"> “Director Independence” in our Proxy Statement, which information is incorporated by reference herein. </w:t>
      </w:r>
    </w:p>
    <w:p w:rsidR="000121CD" w:rsidRDefault="00590862">
      <w:pPr>
        <w:pStyle w:val="NormalWeb"/>
        <w:keepNext/>
        <w:spacing w:before="270" w:beforeAutospacing="0" w:after="0" w:afterAutospacing="0"/>
        <w:ind w:left="1224" w:hanging="1224"/>
      </w:pPr>
      <w:r>
        <w:rPr>
          <w:b/>
          <w:bCs/>
          <w:sz w:val="20"/>
          <w:szCs w:val="20"/>
        </w:rPr>
        <w:t>ITEM 14.</w:t>
      </w:r>
      <w:r>
        <w:rPr>
          <w:bCs/>
          <w:sz w:val="20"/>
          <w:szCs w:val="20"/>
        </w:rPr>
        <w:tab/>
      </w:r>
      <w:bookmarkStart w:id="22" w:name="PrincipalAccountantFees"/>
      <w:r>
        <w:rPr>
          <w:b/>
          <w:bCs/>
          <w:sz w:val="20"/>
          <w:szCs w:val="20"/>
        </w:rPr>
        <w:t>PRINCIPAL ACCOUNTANT FEES AND SERVICES</w:t>
      </w:r>
      <w:bookmarkEnd w:id="22"/>
      <w:r>
        <w:rPr>
          <w:b/>
          <w:bCs/>
          <w:sz w:val="20"/>
          <w:szCs w:val="20"/>
        </w:rPr>
        <w:t xml:space="preserve"> </w:t>
      </w:r>
    </w:p>
    <w:p w:rsidR="000121CD" w:rsidRDefault="00590862">
      <w:pPr>
        <w:pStyle w:val="NormalWeb"/>
        <w:rPr>
          <w:sz w:val="20"/>
          <w:szCs w:val="20"/>
        </w:rPr>
      </w:pPr>
      <w:r>
        <w:rPr>
          <w:sz w:val="20"/>
          <w:szCs w:val="20"/>
        </w:rPr>
        <w:t xml:space="preserve">The information regarding our principal accounting fees and services required by Item 9(e) of Schedule 14A will be presented under the headings “Principal Accounting Fees and Services” and “Policy on Audit Committee Pre-Approval of Audit and Non-Audit Services of Independent Auditors” in our Proxy Statement, which information is incorporated by reference herein. </w:t>
      </w:r>
    </w:p>
    <w:p w:rsidR="000121CD" w:rsidRDefault="00590862">
      <w:pPr>
        <w:pStyle w:val="NormalWeb"/>
        <w:spacing w:before="180" w:beforeAutospacing="0" w:after="0" w:afterAutospacing="0"/>
        <w:rPr>
          <w:sz w:val="2"/>
          <w:szCs w:val="2"/>
        </w:rPr>
      </w:pPr>
      <w:r>
        <w:rPr>
          <w:sz w:val="2"/>
          <w:szCs w:val="2"/>
        </w:rPr>
        <w:t> </w:t>
      </w:r>
    </w:p>
    <w:p w:rsidR="000121CD" w:rsidRDefault="00590862">
      <w:pPr>
        <w:pStyle w:val="NormalWeb"/>
        <w:keepNext/>
        <w:pageBreakBefore/>
        <w:spacing w:before="0" w:beforeAutospacing="0" w:after="0" w:afterAutospacing="0"/>
        <w:rPr>
          <w:sz w:val="20"/>
          <w:szCs w:val="20"/>
        </w:rPr>
      </w:pPr>
      <w:r>
        <w:rPr>
          <w:b/>
          <w:bCs/>
          <w:sz w:val="20"/>
          <w:szCs w:val="20"/>
        </w:rPr>
        <w:lastRenderedPageBreak/>
        <w:t xml:space="preserve">PART IV </w:t>
      </w:r>
    </w:p>
    <w:p w:rsidR="000121CD" w:rsidRDefault="00590862">
      <w:pPr>
        <w:pStyle w:val="NormalWeb"/>
        <w:keepNext/>
        <w:spacing w:before="180" w:beforeAutospacing="0" w:after="0" w:afterAutospacing="0"/>
        <w:ind w:left="1224" w:hanging="1224"/>
      </w:pPr>
      <w:r>
        <w:rPr>
          <w:b/>
          <w:bCs/>
          <w:sz w:val="20"/>
          <w:szCs w:val="20"/>
        </w:rPr>
        <w:t>ITEM  15.</w:t>
      </w:r>
      <w:r>
        <w:rPr>
          <w:bCs/>
          <w:sz w:val="20"/>
          <w:szCs w:val="20"/>
        </w:rPr>
        <w:tab/>
      </w:r>
      <w:bookmarkStart w:id="23" w:name="Exhibits"/>
      <w:r>
        <w:rPr>
          <w:b/>
          <w:bCs/>
          <w:sz w:val="20"/>
          <w:szCs w:val="20"/>
        </w:rPr>
        <w:t>EXHIBITS AND FINANCIAL STATEMENT SCHEDULES</w:t>
      </w:r>
      <w:bookmarkEnd w:id="23"/>
    </w:p>
    <w:p w:rsidR="000121CD" w:rsidRDefault="00590862">
      <w:pPr>
        <w:pStyle w:val="NormalWeb"/>
        <w:keepNext/>
        <w:spacing w:before="90" w:beforeAutospacing="0" w:after="0" w:afterAutospacing="0"/>
        <w:ind w:left="489" w:hanging="490"/>
      </w:pPr>
      <w:r>
        <w:rPr>
          <w:sz w:val="20"/>
          <w:szCs w:val="20"/>
        </w:rPr>
        <w:t>(a)</w:t>
      </w:r>
      <w:r>
        <w:rPr>
          <w:sz w:val="20"/>
          <w:szCs w:val="20"/>
        </w:rPr>
        <w:tab/>
        <w:t xml:space="preserve">Documents Filed as Part of this Annual Report: </w:t>
      </w:r>
    </w:p>
    <w:p w:rsidR="000121CD" w:rsidRDefault="00590862">
      <w:pPr>
        <w:pStyle w:val="NormalWeb"/>
        <w:spacing w:before="90" w:beforeAutospacing="0" w:after="0" w:afterAutospacing="0"/>
        <w:ind w:left="489" w:hanging="490"/>
      </w:pPr>
      <w:r>
        <w:rPr>
          <w:sz w:val="20"/>
          <w:szCs w:val="20"/>
        </w:rPr>
        <w:t>1.</w:t>
      </w:r>
      <w:r>
        <w:rPr>
          <w:sz w:val="20"/>
          <w:szCs w:val="20"/>
        </w:rPr>
        <w:tab/>
      </w:r>
      <w:r>
        <w:rPr>
          <w:i/>
          <w:iCs/>
          <w:sz w:val="20"/>
          <w:szCs w:val="20"/>
        </w:rPr>
        <w:t>Financial Statements</w:t>
      </w:r>
      <w:r>
        <w:rPr>
          <w:sz w:val="20"/>
          <w:szCs w:val="20"/>
        </w:rPr>
        <w:t xml:space="preserve">. </w:t>
      </w:r>
    </w:p>
    <w:p w:rsidR="000121CD" w:rsidRDefault="00590862">
      <w:pPr>
        <w:pStyle w:val="NormalWeb"/>
        <w:spacing w:before="90" w:beforeAutospacing="0" w:after="0" w:afterAutospacing="0"/>
        <w:ind w:left="489"/>
      </w:pPr>
      <w:r>
        <w:rPr>
          <w:sz w:val="20"/>
          <w:szCs w:val="20"/>
        </w:rPr>
        <w:t xml:space="preserve">See “Item 8—Financial Statements and Supplementary Data.” </w:t>
      </w:r>
    </w:p>
    <w:p w:rsidR="000121CD" w:rsidRDefault="00590862">
      <w:pPr>
        <w:pStyle w:val="NormalWeb"/>
        <w:spacing w:before="90" w:beforeAutospacing="0" w:after="0" w:afterAutospacing="0"/>
        <w:ind w:left="489" w:hanging="490"/>
      </w:pPr>
      <w:r>
        <w:rPr>
          <w:sz w:val="20"/>
          <w:szCs w:val="20"/>
        </w:rPr>
        <w:t>2.</w:t>
      </w:r>
      <w:r>
        <w:rPr>
          <w:sz w:val="20"/>
          <w:szCs w:val="20"/>
        </w:rPr>
        <w:tab/>
      </w:r>
      <w:r>
        <w:rPr>
          <w:i/>
          <w:iCs/>
          <w:sz w:val="20"/>
          <w:szCs w:val="20"/>
        </w:rPr>
        <w:t>Financial Statement Schedules</w:t>
      </w:r>
      <w:r>
        <w:rPr>
          <w:sz w:val="20"/>
          <w:szCs w:val="20"/>
        </w:rPr>
        <w:t xml:space="preserve">. </w:t>
      </w:r>
    </w:p>
    <w:p w:rsidR="000121CD" w:rsidRDefault="00590862">
      <w:pPr>
        <w:pStyle w:val="NormalWeb"/>
        <w:spacing w:before="180" w:beforeAutospacing="0" w:after="0" w:afterAutospacing="0"/>
      </w:pPr>
      <w:r>
        <w:rPr>
          <w:sz w:val="20"/>
          <w:szCs w:val="20"/>
        </w:rPr>
        <w:t xml:space="preserve">All schedules are omitted because they are not applicable, not required or the information is included in the financial statements or the notes thereto. </w:t>
      </w:r>
    </w:p>
    <w:p w:rsidR="000121CD" w:rsidRDefault="00590862">
      <w:pPr>
        <w:pStyle w:val="NormalWeb"/>
        <w:spacing w:before="90" w:beforeAutospacing="0" w:after="0" w:afterAutospacing="0"/>
        <w:ind w:left="489" w:hanging="490"/>
        <w:rPr>
          <w:sz w:val="20"/>
          <w:szCs w:val="20"/>
        </w:rPr>
      </w:pPr>
      <w:r>
        <w:rPr>
          <w:sz w:val="20"/>
          <w:szCs w:val="20"/>
        </w:rPr>
        <w:t>3.</w:t>
      </w:r>
      <w:r>
        <w:rPr>
          <w:sz w:val="20"/>
          <w:szCs w:val="20"/>
        </w:rPr>
        <w:tab/>
      </w:r>
      <w:r>
        <w:rPr>
          <w:i/>
          <w:iCs/>
          <w:sz w:val="20"/>
          <w:szCs w:val="20"/>
        </w:rPr>
        <w:t>List of Exhibits</w:t>
      </w:r>
      <w:r>
        <w:rPr>
          <w:sz w:val="20"/>
          <w:szCs w:val="20"/>
        </w:rPr>
        <w:t xml:space="preserve">. </w:t>
      </w:r>
    </w:p>
    <w:p w:rsidR="000121CD" w:rsidRDefault="00590862">
      <w:pPr>
        <w:pStyle w:val="NormalWeb"/>
        <w:keepNext/>
        <w:spacing w:before="0" w:beforeAutospacing="0" w:after="0" w:afterAutospacing="0"/>
        <w:rPr>
          <w:sz w:val="12"/>
          <w:szCs w:val="12"/>
        </w:rPr>
      </w:pPr>
      <w:r>
        <w:rPr>
          <w:sz w:val="12"/>
          <w:szCs w:val="12"/>
        </w:rPr>
        <w: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8796"/>
      </w:tblGrid>
      <w:tr w:rsidR="000121CD">
        <w:trPr>
          <w:cantSplit/>
          <w:trHeight w:hRule="exact" w:val="20"/>
          <w:tblHeader/>
        </w:trPr>
        <w:tc>
          <w:tcPr>
            <w:tcW w:w="928" w:type="pct"/>
            <w:hideMark/>
          </w:tcPr>
          <w:p w:rsidR="000121CD" w:rsidRDefault="000121CD">
            <w:pPr>
              <w:rPr>
                <w:rFonts w:cs="Times New Roman"/>
                <w:sz w:val="22"/>
              </w:rPr>
            </w:pPr>
          </w:p>
        </w:tc>
        <w:tc>
          <w:tcPr>
            <w:tcW w:w="4072" w:type="pct"/>
            <w:hideMark/>
          </w:tcPr>
          <w:p w:rsidR="000121CD" w:rsidRDefault="000121CD">
            <w:pPr>
              <w:rPr>
                <w:rFonts w:cs="Times New Roman"/>
                <w:sz w:val="22"/>
              </w:rPr>
            </w:pPr>
          </w:p>
        </w:tc>
      </w:tr>
      <w:tr w:rsidR="000121CD">
        <w:trPr>
          <w:cantSplit/>
          <w:tblHeader/>
        </w:trPr>
        <w:tc>
          <w:tcPr>
            <w:tcW w:w="928" w:type="pct"/>
            <w:hideMark/>
          </w:tcPr>
          <w:p w:rsidR="000121CD" w:rsidRDefault="00590862">
            <w:pPr>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t>Exhibit Number</w:t>
            </w:r>
          </w:p>
        </w:tc>
        <w:tc>
          <w:tcPr>
            <w:tcW w:w="4072" w:type="pct"/>
            <w:hideMark/>
          </w:tcPr>
          <w:p w:rsidR="000121CD" w:rsidRDefault="00590862">
            <w:pPr>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t>Description</w:t>
            </w:r>
          </w:p>
        </w:tc>
      </w:tr>
      <w:tr w:rsidR="000121CD">
        <w:trPr>
          <w:cantSplit/>
        </w:trPr>
        <w:tc>
          <w:tcPr>
            <w:tcW w:w="928" w:type="pct"/>
            <w:hideMark/>
          </w:tcPr>
          <w:p w:rsidR="000121CD" w:rsidRDefault="00590862">
            <w:pPr>
              <w:spacing w:after="240"/>
              <w:rPr>
                <w:rFonts w:ascii="Times New Roman" w:hAnsi="Times New Roman" w:cs="Times New Roman"/>
                <w:sz w:val="20"/>
                <w:szCs w:val="20"/>
              </w:rPr>
            </w:pPr>
            <w:r>
              <w:rPr>
                <w:rFonts w:ascii="Times New Roman" w:hAnsi="Times New Roman" w:cs="Times New Roman"/>
                <w:sz w:val="20"/>
                <w:szCs w:val="20"/>
              </w:rPr>
              <w:t>3.1</w:t>
            </w:r>
          </w:p>
        </w:tc>
        <w:tc>
          <w:tcPr>
            <w:tcW w:w="4072" w:type="pct"/>
            <w:hideMark/>
          </w:tcPr>
          <w:p w:rsidR="000121CD" w:rsidRDefault="00A46291">
            <w:pPr>
              <w:spacing w:after="240"/>
              <w:rPr>
                <w:rFonts w:ascii="Times New Roman" w:hAnsi="Times New Roman" w:cs="Times New Roman"/>
                <w:sz w:val="20"/>
                <w:szCs w:val="20"/>
              </w:rPr>
            </w:pPr>
            <w:hyperlink r:id="rId11" w:history="1">
              <w:r w:rsidR="00590862">
                <w:rPr>
                  <w:rStyle w:val="Hyperlink"/>
                  <w:rFonts w:ascii="Times New Roman" w:hAnsi="Times New Roman" w:cs="Times New Roman"/>
                  <w:sz w:val="20"/>
                  <w:szCs w:val="20"/>
                </w:rPr>
                <w:t>Amended and Restated Certificate of Incorporation of MRC Global Inc. dated April 11, 2012. (Incorporated by reference to Exhibit 3.1 to the Current Report on Form 8-K of MRC Global Inc. filed with the SEC on April 17, 2012, File No. 001-35479).</w:t>
              </w:r>
            </w:hyperlink>
          </w:p>
        </w:tc>
      </w:tr>
      <w:tr w:rsidR="000121CD">
        <w:trPr>
          <w:cantSplit/>
        </w:trPr>
        <w:tc>
          <w:tcPr>
            <w:tcW w:w="928" w:type="pct"/>
            <w:shd w:val="clear" w:color="auto" w:fill="auto"/>
            <w:hideMark/>
          </w:tcPr>
          <w:p w:rsidR="000121CD" w:rsidRDefault="00590862">
            <w:pPr>
              <w:spacing w:after="240"/>
              <w:rPr>
                <w:rFonts w:ascii="Times New Roman" w:hAnsi="Times New Roman" w:cs="Times New Roman"/>
                <w:sz w:val="20"/>
                <w:szCs w:val="20"/>
              </w:rPr>
            </w:pPr>
            <w:r>
              <w:rPr>
                <w:rFonts w:ascii="Times New Roman" w:hAnsi="Times New Roman" w:cs="Times New Roman"/>
                <w:sz w:val="20"/>
                <w:szCs w:val="20"/>
              </w:rPr>
              <w:t>3.2</w:t>
            </w:r>
          </w:p>
        </w:tc>
        <w:tc>
          <w:tcPr>
            <w:tcW w:w="4072" w:type="pct"/>
            <w:hideMark/>
          </w:tcPr>
          <w:p w:rsidR="000121CD" w:rsidRDefault="00A46291">
            <w:pPr>
              <w:spacing w:after="240"/>
              <w:rPr>
                <w:rFonts w:ascii="Times New Roman" w:hAnsi="Times New Roman" w:cs="Times New Roman"/>
                <w:sz w:val="20"/>
                <w:szCs w:val="20"/>
              </w:rPr>
            </w:pPr>
            <w:hyperlink r:id="rId12" w:history="1">
              <w:r w:rsidR="00590862">
                <w:rPr>
                  <w:rStyle w:val="Hyperlink"/>
                  <w:rFonts w:ascii="Times New Roman" w:hAnsi="Times New Roman" w:cs="Times New Roman"/>
                  <w:sz w:val="20"/>
                  <w:szCs w:val="20"/>
                </w:rPr>
                <w:t>Amended and Restated Bylaws of MRC Global Inc. dated November 7, 2013. (Incorporated by reference to Exhibit 3.1 to the Current Report on Form 8-K of MRC Global Inc. filed with the SEC on November 13, 2013, File No. 001-35479).</w:t>
              </w:r>
            </w:hyperlink>
          </w:p>
        </w:tc>
      </w:tr>
      <w:tr w:rsidR="000121CD">
        <w:trPr>
          <w:cantSplit/>
        </w:trPr>
        <w:tc>
          <w:tcPr>
            <w:tcW w:w="928" w:type="pct"/>
            <w:hideMark/>
          </w:tcPr>
          <w:p w:rsidR="000121CD" w:rsidRDefault="00590862">
            <w:pPr>
              <w:spacing w:after="240"/>
              <w:rPr>
                <w:rFonts w:ascii="Times New Roman" w:hAnsi="Times New Roman" w:cs="Times New Roman"/>
                <w:sz w:val="20"/>
                <w:szCs w:val="20"/>
              </w:rPr>
            </w:pPr>
            <w:r>
              <w:rPr>
                <w:rFonts w:ascii="Times New Roman" w:hAnsi="Times New Roman" w:cs="Times New Roman"/>
                <w:sz w:val="20"/>
                <w:szCs w:val="20"/>
              </w:rPr>
              <w:t>3.3</w:t>
            </w:r>
          </w:p>
        </w:tc>
        <w:tc>
          <w:tcPr>
            <w:tcW w:w="4072" w:type="pct"/>
            <w:hideMark/>
          </w:tcPr>
          <w:p w:rsidR="000121CD" w:rsidRDefault="00A46291">
            <w:pPr>
              <w:spacing w:after="240"/>
              <w:rPr>
                <w:rFonts w:ascii="Times New Roman" w:hAnsi="Times New Roman" w:cs="Times New Roman"/>
                <w:sz w:val="20"/>
                <w:szCs w:val="20"/>
              </w:rPr>
            </w:pPr>
            <w:hyperlink r:id="rId13" w:history="1">
              <w:r w:rsidR="00590862">
                <w:rPr>
                  <w:rStyle w:val="Hyperlink"/>
                  <w:rFonts w:ascii="Times New Roman" w:hAnsi="Times New Roman" w:cs="Times New Roman"/>
                  <w:sz w:val="20"/>
                  <w:szCs w:val="20"/>
                </w:rPr>
                <w:t>Certificate of Designations, Preferences, Rights and Limitations of Series A Convertible Perpetual Preferred Stock of MRC Global Inc.  (Incorporated by reference to Exhibit 3.1 to the Current Report on Form 8-K of MRC Global Inc. filed with the SEC on June 11, 2015, File No. 001-35479).</w:t>
              </w:r>
            </w:hyperlink>
          </w:p>
        </w:tc>
      </w:tr>
      <w:tr w:rsidR="00E97A6E">
        <w:trPr>
          <w:cantSplit/>
        </w:trPr>
        <w:tc>
          <w:tcPr>
            <w:tcW w:w="928" w:type="pct"/>
          </w:tcPr>
          <w:p w:rsidR="00E97A6E" w:rsidRPr="00E24E0B" w:rsidRDefault="00E97A6E">
            <w:pPr>
              <w:spacing w:after="240"/>
              <w:rPr>
                <w:rFonts w:ascii="Times New Roman" w:hAnsi="Times New Roman" w:cs="Times New Roman"/>
                <w:sz w:val="20"/>
                <w:szCs w:val="20"/>
              </w:rPr>
            </w:pPr>
            <w:r w:rsidRPr="00E24E0B">
              <w:rPr>
                <w:rFonts w:ascii="Times New Roman" w:hAnsi="Times New Roman" w:cs="Times New Roman"/>
                <w:sz w:val="20"/>
                <w:szCs w:val="20"/>
              </w:rPr>
              <w:t>4.1</w:t>
            </w:r>
            <w:r w:rsidR="00E24E0B">
              <w:rPr>
                <w:rFonts w:ascii="Times New Roman" w:hAnsi="Times New Roman" w:cs="Times New Roman"/>
                <w:sz w:val="20"/>
                <w:szCs w:val="20"/>
              </w:rPr>
              <w:t>*</w:t>
            </w:r>
          </w:p>
        </w:tc>
        <w:tc>
          <w:tcPr>
            <w:tcW w:w="4072" w:type="pct"/>
            <w:shd w:val="clear" w:color="auto" w:fill="auto"/>
          </w:tcPr>
          <w:p w:rsidR="00E97A6E" w:rsidRPr="00E24E0B" w:rsidRDefault="00A46291">
            <w:pPr>
              <w:spacing w:after="240"/>
              <w:rPr>
                <w:rFonts w:ascii="Times New Roman" w:hAnsi="Times New Roman" w:cs="Times New Roman"/>
                <w:sz w:val="20"/>
                <w:szCs w:val="20"/>
              </w:rPr>
            </w:pPr>
            <w:hyperlink r:id="rId14" w:tooltip="mrc-20191231xex4_1.htm" w:history="1">
              <w:r w:rsidR="004A17D0">
                <w:rPr>
                  <w:rStyle w:val="Hyperlink"/>
                  <w:rFonts w:ascii="Times New Roman" w:hAnsi="Times New Roman" w:cs="Times New Roman"/>
                  <w:sz w:val="20"/>
                  <w:szCs w:val="20"/>
                </w:rPr>
                <w:t>Description of Securities of Registrant.</w:t>
              </w:r>
            </w:hyperlink>
          </w:p>
        </w:tc>
      </w:tr>
      <w:tr w:rsidR="000121CD">
        <w:trPr>
          <w:cantSplit/>
        </w:trPr>
        <w:tc>
          <w:tcPr>
            <w:tcW w:w="928" w:type="pct"/>
            <w:hideMark/>
          </w:tcPr>
          <w:p w:rsidR="000121CD" w:rsidRDefault="00590862">
            <w:pPr>
              <w:spacing w:after="240"/>
              <w:rPr>
                <w:rFonts w:ascii="Times New Roman" w:hAnsi="Times New Roman" w:cs="Times New Roman"/>
                <w:sz w:val="20"/>
                <w:szCs w:val="20"/>
              </w:rPr>
            </w:pPr>
            <w:r>
              <w:rPr>
                <w:rFonts w:ascii="Times New Roman" w:hAnsi="Times New Roman" w:cs="Times New Roman"/>
                <w:sz w:val="20"/>
                <w:szCs w:val="20"/>
              </w:rPr>
              <w:t>10.1</w:t>
            </w:r>
          </w:p>
        </w:tc>
        <w:tc>
          <w:tcPr>
            <w:tcW w:w="4072" w:type="pct"/>
            <w:shd w:val="clear" w:color="auto" w:fill="auto"/>
            <w:hideMark/>
          </w:tcPr>
          <w:p w:rsidR="000121CD" w:rsidRDefault="00A46291">
            <w:pPr>
              <w:spacing w:after="240"/>
              <w:rPr>
                <w:rFonts w:ascii="Times New Roman" w:hAnsi="Times New Roman" w:cs="Times New Roman"/>
                <w:sz w:val="20"/>
                <w:szCs w:val="20"/>
              </w:rPr>
            </w:pPr>
            <w:hyperlink r:id="rId15" w:history="1">
              <w:r w:rsidR="00590862">
                <w:rPr>
                  <w:rStyle w:val="Hyperlink"/>
                  <w:rFonts w:ascii="Times New Roman" w:eastAsia="Times New Roman" w:hAnsi="Times New Roman"/>
                  <w:sz w:val="20"/>
                  <w:szCs w:val="20"/>
                </w:rPr>
                <w:t>Third Amended and Restated Loan, Security and Guarantee Agreement, dated as of September  22, 2017, among MRC Global (US) Inc., Greenbrier Petroleum Corporation, McJunkin Red Man Development Corporation, Midway-Tristate Corporation, Milton Oil  &amp; Gas Company, MRC Management Company, MRC Services Company LLC, Ruffner Realty Company and The South Texas Supply Company, Inc., as U.S. Borrowers and Guarantors, MRC Global Inc., as a guarantor, MRC Global Australia Pty Ltd., as Australian Borrower, MRC Global (Belgium) NV, as Belgian Borrower, MRC Global (Canada) ULC, as Canadian Borrower, MRC Global (Netherlands) B.V., as Dutch Borrower, MRC Global Norway AS, as Norwegian Borrower, MRC Transmark Limited, as UK Borrower, the other borrowers from time to time party thereto, certain financial institutions as lenders and Bank of America, N.A., as Administrative Agent, Security Trustee and Collateral Agent. (Incorporated by reference to Exhibit 10.1.2 to the Current Report on Form 8-K of MRC Global Inc. filed with the SEC on September 26, 2017, File No. 001-35479).</w:t>
              </w:r>
            </w:hyperlink>
          </w:p>
        </w:tc>
      </w:tr>
      <w:tr w:rsidR="000121CD">
        <w:tc>
          <w:tcPr>
            <w:tcW w:w="928" w:type="pct"/>
            <w:hideMark/>
          </w:tcPr>
          <w:p w:rsidR="000121CD" w:rsidRDefault="00590862">
            <w:pPr>
              <w:spacing w:after="240"/>
              <w:rPr>
                <w:rFonts w:ascii="Times New Roman" w:hAnsi="Times New Roman" w:cs="Times New Roman"/>
                <w:sz w:val="20"/>
                <w:szCs w:val="20"/>
              </w:rPr>
            </w:pPr>
            <w:r>
              <w:rPr>
                <w:rFonts w:ascii="Times New Roman" w:hAnsi="Times New Roman" w:cs="Times New Roman"/>
                <w:sz w:val="20"/>
                <w:szCs w:val="20"/>
              </w:rPr>
              <w:t>10.2</w:t>
            </w:r>
          </w:p>
        </w:tc>
        <w:tc>
          <w:tcPr>
            <w:tcW w:w="4072" w:type="pct"/>
            <w:shd w:val="clear" w:color="auto" w:fill="auto"/>
          </w:tcPr>
          <w:p w:rsidR="000121CD" w:rsidRDefault="00A46291">
            <w:pPr>
              <w:widowControl w:val="0"/>
              <w:kinsoku w:val="0"/>
              <w:overflowPunct w:val="0"/>
              <w:textAlignment w:val="baseline"/>
              <w:rPr>
                <w:rStyle w:val="Hyperlink"/>
                <w:sz w:val="20"/>
              </w:rPr>
            </w:pPr>
            <w:hyperlink r:id="rId16" w:history="1">
              <w:r w:rsidR="00590862">
                <w:rPr>
                  <w:rStyle w:val="Hyperlink"/>
                  <w:rFonts w:ascii="Times New Roman" w:eastAsia="Times New Roman" w:hAnsi="Times New Roman"/>
                  <w:sz w:val="20"/>
                  <w:szCs w:val="20"/>
                </w:rPr>
                <w:t>Refinancing Amendment and Successor Administrative Agent Agreement, dated as of September 22, 2017, among MRC Global (US) Inc., as borrower, MRC Global Inc., as a guarantor, the subsidiary guarantors party thereto, the lenders party thereto, U.S. Bank National Association, as the Collateral Trustee, JPMorgan Chase Bank, N.A., as the Successor Administrative Agent, and Bank of America, N.A., as Prior Administrative Agent. (Incorporated by reference to Exhibit 10.1.1 to the Current Report on Form 8-K of MRC Global Inc. filed with the SEC on September 26, 2017, File No. 001-35479).</w:t>
              </w:r>
            </w:hyperlink>
          </w:p>
          <w:p w:rsidR="000121CD" w:rsidRDefault="000121CD">
            <w:pPr>
              <w:widowControl w:val="0"/>
              <w:kinsoku w:val="0"/>
              <w:overflowPunct w:val="0"/>
              <w:textAlignment w:val="baseline"/>
              <w:rPr>
                <w:rFonts w:ascii="Times New Roman" w:hAnsi="Times New Roman" w:cs="Times New Roman"/>
                <w:sz w:val="20"/>
                <w:szCs w:val="20"/>
              </w:rPr>
            </w:pPr>
          </w:p>
        </w:tc>
      </w:tr>
      <w:tr w:rsidR="000121CD">
        <w:tc>
          <w:tcPr>
            <w:tcW w:w="928" w:type="pct"/>
          </w:tcPr>
          <w:p w:rsidR="000121CD" w:rsidRDefault="00590862">
            <w:pPr>
              <w:spacing w:after="240"/>
              <w:rPr>
                <w:rFonts w:ascii="Times New Roman" w:hAnsi="Times New Roman" w:cs="Times New Roman"/>
                <w:sz w:val="20"/>
              </w:rPr>
            </w:pPr>
            <w:r>
              <w:rPr>
                <w:rFonts w:ascii="Times New Roman" w:hAnsi="Times New Roman" w:cs="Times New Roman"/>
                <w:sz w:val="20"/>
              </w:rPr>
              <w:t>10.2.1</w:t>
            </w:r>
          </w:p>
        </w:tc>
        <w:tc>
          <w:tcPr>
            <w:tcW w:w="4072" w:type="pct"/>
            <w:shd w:val="clear" w:color="auto" w:fill="auto"/>
          </w:tcPr>
          <w:p w:rsidR="000121CD" w:rsidRDefault="00A46291">
            <w:pPr>
              <w:widowControl w:val="0"/>
              <w:kinsoku w:val="0"/>
              <w:overflowPunct w:val="0"/>
              <w:textAlignment w:val="baseline"/>
              <w:rPr>
                <w:rFonts w:ascii="Times New Roman" w:hAnsi="Times New Roman" w:cs="Times New Roman"/>
                <w:sz w:val="20"/>
                <w:szCs w:val="20"/>
              </w:rPr>
            </w:pPr>
            <w:hyperlink r:id="rId17" w:history="1">
              <w:r w:rsidR="00590862" w:rsidRPr="00395EDB">
                <w:rPr>
                  <w:rStyle w:val="Hyperlink"/>
                  <w:rFonts w:ascii="Times New Roman" w:eastAsia="Times New Roman" w:hAnsi="Times New Roman"/>
                  <w:sz w:val="20"/>
                  <w:szCs w:val="20"/>
                </w:rPr>
                <w:t>Refinancing</w:t>
              </w:r>
              <w:r w:rsidR="00590862" w:rsidRPr="00395EDB">
                <w:rPr>
                  <w:rStyle w:val="Hyperlink"/>
                  <w:rFonts w:ascii="Times New Roman" w:hAnsi="Times New Roman" w:cs="Times New Roman"/>
                  <w:sz w:val="20"/>
                  <w:szCs w:val="20"/>
                </w:rPr>
                <w:t xml:space="preserve"> Amendment No. 2, dated as of May 22, 2018, among MRC Global (US) Inc., as borrower, MRC Global Inc. as guarantor, the subsidiary guarantors party thereto, the lenders party thereto, U.S. Bank National Association, as the Collateral Trustee, and JP Morgan Chase Bank, N.A. as the Administrative Agent. (Incorporated by reference to Exhibit 10.1 to the Current Report on Form 8-K of MRC Global Inc. filed with the SEC on May 25, 2018, File No. 001-35479)</w:t>
              </w:r>
            </w:hyperlink>
            <w:r w:rsidR="00FE1A74">
              <w:rPr>
                <w:rStyle w:val="Hyperlink"/>
                <w:sz w:val="20"/>
              </w:rPr>
              <w:t>.</w:t>
            </w:r>
          </w:p>
        </w:tc>
      </w:tr>
    </w:tbl>
    <w:p w:rsidR="000121CD" w:rsidRDefault="000121CD">
      <w:pPr>
        <w:rPr>
          <w:sz w:val="2"/>
          <w:szCs w:val="2"/>
        </w:rPr>
      </w:pPr>
    </w:p>
    <w:p w:rsidR="000121CD" w:rsidRDefault="000121CD">
      <w:pPr>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8796"/>
      </w:tblGrid>
      <w:tr w:rsidR="000121CD" w:rsidTr="00395EDB">
        <w:trPr>
          <w:cantSplit/>
          <w:trHeight w:hRule="exact" w:val="180"/>
        </w:trPr>
        <w:tc>
          <w:tcPr>
            <w:tcW w:w="928" w:type="pct"/>
            <w:tcBorders>
              <w:top w:val="nil"/>
              <w:left w:val="nil"/>
              <w:bottom w:val="nil"/>
              <w:right w:val="nil"/>
            </w:tcBorders>
          </w:tcPr>
          <w:p w:rsidR="000121CD" w:rsidRDefault="000121CD">
            <w:pPr>
              <w:rPr>
                <w:sz w:val="2"/>
              </w:rPr>
            </w:pPr>
          </w:p>
        </w:tc>
        <w:tc>
          <w:tcPr>
            <w:tcW w:w="4072" w:type="pct"/>
            <w:tcBorders>
              <w:top w:val="nil"/>
              <w:left w:val="nil"/>
              <w:bottom w:val="nil"/>
              <w:right w:val="nil"/>
            </w:tcBorders>
          </w:tcPr>
          <w:p w:rsidR="000121CD" w:rsidRDefault="000121CD">
            <w:pPr>
              <w:rPr>
                <w:sz w:val="2"/>
              </w:rPr>
            </w:pPr>
          </w:p>
        </w:tc>
      </w:tr>
      <w:tr w:rsidR="000121CD">
        <w:trPr>
          <w:cantSplit/>
        </w:trPr>
        <w:tc>
          <w:tcPr>
            <w:tcW w:w="928" w:type="pct"/>
            <w:hideMark/>
          </w:tcPr>
          <w:p w:rsidR="000121CD" w:rsidRDefault="00590862">
            <w:pPr>
              <w:spacing w:after="240"/>
              <w:rPr>
                <w:rFonts w:ascii="Times New Roman" w:hAnsi="Times New Roman" w:cs="Times New Roman"/>
                <w:sz w:val="20"/>
                <w:szCs w:val="20"/>
              </w:rPr>
            </w:pPr>
            <w:r>
              <w:rPr>
                <w:rFonts w:ascii="Times New Roman" w:hAnsi="Times New Roman" w:cs="Times New Roman"/>
                <w:sz w:val="20"/>
                <w:szCs w:val="20"/>
              </w:rPr>
              <w:t>10.2.2</w:t>
            </w:r>
          </w:p>
        </w:tc>
        <w:tc>
          <w:tcPr>
            <w:tcW w:w="4072" w:type="pct"/>
            <w:hideMark/>
          </w:tcPr>
          <w:p w:rsidR="000121CD" w:rsidRDefault="00A46291">
            <w:pPr>
              <w:spacing w:after="240"/>
              <w:rPr>
                <w:rFonts w:ascii="Times New Roman" w:hAnsi="Times New Roman" w:cs="Times New Roman"/>
                <w:sz w:val="20"/>
                <w:szCs w:val="20"/>
              </w:rPr>
            </w:pPr>
            <w:hyperlink r:id="rId18" w:history="1">
              <w:r w:rsidR="00590862">
                <w:rPr>
                  <w:rStyle w:val="Hyperlink"/>
                  <w:rFonts w:ascii="Times New Roman" w:hAnsi="Times New Roman" w:cs="Times New Roman"/>
                  <w:sz w:val="20"/>
                  <w:szCs w:val="20"/>
                </w:rPr>
                <w:t>Term Loan Guarantee and Acknowledgment, dated as of November 9, 2012, by each of the signatories listed on the signature pages thereto and each of the other entities that becomes a party thereto, in favor of the Administrative Agent (as defined therein) for the benefit of the Guaranteed Parties (as defined therein). (Incorporated by reference to Exhibit 10.2 to the Current Report on Form 8-K of MRC Global Inc. filed with the SEC on November 9, 2012, File No. 001-35479).</w:t>
              </w:r>
            </w:hyperlink>
          </w:p>
        </w:tc>
      </w:tr>
      <w:tr w:rsidR="000121CD">
        <w:trPr>
          <w:cantSplit/>
        </w:trPr>
        <w:tc>
          <w:tcPr>
            <w:tcW w:w="928" w:type="pct"/>
          </w:tcPr>
          <w:p w:rsidR="000121CD" w:rsidRDefault="00590862">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lastRenderedPageBreak/>
              <w:t>Exhibit Number</w:t>
            </w:r>
          </w:p>
        </w:tc>
        <w:tc>
          <w:tcPr>
            <w:tcW w:w="4072" w:type="pct"/>
          </w:tcPr>
          <w:p w:rsidR="000121CD" w:rsidRDefault="00590862">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t>Description</w:t>
            </w:r>
          </w:p>
        </w:tc>
      </w:tr>
      <w:tr w:rsidR="000121CD">
        <w:trPr>
          <w:cantSplit/>
        </w:trPr>
        <w:tc>
          <w:tcPr>
            <w:tcW w:w="928" w:type="pct"/>
            <w:hideMark/>
          </w:tcPr>
          <w:p w:rsidR="000121CD" w:rsidRDefault="00590862">
            <w:pPr>
              <w:spacing w:after="240"/>
              <w:rPr>
                <w:rFonts w:ascii="Times New Roman" w:hAnsi="Times New Roman" w:cs="Times New Roman"/>
                <w:sz w:val="20"/>
                <w:szCs w:val="20"/>
              </w:rPr>
            </w:pPr>
            <w:r>
              <w:rPr>
                <w:rFonts w:ascii="Times New Roman" w:hAnsi="Times New Roman" w:cs="Times New Roman"/>
                <w:sz w:val="20"/>
                <w:szCs w:val="20"/>
              </w:rPr>
              <w:t>10.2.3</w:t>
            </w:r>
          </w:p>
        </w:tc>
        <w:tc>
          <w:tcPr>
            <w:tcW w:w="4072" w:type="pct"/>
            <w:hideMark/>
          </w:tcPr>
          <w:p w:rsidR="000121CD" w:rsidRDefault="00A46291">
            <w:pPr>
              <w:spacing w:after="240"/>
              <w:rPr>
                <w:rFonts w:ascii="Times New Roman" w:hAnsi="Times New Roman" w:cs="Times New Roman"/>
                <w:sz w:val="20"/>
                <w:szCs w:val="20"/>
              </w:rPr>
            </w:pPr>
            <w:hyperlink r:id="rId19" w:history="1">
              <w:r w:rsidR="00590862">
                <w:rPr>
                  <w:rStyle w:val="Hyperlink"/>
                  <w:rFonts w:ascii="Times New Roman" w:hAnsi="Times New Roman" w:cs="Times New Roman"/>
                  <w:sz w:val="20"/>
                  <w:szCs w:val="20"/>
                </w:rPr>
                <w:t>Security Agreement, dated as of November 9, 2012, among MRC Global (US) Inc., MRC Global Inc., each of the subsidiaries of MRC Global Inc. listed on the signature pages thereto and U.S. Bank National Association, as Collateral Trustee for the benefit of the Secured Parties (as defined therein). (Incorporated by reference to Exhibit 10.3 to the Current Report on Form 8-K of MRC Global Inc. filed with the SEC on November 9, 2012, File No. 001-35479).</w:t>
              </w:r>
            </w:hyperlink>
          </w:p>
        </w:tc>
      </w:tr>
      <w:tr w:rsidR="000121CD">
        <w:trPr>
          <w:cantSplit/>
        </w:trPr>
        <w:tc>
          <w:tcPr>
            <w:tcW w:w="928" w:type="pct"/>
            <w:hideMark/>
          </w:tcPr>
          <w:p w:rsidR="000121CD" w:rsidRDefault="00590862">
            <w:pPr>
              <w:spacing w:after="240"/>
              <w:rPr>
                <w:rFonts w:ascii="Times New Roman" w:hAnsi="Times New Roman" w:cs="Times New Roman"/>
                <w:sz w:val="20"/>
                <w:szCs w:val="20"/>
              </w:rPr>
            </w:pPr>
            <w:r>
              <w:rPr>
                <w:rFonts w:ascii="Times New Roman" w:hAnsi="Times New Roman" w:cs="Times New Roman"/>
                <w:sz w:val="20"/>
                <w:szCs w:val="20"/>
              </w:rPr>
              <w:t>10.2.4</w:t>
            </w:r>
          </w:p>
        </w:tc>
        <w:tc>
          <w:tcPr>
            <w:tcW w:w="4072" w:type="pct"/>
            <w:hideMark/>
          </w:tcPr>
          <w:p w:rsidR="000121CD" w:rsidRDefault="00A46291">
            <w:pPr>
              <w:spacing w:after="240"/>
              <w:rPr>
                <w:rFonts w:ascii="Times New Roman" w:hAnsi="Times New Roman" w:cs="Times New Roman"/>
                <w:sz w:val="20"/>
                <w:szCs w:val="20"/>
              </w:rPr>
            </w:pPr>
            <w:hyperlink r:id="rId20" w:history="1">
              <w:r w:rsidR="00590862">
                <w:rPr>
                  <w:rStyle w:val="Hyperlink"/>
                  <w:rFonts w:ascii="Times New Roman" w:hAnsi="Times New Roman" w:cs="Times New Roman"/>
                  <w:sz w:val="20"/>
                  <w:szCs w:val="20"/>
                </w:rPr>
                <w:t>Term Loan Pledge Agreement, dated as of November 9, 2012, among MRC Global (US) Inc., MRC Global Inc., each of the subsidiaries of MRC Global Inc. listed on the signature pages thereto and U.S. Bank National Association, as Collateral Trustee, for the benefit of the Secured Parties (as defined therein). (Incorporated by reference to Exhibit 10.4 to the Current Report on Form 8-K of MRC Global Inc. filed with the SEC on November 9, 2012, File No. 001-35479).</w:t>
              </w:r>
            </w:hyperlink>
          </w:p>
        </w:tc>
      </w:tr>
      <w:tr w:rsidR="000121CD">
        <w:trPr>
          <w:cantSplit/>
        </w:trPr>
        <w:tc>
          <w:tcPr>
            <w:tcW w:w="928" w:type="pct"/>
            <w:hideMark/>
          </w:tcPr>
          <w:p w:rsidR="000121CD" w:rsidRDefault="00590862">
            <w:pPr>
              <w:spacing w:after="240"/>
              <w:rPr>
                <w:rFonts w:ascii="Times New Roman" w:hAnsi="Times New Roman" w:cs="Times New Roman"/>
                <w:sz w:val="20"/>
                <w:szCs w:val="20"/>
              </w:rPr>
            </w:pPr>
            <w:r>
              <w:rPr>
                <w:rFonts w:ascii="Times New Roman" w:hAnsi="Times New Roman" w:cs="Times New Roman"/>
                <w:sz w:val="20"/>
                <w:szCs w:val="20"/>
              </w:rPr>
              <w:t>10.2.5</w:t>
            </w:r>
          </w:p>
        </w:tc>
        <w:tc>
          <w:tcPr>
            <w:tcW w:w="4072" w:type="pct"/>
            <w:hideMark/>
          </w:tcPr>
          <w:p w:rsidR="000121CD" w:rsidRDefault="00A46291">
            <w:pPr>
              <w:spacing w:after="240"/>
              <w:rPr>
                <w:rFonts w:ascii="Times New Roman" w:hAnsi="Times New Roman" w:cs="Times New Roman"/>
                <w:sz w:val="20"/>
                <w:szCs w:val="20"/>
              </w:rPr>
            </w:pPr>
            <w:hyperlink r:id="rId21" w:history="1">
              <w:r w:rsidR="00590862">
                <w:rPr>
                  <w:rStyle w:val="Hyperlink"/>
                  <w:rFonts w:ascii="Times New Roman" w:hAnsi="Times New Roman" w:cs="Times New Roman"/>
                  <w:sz w:val="20"/>
                  <w:szCs w:val="20"/>
                </w:rPr>
                <w:t>Refinancing Amendment and Incremental Joinder Agreement, dated as of November 19, 2013, among MRC Global (US) Inc., MRC Global Inc., subsidiary guarantors party thereto and Bank of America, N.A. as Administrative Agent and Lender, for the benefit of the Secured Parties (as defined therein). (Incorporated by reference to Exhibit 10.1 to the Current Report on Form 8-K of MRC Global Inc. filed with the SEC on November 20, 2013, File No. 001-35479).</w:t>
              </w:r>
            </w:hyperlink>
          </w:p>
        </w:tc>
      </w:tr>
      <w:tr w:rsidR="000121CD">
        <w:trPr>
          <w:cantSplit/>
        </w:trPr>
        <w:tc>
          <w:tcPr>
            <w:tcW w:w="928" w:type="pct"/>
            <w:hideMark/>
          </w:tcPr>
          <w:p w:rsidR="000121CD" w:rsidRDefault="00590862">
            <w:pPr>
              <w:spacing w:after="240"/>
              <w:rPr>
                <w:rFonts w:ascii="Times New Roman" w:hAnsi="Times New Roman" w:cs="Times New Roman"/>
                <w:sz w:val="20"/>
                <w:szCs w:val="20"/>
              </w:rPr>
            </w:pPr>
            <w:r>
              <w:rPr>
                <w:rFonts w:ascii="Times New Roman" w:hAnsi="Times New Roman" w:cs="Times New Roman"/>
                <w:sz w:val="20"/>
                <w:szCs w:val="20"/>
              </w:rPr>
              <w:t>10.2.6</w:t>
            </w:r>
          </w:p>
        </w:tc>
        <w:tc>
          <w:tcPr>
            <w:tcW w:w="4072" w:type="pct"/>
            <w:hideMark/>
          </w:tcPr>
          <w:p w:rsidR="000121CD" w:rsidRDefault="00A46291">
            <w:pPr>
              <w:spacing w:after="240"/>
              <w:rPr>
                <w:rFonts w:ascii="Times New Roman" w:hAnsi="Times New Roman" w:cs="Times New Roman"/>
                <w:sz w:val="20"/>
                <w:szCs w:val="20"/>
              </w:rPr>
            </w:pPr>
            <w:hyperlink r:id="rId22" w:history="1">
              <w:r w:rsidR="00590862">
                <w:rPr>
                  <w:rStyle w:val="Hyperlink"/>
                  <w:rFonts w:ascii="Times New Roman" w:eastAsia="Times New Roman" w:hAnsi="Times New Roman" w:cs="Times New Roman"/>
                  <w:sz w:val="20"/>
                  <w:szCs w:val="20"/>
                </w:rPr>
                <w:t xml:space="preserve">Second Amendment, dated as of June 11, 2015, by and among </w:t>
              </w:r>
              <w:r w:rsidR="00590862">
                <w:rPr>
                  <w:rStyle w:val="Hyperlink"/>
                  <w:rFonts w:ascii="Times New Roman" w:hAnsi="Times New Roman" w:cs="Times New Roman"/>
                  <w:sz w:val="20"/>
                  <w:szCs w:val="20"/>
                </w:rPr>
                <w:t>MRC Global (US) Inc.</w:t>
              </w:r>
              <w:r w:rsidR="00590862">
                <w:rPr>
                  <w:rStyle w:val="Hyperlink"/>
                  <w:rFonts w:ascii="Times New Roman" w:eastAsia="Times New Roman" w:hAnsi="Times New Roman" w:cs="Times New Roman"/>
                  <w:sz w:val="20"/>
                  <w:szCs w:val="20"/>
                </w:rPr>
                <w:t>, as the borrower, MRC Global Inc., as guarantor, the subsidiary guarantors party thereto, the lenders party thereto, Bank of America, N.A., as Administrative Agent, and U.S. Bank National Association, as Collateral Trustee.  (Incorporated by reference to Exhibit 10.3 to the Current Report on Form 8-K of MRC Global Inc. filed with the SEC on June 11, 2015, File No. 001-35479).</w:t>
              </w:r>
            </w:hyperlink>
          </w:p>
        </w:tc>
      </w:tr>
      <w:tr w:rsidR="000121CD">
        <w:trPr>
          <w:cantSplit/>
        </w:trPr>
        <w:tc>
          <w:tcPr>
            <w:tcW w:w="928" w:type="pct"/>
          </w:tcPr>
          <w:p w:rsidR="000121CD" w:rsidRDefault="00590862">
            <w:pPr>
              <w:spacing w:after="240"/>
              <w:rPr>
                <w:rFonts w:ascii="Times New Roman" w:hAnsi="Times New Roman" w:cs="Times New Roman"/>
                <w:sz w:val="20"/>
              </w:rPr>
            </w:pPr>
            <w:r>
              <w:rPr>
                <w:rFonts w:ascii="Times New Roman" w:hAnsi="Times New Roman" w:cs="Times New Roman"/>
                <w:sz w:val="20"/>
              </w:rPr>
              <w:t>10.2.7</w:t>
            </w:r>
          </w:p>
        </w:tc>
        <w:tc>
          <w:tcPr>
            <w:tcW w:w="4072" w:type="pct"/>
          </w:tcPr>
          <w:p w:rsidR="000121CD" w:rsidRDefault="00A46291">
            <w:pPr>
              <w:spacing w:after="240"/>
            </w:pPr>
            <w:hyperlink r:id="rId23" w:history="1">
              <w:r w:rsidR="00590862">
                <w:rPr>
                  <w:rStyle w:val="Hyperlink"/>
                  <w:rFonts w:ascii="Times New Roman" w:hAnsi="Times New Roman"/>
                  <w:sz w:val="20"/>
                  <w:szCs w:val="20"/>
                </w:rPr>
                <w:t xml:space="preserve">Notice of Amendment and Confirmation of Intercreditor Agreement, dated September 22, 2017, by and between Bank of America, N.A., in its capacity as administrative agent and collateral agent for the Revolving Credit Lenders under the Revolving Credit Agreement, JPMorgan Chase Bank, N.A., in its capacity as administrative agent for the Term Lenders as of the date hereof, U.S. Bank National Association, in its capacity as collateral trustee for the Term Secured Parties, the Additional Term Secured Parties, if any, and the Subordinated Lien Secured Parties, if any, MRC Global Inc. and certain of its subsidiaries. </w:t>
              </w:r>
              <w:r w:rsidR="00590862">
                <w:rPr>
                  <w:rStyle w:val="Hyperlink"/>
                  <w:rFonts w:ascii="Times New Roman" w:eastAsia="Times New Roman" w:hAnsi="Times New Roman"/>
                  <w:sz w:val="20"/>
                  <w:szCs w:val="20"/>
                </w:rPr>
                <w:t>(Incorporated by reference to Exhibit 10.1.3 to the Current Report on Form 8-K of MRC Global Inc. filed with the SEC on September 26, 2017, File No. 001-35479).</w:t>
              </w:r>
            </w:hyperlink>
          </w:p>
        </w:tc>
      </w:tr>
      <w:tr w:rsidR="000121CD">
        <w:trPr>
          <w:cantSplit/>
        </w:trPr>
        <w:tc>
          <w:tcPr>
            <w:tcW w:w="928" w:type="pct"/>
          </w:tcPr>
          <w:p w:rsidR="000121CD" w:rsidRDefault="00590862">
            <w:pPr>
              <w:spacing w:after="240"/>
              <w:rPr>
                <w:rFonts w:ascii="Times New Roman" w:hAnsi="Times New Roman" w:cs="Times New Roman"/>
                <w:sz w:val="20"/>
              </w:rPr>
            </w:pPr>
            <w:r>
              <w:rPr>
                <w:rFonts w:ascii="Times New Roman" w:hAnsi="Times New Roman" w:cs="Times New Roman"/>
                <w:sz w:val="20"/>
              </w:rPr>
              <w:t>10.2.8</w:t>
            </w:r>
          </w:p>
        </w:tc>
        <w:tc>
          <w:tcPr>
            <w:tcW w:w="4072" w:type="pct"/>
          </w:tcPr>
          <w:p w:rsidR="000121CD" w:rsidRDefault="00A46291">
            <w:pPr>
              <w:spacing w:after="240"/>
              <w:rPr>
                <w:sz w:val="20"/>
              </w:rPr>
            </w:pPr>
            <w:hyperlink r:id="rId24" w:history="1">
              <w:r w:rsidR="00590862">
                <w:rPr>
                  <w:rStyle w:val="Hyperlink"/>
                  <w:rFonts w:ascii="Times New Roman" w:hAnsi="Times New Roman"/>
                  <w:sz w:val="20"/>
                  <w:szCs w:val="20"/>
                  <w:shd w:val="clear" w:color="auto" w:fill="FFFFFF"/>
                </w:rPr>
                <w:t>Notice of Amendment and Confirmation of Intercreditor Agreement, dated September 22, 2017, by and between Bank of America, N.A., in its capacity as administrative agent and collateral agent for the Revolving Credit Lenders under the Revolving Credit Agreement, U.S. Bank National Association, in its capacity as collateral trustee for the Term Secured Parties, the Additional Term Secured Parties, if any, and the Subordinated Lien Secured Parties, if any, MRC Global Inc. and certain of its subsidiaries.</w:t>
              </w:r>
              <w:r w:rsidR="00590862">
                <w:rPr>
                  <w:rStyle w:val="Hyperlink"/>
                  <w:rFonts w:ascii="Times New Roman" w:eastAsia="Times New Roman" w:hAnsi="Times New Roman"/>
                  <w:sz w:val="20"/>
                  <w:szCs w:val="20"/>
                </w:rPr>
                <w:t xml:space="preserve"> (Incorporated by reference to Exhibit 10.1.4 to the Current Report on Form 8-K of MRC Global Inc. filed with the SEC on September 26, 2017, File No. 001-35479).</w:t>
              </w:r>
            </w:hyperlink>
          </w:p>
        </w:tc>
      </w:tr>
      <w:tr w:rsidR="000121CD">
        <w:trPr>
          <w:cantSplit/>
        </w:trPr>
        <w:tc>
          <w:tcPr>
            <w:tcW w:w="928" w:type="pct"/>
            <w:hideMark/>
          </w:tcPr>
          <w:p w:rsidR="000121CD" w:rsidRDefault="00590862">
            <w:pPr>
              <w:spacing w:after="240"/>
              <w:rPr>
                <w:rFonts w:ascii="Times New Roman" w:hAnsi="Times New Roman" w:cs="Times New Roman"/>
                <w:sz w:val="20"/>
                <w:szCs w:val="20"/>
              </w:rPr>
            </w:pPr>
            <w:r>
              <w:rPr>
                <w:rFonts w:ascii="Times New Roman" w:hAnsi="Times New Roman" w:cs="Times New Roman"/>
                <w:sz w:val="20"/>
                <w:szCs w:val="20"/>
              </w:rPr>
              <w:t>10.3†</w:t>
            </w:r>
          </w:p>
        </w:tc>
        <w:tc>
          <w:tcPr>
            <w:tcW w:w="4072" w:type="pct"/>
            <w:hideMark/>
          </w:tcPr>
          <w:p w:rsidR="000121CD" w:rsidRDefault="00A46291">
            <w:pPr>
              <w:spacing w:after="240"/>
              <w:rPr>
                <w:rFonts w:ascii="Times New Roman" w:hAnsi="Times New Roman" w:cs="Times New Roman"/>
                <w:sz w:val="20"/>
                <w:szCs w:val="20"/>
              </w:rPr>
            </w:pPr>
            <w:hyperlink r:id="rId25" w:history="1">
              <w:r w:rsidR="00590862">
                <w:rPr>
                  <w:rStyle w:val="Hyperlink"/>
                  <w:rFonts w:ascii="Times New Roman" w:hAnsi="Times New Roman" w:cs="Times New Roman"/>
                  <w:sz w:val="20"/>
                  <w:szCs w:val="20"/>
                </w:rPr>
                <w:t>Employment Agreement, dated as of May 16, 2013, between MRC Global Inc. and Andrew R. Lane. (Incorporated by reference to Exhibit 10.1 to the Current Report on Form 8-K of MRC Global Inc. filed with the SEC on May 17, 2013, File No. 001-35479).</w:t>
              </w:r>
            </w:hyperlink>
          </w:p>
        </w:tc>
      </w:tr>
      <w:tr w:rsidR="000121CD">
        <w:trPr>
          <w:cantSplit/>
        </w:trPr>
        <w:tc>
          <w:tcPr>
            <w:tcW w:w="928" w:type="pct"/>
          </w:tcPr>
          <w:p w:rsidR="000121CD" w:rsidRDefault="00590862">
            <w:pPr>
              <w:spacing w:after="240"/>
              <w:rPr>
                <w:rFonts w:ascii="Times New Roman" w:hAnsi="Times New Roman" w:cs="Times New Roman"/>
                <w:sz w:val="20"/>
                <w:szCs w:val="20"/>
              </w:rPr>
            </w:pPr>
            <w:r>
              <w:rPr>
                <w:rFonts w:ascii="Times New Roman" w:hAnsi="Times New Roman" w:cs="Times New Roman"/>
                <w:sz w:val="20"/>
                <w:szCs w:val="20"/>
              </w:rPr>
              <w:t>10.3.1†</w:t>
            </w:r>
          </w:p>
        </w:tc>
        <w:tc>
          <w:tcPr>
            <w:tcW w:w="4072" w:type="pct"/>
          </w:tcPr>
          <w:p w:rsidR="000121CD" w:rsidRDefault="00A46291">
            <w:pPr>
              <w:spacing w:after="240"/>
              <w:rPr>
                <w:rFonts w:ascii="Times New Roman" w:hAnsi="Times New Roman" w:cs="Times New Roman"/>
                <w:sz w:val="20"/>
                <w:szCs w:val="20"/>
              </w:rPr>
            </w:pPr>
            <w:hyperlink r:id="rId26" w:history="1">
              <w:r w:rsidR="00590862">
                <w:rPr>
                  <w:rStyle w:val="Hyperlink"/>
                  <w:rFonts w:ascii="Times New Roman" w:hAnsi="Times New Roman" w:cs="Times New Roman"/>
                  <w:sz w:val="20"/>
                  <w:szCs w:val="20"/>
                </w:rPr>
                <w:t>First Amendment to Employment Agreement between MRC Global Inc. and Andrew R. Lane. (Incorporated by reference to Exhibit 10.4.2 to the Annual Report on Form 10-K of MRC Global Inc., filed with the SEC on February 17, 2017, File No. 001-35479).</w:t>
              </w:r>
            </w:hyperlink>
          </w:p>
        </w:tc>
      </w:tr>
      <w:tr w:rsidR="009F1AEA">
        <w:trPr>
          <w:cantSplit/>
        </w:trPr>
        <w:tc>
          <w:tcPr>
            <w:tcW w:w="928" w:type="pct"/>
          </w:tcPr>
          <w:p w:rsidR="009F1AEA" w:rsidRPr="00E62EE0" w:rsidRDefault="00E62EE0">
            <w:pPr>
              <w:spacing w:after="240"/>
              <w:rPr>
                <w:rFonts w:ascii="Times New Roman" w:hAnsi="Times New Roman" w:cs="Times New Roman"/>
                <w:sz w:val="20"/>
              </w:rPr>
            </w:pPr>
            <w:r w:rsidRPr="00E62EE0">
              <w:rPr>
                <w:rFonts w:ascii="Times New Roman" w:hAnsi="Times New Roman" w:cs="Times New Roman"/>
                <w:sz w:val="20"/>
              </w:rPr>
              <w:t>10.3.2</w:t>
            </w:r>
            <w:r>
              <w:rPr>
                <w:rFonts w:ascii="Times New Roman" w:hAnsi="Times New Roman" w:cs="Times New Roman"/>
                <w:sz w:val="20"/>
                <w:szCs w:val="20"/>
              </w:rPr>
              <w:t>†</w:t>
            </w:r>
          </w:p>
        </w:tc>
        <w:tc>
          <w:tcPr>
            <w:tcW w:w="4072" w:type="pct"/>
          </w:tcPr>
          <w:p w:rsidR="009F1AEA" w:rsidRPr="00E62EE0" w:rsidRDefault="00A46291">
            <w:pPr>
              <w:spacing w:after="240"/>
              <w:rPr>
                <w:rFonts w:ascii="Times New Roman" w:hAnsi="Times New Roman" w:cs="Times New Roman"/>
              </w:rPr>
            </w:pPr>
            <w:hyperlink r:id="rId27" w:history="1">
              <w:r w:rsidR="00E62EE0" w:rsidRPr="00395EDB">
                <w:rPr>
                  <w:rStyle w:val="Hyperlink"/>
                  <w:rFonts w:ascii="Times New Roman" w:hAnsi="Times New Roman" w:cs="Times New Roman"/>
                  <w:sz w:val="20"/>
                </w:rPr>
                <w:t>Second Amendment to Employment Agreement, dated as of October 29, 2019, between MRC Global Inc. and Andrew R. Lane (Incorporated by reference to Exhibit 10.1 to the Current Report on Form 8-K of MRC Global Inc. filed with the SEC on October 30, 2019, File No. 001-35479).</w:t>
              </w:r>
            </w:hyperlink>
          </w:p>
        </w:tc>
      </w:tr>
      <w:tr w:rsidR="000121CD">
        <w:trPr>
          <w:cantSplit/>
        </w:trPr>
        <w:tc>
          <w:tcPr>
            <w:tcW w:w="928" w:type="pct"/>
          </w:tcPr>
          <w:p w:rsidR="000121CD" w:rsidRDefault="00590862">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lastRenderedPageBreak/>
              <w:t>Exhibit Number</w:t>
            </w:r>
          </w:p>
        </w:tc>
        <w:tc>
          <w:tcPr>
            <w:tcW w:w="4072" w:type="pct"/>
          </w:tcPr>
          <w:p w:rsidR="000121CD" w:rsidRDefault="00590862">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t>Description</w:t>
            </w:r>
          </w:p>
        </w:tc>
      </w:tr>
      <w:tr w:rsidR="000121CD">
        <w:trPr>
          <w:cantSplit/>
        </w:trPr>
        <w:tc>
          <w:tcPr>
            <w:tcW w:w="928" w:type="pct"/>
            <w:hideMark/>
          </w:tcPr>
          <w:p w:rsidR="000121CD" w:rsidRDefault="00590862">
            <w:pPr>
              <w:keepNext/>
              <w:spacing w:after="240"/>
              <w:rPr>
                <w:rFonts w:ascii="Times New Roman" w:hAnsi="Times New Roman" w:cs="Times New Roman"/>
                <w:sz w:val="20"/>
                <w:szCs w:val="20"/>
              </w:rPr>
            </w:pPr>
            <w:r>
              <w:rPr>
                <w:rFonts w:ascii="Times New Roman" w:hAnsi="Times New Roman" w:cs="Times New Roman"/>
                <w:sz w:val="20"/>
                <w:szCs w:val="20"/>
              </w:rPr>
              <w:t>10.4†</w:t>
            </w:r>
          </w:p>
        </w:tc>
        <w:tc>
          <w:tcPr>
            <w:tcW w:w="4072" w:type="pct"/>
            <w:hideMark/>
          </w:tcPr>
          <w:p w:rsidR="000121CD" w:rsidRDefault="00A46291">
            <w:pPr>
              <w:keepNext/>
              <w:spacing w:after="240"/>
              <w:rPr>
                <w:rFonts w:ascii="Times New Roman" w:hAnsi="Times New Roman" w:cs="Times New Roman"/>
                <w:sz w:val="20"/>
                <w:szCs w:val="20"/>
              </w:rPr>
            </w:pPr>
            <w:hyperlink r:id="rId28" w:history="1">
              <w:r w:rsidR="00590862">
                <w:rPr>
                  <w:rStyle w:val="Hyperlink"/>
                  <w:rFonts w:ascii="Times New Roman" w:hAnsi="Times New Roman" w:cs="Times New Roman"/>
                  <w:sz w:val="20"/>
                  <w:szCs w:val="20"/>
                </w:rPr>
                <w:t>Form of Employment Agreement by and among MRC Global Inc. and each of James E. Braun and Daniel J. Churay (Incorporated by reference to Exhibit 10.5 to Form 10-K of MRC Global Inc. for the year ended December 31, 2013, filed with the SEC on February 21, 2014, File No. 001-35479).</w:t>
              </w:r>
            </w:hyperlink>
          </w:p>
        </w:tc>
      </w:tr>
      <w:tr w:rsidR="00E62EE0">
        <w:trPr>
          <w:cantSplit/>
        </w:trPr>
        <w:tc>
          <w:tcPr>
            <w:tcW w:w="928" w:type="pct"/>
          </w:tcPr>
          <w:p w:rsidR="00E62EE0" w:rsidRDefault="00E62EE0">
            <w:pPr>
              <w:keepNext/>
              <w:spacing w:after="240"/>
              <w:rPr>
                <w:sz w:val="20"/>
              </w:rPr>
            </w:pPr>
            <w:r>
              <w:rPr>
                <w:rFonts w:ascii="Times New Roman" w:hAnsi="Times New Roman" w:cs="Times New Roman"/>
                <w:sz w:val="20"/>
                <w:szCs w:val="20"/>
              </w:rPr>
              <w:t>10.4.1†</w:t>
            </w:r>
          </w:p>
        </w:tc>
        <w:tc>
          <w:tcPr>
            <w:tcW w:w="4072" w:type="pct"/>
          </w:tcPr>
          <w:p w:rsidR="00E62EE0" w:rsidRPr="00E62EE0" w:rsidRDefault="00E62EE0" w:rsidP="00E62EE0">
            <w:pPr>
              <w:keepNext/>
              <w:spacing w:after="240"/>
              <w:rPr>
                <w:rFonts w:ascii="Times New Roman" w:hAnsi="Times New Roman" w:cs="Times New Roman"/>
                <w:color w:val="0000FF" w:themeColor="hyperlink"/>
                <w:u w:val="single"/>
              </w:rPr>
            </w:pPr>
            <w:r w:rsidRPr="00E62EE0">
              <w:rPr>
                <w:rStyle w:val="Hyperlink"/>
                <w:rFonts w:ascii="Times New Roman" w:hAnsi="Times New Roman" w:cs="Times New Roman"/>
                <w:sz w:val="20"/>
              </w:rPr>
              <w:t xml:space="preserve">First Amendment to Employment Agreement, dated as of October 29, 2019, between MRC Global Inc. and Daniel Churay (Incorporated by </w:t>
            </w:r>
            <w:hyperlink r:id="rId29" w:history="1">
              <w:r w:rsidRPr="000A3F92">
                <w:rPr>
                  <w:rStyle w:val="Hyperlink"/>
                  <w:rFonts w:ascii="Times New Roman" w:hAnsi="Times New Roman" w:cs="Times New Roman"/>
                  <w:sz w:val="20"/>
                </w:rPr>
                <w:t>reference</w:t>
              </w:r>
            </w:hyperlink>
            <w:r w:rsidRPr="00E62EE0">
              <w:rPr>
                <w:rStyle w:val="Hyperlink"/>
                <w:rFonts w:ascii="Times New Roman" w:hAnsi="Times New Roman" w:cs="Times New Roman"/>
                <w:sz w:val="20"/>
              </w:rPr>
              <w:t xml:space="preserve"> to Exhibit 10.2 to the Current Report on Form 8-K of MRC Global Inc. filed with the SEC on October 30, 2019, File No. 001-35479).</w:t>
            </w:r>
          </w:p>
        </w:tc>
      </w:tr>
      <w:tr w:rsidR="00E62EE0">
        <w:trPr>
          <w:cantSplit/>
        </w:trPr>
        <w:tc>
          <w:tcPr>
            <w:tcW w:w="928" w:type="pct"/>
          </w:tcPr>
          <w:p w:rsidR="00E62EE0" w:rsidRDefault="00E62EE0">
            <w:pPr>
              <w:keepNext/>
              <w:spacing w:after="240"/>
              <w:rPr>
                <w:sz w:val="20"/>
              </w:rPr>
            </w:pPr>
            <w:r>
              <w:rPr>
                <w:rFonts w:ascii="Times New Roman" w:hAnsi="Times New Roman" w:cs="Times New Roman"/>
                <w:sz w:val="20"/>
                <w:szCs w:val="20"/>
              </w:rPr>
              <w:t>10.4.2†</w:t>
            </w:r>
          </w:p>
        </w:tc>
        <w:tc>
          <w:tcPr>
            <w:tcW w:w="4072" w:type="pct"/>
          </w:tcPr>
          <w:p w:rsidR="00E62EE0" w:rsidRPr="00E62EE0" w:rsidRDefault="00A46291" w:rsidP="00E62EE0">
            <w:pPr>
              <w:keepNext/>
              <w:spacing w:after="240"/>
              <w:rPr>
                <w:rFonts w:ascii="Times New Roman" w:hAnsi="Times New Roman" w:cs="Times New Roman"/>
                <w:color w:val="0000FF" w:themeColor="hyperlink"/>
                <w:u w:val="single"/>
              </w:rPr>
            </w:pPr>
            <w:hyperlink r:id="rId30" w:history="1">
              <w:r w:rsidR="00E62EE0" w:rsidRPr="000A3F92">
                <w:rPr>
                  <w:rStyle w:val="Hyperlink"/>
                  <w:rFonts w:ascii="Times New Roman" w:hAnsi="Times New Roman" w:cs="Times New Roman"/>
                  <w:sz w:val="20"/>
                  <w:szCs w:val="20"/>
                </w:rPr>
                <w:t>First</w:t>
              </w:r>
              <w:r w:rsidR="00E62EE0" w:rsidRPr="000A3F92">
                <w:rPr>
                  <w:rStyle w:val="Hyperlink"/>
                  <w:rFonts w:ascii="Times New Roman" w:hAnsi="Times New Roman" w:cs="Times New Roman"/>
                  <w:sz w:val="20"/>
                </w:rPr>
                <w:t xml:space="preserve"> Amendment to Employment Agreement, dated as of July 30, 2019, between MRC Global Inc. and James E. Braun (Incorporated by reference to Exhibit 10.1 to the Current Report on Form 8-K of MRC Global Inc. filed with the SEC on August 1, 2019, File No. 001-35479)</w:t>
              </w:r>
            </w:hyperlink>
            <w:r w:rsidR="00E62EE0" w:rsidRPr="00E62EE0">
              <w:rPr>
                <w:rStyle w:val="Hyperlink"/>
                <w:rFonts w:ascii="Times New Roman" w:hAnsi="Times New Roman" w:cs="Times New Roman"/>
                <w:sz w:val="20"/>
              </w:rPr>
              <w:t>.</w:t>
            </w:r>
          </w:p>
        </w:tc>
      </w:tr>
      <w:tr w:rsidR="00E62EE0">
        <w:trPr>
          <w:cantSplit/>
        </w:trPr>
        <w:tc>
          <w:tcPr>
            <w:tcW w:w="928" w:type="pct"/>
          </w:tcPr>
          <w:p w:rsidR="00E62EE0" w:rsidRPr="00E62EE0" w:rsidRDefault="00E62EE0">
            <w:pPr>
              <w:keepNext/>
              <w:spacing w:after="240"/>
              <w:rPr>
                <w:rFonts w:ascii="Times New Roman" w:hAnsi="Times New Roman" w:cs="Times New Roman"/>
                <w:sz w:val="20"/>
              </w:rPr>
            </w:pPr>
            <w:r w:rsidRPr="00E62EE0">
              <w:rPr>
                <w:rFonts w:ascii="Times New Roman" w:hAnsi="Times New Roman" w:cs="Times New Roman"/>
                <w:sz w:val="20"/>
              </w:rPr>
              <w:t>10.5</w:t>
            </w:r>
            <w:r w:rsidRPr="00E62EE0">
              <w:rPr>
                <w:rFonts w:ascii="Times New Roman" w:hAnsi="Times New Roman" w:cs="Times New Roman"/>
                <w:sz w:val="20"/>
                <w:szCs w:val="20"/>
              </w:rPr>
              <w:t>†</w:t>
            </w:r>
          </w:p>
        </w:tc>
        <w:tc>
          <w:tcPr>
            <w:tcW w:w="4072" w:type="pct"/>
          </w:tcPr>
          <w:p w:rsidR="00E62EE0" w:rsidRPr="00E62EE0" w:rsidRDefault="00A46291">
            <w:pPr>
              <w:keepNext/>
              <w:spacing w:after="240"/>
              <w:rPr>
                <w:rFonts w:ascii="Times New Roman" w:hAnsi="Times New Roman" w:cs="Times New Roman"/>
              </w:rPr>
            </w:pPr>
            <w:hyperlink r:id="rId31" w:history="1">
              <w:r w:rsidR="00E62EE0" w:rsidRPr="000A3F92">
                <w:rPr>
                  <w:rStyle w:val="Hyperlink"/>
                  <w:rFonts w:ascii="Times New Roman" w:hAnsi="Times New Roman" w:cs="Times New Roman"/>
                  <w:sz w:val="20"/>
                </w:rPr>
                <w:t>Form of Employment Agreement by and between MRC Global Inc. and Kelly Youngblood (Incorporated by reference to Exhibit 10.1 to the Current Report on Form 8-K of MRC Global Inc. filed with the SEC on September 27, 2019, File No. 001-35479).</w:t>
              </w:r>
            </w:hyperlink>
          </w:p>
        </w:tc>
      </w:tr>
      <w:tr w:rsidR="000121CD">
        <w:trPr>
          <w:cantSplit/>
        </w:trPr>
        <w:tc>
          <w:tcPr>
            <w:tcW w:w="928" w:type="pct"/>
            <w:hideMark/>
          </w:tcPr>
          <w:p w:rsidR="000121CD" w:rsidRDefault="00590862">
            <w:pPr>
              <w:keepNext/>
              <w:spacing w:after="240"/>
              <w:rPr>
                <w:rFonts w:ascii="Times New Roman" w:hAnsi="Times New Roman" w:cs="Times New Roman"/>
                <w:sz w:val="20"/>
                <w:szCs w:val="20"/>
              </w:rPr>
            </w:pPr>
            <w:r>
              <w:rPr>
                <w:rFonts w:ascii="Times New Roman" w:hAnsi="Times New Roman" w:cs="Times New Roman"/>
                <w:sz w:val="20"/>
                <w:szCs w:val="20"/>
              </w:rPr>
              <w:t>10.</w:t>
            </w:r>
            <w:r w:rsidR="00E62EE0">
              <w:rPr>
                <w:rFonts w:ascii="Times New Roman" w:hAnsi="Times New Roman" w:cs="Times New Roman"/>
                <w:sz w:val="20"/>
                <w:szCs w:val="20"/>
              </w:rPr>
              <w:t>6</w:t>
            </w:r>
            <w:r>
              <w:rPr>
                <w:rFonts w:ascii="Times New Roman" w:hAnsi="Times New Roman" w:cs="Times New Roman"/>
                <w:sz w:val="20"/>
                <w:szCs w:val="20"/>
              </w:rPr>
              <w:t>†</w:t>
            </w:r>
          </w:p>
        </w:tc>
        <w:tc>
          <w:tcPr>
            <w:tcW w:w="4072" w:type="pct"/>
            <w:hideMark/>
          </w:tcPr>
          <w:p w:rsidR="000121CD" w:rsidRDefault="00A46291">
            <w:pPr>
              <w:keepNext/>
              <w:spacing w:after="240"/>
              <w:rPr>
                <w:rFonts w:ascii="Times New Roman" w:hAnsi="Times New Roman" w:cs="Times New Roman"/>
                <w:sz w:val="20"/>
                <w:szCs w:val="20"/>
              </w:rPr>
            </w:pPr>
            <w:hyperlink r:id="rId32" w:history="1">
              <w:r w:rsidR="00590862">
                <w:rPr>
                  <w:rStyle w:val="Hyperlink"/>
                  <w:rFonts w:ascii="Times New Roman" w:hAnsi="Times New Roman" w:cs="Times New Roman"/>
                  <w:sz w:val="20"/>
                  <w:szCs w:val="20"/>
                </w:rPr>
                <w:t>Letter Agreement, dated as of September 24, 2008, by and among H.B. Wehrle, III, PVF Holdings LLC (now dissolved) and MRC Global (US) Inc. (f/k/a McJunkin Red Man Corporation). (Incorporated by reference to Exhibit 10.11 to Amendment No. 1 of the Registration Statement on Form S-1 of MRC Global Inc. (f/k/a McJunkin Red Man Holding Corporation) (No. 333-153091), filed with the SEC on September 26, 2008, File No. 001-35479).</w:t>
              </w:r>
            </w:hyperlink>
          </w:p>
        </w:tc>
      </w:tr>
      <w:tr w:rsidR="000121CD">
        <w:trPr>
          <w:cantSplit/>
        </w:trPr>
        <w:tc>
          <w:tcPr>
            <w:tcW w:w="928" w:type="pct"/>
            <w:hideMark/>
          </w:tcPr>
          <w:p w:rsidR="000121CD" w:rsidRDefault="00590862">
            <w:pPr>
              <w:keepNext/>
              <w:spacing w:after="240"/>
              <w:rPr>
                <w:rFonts w:ascii="Times New Roman" w:hAnsi="Times New Roman" w:cs="Times New Roman"/>
                <w:sz w:val="20"/>
                <w:szCs w:val="20"/>
              </w:rPr>
            </w:pPr>
            <w:r>
              <w:rPr>
                <w:rFonts w:ascii="Times New Roman" w:hAnsi="Times New Roman" w:cs="Times New Roman"/>
                <w:sz w:val="20"/>
                <w:szCs w:val="20"/>
              </w:rPr>
              <w:t>10.</w:t>
            </w:r>
            <w:r w:rsidR="00E62EE0">
              <w:rPr>
                <w:rFonts w:ascii="Times New Roman" w:hAnsi="Times New Roman" w:cs="Times New Roman"/>
                <w:sz w:val="20"/>
                <w:szCs w:val="20"/>
              </w:rPr>
              <w:t>7</w:t>
            </w:r>
            <w:r>
              <w:rPr>
                <w:rFonts w:ascii="Times New Roman" w:hAnsi="Times New Roman" w:cs="Times New Roman"/>
                <w:sz w:val="20"/>
                <w:szCs w:val="20"/>
              </w:rPr>
              <w:t>†</w:t>
            </w:r>
          </w:p>
        </w:tc>
        <w:tc>
          <w:tcPr>
            <w:tcW w:w="4072" w:type="pct"/>
            <w:hideMark/>
          </w:tcPr>
          <w:p w:rsidR="000121CD" w:rsidRDefault="00A46291">
            <w:pPr>
              <w:keepNext/>
              <w:spacing w:after="240"/>
              <w:rPr>
                <w:rFonts w:ascii="Times New Roman" w:hAnsi="Times New Roman" w:cs="Times New Roman"/>
                <w:sz w:val="20"/>
                <w:szCs w:val="20"/>
              </w:rPr>
            </w:pPr>
            <w:hyperlink r:id="rId33" w:history="1">
              <w:r w:rsidR="00590862">
                <w:rPr>
                  <w:rStyle w:val="Hyperlink"/>
                  <w:rFonts w:ascii="Times New Roman" w:hAnsi="Times New Roman" w:cs="Times New Roman"/>
                  <w:sz w:val="20"/>
                  <w:szCs w:val="20"/>
                </w:rPr>
                <w:t>Letter Agreement, dated as of December 22, 2008, by and among MRC Global Inc. (f/k/a McJunkin Red Man Holding Corporation) and Craig Ketchum. (Incorporated by reference to Exhibit 10.12 to the Registration Statement on Form S-4 of McJunkin Red Man Corporation (No. 333-173035), filed with the SEC on March 24, 2011, File No. 001-35479).</w:t>
              </w:r>
            </w:hyperlink>
          </w:p>
        </w:tc>
      </w:tr>
      <w:tr w:rsidR="000121CD">
        <w:trPr>
          <w:cantSplit/>
        </w:trPr>
        <w:tc>
          <w:tcPr>
            <w:tcW w:w="928" w:type="pct"/>
            <w:hideMark/>
          </w:tcPr>
          <w:p w:rsidR="000121CD" w:rsidRDefault="00590862">
            <w:pPr>
              <w:keepNext/>
              <w:spacing w:after="240"/>
              <w:rPr>
                <w:rFonts w:ascii="Times New Roman" w:hAnsi="Times New Roman" w:cs="Times New Roman"/>
                <w:sz w:val="20"/>
                <w:szCs w:val="20"/>
              </w:rPr>
            </w:pPr>
            <w:r>
              <w:rPr>
                <w:rFonts w:ascii="Times New Roman" w:hAnsi="Times New Roman" w:cs="Times New Roman"/>
                <w:sz w:val="20"/>
                <w:szCs w:val="20"/>
              </w:rPr>
              <w:t>10.</w:t>
            </w:r>
            <w:r w:rsidR="00E62EE0">
              <w:rPr>
                <w:rFonts w:ascii="Times New Roman" w:hAnsi="Times New Roman" w:cs="Times New Roman"/>
                <w:sz w:val="20"/>
                <w:szCs w:val="20"/>
              </w:rPr>
              <w:t>8</w:t>
            </w:r>
            <w:r>
              <w:rPr>
                <w:rFonts w:ascii="Times New Roman" w:hAnsi="Times New Roman" w:cs="Times New Roman"/>
                <w:sz w:val="20"/>
                <w:szCs w:val="20"/>
              </w:rPr>
              <w:t>†</w:t>
            </w:r>
          </w:p>
        </w:tc>
        <w:tc>
          <w:tcPr>
            <w:tcW w:w="4072" w:type="pct"/>
            <w:hideMark/>
          </w:tcPr>
          <w:p w:rsidR="000121CD" w:rsidRDefault="00A46291">
            <w:pPr>
              <w:keepNext/>
              <w:spacing w:after="240"/>
              <w:rPr>
                <w:rFonts w:ascii="Times New Roman" w:hAnsi="Times New Roman" w:cs="Times New Roman"/>
                <w:sz w:val="20"/>
                <w:szCs w:val="20"/>
              </w:rPr>
            </w:pPr>
            <w:hyperlink r:id="rId34" w:history="1">
              <w:r w:rsidR="00590862">
                <w:rPr>
                  <w:rStyle w:val="Hyperlink"/>
                  <w:rFonts w:ascii="Times New Roman" w:hAnsi="Times New Roman" w:cs="Times New Roman"/>
                  <w:sz w:val="20"/>
                  <w:szCs w:val="20"/>
                </w:rPr>
                <w:t>2007 Stock Option Plan, as amended. (Incorporated by reference to Exhibit 10.13.1 to the Registration Statement on Form S-4 of McJunkin Red Man Corporation (No. 333-173035), filed with the SEC on March 24, 2011, File No. 001-35479).</w:t>
              </w:r>
            </w:hyperlink>
          </w:p>
        </w:tc>
      </w:tr>
      <w:tr w:rsidR="000121CD">
        <w:trPr>
          <w:cantSplit/>
        </w:trPr>
        <w:tc>
          <w:tcPr>
            <w:tcW w:w="928" w:type="pct"/>
            <w:hideMark/>
          </w:tcPr>
          <w:p w:rsidR="000121CD" w:rsidRDefault="00590862">
            <w:pPr>
              <w:keepNext/>
              <w:spacing w:after="240"/>
              <w:rPr>
                <w:rFonts w:ascii="Times New Roman" w:hAnsi="Times New Roman" w:cs="Times New Roman"/>
                <w:sz w:val="20"/>
                <w:szCs w:val="20"/>
              </w:rPr>
            </w:pPr>
            <w:r>
              <w:rPr>
                <w:rFonts w:ascii="Times New Roman" w:hAnsi="Times New Roman" w:cs="Times New Roman"/>
                <w:sz w:val="20"/>
                <w:szCs w:val="20"/>
              </w:rPr>
              <w:t>10.</w:t>
            </w:r>
            <w:r w:rsidR="00E62EE0">
              <w:rPr>
                <w:rFonts w:ascii="Times New Roman" w:hAnsi="Times New Roman" w:cs="Times New Roman"/>
                <w:sz w:val="20"/>
                <w:szCs w:val="20"/>
              </w:rPr>
              <w:t>8</w:t>
            </w:r>
            <w:r>
              <w:rPr>
                <w:rFonts w:ascii="Times New Roman" w:hAnsi="Times New Roman" w:cs="Times New Roman"/>
                <w:sz w:val="20"/>
                <w:szCs w:val="20"/>
              </w:rPr>
              <w:t>.1†</w:t>
            </w:r>
          </w:p>
        </w:tc>
        <w:tc>
          <w:tcPr>
            <w:tcW w:w="4072" w:type="pct"/>
            <w:hideMark/>
          </w:tcPr>
          <w:p w:rsidR="000121CD" w:rsidRDefault="00A46291">
            <w:pPr>
              <w:keepNext/>
              <w:spacing w:after="240"/>
              <w:rPr>
                <w:rFonts w:ascii="Times New Roman" w:hAnsi="Times New Roman" w:cs="Times New Roman"/>
                <w:sz w:val="20"/>
                <w:szCs w:val="20"/>
              </w:rPr>
            </w:pPr>
            <w:hyperlink r:id="rId35" w:history="1">
              <w:r w:rsidR="00590862">
                <w:rPr>
                  <w:rStyle w:val="Hyperlink"/>
                  <w:rFonts w:ascii="Times New Roman" w:hAnsi="Times New Roman" w:cs="Times New Roman"/>
                  <w:sz w:val="20"/>
                  <w:szCs w:val="20"/>
                </w:rPr>
                <w:t xml:space="preserve">Form of MRC Global Inc. (f/k/a McJunkin Red Man Holding Corporation) Nonqualified Stock Option Agreement. </w:t>
              </w:r>
              <w:r w:rsidR="00590862">
                <w:rPr>
                  <w:rStyle w:val="Hyperlink"/>
                  <w:rFonts w:ascii="Times New Roman" w:hAnsi="Times New Roman" w:cs="Times New Roman"/>
                  <w:sz w:val="20"/>
                </w:rPr>
                <w:t>(Incorporated by reference to Exhibit 10.17.1 to Amendment No. 1 to the Registration Statement on Form S-1 of MRC Global Inc (No. 333-153091), filed with the SEC on September 26, 2008, File No. 001-35479).</w:t>
              </w:r>
            </w:hyperlink>
          </w:p>
        </w:tc>
      </w:tr>
      <w:tr w:rsidR="000121CD">
        <w:trPr>
          <w:cantSplit/>
        </w:trPr>
        <w:tc>
          <w:tcPr>
            <w:tcW w:w="928" w:type="pct"/>
            <w:hideMark/>
          </w:tcPr>
          <w:p w:rsidR="000121CD" w:rsidRDefault="00590862">
            <w:pPr>
              <w:keepNext/>
              <w:spacing w:after="240"/>
              <w:rPr>
                <w:rFonts w:ascii="Times New Roman" w:hAnsi="Times New Roman" w:cs="Times New Roman"/>
                <w:sz w:val="20"/>
                <w:szCs w:val="20"/>
              </w:rPr>
            </w:pPr>
            <w:r>
              <w:rPr>
                <w:rFonts w:ascii="Times New Roman" w:hAnsi="Times New Roman" w:cs="Times New Roman"/>
                <w:sz w:val="20"/>
                <w:szCs w:val="20"/>
              </w:rPr>
              <w:t>10.</w:t>
            </w:r>
            <w:r w:rsidR="00E62EE0">
              <w:rPr>
                <w:rFonts w:ascii="Times New Roman" w:hAnsi="Times New Roman" w:cs="Times New Roman"/>
                <w:sz w:val="20"/>
                <w:szCs w:val="20"/>
              </w:rPr>
              <w:t>8</w:t>
            </w:r>
            <w:r>
              <w:rPr>
                <w:rFonts w:ascii="Times New Roman" w:hAnsi="Times New Roman" w:cs="Times New Roman"/>
                <w:sz w:val="20"/>
                <w:szCs w:val="20"/>
              </w:rPr>
              <w:t>.2†</w:t>
            </w:r>
          </w:p>
        </w:tc>
        <w:tc>
          <w:tcPr>
            <w:tcW w:w="4072" w:type="pct"/>
            <w:hideMark/>
          </w:tcPr>
          <w:p w:rsidR="000121CD" w:rsidRDefault="00A46291">
            <w:pPr>
              <w:keepNext/>
              <w:spacing w:after="240"/>
              <w:rPr>
                <w:rFonts w:ascii="Times New Roman" w:hAnsi="Times New Roman" w:cs="Times New Roman"/>
                <w:sz w:val="20"/>
                <w:szCs w:val="20"/>
              </w:rPr>
            </w:pPr>
            <w:hyperlink r:id="rId36" w:history="1">
              <w:r w:rsidR="00590862">
                <w:rPr>
                  <w:rStyle w:val="Hyperlink"/>
                  <w:rFonts w:ascii="Times New Roman" w:hAnsi="Times New Roman" w:cs="Times New Roman"/>
                  <w:sz w:val="20"/>
                  <w:szCs w:val="20"/>
                </w:rPr>
                <w:t xml:space="preserve">Form of MRC Global Inc. (f/k/a as McJunkin Red Man Holding Corporation) Nonqualified Stock Option Agreement (Director Grant May 2010—Dutch residents). </w:t>
              </w:r>
              <w:r w:rsidR="00590862">
                <w:rPr>
                  <w:rStyle w:val="Hyperlink"/>
                  <w:rFonts w:ascii="Times New Roman" w:hAnsi="Times New Roman" w:cs="Times New Roman"/>
                  <w:sz w:val="20"/>
                </w:rPr>
                <w:t>(Incorporated by reference to Exhibit 10.9.1 to the Registration Statement on Form S-4 of McJunkin Red Man Corporation (No. 333-173035), filed with the SEC on March 24, 2011, File No. 001-35479).</w:t>
              </w:r>
            </w:hyperlink>
          </w:p>
        </w:tc>
      </w:tr>
      <w:tr w:rsidR="000121CD">
        <w:trPr>
          <w:cantSplit/>
        </w:trPr>
        <w:tc>
          <w:tcPr>
            <w:tcW w:w="928" w:type="pct"/>
            <w:hideMark/>
          </w:tcPr>
          <w:p w:rsidR="000121CD" w:rsidRDefault="00590862">
            <w:pPr>
              <w:keepNext/>
              <w:spacing w:after="240"/>
              <w:rPr>
                <w:rFonts w:ascii="Times New Roman" w:hAnsi="Times New Roman" w:cs="Times New Roman"/>
                <w:sz w:val="20"/>
                <w:szCs w:val="20"/>
              </w:rPr>
            </w:pPr>
            <w:r>
              <w:rPr>
                <w:rFonts w:ascii="Times New Roman" w:hAnsi="Times New Roman" w:cs="Times New Roman"/>
                <w:sz w:val="20"/>
                <w:szCs w:val="20"/>
              </w:rPr>
              <w:t>10.</w:t>
            </w:r>
            <w:r w:rsidR="00E62EE0">
              <w:rPr>
                <w:rFonts w:ascii="Times New Roman" w:hAnsi="Times New Roman" w:cs="Times New Roman"/>
                <w:sz w:val="20"/>
                <w:szCs w:val="20"/>
              </w:rPr>
              <w:t>8</w:t>
            </w:r>
            <w:r>
              <w:rPr>
                <w:rFonts w:ascii="Times New Roman" w:hAnsi="Times New Roman" w:cs="Times New Roman"/>
                <w:sz w:val="20"/>
                <w:szCs w:val="20"/>
              </w:rPr>
              <w:t>.3†</w:t>
            </w:r>
          </w:p>
        </w:tc>
        <w:tc>
          <w:tcPr>
            <w:tcW w:w="4072" w:type="pct"/>
            <w:hideMark/>
          </w:tcPr>
          <w:p w:rsidR="000121CD" w:rsidRDefault="00A46291">
            <w:pPr>
              <w:keepNext/>
              <w:spacing w:after="240"/>
              <w:rPr>
                <w:rFonts w:ascii="Times New Roman" w:hAnsi="Times New Roman" w:cs="Times New Roman"/>
                <w:sz w:val="20"/>
                <w:szCs w:val="20"/>
              </w:rPr>
            </w:pPr>
            <w:hyperlink r:id="rId37" w:history="1">
              <w:r w:rsidR="00590862">
                <w:rPr>
                  <w:rStyle w:val="Hyperlink"/>
                  <w:rFonts w:ascii="Times New Roman" w:hAnsi="Times New Roman" w:cs="Times New Roman"/>
                  <w:sz w:val="20"/>
                  <w:szCs w:val="20"/>
                </w:rPr>
                <w:t xml:space="preserve">Form of MRC Global Inc. (f/k/a McJunkin Red Man Holding Corporation) Nonqualified Stock Option Agreement (Director Grant May 2010—US residents). </w:t>
              </w:r>
              <w:r w:rsidR="00590862">
                <w:rPr>
                  <w:rStyle w:val="Hyperlink"/>
                  <w:rFonts w:ascii="Times New Roman" w:hAnsi="Times New Roman" w:cs="Times New Roman"/>
                  <w:sz w:val="20"/>
                </w:rPr>
                <w:t>(Incorporated by reference to Exhibit 10.9.1 to the Registration Statement on Form S-4 of McJunkin Red Man Corporation (No. 333-173035), filed with the SEC on March 24, 2011, File No. 001-35479).</w:t>
              </w:r>
            </w:hyperlink>
          </w:p>
        </w:tc>
      </w:tr>
      <w:tr w:rsidR="000121CD">
        <w:trPr>
          <w:cantSplit/>
        </w:trPr>
        <w:tc>
          <w:tcPr>
            <w:tcW w:w="928" w:type="pct"/>
            <w:hideMark/>
          </w:tcPr>
          <w:p w:rsidR="000121CD" w:rsidRDefault="00590862">
            <w:pPr>
              <w:keepNext/>
              <w:spacing w:after="240"/>
              <w:rPr>
                <w:rFonts w:ascii="Times New Roman" w:hAnsi="Times New Roman" w:cs="Times New Roman"/>
                <w:sz w:val="20"/>
                <w:szCs w:val="20"/>
              </w:rPr>
            </w:pPr>
            <w:r>
              <w:rPr>
                <w:rFonts w:ascii="Times New Roman" w:hAnsi="Times New Roman" w:cs="Times New Roman"/>
                <w:sz w:val="20"/>
                <w:szCs w:val="20"/>
              </w:rPr>
              <w:t>10.</w:t>
            </w:r>
            <w:r w:rsidR="00E62EE0">
              <w:rPr>
                <w:rFonts w:ascii="Times New Roman" w:hAnsi="Times New Roman" w:cs="Times New Roman"/>
                <w:sz w:val="20"/>
                <w:szCs w:val="20"/>
              </w:rPr>
              <w:t>9</w:t>
            </w:r>
            <w:r>
              <w:rPr>
                <w:rFonts w:ascii="Times New Roman" w:hAnsi="Times New Roman" w:cs="Times New Roman"/>
                <w:sz w:val="20"/>
                <w:szCs w:val="20"/>
              </w:rPr>
              <w:t>†</w:t>
            </w:r>
          </w:p>
        </w:tc>
        <w:tc>
          <w:tcPr>
            <w:tcW w:w="4072" w:type="pct"/>
            <w:hideMark/>
          </w:tcPr>
          <w:p w:rsidR="000121CD" w:rsidRDefault="00A46291">
            <w:pPr>
              <w:keepNext/>
              <w:spacing w:after="240"/>
              <w:rPr>
                <w:rFonts w:ascii="Times New Roman" w:hAnsi="Times New Roman" w:cs="Times New Roman"/>
                <w:sz w:val="20"/>
                <w:szCs w:val="20"/>
              </w:rPr>
            </w:pPr>
            <w:hyperlink r:id="rId38" w:history="1">
              <w:r w:rsidR="00590862">
                <w:rPr>
                  <w:rStyle w:val="Hyperlink"/>
                  <w:rFonts w:ascii="Times New Roman" w:hAnsi="Times New Roman" w:cs="Times New Roman"/>
                  <w:sz w:val="20"/>
                  <w:szCs w:val="20"/>
                </w:rPr>
                <w:t>MRC Global Inc. 2011 Omnibus Incentive Plan. (Incorporated by reference to Exhibit 10.27 to the Annual Report on Form 10-K of MRC Global Inc., filed with the SEC on March 5, 2012, File No. 001-35479).</w:t>
              </w:r>
            </w:hyperlink>
          </w:p>
        </w:tc>
      </w:tr>
      <w:tr w:rsidR="000121CD">
        <w:trPr>
          <w:cantSplit/>
        </w:trPr>
        <w:tc>
          <w:tcPr>
            <w:tcW w:w="928" w:type="pct"/>
          </w:tcPr>
          <w:p w:rsidR="000121CD" w:rsidRDefault="00590862">
            <w:pPr>
              <w:spacing w:after="240"/>
              <w:rPr>
                <w:sz w:val="20"/>
              </w:rPr>
            </w:pPr>
            <w:r>
              <w:rPr>
                <w:rFonts w:ascii="Times New Roman" w:hAnsi="Times New Roman" w:cs="Times New Roman"/>
                <w:sz w:val="20"/>
                <w:szCs w:val="20"/>
              </w:rPr>
              <w:t>10.</w:t>
            </w:r>
            <w:r w:rsidR="00E62EE0">
              <w:rPr>
                <w:rFonts w:ascii="Times New Roman" w:hAnsi="Times New Roman" w:cs="Times New Roman"/>
                <w:sz w:val="20"/>
                <w:szCs w:val="20"/>
              </w:rPr>
              <w:t>9</w:t>
            </w:r>
            <w:r>
              <w:rPr>
                <w:rFonts w:ascii="Times New Roman" w:hAnsi="Times New Roman" w:cs="Times New Roman"/>
                <w:sz w:val="20"/>
                <w:szCs w:val="20"/>
              </w:rPr>
              <w:t>.1†</w:t>
            </w:r>
          </w:p>
        </w:tc>
        <w:tc>
          <w:tcPr>
            <w:tcW w:w="4072" w:type="pct"/>
          </w:tcPr>
          <w:p w:rsidR="000121CD" w:rsidRDefault="00A46291">
            <w:pPr>
              <w:spacing w:after="240"/>
              <w:rPr>
                <w:rFonts w:ascii="Times New Roman" w:hAnsi="Times New Roman" w:cs="Times New Roman"/>
                <w:sz w:val="20"/>
                <w:szCs w:val="20"/>
              </w:rPr>
            </w:pPr>
            <w:hyperlink r:id="rId39" w:history="1">
              <w:r w:rsidR="00590862">
                <w:rPr>
                  <w:rStyle w:val="Hyperlink"/>
                  <w:rFonts w:ascii="Times New Roman" w:hAnsi="Times New Roman" w:cs="Times New Roman"/>
                  <w:sz w:val="20"/>
                  <w:szCs w:val="20"/>
                </w:rPr>
                <w:t>Amendment to the MRC Global Inc. Omnibus Incentive Plan (Incorporated by reference to Annex A to the Schedule 14A Definitive Proxy Statement of MRC Global Inc. filed with the SEC on March 25, 2015, File No. 001-35479).</w:t>
              </w:r>
            </w:hyperlink>
          </w:p>
        </w:tc>
      </w:tr>
      <w:tr w:rsidR="00E62EE0">
        <w:trPr>
          <w:cantSplit/>
        </w:trPr>
        <w:tc>
          <w:tcPr>
            <w:tcW w:w="928" w:type="pct"/>
          </w:tcPr>
          <w:p w:rsidR="00E62EE0" w:rsidRDefault="00E62EE0">
            <w:pPr>
              <w:spacing w:after="240"/>
              <w:rPr>
                <w:sz w:val="20"/>
              </w:rPr>
            </w:pPr>
            <w:r>
              <w:rPr>
                <w:rFonts w:ascii="Times New Roman" w:hAnsi="Times New Roman" w:cs="Times New Roman"/>
                <w:sz w:val="20"/>
                <w:szCs w:val="20"/>
              </w:rPr>
              <w:t>10.9.2†</w:t>
            </w:r>
          </w:p>
        </w:tc>
        <w:tc>
          <w:tcPr>
            <w:tcW w:w="4072" w:type="pct"/>
          </w:tcPr>
          <w:p w:rsidR="00E62EE0" w:rsidRPr="00E62EE0" w:rsidRDefault="00A46291">
            <w:pPr>
              <w:spacing w:after="240"/>
              <w:rPr>
                <w:rFonts w:ascii="Times New Roman" w:hAnsi="Times New Roman" w:cs="Times New Roman"/>
              </w:rPr>
            </w:pPr>
            <w:hyperlink r:id="rId40" w:history="1">
              <w:r w:rsidR="00E62EE0" w:rsidRPr="00E62EE0">
                <w:rPr>
                  <w:rStyle w:val="Hyperlink"/>
                  <w:rFonts w:ascii="Times New Roman" w:hAnsi="Times New Roman" w:cs="Times New Roman"/>
                  <w:sz w:val="20"/>
                </w:rPr>
                <w:t>Amendment to the MRC Global Inc. Omnibus Incentive Plan (Incorporated by reference to Annex A to the Schedule 14A Definitive Proxy Statement of MRC Global Inc. filed with the SEC on March 18, 2019, File No. 001-35479).</w:t>
              </w:r>
            </w:hyperlink>
          </w:p>
        </w:tc>
      </w:tr>
      <w:tr w:rsidR="00395EDB">
        <w:trPr>
          <w:cantSplit/>
        </w:trPr>
        <w:tc>
          <w:tcPr>
            <w:tcW w:w="928" w:type="pct"/>
          </w:tcPr>
          <w:p w:rsidR="00395EDB" w:rsidRDefault="00395EDB" w:rsidP="00395EDB">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lastRenderedPageBreak/>
              <w:t>Exhibit Number</w:t>
            </w:r>
          </w:p>
        </w:tc>
        <w:tc>
          <w:tcPr>
            <w:tcW w:w="4072" w:type="pct"/>
          </w:tcPr>
          <w:p w:rsidR="00395EDB" w:rsidRDefault="00395EDB" w:rsidP="00395EDB">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t>Description</w:t>
            </w:r>
          </w:p>
        </w:tc>
      </w:tr>
      <w:tr w:rsidR="00395EDB">
        <w:trPr>
          <w:cantSplit/>
        </w:trPr>
        <w:tc>
          <w:tcPr>
            <w:tcW w:w="928" w:type="pct"/>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10.9.3†</w:t>
            </w:r>
          </w:p>
        </w:tc>
        <w:tc>
          <w:tcPr>
            <w:tcW w:w="4072" w:type="pct"/>
          </w:tcPr>
          <w:p w:rsidR="00395EDB" w:rsidRDefault="00A46291" w:rsidP="00395EDB">
            <w:pPr>
              <w:spacing w:after="240"/>
              <w:rPr>
                <w:rFonts w:ascii="Times New Roman" w:hAnsi="Times New Roman" w:cs="Times New Roman"/>
                <w:sz w:val="20"/>
                <w:szCs w:val="20"/>
              </w:rPr>
            </w:pPr>
            <w:hyperlink r:id="rId41" w:history="1">
              <w:r w:rsidR="00395EDB">
                <w:rPr>
                  <w:rStyle w:val="Hyperlink"/>
                  <w:rFonts w:ascii="Times New Roman" w:hAnsi="Times New Roman" w:cs="Times New Roman"/>
                  <w:sz w:val="20"/>
                  <w:szCs w:val="20"/>
                </w:rPr>
                <w:t>Form of MRC Global Inc. (f/k/a McJunkin Red Man Holding Corporation) Director Option Agreement. (Incorporated by reference to Exhibit 10.28.1 to the Registration Statement on Form S-1 of MRC Global Inc. (No. 333-178980), filed with the SEC on January 12, 2012, File No. 001-35479).</w:t>
              </w:r>
            </w:hyperlink>
          </w:p>
        </w:tc>
      </w:tr>
      <w:tr w:rsidR="00395EDB">
        <w:trPr>
          <w:cantSplit/>
          <w:trHeight w:hRule="exact" w:val="20"/>
        </w:trPr>
        <w:tc>
          <w:tcPr>
            <w:tcW w:w="928" w:type="pct"/>
            <w:tcBorders>
              <w:top w:val="nil"/>
              <w:left w:val="nil"/>
              <w:bottom w:val="nil"/>
              <w:right w:val="nil"/>
            </w:tcBorders>
          </w:tcPr>
          <w:p w:rsidR="00395EDB" w:rsidRDefault="00395EDB" w:rsidP="00395EDB">
            <w:pPr>
              <w:rPr>
                <w:sz w:val="2"/>
              </w:rPr>
            </w:pPr>
          </w:p>
        </w:tc>
        <w:tc>
          <w:tcPr>
            <w:tcW w:w="4072" w:type="pct"/>
            <w:tcBorders>
              <w:top w:val="nil"/>
              <w:left w:val="nil"/>
              <w:bottom w:val="nil"/>
              <w:right w:val="nil"/>
            </w:tcBorders>
          </w:tcPr>
          <w:p w:rsidR="00395EDB" w:rsidRDefault="00395EDB" w:rsidP="00395EDB">
            <w:pPr>
              <w:rPr>
                <w:sz w:val="2"/>
              </w:rPr>
            </w:pPr>
          </w:p>
        </w:tc>
      </w:tr>
      <w:tr w:rsidR="00395EDB">
        <w:trPr>
          <w:cantSplit/>
        </w:trPr>
        <w:tc>
          <w:tcPr>
            <w:tcW w:w="928" w:type="pct"/>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10.9.4†</w:t>
            </w:r>
          </w:p>
        </w:tc>
        <w:tc>
          <w:tcPr>
            <w:tcW w:w="4072" w:type="pct"/>
          </w:tcPr>
          <w:p w:rsidR="00395EDB" w:rsidRDefault="00A46291" w:rsidP="00395EDB">
            <w:pPr>
              <w:spacing w:after="240"/>
              <w:rPr>
                <w:rFonts w:ascii="Times New Roman" w:hAnsi="Times New Roman" w:cs="Times New Roman"/>
                <w:sz w:val="20"/>
                <w:szCs w:val="20"/>
              </w:rPr>
            </w:pPr>
            <w:hyperlink r:id="rId42" w:history="1">
              <w:r w:rsidR="00395EDB">
                <w:rPr>
                  <w:rStyle w:val="Hyperlink"/>
                  <w:rFonts w:ascii="Times New Roman" w:hAnsi="Times New Roman" w:cs="Times New Roman"/>
                  <w:sz w:val="20"/>
                  <w:szCs w:val="20"/>
                </w:rPr>
                <w:t>Form of MRC Global Inc. (f/k/a McJunkin Red Man Holding Corporation) Nonqualified Stock Option Agreement (for awards prior to 2013). (Incorporated by reference to Exhibit 10.28.2 to the Registration Statement on Form S-1 of MRC Global Inc. (No. 333-178980), filed with the SEC on January 12, 2012, File No. 001-35479).</w:t>
              </w:r>
            </w:hyperlink>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10.9.5†</w:t>
            </w:r>
          </w:p>
        </w:tc>
        <w:tc>
          <w:tcPr>
            <w:tcW w:w="4072" w:type="pct"/>
            <w:hideMark/>
          </w:tcPr>
          <w:p w:rsidR="00395EDB" w:rsidRDefault="00A46291" w:rsidP="00395EDB">
            <w:pPr>
              <w:spacing w:after="240"/>
              <w:rPr>
                <w:rFonts w:ascii="Times New Roman" w:hAnsi="Times New Roman" w:cs="Times New Roman"/>
                <w:sz w:val="20"/>
                <w:szCs w:val="20"/>
              </w:rPr>
            </w:pPr>
            <w:hyperlink r:id="rId43" w:history="1">
              <w:r w:rsidR="00395EDB">
                <w:rPr>
                  <w:rStyle w:val="Hyperlink"/>
                  <w:rFonts w:ascii="Times New Roman" w:hAnsi="Times New Roman" w:cs="Times New Roman"/>
                  <w:sz w:val="20"/>
                  <w:szCs w:val="20"/>
                </w:rPr>
                <w:t>Form of MRC Global Inc. Nonqualified Stock Option Agreement (for awards in 2013). (Incorporated by reference to Exhibit 10.1 to the Quarterly Report on Form 10-Q of MRC Global Inc. for the quarter ended March 31, 2013, filed with the SEC on May 3, 2013, File No. 001-35479).</w:t>
              </w:r>
            </w:hyperlink>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10.9.6†</w:t>
            </w:r>
          </w:p>
        </w:tc>
        <w:tc>
          <w:tcPr>
            <w:tcW w:w="4072" w:type="pct"/>
            <w:hideMark/>
          </w:tcPr>
          <w:p w:rsidR="00395EDB" w:rsidRDefault="00A46291" w:rsidP="00395EDB">
            <w:pPr>
              <w:spacing w:after="240"/>
              <w:rPr>
                <w:rFonts w:ascii="Times New Roman" w:hAnsi="Times New Roman" w:cs="Times New Roman"/>
                <w:sz w:val="20"/>
                <w:szCs w:val="20"/>
              </w:rPr>
            </w:pPr>
            <w:hyperlink r:id="rId44" w:history="1">
              <w:r w:rsidR="00395EDB">
                <w:rPr>
                  <w:rStyle w:val="Hyperlink"/>
                  <w:rFonts w:ascii="Times New Roman" w:hAnsi="Times New Roman" w:cs="Times New Roman"/>
                  <w:sz w:val="20"/>
                  <w:szCs w:val="20"/>
                </w:rPr>
                <w:t>Form of MRC Global Inc. Nonqualified Stock Option Agreement (for awards in 2014). (Incorporated by reference to Exhibit 10.13.7 to Form 10-K of MRC Global Inc. for the year ended December 31, 2013, filed with the SEC on February 21, 2014, File No. 001-35479).</w:t>
              </w:r>
            </w:hyperlink>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10.9.7†</w:t>
            </w:r>
          </w:p>
        </w:tc>
        <w:tc>
          <w:tcPr>
            <w:tcW w:w="4072" w:type="pct"/>
            <w:hideMark/>
          </w:tcPr>
          <w:p w:rsidR="00395EDB" w:rsidRDefault="00A46291" w:rsidP="00395EDB">
            <w:pPr>
              <w:spacing w:after="240"/>
              <w:rPr>
                <w:rFonts w:ascii="Times New Roman" w:hAnsi="Times New Roman" w:cs="Times New Roman"/>
                <w:sz w:val="20"/>
                <w:szCs w:val="20"/>
              </w:rPr>
            </w:pPr>
            <w:hyperlink r:id="rId45" w:history="1">
              <w:r w:rsidR="00395EDB">
                <w:rPr>
                  <w:rStyle w:val="Hyperlink"/>
                  <w:rFonts w:ascii="Times New Roman" w:hAnsi="Times New Roman" w:cs="Times New Roman"/>
                  <w:sz w:val="20"/>
                  <w:szCs w:val="20"/>
                </w:rPr>
                <w:t>Form of MRC Global Inc. Director Restricted Stock Award Agreement. (Incorporated by reference to Exhibit 10.13.9 to Form 10-K of MRC Global Inc. for the year ended December 31, 2013, filed with the SEC on February 21, 2014, File No. 001-35479).</w:t>
              </w:r>
            </w:hyperlink>
          </w:p>
        </w:tc>
      </w:tr>
      <w:tr w:rsidR="00395EDB">
        <w:trPr>
          <w:cantSplit/>
        </w:trPr>
        <w:tc>
          <w:tcPr>
            <w:tcW w:w="928" w:type="pct"/>
            <w:hideMark/>
          </w:tcPr>
          <w:p w:rsidR="00395EDB" w:rsidRDefault="00395EDB" w:rsidP="00395EDB">
            <w:pPr>
              <w:spacing w:after="240"/>
              <w:rPr>
                <w:sz w:val="20"/>
              </w:rPr>
            </w:pPr>
            <w:r>
              <w:rPr>
                <w:rFonts w:ascii="Times New Roman" w:hAnsi="Times New Roman" w:cs="Times New Roman"/>
                <w:sz w:val="20"/>
                <w:szCs w:val="20"/>
              </w:rPr>
              <w:t>10.9.8†</w:t>
            </w:r>
          </w:p>
        </w:tc>
        <w:tc>
          <w:tcPr>
            <w:tcW w:w="4072" w:type="pct"/>
            <w:hideMark/>
          </w:tcPr>
          <w:p w:rsidR="00395EDB" w:rsidRDefault="00A46291" w:rsidP="00395EDB">
            <w:pPr>
              <w:spacing w:after="240"/>
              <w:rPr>
                <w:rFonts w:ascii="Times New Roman" w:hAnsi="Times New Roman" w:cs="Times New Roman"/>
                <w:sz w:val="20"/>
              </w:rPr>
            </w:pPr>
            <w:hyperlink r:id="rId46" w:history="1">
              <w:r w:rsidR="00395EDB">
                <w:rPr>
                  <w:rStyle w:val="Hyperlink"/>
                  <w:rFonts w:ascii="Times New Roman" w:hAnsi="Times New Roman" w:cs="Times New Roman"/>
                  <w:sz w:val="20"/>
                  <w:szCs w:val="20"/>
                </w:rPr>
                <w:t xml:space="preserve">Form of MRC Global Inc. </w:t>
              </w:r>
              <w:r w:rsidR="00395EDB">
                <w:rPr>
                  <w:rStyle w:val="Hyperlink"/>
                  <w:rFonts w:ascii="Times New Roman" w:hAnsi="Times New Roman" w:cs="Times New Roman"/>
                  <w:sz w:val="20"/>
                </w:rPr>
                <w:t xml:space="preserve">Restricted Stock Award Agreement (for 2015 awards) </w:t>
              </w:r>
              <w:r w:rsidR="00395EDB">
                <w:rPr>
                  <w:rStyle w:val="Hyperlink"/>
                  <w:rFonts w:ascii="Times New Roman" w:hAnsi="Times New Roman" w:cs="Times New Roman"/>
                  <w:sz w:val="20"/>
                  <w:szCs w:val="20"/>
                </w:rPr>
                <w:t>(Incorporated by reference to Exhibit 10.12.11 to Form 10-K of MRC Global Inc. for the year ended December 31, 2014 filed with the SEC on February 20, 2015, File No. 001-35479)</w:t>
              </w:r>
            </w:hyperlink>
            <w:r w:rsidR="00395EDB">
              <w:rPr>
                <w:rStyle w:val="Hyperlink"/>
                <w:sz w:val="20"/>
              </w:rPr>
              <w:t>.</w:t>
            </w:r>
          </w:p>
        </w:tc>
      </w:tr>
      <w:tr w:rsidR="00395EDB">
        <w:trPr>
          <w:cantSplit/>
        </w:trPr>
        <w:tc>
          <w:tcPr>
            <w:tcW w:w="928" w:type="pct"/>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10.9.9†</w:t>
            </w:r>
          </w:p>
        </w:tc>
        <w:tc>
          <w:tcPr>
            <w:tcW w:w="4072" w:type="pct"/>
          </w:tcPr>
          <w:p w:rsidR="00395EDB" w:rsidRPr="00395EDB" w:rsidRDefault="00A46291" w:rsidP="00395EDB">
            <w:pPr>
              <w:spacing w:after="240"/>
            </w:pPr>
            <w:hyperlink r:id="rId47" w:tooltip="mrc-20181231xex10_810.htm" w:history="1">
              <w:r w:rsidR="00395EDB" w:rsidRPr="00515EAF">
                <w:rPr>
                  <w:rStyle w:val="Hyperlink"/>
                  <w:rFonts w:ascii="Times New Roman" w:hAnsi="Times New Roman" w:cs="Times New Roman"/>
                  <w:sz w:val="20"/>
                </w:rPr>
                <w:t>Form of MRC Global Inc. Performance Share Unit Award Agreement.</w:t>
              </w:r>
              <w:r w:rsidR="00395EDB" w:rsidRPr="00515EAF">
                <w:rPr>
                  <w:rStyle w:val="Hyperlink"/>
                </w:rPr>
                <w:t xml:space="preserve"> </w:t>
              </w:r>
              <w:r w:rsidR="00395EDB" w:rsidRPr="00515EAF">
                <w:rPr>
                  <w:rStyle w:val="Hyperlink"/>
                  <w:rFonts w:ascii="Times New Roman" w:hAnsi="Times New Roman" w:cs="Times New Roman"/>
                  <w:sz w:val="20"/>
                  <w:szCs w:val="20"/>
                </w:rPr>
                <w:t>(Incorporated by reference to Exhibit 10.8.1</w:t>
              </w:r>
              <w:r w:rsidR="00E24E0B">
                <w:rPr>
                  <w:rStyle w:val="Hyperlink"/>
                  <w:rFonts w:ascii="Times New Roman" w:hAnsi="Times New Roman" w:cs="Times New Roman"/>
                  <w:sz w:val="20"/>
                  <w:szCs w:val="20"/>
                </w:rPr>
                <w:t>0</w:t>
              </w:r>
              <w:r w:rsidR="00395EDB" w:rsidRPr="00515EAF">
                <w:rPr>
                  <w:rStyle w:val="Hyperlink"/>
                  <w:rFonts w:ascii="Times New Roman" w:hAnsi="Times New Roman" w:cs="Times New Roman"/>
                  <w:sz w:val="20"/>
                  <w:szCs w:val="20"/>
                </w:rPr>
                <w:t xml:space="preserve"> to Form 10-K of MRC Global Inc. for the year ended December 31, 2018, filed with the SEC on February 15, 2019, File No. 001-35479).</w:t>
              </w:r>
            </w:hyperlink>
          </w:p>
        </w:tc>
      </w:tr>
      <w:tr w:rsidR="00395EDB">
        <w:trPr>
          <w:cantSplit/>
        </w:trPr>
        <w:tc>
          <w:tcPr>
            <w:tcW w:w="928" w:type="pct"/>
          </w:tcPr>
          <w:p w:rsidR="00395EDB" w:rsidRDefault="00395EDB" w:rsidP="00395EDB">
            <w:pPr>
              <w:spacing w:after="240"/>
              <w:rPr>
                <w:sz w:val="20"/>
              </w:rPr>
            </w:pPr>
            <w:r>
              <w:rPr>
                <w:rFonts w:ascii="Times New Roman" w:hAnsi="Times New Roman" w:cs="Times New Roman"/>
                <w:sz w:val="20"/>
                <w:szCs w:val="20"/>
              </w:rPr>
              <w:t>10.9.10†</w:t>
            </w:r>
          </w:p>
        </w:tc>
        <w:tc>
          <w:tcPr>
            <w:tcW w:w="4072" w:type="pct"/>
          </w:tcPr>
          <w:p w:rsidR="00395EDB" w:rsidRDefault="00A46291" w:rsidP="00395EDB">
            <w:pPr>
              <w:spacing w:after="240"/>
              <w:rPr>
                <w:rFonts w:ascii="Times New Roman" w:hAnsi="Times New Roman" w:cs="Times New Roman"/>
                <w:sz w:val="20"/>
              </w:rPr>
            </w:pPr>
            <w:hyperlink r:id="rId48" w:tooltip="mrc-20181231xex10_811.htm" w:history="1">
              <w:r w:rsidR="00395EDB" w:rsidRPr="00515EAF">
                <w:rPr>
                  <w:rStyle w:val="Hyperlink"/>
                  <w:rFonts w:ascii="Times New Roman" w:hAnsi="Times New Roman" w:cs="Times New Roman"/>
                  <w:sz w:val="20"/>
                </w:rPr>
                <w:t>Form of MRC Global Inc. Restricted Stock Unit Award Agreement.</w:t>
              </w:r>
              <w:r w:rsidR="00395EDB" w:rsidRPr="00515EAF">
                <w:rPr>
                  <w:rStyle w:val="Hyperlink"/>
                  <w:rFonts w:ascii="Times New Roman" w:hAnsi="Times New Roman" w:cs="Times New Roman"/>
                  <w:sz w:val="20"/>
                  <w:szCs w:val="20"/>
                </w:rPr>
                <w:t xml:space="preserve"> (Incorporated by reference to Exhibit 10.8.1</w:t>
              </w:r>
              <w:r w:rsidR="00E24E0B">
                <w:rPr>
                  <w:rStyle w:val="Hyperlink"/>
                  <w:rFonts w:ascii="Times New Roman" w:hAnsi="Times New Roman" w:cs="Times New Roman"/>
                  <w:sz w:val="20"/>
                  <w:szCs w:val="20"/>
                </w:rPr>
                <w:t>1</w:t>
              </w:r>
              <w:r w:rsidR="00395EDB" w:rsidRPr="00515EAF">
                <w:rPr>
                  <w:rStyle w:val="Hyperlink"/>
                  <w:rFonts w:ascii="Times New Roman" w:hAnsi="Times New Roman" w:cs="Times New Roman"/>
                  <w:sz w:val="20"/>
                  <w:szCs w:val="20"/>
                </w:rPr>
                <w:t xml:space="preserve"> to Form 10-K of MRC Global Inc. for the year ended December 31, 2018, filed with the SEC on February 15, 2019, File No. 001-35479)</w:t>
              </w:r>
            </w:hyperlink>
            <w:r w:rsidR="00515EAF">
              <w:rPr>
                <w:rFonts w:ascii="Times New Roman" w:hAnsi="Times New Roman" w:cs="Times New Roman"/>
                <w:sz w:val="20"/>
              </w:rPr>
              <w:t>.</w:t>
            </w:r>
          </w:p>
        </w:tc>
      </w:tr>
      <w:tr w:rsidR="00395EDB">
        <w:trPr>
          <w:cantSplit/>
          <w:trHeight w:hRule="exact" w:val="20"/>
        </w:trPr>
        <w:tc>
          <w:tcPr>
            <w:tcW w:w="928" w:type="pct"/>
            <w:tcBorders>
              <w:top w:val="nil"/>
              <w:left w:val="nil"/>
              <w:bottom w:val="nil"/>
              <w:right w:val="nil"/>
            </w:tcBorders>
          </w:tcPr>
          <w:p w:rsidR="00395EDB" w:rsidRDefault="00395EDB" w:rsidP="00395EDB">
            <w:pPr>
              <w:rPr>
                <w:sz w:val="2"/>
              </w:rPr>
            </w:pPr>
          </w:p>
        </w:tc>
        <w:tc>
          <w:tcPr>
            <w:tcW w:w="4072" w:type="pct"/>
            <w:tcBorders>
              <w:top w:val="nil"/>
              <w:left w:val="nil"/>
              <w:bottom w:val="nil"/>
              <w:right w:val="nil"/>
            </w:tcBorders>
          </w:tcPr>
          <w:p w:rsidR="00395EDB" w:rsidRDefault="00395EDB" w:rsidP="00395EDB">
            <w:pPr>
              <w:rPr>
                <w:sz w:val="2"/>
              </w:rPr>
            </w:pPr>
          </w:p>
        </w:tc>
      </w:tr>
      <w:tr w:rsidR="00395EDB">
        <w:trPr>
          <w:cantSplit/>
        </w:trPr>
        <w:tc>
          <w:tcPr>
            <w:tcW w:w="928" w:type="pct"/>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w:t>
            </w:r>
            <w:r w:rsidR="007E043F">
              <w:rPr>
                <w:rFonts w:ascii="Times New Roman" w:hAnsi="Times New Roman" w:cs="Times New Roman"/>
                <w:sz w:val="20"/>
                <w:szCs w:val="20"/>
              </w:rPr>
              <w:t>1</w:t>
            </w:r>
            <w:r w:rsidR="00E24E0B">
              <w:rPr>
                <w:rFonts w:ascii="Times New Roman" w:hAnsi="Times New Roman" w:cs="Times New Roman"/>
                <w:sz w:val="20"/>
                <w:szCs w:val="20"/>
              </w:rPr>
              <w:t>0</w:t>
            </w:r>
            <w:r>
              <w:rPr>
                <w:rFonts w:ascii="Times New Roman" w:hAnsi="Times New Roman" w:cs="Times New Roman"/>
                <w:sz w:val="20"/>
              </w:rPr>
              <w:t>†</w:t>
            </w:r>
          </w:p>
        </w:tc>
        <w:tc>
          <w:tcPr>
            <w:tcW w:w="4072" w:type="pct"/>
          </w:tcPr>
          <w:p w:rsidR="00395EDB" w:rsidRDefault="00A46291" w:rsidP="00395EDB">
            <w:pPr>
              <w:spacing w:after="240"/>
              <w:rPr>
                <w:rFonts w:ascii="Times New Roman" w:hAnsi="Times New Roman" w:cs="Times New Roman"/>
                <w:sz w:val="20"/>
                <w:szCs w:val="20"/>
              </w:rPr>
            </w:pPr>
            <w:hyperlink r:id="rId49" w:history="1">
              <w:r w:rsidR="00395EDB">
                <w:rPr>
                  <w:rStyle w:val="Hyperlink"/>
                  <w:rFonts w:ascii="Times New Roman" w:hAnsi="Times New Roman" w:cs="Times New Roman"/>
                  <w:sz w:val="20"/>
                  <w:szCs w:val="20"/>
                </w:rPr>
                <w:t>MRC Global Director Compensation Plan (Incorporated by reference to Exhibit 10.11 to Form 10-K of MRC Global Inc. for the year ended December 31, 2017 filed with the SEC on February 16, 2018, File No. 001-35479).</w:t>
              </w:r>
            </w:hyperlink>
          </w:p>
        </w:tc>
      </w:tr>
      <w:tr w:rsidR="00395EDB">
        <w:trPr>
          <w:cantSplit/>
        </w:trPr>
        <w:tc>
          <w:tcPr>
            <w:tcW w:w="928" w:type="pct"/>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10.11†</w:t>
            </w:r>
          </w:p>
        </w:tc>
        <w:tc>
          <w:tcPr>
            <w:tcW w:w="4072" w:type="pct"/>
          </w:tcPr>
          <w:p w:rsidR="00395EDB" w:rsidRDefault="00A46291" w:rsidP="00395EDB">
            <w:pPr>
              <w:spacing w:after="240"/>
              <w:rPr>
                <w:rFonts w:ascii="Times New Roman" w:hAnsi="Times New Roman" w:cs="Times New Roman"/>
                <w:sz w:val="20"/>
                <w:szCs w:val="20"/>
              </w:rPr>
            </w:pPr>
            <w:hyperlink r:id="rId50" w:history="1">
              <w:r w:rsidR="00395EDB">
                <w:rPr>
                  <w:rStyle w:val="Hyperlink"/>
                  <w:rFonts w:ascii="Times New Roman" w:hAnsi="Times New Roman" w:cs="Times New Roman"/>
                  <w:sz w:val="20"/>
                  <w:szCs w:val="20"/>
                </w:rPr>
                <w:t>MRC Global Inc. (f/k/a McJunkin Red Man Holding Corporation) Nonqualified Stock Option Agreement, dated as of December 3, 2009, by and among MRC Global Inc., PVF Holdings LLC (now dissolved), and John A. Perkins. (Incorporated by reference to Exhibit 10.29 to the Registration Statement on Form S-4 of McJunkin Red Man Corporation (No. 333-173035), filed with the SEC on March 24, 2011, File No. 001-35479).</w:t>
              </w:r>
            </w:hyperlink>
          </w:p>
        </w:tc>
      </w:tr>
      <w:tr w:rsidR="00395EDB">
        <w:trPr>
          <w:cantSplit/>
          <w:trHeight w:hRule="exact" w:val="20"/>
        </w:trPr>
        <w:tc>
          <w:tcPr>
            <w:tcW w:w="928" w:type="pct"/>
            <w:tcBorders>
              <w:top w:val="nil"/>
              <w:left w:val="nil"/>
              <w:bottom w:val="nil"/>
              <w:right w:val="nil"/>
            </w:tcBorders>
          </w:tcPr>
          <w:p w:rsidR="00395EDB" w:rsidRDefault="00395EDB" w:rsidP="00395EDB">
            <w:pPr>
              <w:rPr>
                <w:sz w:val="2"/>
              </w:rPr>
            </w:pPr>
          </w:p>
        </w:tc>
        <w:tc>
          <w:tcPr>
            <w:tcW w:w="4072" w:type="pct"/>
            <w:tcBorders>
              <w:top w:val="nil"/>
              <w:left w:val="nil"/>
              <w:bottom w:val="nil"/>
              <w:right w:val="nil"/>
            </w:tcBorders>
          </w:tcPr>
          <w:p w:rsidR="00395EDB" w:rsidRDefault="00395EDB" w:rsidP="00395EDB">
            <w:pPr>
              <w:rPr>
                <w:sz w:val="2"/>
              </w:rPr>
            </w:pPr>
            <w:r>
              <w:rPr>
                <w:sz w:val="2"/>
              </w:rPr>
              <w:t>F</w:t>
            </w:r>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10.12</w:t>
            </w:r>
          </w:p>
        </w:tc>
        <w:tc>
          <w:tcPr>
            <w:tcW w:w="4072" w:type="pct"/>
            <w:hideMark/>
          </w:tcPr>
          <w:p w:rsidR="00395EDB" w:rsidRDefault="00A46291" w:rsidP="00395EDB">
            <w:pPr>
              <w:spacing w:after="240"/>
              <w:rPr>
                <w:rFonts w:ascii="Times New Roman" w:hAnsi="Times New Roman" w:cs="Times New Roman"/>
                <w:sz w:val="20"/>
                <w:szCs w:val="20"/>
              </w:rPr>
            </w:pPr>
            <w:hyperlink r:id="rId51" w:history="1">
              <w:r w:rsidR="00395EDB">
                <w:rPr>
                  <w:rStyle w:val="Hyperlink"/>
                  <w:rFonts w:ascii="Times New Roman" w:hAnsi="Times New Roman" w:cs="Times New Roman"/>
                  <w:sz w:val="20"/>
                  <w:szCs w:val="20"/>
                </w:rPr>
                <w:t>Indemnity Agreement, dated as of December 4, 2006, by and among MRC Global Inc. (f/k/a McJunkin Red Man Holding Corporation), Hg Acquisition Corp., MRC Global (US) Inc. (f/k/a McJunkin Red Man Corporation), and certain shareholders of MRC Global (US) Inc. named therein. (Incorporated by reference to Exhibit 10.21 to Amendment No. 1 of the Registration Statement on Form S-1 of MRC Global Inc. (f/k/a McJunkin Red Man Holding Corporation) (No. 333-153091), filed with the SEC on September 26, 2008, File No. 001-35479).</w:t>
              </w:r>
            </w:hyperlink>
          </w:p>
        </w:tc>
      </w:tr>
      <w:tr w:rsidR="00395EDB">
        <w:trPr>
          <w:cantSplit/>
        </w:trPr>
        <w:tc>
          <w:tcPr>
            <w:tcW w:w="928" w:type="pct"/>
            <w:hideMark/>
          </w:tcPr>
          <w:p w:rsidR="00395EDB" w:rsidRDefault="00395EDB" w:rsidP="00395EDB">
            <w:pPr>
              <w:spacing w:after="240"/>
              <w:rPr>
                <w:sz w:val="20"/>
              </w:rPr>
            </w:pPr>
            <w:r>
              <w:rPr>
                <w:rFonts w:ascii="Times New Roman" w:hAnsi="Times New Roman" w:cs="Times New Roman"/>
                <w:sz w:val="20"/>
                <w:szCs w:val="20"/>
              </w:rPr>
              <w:t>10.13</w:t>
            </w:r>
          </w:p>
        </w:tc>
        <w:tc>
          <w:tcPr>
            <w:tcW w:w="4072" w:type="pct"/>
            <w:hideMark/>
          </w:tcPr>
          <w:p w:rsidR="00395EDB" w:rsidRDefault="00A46291" w:rsidP="00395EDB">
            <w:pPr>
              <w:spacing w:after="240"/>
              <w:rPr>
                <w:rFonts w:ascii="Times New Roman" w:hAnsi="Times New Roman" w:cs="Times New Roman"/>
                <w:sz w:val="20"/>
              </w:rPr>
            </w:pPr>
            <w:hyperlink r:id="rId52" w:history="1">
              <w:r w:rsidR="00395EDB">
                <w:rPr>
                  <w:rStyle w:val="Hyperlink"/>
                  <w:rFonts w:ascii="Times New Roman" w:hAnsi="Times New Roman" w:cs="Times New Roman"/>
                  <w:sz w:val="20"/>
                </w:rPr>
                <w:t xml:space="preserve">Form of Indemnification Agreement between MRC Global Inc. and Officers, Directors and Certain Employees. </w:t>
              </w:r>
              <w:r w:rsidR="00395EDB">
                <w:rPr>
                  <w:rStyle w:val="Hyperlink"/>
                  <w:rFonts w:ascii="Times New Roman" w:hAnsi="Times New Roman" w:cs="Times New Roman"/>
                  <w:sz w:val="20"/>
                  <w:szCs w:val="20"/>
                </w:rPr>
                <w:t>(Incorporated by reference to Exhibit 10.19 to Form 10-K of MRC Global Inc. for the year ended December 31, 2014, filed with the SEC on February 20, 2015, File No. 001-35479)</w:t>
              </w:r>
            </w:hyperlink>
            <w:r w:rsidR="00395EDB">
              <w:rPr>
                <w:rStyle w:val="Hyperlink"/>
                <w:sz w:val="20"/>
              </w:rPr>
              <w:t>.</w:t>
            </w:r>
          </w:p>
        </w:tc>
      </w:tr>
      <w:tr w:rsidR="00395EDB">
        <w:trPr>
          <w:cantSplit/>
        </w:trPr>
        <w:tc>
          <w:tcPr>
            <w:tcW w:w="928" w:type="pct"/>
          </w:tcPr>
          <w:p w:rsidR="00395EDB" w:rsidRDefault="00395EDB" w:rsidP="00395EDB">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lastRenderedPageBreak/>
              <w:t>Exhibit Number</w:t>
            </w:r>
          </w:p>
        </w:tc>
        <w:tc>
          <w:tcPr>
            <w:tcW w:w="4072" w:type="pct"/>
          </w:tcPr>
          <w:p w:rsidR="00395EDB" w:rsidRDefault="00395EDB" w:rsidP="00395EDB">
            <w:pPr>
              <w:keepNext/>
              <w:pBdr>
                <w:bottom w:val="single" w:sz="4" w:space="1" w:color="auto"/>
              </w:pBdr>
              <w:spacing w:after="120"/>
              <w:rPr>
                <w:rFonts w:ascii="Times New Roman" w:hAnsi="Times New Roman" w:cs="Times New Roman"/>
                <w:b/>
                <w:sz w:val="20"/>
                <w:szCs w:val="20"/>
              </w:rPr>
            </w:pPr>
            <w:r>
              <w:rPr>
                <w:rFonts w:ascii="Times New Roman" w:hAnsi="Times New Roman" w:cs="Times New Roman"/>
                <w:b/>
                <w:sz w:val="20"/>
                <w:szCs w:val="20"/>
              </w:rPr>
              <w:t>Description</w:t>
            </w:r>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10.14</w:t>
            </w:r>
          </w:p>
        </w:tc>
        <w:tc>
          <w:tcPr>
            <w:tcW w:w="4072" w:type="pct"/>
            <w:hideMark/>
          </w:tcPr>
          <w:p w:rsidR="00395EDB" w:rsidRDefault="00A46291" w:rsidP="00395EDB">
            <w:pPr>
              <w:spacing w:after="240"/>
              <w:rPr>
                <w:rFonts w:ascii="Times New Roman" w:hAnsi="Times New Roman" w:cs="Times New Roman"/>
                <w:sz w:val="20"/>
              </w:rPr>
            </w:pPr>
            <w:hyperlink r:id="rId53" w:history="1">
              <w:r w:rsidR="00395EDB" w:rsidRPr="000A3F92">
                <w:rPr>
                  <w:rStyle w:val="Hyperlink"/>
                  <w:rFonts w:ascii="Times New Roman" w:hAnsi="Times New Roman" w:cs="Times New Roman"/>
                  <w:sz w:val="20"/>
                </w:rPr>
                <w:t>Shareholders</w:t>
              </w:r>
              <w:r w:rsidR="000A3F92" w:rsidRPr="000A3F92">
                <w:rPr>
                  <w:rStyle w:val="Hyperlink"/>
                  <w:rFonts w:ascii="Times New Roman" w:hAnsi="Times New Roman" w:cs="Times New Roman"/>
                  <w:sz w:val="20"/>
                </w:rPr>
                <w:t xml:space="preserve">’ </w:t>
              </w:r>
              <w:r w:rsidR="00395EDB" w:rsidRPr="000A3F92">
                <w:rPr>
                  <w:rStyle w:val="Hyperlink"/>
                  <w:rFonts w:ascii="Times New Roman" w:hAnsi="Times New Roman" w:cs="Times New Roman"/>
                  <w:sz w:val="20"/>
                </w:rPr>
                <w:t>Agreement, dated June 10, 2015, by and between MRC Global Inc. and Mario Investments LLC.  (Incorporated by reference to the Current Report on Form 8-K of MRC Global Inc. filed with the SEC on June 11, 2015, File No. 001-35479).</w:t>
              </w:r>
            </w:hyperlink>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21.1*</w:t>
            </w:r>
          </w:p>
        </w:tc>
        <w:tc>
          <w:tcPr>
            <w:tcW w:w="4072" w:type="pct"/>
            <w:hideMark/>
          </w:tcPr>
          <w:p w:rsidR="00395EDB" w:rsidRDefault="00A46291" w:rsidP="00395EDB">
            <w:pPr>
              <w:spacing w:after="240"/>
              <w:rPr>
                <w:rFonts w:ascii="Times New Roman" w:hAnsi="Times New Roman" w:cs="Times New Roman"/>
                <w:sz w:val="20"/>
                <w:szCs w:val="20"/>
              </w:rPr>
            </w:pPr>
            <w:hyperlink r:id="rId54" w:tooltip="mrc-20191231xex21_1.htm" w:history="1">
              <w:r w:rsidR="004A17D0">
                <w:rPr>
                  <w:rStyle w:val="Hyperlink"/>
                  <w:rFonts w:ascii="Times New Roman" w:hAnsi="Times New Roman" w:cs="Times New Roman"/>
                  <w:sz w:val="20"/>
                  <w:szCs w:val="20"/>
                </w:rPr>
                <w:t>List of Subsidiaries of MRC Global Inc.</w:t>
              </w:r>
            </w:hyperlink>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23.1*</w:t>
            </w:r>
          </w:p>
        </w:tc>
        <w:tc>
          <w:tcPr>
            <w:tcW w:w="4072" w:type="pct"/>
            <w:hideMark/>
          </w:tcPr>
          <w:p w:rsidR="00395EDB" w:rsidRDefault="00A46291" w:rsidP="00395EDB">
            <w:pPr>
              <w:spacing w:after="240"/>
              <w:rPr>
                <w:rFonts w:ascii="Times New Roman" w:hAnsi="Times New Roman" w:cs="Times New Roman"/>
                <w:sz w:val="20"/>
                <w:szCs w:val="20"/>
              </w:rPr>
            </w:pPr>
            <w:hyperlink r:id="rId55" w:tooltip="mrc-20191231xex23_1.htm" w:history="1">
              <w:r w:rsidR="004A17D0">
                <w:rPr>
                  <w:rStyle w:val="Hyperlink"/>
                  <w:rFonts w:ascii="Times New Roman" w:hAnsi="Times New Roman" w:cs="Times New Roman"/>
                  <w:sz w:val="20"/>
                  <w:szCs w:val="20"/>
                </w:rPr>
                <w:t>Consent of Ernst &amp; Young LLP, Independent Registered Public Accounting Firm.</w:t>
              </w:r>
            </w:hyperlink>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31.1*</w:t>
            </w:r>
          </w:p>
        </w:tc>
        <w:tc>
          <w:tcPr>
            <w:tcW w:w="4072" w:type="pct"/>
            <w:hideMark/>
          </w:tcPr>
          <w:p w:rsidR="00395EDB" w:rsidRDefault="00A46291" w:rsidP="00395EDB">
            <w:pPr>
              <w:spacing w:after="240"/>
              <w:rPr>
                <w:rFonts w:ascii="Times New Roman" w:hAnsi="Times New Roman" w:cs="Times New Roman"/>
                <w:sz w:val="20"/>
                <w:szCs w:val="20"/>
              </w:rPr>
            </w:pPr>
            <w:hyperlink r:id="rId56" w:tooltip="mrc-20191231xex31_1.htm" w:history="1">
              <w:r w:rsidR="004A17D0">
                <w:rPr>
                  <w:rStyle w:val="Hyperlink"/>
                  <w:rFonts w:ascii="Times New Roman" w:hAnsi="Times New Roman" w:cs="Times New Roman"/>
                  <w:sz w:val="20"/>
                  <w:szCs w:val="20"/>
                </w:rPr>
                <w:t>Certification of the Chief Executive Officer pursuant to Rules 13a-14(a) and 15d-14(a) promulgated under the Securities and Exchange Act of 1934, as amended, and Item 601(b)(31) of Regulation S-K, as adopted pursuant to Section 302 of the Sarbanes-Oxley Act of 2002.</w:t>
              </w:r>
            </w:hyperlink>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31.2*</w:t>
            </w:r>
          </w:p>
        </w:tc>
        <w:tc>
          <w:tcPr>
            <w:tcW w:w="4072" w:type="pct"/>
            <w:hideMark/>
          </w:tcPr>
          <w:p w:rsidR="00395EDB" w:rsidRDefault="00A46291" w:rsidP="00395EDB">
            <w:pPr>
              <w:spacing w:after="240"/>
              <w:rPr>
                <w:rFonts w:ascii="Times New Roman" w:hAnsi="Times New Roman" w:cs="Times New Roman"/>
                <w:sz w:val="20"/>
                <w:szCs w:val="20"/>
              </w:rPr>
            </w:pPr>
            <w:hyperlink r:id="rId57" w:tooltip="mrc-20191231xex31_2.htm" w:history="1">
              <w:r w:rsidR="004A17D0">
                <w:rPr>
                  <w:rStyle w:val="Hyperlink"/>
                  <w:rFonts w:ascii="Times New Roman" w:hAnsi="Times New Roman" w:cs="Times New Roman"/>
                  <w:sz w:val="20"/>
                  <w:szCs w:val="20"/>
                </w:rPr>
                <w:t>Certification of the Chief Financial Officer pursuant to Rules 13a-14(a) and 15d-14(a) promulgated under the Securities and Exchange Act of 1934, as amended, and Item 601(b)(31) of Regulation S-K, as adopted pursuant to Section 302 of the Sarbanes-Oxley Act of 2002.</w:t>
              </w:r>
            </w:hyperlink>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32**</w:t>
            </w:r>
          </w:p>
        </w:tc>
        <w:tc>
          <w:tcPr>
            <w:tcW w:w="4072" w:type="pct"/>
            <w:hideMark/>
          </w:tcPr>
          <w:p w:rsidR="00395EDB" w:rsidRDefault="00A46291" w:rsidP="00395EDB">
            <w:pPr>
              <w:spacing w:after="240"/>
              <w:rPr>
                <w:rFonts w:ascii="Times New Roman" w:hAnsi="Times New Roman" w:cs="Times New Roman"/>
                <w:sz w:val="20"/>
                <w:szCs w:val="20"/>
              </w:rPr>
            </w:pPr>
            <w:hyperlink r:id="rId58" w:tooltip="mrc-20191231xex32.htm" w:history="1">
              <w:r w:rsidR="004A17D0">
                <w:rPr>
                  <w:rStyle w:val="Hyperlink"/>
                  <w:rFonts w:ascii="Times New Roman" w:hAnsi="Times New Roman" w:cs="Times New Roman"/>
                  <w:sz w:val="20"/>
                  <w:szCs w:val="20"/>
                </w:rPr>
                <w:t>Certification of the Chief Executive Officer and the Chief Financial Officer pursuant to 18 U.S.C. Section 1350, as adopted pursuant to Section 906 of the Sarbanes-Oxley Act of 2002.</w:t>
              </w:r>
            </w:hyperlink>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100*</w:t>
            </w:r>
          </w:p>
        </w:tc>
        <w:tc>
          <w:tcPr>
            <w:tcW w:w="4072"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The following financial information from MRC Global Inc.’s Annual Report on Form 10-K for the period ended December 31, 2019, formatted in Extensible Business Reporting Language (“XBRL”): (i) the Consolidated Balance Sheets at December 31, 2019 and December 31, 2018, (ii) the Consolidated Statements of Operations for the twelve-month periods ended December 31, 2019, 2018 and 2017, (iii) the Consolidated Statements of Comprehensive Income for the twelve-month periods ended December 31, 2019, 2018 and 2017, (iv) the Consolidated Statements of Cash Flows for the twelve-month periods ended December 31, 2019, 2018 and 2017, (v) the Consolidated Statements of Stockholders’ Equity for the twelve-month periods ended December 31, 2019, 2018 and 2017 and (vi) Notes to Consolidated Financial Statements.</w:t>
            </w:r>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101*</w:t>
            </w:r>
          </w:p>
        </w:tc>
        <w:tc>
          <w:tcPr>
            <w:tcW w:w="4072"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Interactive data file.</w:t>
            </w:r>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101.INS*</w:t>
            </w:r>
          </w:p>
        </w:tc>
        <w:tc>
          <w:tcPr>
            <w:tcW w:w="4072"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XBRL Instance Document.</w:t>
            </w:r>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101.SCH*</w:t>
            </w:r>
          </w:p>
        </w:tc>
        <w:tc>
          <w:tcPr>
            <w:tcW w:w="4072"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XBRL Taxonomy Extension Schema.</w:t>
            </w:r>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101.CAL*</w:t>
            </w:r>
          </w:p>
        </w:tc>
        <w:tc>
          <w:tcPr>
            <w:tcW w:w="4072"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XBRL Taxonomy Extension Calculation Linkbase.</w:t>
            </w:r>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101.DEF*</w:t>
            </w:r>
          </w:p>
        </w:tc>
        <w:tc>
          <w:tcPr>
            <w:tcW w:w="4072"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XBRL Taxonomy Extension Definition Linkbase.</w:t>
            </w:r>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101.LAB*</w:t>
            </w:r>
          </w:p>
        </w:tc>
        <w:tc>
          <w:tcPr>
            <w:tcW w:w="4072"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XBRL Taxonomy Extension Label Linkbase.</w:t>
            </w:r>
          </w:p>
        </w:tc>
      </w:tr>
      <w:tr w:rsidR="00395EDB">
        <w:trPr>
          <w:cantSplit/>
        </w:trPr>
        <w:tc>
          <w:tcPr>
            <w:tcW w:w="928"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101.PRE*</w:t>
            </w:r>
          </w:p>
        </w:tc>
        <w:tc>
          <w:tcPr>
            <w:tcW w:w="4072" w:type="pct"/>
            <w:hideMark/>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XBRL Taxonomy Extension Presentation Linkbase.</w:t>
            </w:r>
          </w:p>
        </w:tc>
      </w:tr>
      <w:tr w:rsidR="00395EDB">
        <w:trPr>
          <w:cantSplit/>
        </w:trPr>
        <w:tc>
          <w:tcPr>
            <w:tcW w:w="928" w:type="pct"/>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104</w:t>
            </w:r>
          </w:p>
        </w:tc>
        <w:tc>
          <w:tcPr>
            <w:tcW w:w="4072" w:type="pct"/>
          </w:tcPr>
          <w:p w:rsidR="00395EDB" w:rsidRDefault="00395EDB" w:rsidP="00395EDB">
            <w:pPr>
              <w:spacing w:after="240"/>
              <w:rPr>
                <w:rFonts w:ascii="Times New Roman" w:hAnsi="Times New Roman" w:cs="Times New Roman"/>
                <w:sz w:val="20"/>
                <w:szCs w:val="20"/>
              </w:rPr>
            </w:pPr>
            <w:r>
              <w:rPr>
                <w:rFonts w:ascii="Times New Roman" w:hAnsi="Times New Roman" w:cs="Times New Roman"/>
                <w:sz w:val="20"/>
                <w:szCs w:val="20"/>
              </w:rPr>
              <w:t>The cover page from the Company’s Quarterly Report on Form 10-K for the year ended December 31, 2019 formatted in Inline XBRL</w:t>
            </w:r>
          </w:p>
        </w:tc>
      </w:tr>
    </w:tbl>
    <w:p w:rsidR="000121CD" w:rsidRDefault="00590862">
      <w:pPr>
        <w:pStyle w:val="NormalWeb"/>
        <w:spacing w:before="0" w:beforeAutospacing="0" w:after="0" w:afterAutospacing="0"/>
        <w:ind w:left="489" w:hanging="490"/>
        <w:rPr>
          <w:sz w:val="20"/>
          <w:szCs w:val="20"/>
        </w:rPr>
      </w:pPr>
      <w:r>
        <w:rPr>
          <w:sz w:val="20"/>
          <w:szCs w:val="20"/>
        </w:rPr>
        <w:t>†</w:t>
      </w:r>
      <w:r>
        <w:rPr>
          <w:sz w:val="20"/>
          <w:szCs w:val="20"/>
        </w:rPr>
        <w:tab/>
        <w:t xml:space="preserve">Management contract or compensatory plan or arrangement required to be posted as an exhibit to this report. </w:t>
      </w:r>
    </w:p>
    <w:p w:rsidR="000121CD" w:rsidRDefault="00590862">
      <w:pPr>
        <w:pStyle w:val="NormalWeb"/>
        <w:spacing w:before="0" w:beforeAutospacing="0" w:after="0" w:afterAutospacing="0"/>
        <w:ind w:left="489" w:hanging="490"/>
        <w:rPr>
          <w:sz w:val="20"/>
          <w:szCs w:val="20"/>
        </w:rPr>
      </w:pPr>
      <w:r>
        <w:rPr>
          <w:sz w:val="20"/>
          <w:szCs w:val="20"/>
        </w:rPr>
        <w:t>*</w:t>
      </w:r>
      <w:r>
        <w:rPr>
          <w:sz w:val="20"/>
          <w:szCs w:val="20"/>
        </w:rPr>
        <w:tab/>
        <w:t xml:space="preserve">Filed herewith. </w:t>
      </w:r>
    </w:p>
    <w:p w:rsidR="000121CD" w:rsidRDefault="00590862">
      <w:pPr>
        <w:pStyle w:val="NormalWeb"/>
        <w:spacing w:before="0" w:beforeAutospacing="0" w:after="0" w:afterAutospacing="0"/>
        <w:ind w:left="489" w:hanging="490"/>
        <w:rPr>
          <w:sz w:val="20"/>
          <w:szCs w:val="20"/>
        </w:rPr>
      </w:pPr>
      <w:r>
        <w:rPr>
          <w:sz w:val="20"/>
          <w:szCs w:val="20"/>
        </w:rPr>
        <w:t>**</w:t>
      </w:r>
      <w:r>
        <w:rPr>
          <w:sz w:val="20"/>
          <w:szCs w:val="20"/>
        </w:rPr>
        <w:tab/>
        <w:t>Furnished herewith.</w:t>
      </w:r>
    </w:p>
    <w:p w:rsidR="000121CD" w:rsidRDefault="00590862">
      <w:pPr>
        <w:pStyle w:val="NormalWeb"/>
        <w:keepNext/>
        <w:spacing w:before="180" w:beforeAutospacing="0" w:after="0" w:afterAutospacing="0"/>
        <w:ind w:left="1224" w:hanging="1224"/>
        <w:rPr>
          <w:b/>
          <w:bCs/>
          <w:sz w:val="20"/>
          <w:szCs w:val="20"/>
        </w:rPr>
      </w:pPr>
      <w:bookmarkStart w:id="24" w:name="Item16"/>
      <w:r>
        <w:rPr>
          <w:b/>
          <w:bCs/>
          <w:sz w:val="20"/>
          <w:szCs w:val="20"/>
        </w:rPr>
        <w:t>ITEM  16.</w:t>
      </w:r>
      <w:r>
        <w:rPr>
          <w:bCs/>
          <w:sz w:val="20"/>
          <w:szCs w:val="20"/>
        </w:rPr>
        <w:tab/>
      </w:r>
      <w:r>
        <w:rPr>
          <w:b/>
          <w:bCs/>
          <w:sz w:val="20"/>
          <w:szCs w:val="20"/>
        </w:rPr>
        <w:t>FORM 10-K SUMMARY</w:t>
      </w:r>
    </w:p>
    <w:bookmarkEnd w:id="24"/>
    <w:p w:rsidR="000121CD" w:rsidRDefault="00395EDB">
      <w:pPr>
        <w:pStyle w:val="NormalWeb"/>
        <w:keepNext/>
        <w:spacing w:before="180" w:beforeAutospacing="0" w:after="0" w:afterAutospacing="0"/>
        <w:ind w:left="1224" w:hanging="1224"/>
      </w:pPr>
      <w:r>
        <w:rPr>
          <w:bCs/>
          <w:sz w:val="20"/>
          <w:szCs w:val="20"/>
        </w:rPr>
        <w:t>None</w:t>
      </w:r>
      <w:r w:rsidR="00590862">
        <w:rPr>
          <w:bCs/>
          <w:sz w:val="20"/>
          <w:szCs w:val="20"/>
        </w:rPr>
        <w:t>.</w:t>
      </w:r>
      <w:r w:rsidR="00590862">
        <w:rPr>
          <w:b/>
          <w:bCs/>
          <w:sz w:val="20"/>
          <w:szCs w:val="20"/>
        </w:rPr>
        <w:t xml:space="preserve"> </w:t>
      </w:r>
    </w:p>
    <w:p w:rsidR="000121CD" w:rsidRDefault="000121CD">
      <w:pPr>
        <w:pStyle w:val="NormalWeb"/>
        <w:spacing w:before="0" w:beforeAutospacing="0" w:after="0" w:afterAutospacing="0"/>
        <w:ind w:left="489" w:hanging="490"/>
      </w:pPr>
    </w:p>
    <w:p w:rsidR="000121CD" w:rsidRDefault="00590862">
      <w:pPr>
        <w:pStyle w:val="NormalWeb"/>
        <w:keepNext/>
        <w:pageBreakBefore/>
        <w:spacing w:before="0" w:beforeAutospacing="0" w:after="0" w:afterAutospacing="0"/>
      </w:pPr>
      <w:r>
        <w:rPr>
          <w:b/>
          <w:bCs/>
          <w:sz w:val="20"/>
          <w:szCs w:val="20"/>
          <w:u w:val="single"/>
        </w:rPr>
        <w:lastRenderedPageBreak/>
        <w:t xml:space="preserve">SIGNATURES </w:t>
      </w:r>
    </w:p>
    <w:p w:rsidR="000121CD" w:rsidRDefault="00590862">
      <w:pPr>
        <w:pStyle w:val="NormalWeb"/>
        <w:spacing w:before="180" w:beforeAutospacing="0" w:after="0" w:afterAutospacing="0"/>
        <w:ind w:firstLine="490"/>
      </w:pPr>
      <w:r>
        <w:rPr>
          <w:sz w:val="20"/>
          <w:szCs w:val="20"/>
        </w:rPr>
        <w:t xml:space="preserve">Pursuant to the requirements of the Securities Exchange Act of 1934, the registrant has duly caused this report to be signed on its behalf by the undersigned, thereunto duly authorized. </w:t>
      </w:r>
    </w:p>
    <w:p w:rsidR="000121CD" w:rsidRDefault="00590862">
      <w:pPr>
        <w:pStyle w:val="NormalWeb"/>
        <w:keepNext/>
        <w:spacing w:before="0" w:beforeAutospacing="0" w:after="0" w:afterAutospacing="0"/>
        <w:rPr>
          <w:sz w:val="18"/>
          <w:szCs w:val="18"/>
        </w:rPr>
      </w:pPr>
      <w:r>
        <w:rPr>
          <w:sz w:val="18"/>
          <w:szCs w:val="18"/>
        </w:rPr>
        <w:t> </w:t>
      </w:r>
    </w:p>
    <w:tbl>
      <w:tblPr>
        <w:tblW w:w="0" w:type="auto"/>
        <w:tblInd w:w="6480" w:type="dxa"/>
        <w:tblLayout w:type="fixed"/>
        <w:tblCellMar>
          <w:left w:w="0" w:type="dxa"/>
          <w:right w:w="0" w:type="dxa"/>
        </w:tblCellMar>
        <w:tblLook w:val="04A0" w:firstRow="1" w:lastRow="0" w:firstColumn="1" w:lastColumn="0" w:noHBand="0" w:noVBand="1"/>
      </w:tblPr>
      <w:tblGrid>
        <w:gridCol w:w="342"/>
        <w:gridCol w:w="3978"/>
      </w:tblGrid>
      <w:tr w:rsidR="000121CD">
        <w:trPr>
          <w:trHeight w:hRule="exact" w:val="20"/>
        </w:trPr>
        <w:tc>
          <w:tcPr>
            <w:tcW w:w="342" w:type="dxa"/>
            <w:vAlign w:val="center"/>
          </w:tcPr>
          <w:p w:rsidR="000121CD" w:rsidRDefault="000121CD">
            <w:pPr>
              <w:rPr>
                <w:sz w:val="2"/>
              </w:rPr>
            </w:pPr>
          </w:p>
        </w:tc>
        <w:tc>
          <w:tcPr>
            <w:tcW w:w="3978" w:type="dxa"/>
            <w:vAlign w:val="center"/>
          </w:tcPr>
          <w:p w:rsidR="000121CD" w:rsidRDefault="000121CD">
            <w:pPr>
              <w:rPr>
                <w:sz w:val="2"/>
              </w:rPr>
            </w:pPr>
          </w:p>
        </w:tc>
      </w:tr>
      <w:tr w:rsidR="000121CD">
        <w:tc>
          <w:tcPr>
            <w:tcW w:w="342" w:type="dxa"/>
            <w:vAlign w:val="center"/>
          </w:tcPr>
          <w:p w:rsidR="000121CD" w:rsidRDefault="000121CD">
            <w:pPr>
              <w:rPr>
                <w:sz w:val="2"/>
              </w:rPr>
            </w:pPr>
          </w:p>
        </w:tc>
        <w:tc>
          <w:tcPr>
            <w:tcW w:w="3978" w:type="dxa"/>
            <w:vAlign w:val="center"/>
          </w:tcPr>
          <w:p w:rsidR="000121CD" w:rsidRDefault="000121CD">
            <w:pPr>
              <w:rPr>
                <w:sz w:val="2"/>
              </w:rPr>
            </w:pPr>
          </w:p>
        </w:tc>
      </w:tr>
      <w:tr w:rsidR="000121CD">
        <w:tc>
          <w:tcPr>
            <w:tcW w:w="4320" w:type="dxa"/>
            <w:gridSpan w:val="2"/>
            <w:hideMark/>
          </w:tcPr>
          <w:p w:rsidR="000121CD" w:rsidRDefault="00590862">
            <w:r>
              <w:rPr>
                <w:sz w:val="20"/>
              </w:rPr>
              <w:t>MRC GLOBAL INC.</w:t>
            </w:r>
          </w:p>
        </w:tc>
      </w:tr>
      <w:tr w:rsidR="000121CD">
        <w:trPr>
          <w:trHeight w:val="240"/>
        </w:trPr>
        <w:tc>
          <w:tcPr>
            <w:tcW w:w="342" w:type="dxa"/>
            <w:vAlign w:val="center"/>
          </w:tcPr>
          <w:p w:rsidR="000121CD" w:rsidRDefault="000121CD"/>
        </w:tc>
        <w:tc>
          <w:tcPr>
            <w:tcW w:w="3978" w:type="dxa"/>
            <w:vAlign w:val="center"/>
          </w:tcPr>
          <w:p w:rsidR="000121CD" w:rsidRDefault="000121CD"/>
        </w:tc>
      </w:tr>
      <w:tr w:rsidR="000121CD">
        <w:tc>
          <w:tcPr>
            <w:tcW w:w="342" w:type="dxa"/>
            <w:hideMark/>
          </w:tcPr>
          <w:p w:rsidR="000121CD" w:rsidRDefault="00590862">
            <w:pPr>
              <w:pStyle w:val="NormalWeb"/>
              <w:keepNext/>
            </w:pPr>
            <w:r>
              <w:rPr>
                <w:sz w:val="20"/>
                <w:szCs w:val="20"/>
              </w:rPr>
              <w:t>By:</w:t>
            </w:r>
          </w:p>
        </w:tc>
        <w:tc>
          <w:tcPr>
            <w:tcW w:w="3978" w:type="dxa"/>
            <w:vAlign w:val="bottom"/>
            <w:hideMark/>
          </w:tcPr>
          <w:p w:rsidR="000121CD" w:rsidRDefault="00590862">
            <w:pPr>
              <w:pStyle w:val="NormalWeb"/>
              <w:spacing w:before="0" w:beforeAutospacing="0" w:after="0" w:afterAutospacing="0"/>
            </w:pPr>
            <w:r>
              <w:rPr>
                <w:sz w:val="20"/>
                <w:szCs w:val="20"/>
              </w:rPr>
              <w:t>/s/    A</w:t>
            </w:r>
            <w:r>
              <w:rPr>
                <w:sz w:val="15"/>
                <w:szCs w:val="15"/>
              </w:rPr>
              <w:t>NDREW</w:t>
            </w:r>
            <w:r>
              <w:rPr>
                <w:sz w:val="20"/>
                <w:szCs w:val="20"/>
              </w:rPr>
              <w:t xml:space="preserve"> R. L</w:t>
            </w:r>
            <w:r>
              <w:rPr>
                <w:sz w:val="15"/>
                <w:szCs w:val="15"/>
              </w:rPr>
              <w:t>ANE        </w:t>
            </w:r>
          </w:p>
          <w:p w:rsidR="000121CD" w:rsidRDefault="00590862">
            <w:pPr>
              <w:pStyle w:val="rrdsinglerule"/>
              <w:jc w:val="left"/>
            </w:pPr>
            <w:r>
              <w:t> </w:t>
            </w:r>
          </w:p>
        </w:tc>
      </w:tr>
      <w:tr w:rsidR="000121CD">
        <w:tc>
          <w:tcPr>
            <w:tcW w:w="342" w:type="dxa"/>
            <w:tcMar>
              <w:top w:w="0" w:type="dxa"/>
              <w:left w:w="144" w:type="dxa"/>
              <w:bottom w:w="0" w:type="dxa"/>
              <w:right w:w="0" w:type="dxa"/>
            </w:tcMar>
            <w:hideMark/>
          </w:tcPr>
          <w:p w:rsidR="000121CD" w:rsidRDefault="00590862">
            <w:pPr>
              <w:pStyle w:val="la2"/>
            </w:pPr>
            <w:r>
              <w:t> </w:t>
            </w:r>
          </w:p>
        </w:tc>
        <w:tc>
          <w:tcPr>
            <w:tcW w:w="3978" w:type="dxa"/>
            <w:vAlign w:val="bottom"/>
            <w:hideMark/>
          </w:tcPr>
          <w:p w:rsidR="000121CD" w:rsidRDefault="00590862">
            <w:pPr>
              <w:pStyle w:val="NormalWeb"/>
              <w:spacing w:before="0" w:beforeAutospacing="0" w:after="0" w:afterAutospacing="0"/>
            </w:pPr>
            <w:r>
              <w:rPr>
                <w:b/>
                <w:bCs/>
                <w:sz w:val="15"/>
                <w:szCs w:val="15"/>
              </w:rPr>
              <w:t>Andrew R. Lane</w:t>
            </w:r>
          </w:p>
          <w:p w:rsidR="000121CD" w:rsidRDefault="00590862">
            <w:pPr>
              <w:pStyle w:val="NormalWeb"/>
              <w:spacing w:before="0" w:beforeAutospacing="0" w:after="15" w:afterAutospacing="0"/>
            </w:pPr>
            <w:r>
              <w:rPr>
                <w:b/>
                <w:bCs/>
                <w:sz w:val="15"/>
                <w:szCs w:val="15"/>
              </w:rPr>
              <w:t>President and Chief Executive Officer</w:t>
            </w:r>
          </w:p>
        </w:tc>
      </w:tr>
    </w:tbl>
    <w:p w:rsidR="000121CD" w:rsidRDefault="000121CD"/>
    <w:p w:rsidR="000121CD" w:rsidRDefault="00590862">
      <w:pPr>
        <w:pStyle w:val="NormalWeb"/>
        <w:spacing w:before="180" w:beforeAutospacing="0" w:after="0" w:afterAutospacing="0"/>
      </w:pPr>
      <w:r>
        <w:rPr>
          <w:sz w:val="20"/>
          <w:szCs w:val="20"/>
        </w:rPr>
        <w:t xml:space="preserve">Date: February </w:t>
      </w:r>
      <w:r w:rsidR="00693CCE">
        <w:rPr>
          <w:sz w:val="20"/>
          <w:szCs w:val="20"/>
        </w:rPr>
        <w:t>14</w:t>
      </w:r>
      <w:r>
        <w:rPr>
          <w:sz w:val="20"/>
          <w:szCs w:val="20"/>
        </w:rPr>
        <w:t>, 20</w:t>
      </w:r>
      <w:r w:rsidR="001259B7">
        <w:rPr>
          <w:sz w:val="20"/>
          <w:szCs w:val="20"/>
        </w:rPr>
        <w:t>20</w:t>
      </w:r>
    </w:p>
    <w:p w:rsidR="000121CD" w:rsidRDefault="00590862">
      <w:pPr>
        <w:pStyle w:val="NormalWeb"/>
        <w:spacing w:before="180" w:beforeAutospacing="0" w:after="0" w:afterAutospacing="0"/>
      </w:pPr>
      <w:r>
        <w:rPr>
          <w:sz w:val="20"/>
          <w:szCs w:val="20"/>
        </w:rPr>
        <w:t xml:space="preserve">Pursuant to the requirements of the Securities Exchange Act of 1934, this report has been signed below by the following persons on behalf of the registrant and in the capacity and on the dates indicated. </w:t>
      </w:r>
    </w:p>
    <w:tbl>
      <w:tblPr>
        <w:tblW w:w="10890" w:type="dxa"/>
        <w:tblCellMar>
          <w:left w:w="0" w:type="dxa"/>
          <w:right w:w="0" w:type="dxa"/>
        </w:tblCellMar>
        <w:tblLook w:val="04A0" w:firstRow="1" w:lastRow="0" w:firstColumn="1" w:lastColumn="0" w:noHBand="0" w:noVBand="1"/>
      </w:tblPr>
      <w:tblGrid>
        <w:gridCol w:w="3436"/>
        <w:gridCol w:w="5310"/>
        <w:gridCol w:w="2176"/>
      </w:tblGrid>
      <w:tr w:rsidR="000121CD" w:rsidTr="0008766F">
        <w:trPr>
          <w:trHeight w:hRule="exact" w:val="80"/>
          <w:tblHeader/>
        </w:trPr>
        <w:tc>
          <w:tcPr>
            <w:tcW w:w="3420" w:type="dxa"/>
            <w:vAlign w:val="center"/>
            <w:hideMark/>
          </w:tcPr>
          <w:p w:rsidR="000121CD" w:rsidRDefault="000121CD">
            <w:pPr>
              <w:rPr>
                <w:sz w:val="2"/>
              </w:rPr>
            </w:pPr>
          </w:p>
        </w:tc>
        <w:tc>
          <w:tcPr>
            <w:tcW w:w="5302" w:type="dxa"/>
            <w:vAlign w:val="center"/>
          </w:tcPr>
          <w:p w:rsidR="000121CD" w:rsidRDefault="000121CD">
            <w:pPr>
              <w:rPr>
                <w:sz w:val="2"/>
              </w:rPr>
            </w:pPr>
          </w:p>
        </w:tc>
        <w:tc>
          <w:tcPr>
            <w:tcW w:w="2168" w:type="dxa"/>
            <w:vAlign w:val="center"/>
          </w:tcPr>
          <w:p w:rsidR="000121CD" w:rsidRDefault="000121CD">
            <w:pPr>
              <w:rPr>
                <w:sz w:val="2"/>
              </w:rPr>
            </w:pPr>
          </w:p>
        </w:tc>
      </w:tr>
      <w:tr w:rsidR="000121CD" w:rsidTr="0008766F">
        <w:trPr>
          <w:tblHeader/>
        </w:trPr>
        <w:tc>
          <w:tcPr>
            <w:tcW w:w="3420" w:type="dxa"/>
            <w:vAlign w:val="center"/>
          </w:tcPr>
          <w:p w:rsidR="000121CD" w:rsidRDefault="000121CD">
            <w:pPr>
              <w:rPr>
                <w:sz w:val="2"/>
              </w:rPr>
            </w:pPr>
          </w:p>
        </w:tc>
        <w:tc>
          <w:tcPr>
            <w:tcW w:w="5302" w:type="dxa"/>
            <w:vAlign w:val="center"/>
          </w:tcPr>
          <w:p w:rsidR="000121CD" w:rsidRDefault="000121CD">
            <w:pPr>
              <w:rPr>
                <w:sz w:val="2"/>
              </w:rPr>
            </w:pPr>
          </w:p>
        </w:tc>
        <w:tc>
          <w:tcPr>
            <w:tcW w:w="2168" w:type="dxa"/>
            <w:vAlign w:val="center"/>
          </w:tcPr>
          <w:p w:rsidR="000121CD" w:rsidRDefault="000121CD">
            <w:pPr>
              <w:rPr>
                <w:sz w:val="2"/>
              </w:rPr>
            </w:pPr>
          </w:p>
        </w:tc>
      </w:tr>
      <w:tr w:rsidR="000121CD" w:rsidTr="0008766F">
        <w:trPr>
          <w:tblHeader/>
        </w:trPr>
        <w:tc>
          <w:tcPr>
            <w:tcW w:w="3420" w:type="dxa"/>
            <w:noWrap/>
            <w:vAlign w:val="bottom"/>
            <w:hideMark/>
          </w:tcPr>
          <w:p w:rsidR="000121CD" w:rsidRDefault="00590862">
            <w:pPr>
              <w:pStyle w:val="NormalWeb"/>
              <w:keepNext/>
              <w:spacing w:before="0" w:beforeAutospacing="0" w:after="0" w:afterAutospacing="0"/>
            </w:pPr>
            <w:r>
              <w:rPr>
                <w:b/>
                <w:bCs/>
                <w:sz w:val="15"/>
                <w:szCs w:val="15"/>
              </w:rPr>
              <w:t>Signature</w:t>
            </w:r>
          </w:p>
          <w:p w:rsidR="000121CD" w:rsidRDefault="00590862">
            <w:pPr>
              <w:pStyle w:val="rrdsinglerule"/>
              <w:keepNext/>
              <w:jc w:val="left"/>
            </w:pPr>
            <w:r>
              <w:t> </w:t>
            </w:r>
          </w:p>
        </w:tc>
        <w:tc>
          <w:tcPr>
            <w:tcW w:w="5302" w:type="dxa"/>
            <w:noWrap/>
            <w:tcMar>
              <w:top w:w="0" w:type="dxa"/>
              <w:left w:w="144" w:type="dxa"/>
              <w:bottom w:w="0" w:type="dxa"/>
              <w:right w:w="0" w:type="dxa"/>
            </w:tcMar>
            <w:vAlign w:val="bottom"/>
            <w:hideMark/>
          </w:tcPr>
          <w:p w:rsidR="000121CD" w:rsidRDefault="00590862">
            <w:pPr>
              <w:pStyle w:val="NormalWeb"/>
              <w:spacing w:before="0" w:beforeAutospacing="0" w:after="0" w:afterAutospacing="0"/>
            </w:pPr>
            <w:r>
              <w:rPr>
                <w:b/>
                <w:bCs/>
                <w:sz w:val="15"/>
                <w:szCs w:val="15"/>
              </w:rPr>
              <w:t>Title</w:t>
            </w:r>
          </w:p>
          <w:p w:rsidR="000121CD" w:rsidRDefault="00590862">
            <w:pPr>
              <w:pStyle w:val="rrdsinglerule"/>
              <w:jc w:val="left"/>
            </w:pPr>
            <w:r>
              <w:t> </w:t>
            </w:r>
          </w:p>
        </w:tc>
        <w:tc>
          <w:tcPr>
            <w:tcW w:w="2168" w:type="dxa"/>
            <w:noWrap/>
            <w:tcMar>
              <w:top w:w="0" w:type="dxa"/>
              <w:left w:w="144" w:type="dxa"/>
              <w:bottom w:w="0" w:type="dxa"/>
              <w:right w:w="0" w:type="dxa"/>
            </w:tcMar>
            <w:vAlign w:val="bottom"/>
            <w:hideMark/>
          </w:tcPr>
          <w:p w:rsidR="000121CD" w:rsidRDefault="00590862">
            <w:pPr>
              <w:pStyle w:val="NormalWeb"/>
              <w:spacing w:before="0" w:beforeAutospacing="0" w:after="0" w:afterAutospacing="0"/>
            </w:pPr>
            <w:r>
              <w:rPr>
                <w:b/>
                <w:bCs/>
                <w:sz w:val="15"/>
                <w:szCs w:val="15"/>
              </w:rPr>
              <w:t>Date</w:t>
            </w:r>
          </w:p>
          <w:p w:rsidR="000121CD" w:rsidRDefault="00590862">
            <w:pPr>
              <w:pStyle w:val="rrdsinglerule"/>
              <w:jc w:val="left"/>
            </w:pPr>
            <w:r>
              <w:t> </w:t>
            </w:r>
          </w:p>
        </w:tc>
      </w:tr>
      <w:tr w:rsidR="000121CD" w:rsidTr="0008766F">
        <w:trPr>
          <w:trHeight w:val="120"/>
        </w:trPr>
        <w:tc>
          <w:tcPr>
            <w:tcW w:w="3420" w:type="dxa"/>
            <w:vAlign w:val="center"/>
          </w:tcPr>
          <w:p w:rsidR="000121CD" w:rsidRDefault="000121CD">
            <w:pPr>
              <w:rPr>
                <w:sz w:val="12"/>
              </w:rPr>
            </w:pPr>
          </w:p>
        </w:tc>
        <w:tc>
          <w:tcPr>
            <w:tcW w:w="5302" w:type="dxa"/>
            <w:vAlign w:val="center"/>
          </w:tcPr>
          <w:p w:rsidR="000121CD" w:rsidRDefault="000121CD">
            <w:pPr>
              <w:rPr>
                <w:sz w:val="12"/>
              </w:rPr>
            </w:pPr>
          </w:p>
        </w:tc>
        <w:tc>
          <w:tcPr>
            <w:tcW w:w="2168" w:type="dxa"/>
            <w:vAlign w:val="center"/>
          </w:tcPr>
          <w:p w:rsidR="000121CD" w:rsidRDefault="000121CD">
            <w:pPr>
              <w:rPr>
                <w:sz w:val="12"/>
              </w:rPr>
            </w:pPr>
          </w:p>
        </w:tc>
      </w:tr>
      <w:tr w:rsidR="000121CD" w:rsidTr="0008766F">
        <w:tc>
          <w:tcPr>
            <w:tcW w:w="3420" w:type="dxa"/>
            <w:hideMark/>
          </w:tcPr>
          <w:p w:rsidR="000121CD" w:rsidRDefault="00590862">
            <w:pPr>
              <w:pStyle w:val="NormalWeb"/>
              <w:keepNext/>
              <w:spacing w:before="0" w:beforeAutospacing="0" w:after="0" w:afterAutospacing="0"/>
            </w:pPr>
            <w:r>
              <w:rPr>
                <w:sz w:val="20"/>
                <w:szCs w:val="20"/>
              </w:rPr>
              <w:t>/</w:t>
            </w:r>
            <w:r>
              <w:rPr>
                <w:sz w:val="15"/>
                <w:szCs w:val="15"/>
              </w:rPr>
              <w:t>S</w:t>
            </w:r>
            <w:r>
              <w:rPr>
                <w:sz w:val="20"/>
                <w:szCs w:val="20"/>
              </w:rPr>
              <w:t>/    A</w:t>
            </w:r>
            <w:r>
              <w:rPr>
                <w:sz w:val="15"/>
                <w:szCs w:val="15"/>
              </w:rPr>
              <w:t>NDREW</w:t>
            </w:r>
            <w:r>
              <w:rPr>
                <w:sz w:val="20"/>
                <w:szCs w:val="20"/>
              </w:rPr>
              <w:t xml:space="preserve"> R. L</w:t>
            </w:r>
            <w:r>
              <w:rPr>
                <w:sz w:val="15"/>
                <w:szCs w:val="15"/>
              </w:rPr>
              <w:t>ANE        </w:t>
            </w:r>
          </w:p>
          <w:p w:rsidR="000121CD" w:rsidRDefault="00590862">
            <w:pPr>
              <w:pStyle w:val="rrdsinglerule"/>
              <w:jc w:val="left"/>
            </w:pPr>
            <w:r>
              <w:t> </w:t>
            </w:r>
          </w:p>
          <w:p w:rsidR="000121CD" w:rsidRDefault="00590862">
            <w:pPr>
              <w:pStyle w:val="NormalWeb"/>
              <w:spacing w:before="0" w:beforeAutospacing="0" w:after="15" w:afterAutospacing="0"/>
            </w:pPr>
            <w:r>
              <w:rPr>
                <w:b/>
                <w:bCs/>
                <w:sz w:val="15"/>
                <w:szCs w:val="15"/>
              </w:rPr>
              <w:t>Andrew R. Lane</w:t>
            </w:r>
          </w:p>
        </w:tc>
        <w:tc>
          <w:tcPr>
            <w:tcW w:w="5302" w:type="dxa"/>
            <w:vAlign w:val="bottom"/>
            <w:hideMark/>
          </w:tcPr>
          <w:p w:rsidR="000121CD" w:rsidRDefault="00590862">
            <w:pPr>
              <w:pStyle w:val="NormalWeb"/>
              <w:spacing w:before="0" w:beforeAutospacing="0" w:after="0" w:afterAutospacing="0"/>
              <w:ind w:left="144"/>
            </w:pPr>
            <w:r>
              <w:rPr>
                <w:sz w:val="20"/>
                <w:szCs w:val="20"/>
              </w:rPr>
              <w:t>President and Chief Executive Officer</w:t>
            </w:r>
          </w:p>
          <w:p w:rsidR="000121CD" w:rsidRDefault="00590862">
            <w:pPr>
              <w:pStyle w:val="NormalWeb"/>
              <w:spacing w:before="0" w:beforeAutospacing="0" w:after="15" w:afterAutospacing="0"/>
              <w:ind w:left="144"/>
            </w:pPr>
            <w:r>
              <w:rPr>
                <w:sz w:val="20"/>
                <w:szCs w:val="20"/>
              </w:rPr>
              <w:t>(principal executive officer)</w:t>
            </w:r>
          </w:p>
        </w:tc>
        <w:tc>
          <w:tcPr>
            <w:tcW w:w="2168" w:type="dxa"/>
            <w:hideMark/>
          </w:tcPr>
          <w:p w:rsidR="000121CD" w:rsidRDefault="00590862">
            <w:r>
              <w:rPr>
                <w:sz w:val="20"/>
              </w:rPr>
              <w:t xml:space="preserve">February </w:t>
            </w:r>
            <w:r w:rsidR="00D901C9">
              <w:rPr>
                <w:sz w:val="20"/>
              </w:rPr>
              <w:t>14</w:t>
            </w:r>
            <w:r>
              <w:rPr>
                <w:sz w:val="20"/>
              </w:rPr>
              <w:t>, 20</w:t>
            </w:r>
            <w:r w:rsidR="001259B7">
              <w:rPr>
                <w:sz w:val="20"/>
              </w:rPr>
              <w:t>20</w:t>
            </w:r>
          </w:p>
        </w:tc>
      </w:tr>
      <w:tr w:rsidR="000121CD" w:rsidTr="0008766F">
        <w:trPr>
          <w:trHeight w:val="120"/>
        </w:trPr>
        <w:tc>
          <w:tcPr>
            <w:tcW w:w="3420" w:type="dxa"/>
            <w:vAlign w:val="center"/>
          </w:tcPr>
          <w:p w:rsidR="000121CD" w:rsidRDefault="000121CD">
            <w:pPr>
              <w:rPr>
                <w:sz w:val="12"/>
              </w:rPr>
            </w:pPr>
          </w:p>
        </w:tc>
        <w:tc>
          <w:tcPr>
            <w:tcW w:w="5302" w:type="dxa"/>
            <w:vAlign w:val="center"/>
          </w:tcPr>
          <w:p w:rsidR="000121CD" w:rsidRDefault="000121CD">
            <w:pPr>
              <w:ind w:left="144"/>
              <w:rPr>
                <w:sz w:val="12"/>
              </w:rPr>
            </w:pPr>
          </w:p>
        </w:tc>
        <w:tc>
          <w:tcPr>
            <w:tcW w:w="2168" w:type="dxa"/>
            <w:vAlign w:val="center"/>
          </w:tcPr>
          <w:p w:rsidR="000121CD" w:rsidRDefault="000121CD">
            <w:pPr>
              <w:rPr>
                <w:sz w:val="12"/>
              </w:rPr>
            </w:pPr>
          </w:p>
        </w:tc>
      </w:tr>
      <w:tr w:rsidR="001259B7" w:rsidTr="0008766F">
        <w:tc>
          <w:tcPr>
            <w:tcW w:w="3420" w:type="dxa"/>
            <w:hideMark/>
          </w:tcPr>
          <w:p w:rsidR="001259B7" w:rsidRDefault="001259B7" w:rsidP="001259B7">
            <w:pPr>
              <w:pStyle w:val="NormalWeb"/>
              <w:keepNext/>
              <w:spacing w:before="0" w:beforeAutospacing="0" w:after="0" w:afterAutospacing="0"/>
            </w:pPr>
            <w:r>
              <w:rPr>
                <w:sz w:val="20"/>
                <w:szCs w:val="20"/>
              </w:rPr>
              <w:t>/</w:t>
            </w:r>
            <w:r>
              <w:rPr>
                <w:sz w:val="15"/>
                <w:szCs w:val="15"/>
              </w:rPr>
              <w:t>S</w:t>
            </w:r>
            <w:r>
              <w:rPr>
                <w:sz w:val="20"/>
                <w:szCs w:val="20"/>
              </w:rPr>
              <w:t>/    J</w:t>
            </w:r>
            <w:r>
              <w:rPr>
                <w:sz w:val="15"/>
                <w:szCs w:val="15"/>
              </w:rPr>
              <w:t>AMES</w:t>
            </w:r>
            <w:r>
              <w:rPr>
                <w:sz w:val="20"/>
                <w:szCs w:val="20"/>
              </w:rPr>
              <w:t xml:space="preserve"> E. B</w:t>
            </w:r>
            <w:r>
              <w:rPr>
                <w:sz w:val="15"/>
                <w:szCs w:val="15"/>
              </w:rPr>
              <w:t>RAUN        </w:t>
            </w:r>
          </w:p>
          <w:p w:rsidR="001259B7" w:rsidRDefault="001259B7" w:rsidP="001259B7">
            <w:pPr>
              <w:pStyle w:val="rrdsinglerule"/>
              <w:jc w:val="left"/>
            </w:pPr>
            <w:r>
              <w:t> </w:t>
            </w:r>
          </w:p>
          <w:p w:rsidR="001259B7" w:rsidRDefault="001259B7" w:rsidP="001259B7">
            <w:pPr>
              <w:pStyle w:val="NormalWeb"/>
              <w:spacing w:before="0" w:beforeAutospacing="0" w:after="15" w:afterAutospacing="0"/>
            </w:pPr>
            <w:r>
              <w:rPr>
                <w:b/>
                <w:bCs/>
                <w:sz w:val="15"/>
                <w:szCs w:val="15"/>
              </w:rPr>
              <w:t>James E. Braun</w:t>
            </w:r>
          </w:p>
        </w:tc>
        <w:tc>
          <w:tcPr>
            <w:tcW w:w="5302" w:type="dxa"/>
            <w:vAlign w:val="bottom"/>
            <w:hideMark/>
          </w:tcPr>
          <w:p w:rsidR="001259B7" w:rsidRDefault="001259B7" w:rsidP="001259B7">
            <w:pPr>
              <w:pStyle w:val="NormalWeb"/>
              <w:spacing w:before="0" w:beforeAutospacing="0" w:after="0" w:afterAutospacing="0"/>
              <w:ind w:left="144"/>
            </w:pPr>
            <w:r>
              <w:rPr>
                <w:sz w:val="20"/>
                <w:szCs w:val="20"/>
              </w:rPr>
              <w:t>Executive Vice President and Chief Financial Officer</w:t>
            </w:r>
          </w:p>
          <w:p w:rsidR="001259B7" w:rsidRDefault="001259B7" w:rsidP="001259B7">
            <w:pPr>
              <w:pStyle w:val="NormalWeb"/>
              <w:spacing w:before="0" w:beforeAutospacing="0" w:after="15" w:afterAutospacing="0"/>
              <w:ind w:left="144"/>
            </w:pPr>
            <w:r>
              <w:rPr>
                <w:sz w:val="20"/>
                <w:szCs w:val="20"/>
              </w:rPr>
              <w:t>(principal financial officer)</w:t>
            </w:r>
          </w:p>
        </w:tc>
        <w:tc>
          <w:tcPr>
            <w:tcW w:w="2168" w:type="dxa"/>
            <w:hideMark/>
          </w:tcPr>
          <w:p w:rsidR="001259B7" w:rsidRDefault="001259B7" w:rsidP="001259B7">
            <w:r>
              <w:rPr>
                <w:sz w:val="20"/>
              </w:rPr>
              <w:t xml:space="preserve">February </w:t>
            </w:r>
            <w:r w:rsidR="001036A3">
              <w:rPr>
                <w:sz w:val="20"/>
              </w:rPr>
              <w:t>14</w:t>
            </w:r>
            <w:r>
              <w:rPr>
                <w:sz w:val="20"/>
              </w:rPr>
              <w:t>, 2020</w:t>
            </w:r>
          </w:p>
        </w:tc>
      </w:tr>
      <w:tr w:rsidR="001259B7" w:rsidTr="0008766F">
        <w:trPr>
          <w:trHeight w:val="120"/>
        </w:trPr>
        <w:tc>
          <w:tcPr>
            <w:tcW w:w="3420" w:type="dxa"/>
            <w:vAlign w:val="center"/>
          </w:tcPr>
          <w:p w:rsidR="001259B7" w:rsidRDefault="001259B7" w:rsidP="001259B7">
            <w:pPr>
              <w:rPr>
                <w:sz w:val="12"/>
              </w:rPr>
            </w:pPr>
          </w:p>
        </w:tc>
        <w:tc>
          <w:tcPr>
            <w:tcW w:w="5302" w:type="dxa"/>
            <w:vAlign w:val="center"/>
          </w:tcPr>
          <w:p w:rsidR="001259B7" w:rsidRDefault="001259B7" w:rsidP="001259B7">
            <w:pPr>
              <w:ind w:left="144"/>
              <w:rPr>
                <w:sz w:val="12"/>
              </w:rPr>
            </w:pPr>
          </w:p>
        </w:tc>
        <w:tc>
          <w:tcPr>
            <w:tcW w:w="2168" w:type="dxa"/>
            <w:vAlign w:val="center"/>
          </w:tcPr>
          <w:p w:rsidR="001259B7" w:rsidRDefault="001259B7" w:rsidP="001259B7">
            <w:pPr>
              <w:rPr>
                <w:sz w:val="12"/>
              </w:rPr>
            </w:pPr>
          </w:p>
        </w:tc>
      </w:tr>
      <w:tr w:rsidR="001259B7" w:rsidTr="0008766F">
        <w:tc>
          <w:tcPr>
            <w:tcW w:w="3420" w:type="dxa"/>
            <w:hideMark/>
          </w:tcPr>
          <w:p w:rsidR="001259B7" w:rsidRDefault="001259B7" w:rsidP="001259B7">
            <w:pPr>
              <w:pStyle w:val="NormalWeb"/>
              <w:spacing w:before="0" w:beforeAutospacing="0" w:after="0" w:afterAutospacing="0"/>
            </w:pPr>
            <w:r>
              <w:rPr>
                <w:sz w:val="20"/>
                <w:szCs w:val="20"/>
              </w:rPr>
              <w:t>/</w:t>
            </w:r>
            <w:r>
              <w:rPr>
                <w:sz w:val="15"/>
                <w:szCs w:val="15"/>
              </w:rPr>
              <w:t>S</w:t>
            </w:r>
            <w:r>
              <w:rPr>
                <w:sz w:val="20"/>
                <w:szCs w:val="20"/>
              </w:rPr>
              <w:t>/    E</w:t>
            </w:r>
            <w:r>
              <w:rPr>
                <w:sz w:val="15"/>
                <w:szCs w:val="15"/>
              </w:rPr>
              <w:t>LTON</w:t>
            </w:r>
            <w:r>
              <w:rPr>
                <w:sz w:val="20"/>
                <w:szCs w:val="20"/>
              </w:rPr>
              <w:t xml:space="preserve"> B</w:t>
            </w:r>
            <w:r>
              <w:rPr>
                <w:sz w:val="15"/>
                <w:szCs w:val="15"/>
              </w:rPr>
              <w:t>OND        </w:t>
            </w:r>
          </w:p>
          <w:p w:rsidR="001259B7" w:rsidRDefault="001259B7" w:rsidP="001259B7">
            <w:pPr>
              <w:pStyle w:val="rrdsinglerule"/>
              <w:jc w:val="left"/>
            </w:pPr>
            <w:r>
              <w:t> </w:t>
            </w:r>
          </w:p>
          <w:p w:rsidR="001259B7" w:rsidRDefault="001259B7" w:rsidP="001259B7">
            <w:pPr>
              <w:pStyle w:val="NormalWeb"/>
              <w:spacing w:before="0" w:beforeAutospacing="0" w:after="15" w:afterAutospacing="0"/>
            </w:pPr>
            <w:r>
              <w:rPr>
                <w:b/>
                <w:bCs/>
                <w:sz w:val="15"/>
                <w:szCs w:val="15"/>
              </w:rPr>
              <w:t>Elton Bond</w:t>
            </w:r>
          </w:p>
        </w:tc>
        <w:tc>
          <w:tcPr>
            <w:tcW w:w="5302" w:type="dxa"/>
            <w:vAlign w:val="bottom"/>
            <w:hideMark/>
          </w:tcPr>
          <w:p w:rsidR="001259B7" w:rsidRDefault="001259B7" w:rsidP="001259B7">
            <w:pPr>
              <w:pStyle w:val="NormalWeb"/>
              <w:spacing w:before="0" w:beforeAutospacing="0" w:after="0" w:afterAutospacing="0"/>
              <w:ind w:left="144"/>
            </w:pPr>
            <w:r>
              <w:rPr>
                <w:sz w:val="20"/>
                <w:szCs w:val="20"/>
              </w:rPr>
              <w:t>Senior Vice President and Chief Accounting Officer</w:t>
            </w:r>
          </w:p>
          <w:p w:rsidR="001259B7" w:rsidRDefault="001259B7" w:rsidP="001259B7">
            <w:pPr>
              <w:pStyle w:val="NormalWeb"/>
              <w:spacing w:before="0" w:beforeAutospacing="0" w:after="15" w:afterAutospacing="0"/>
              <w:ind w:left="144"/>
            </w:pPr>
            <w:r>
              <w:rPr>
                <w:sz w:val="20"/>
                <w:szCs w:val="20"/>
              </w:rPr>
              <w:t>(principal accounting officer)</w:t>
            </w:r>
          </w:p>
        </w:tc>
        <w:tc>
          <w:tcPr>
            <w:tcW w:w="2168" w:type="dxa"/>
            <w:hideMark/>
          </w:tcPr>
          <w:p w:rsidR="001259B7" w:rsidRDefault="001259B7" w:rsidP="001259B7">
            <w:r>
              <w:rPr>
                <w:sz w:val="20"/>
              </w:rPr>
              <w:t xml:space="preserve">February </w:t>
            </w:r>
            <w:r w:rsidR="001036A3">
              <w:rPr>
                <w:sz w:val="20"/>
              </w:rPr>
              <w:t>14</w:t>
            </w:r>
            <w:r>
              <w:rPr>
                <w:sz w:val="20"/>
              </w:rPr>
              <w:t>, 2020</w:t>
            </w:r>
          </w:p>
        </w:tc>
      </w:tr>
      <w:tr w:rsidR="001259B7" w:rsidTr="0008766F">
        <w:trPr>
          <w:trHeight w:val="162"/>
        </w:trPr>
        <w:tc>
          <w:tcPr>
            <w:tcW w:w="3420" w:type="dxa"/>
          </w:tcPr>
          <w:p w:rsidR="001259B7" w:rsidRDefault="001259B7" w:rsidP="001259B7">
            <w:pPr>
              <w:pStyle w:val="NormalWeb"/>
              <w:spacing w:before="0" w:beforeAutospacing="0" w:after="0" w:afterAutospacing="0"/>
              <w:rPr>
                <w:sz w:val="20"/>
                <w:szCs w:val="20"/>
              </w:rPr>
            </w:pPr>
          </w:p>
        </w:tc>
        <w:tc>
          <w:tcPr>
            <w:tcW w:w="5302" w:type="dxa"/>
          </w:tcPr>
          <w:p w:rsidR="001259B7" w:rsidRDefault="001259B7" w:rsidP="001259B7">
            <w:pPr>
              <w:ind w:left="144"/>
              <w:rPr>
                <w:sz w:val="20"/>
              </w:rPr>
            </w:pPr>
          </w:p>
        </w:tc>
        <w:tc>
          <w:tcPr>
            <w:tcW w:w="2168" w:type="dxa"/>
          </w:tcPr>
          <w:p w:rsidR="001259B7" w:rsidRDefault="001259B7" w:rsidP="001259B7">
            <w:pPr>
              <w:rPr>
                <w:sz w:val="20"/>
              </w:rPr>
            </w:pPr>
          </w:p>
        </w:tc>
      </w:tr>
      <w:tr w:rsidR="001259B7" w:rsidTr="0008766F">
        <w:trPr>
          <w:trHeight w:val="387"/>
        </w:trPr>
        <w:tc>
          <w:tcPr>
            <w:tcW w:w="3420" w:type="dxa"/>
            <w:hideMark/>
          </w:tcPr>
          <w:p w:rsidR="001259B7" w:rsidRDefault="001259B7" w:rsidP="001259B7">
            <w:pPr>
              <w:pStyle w:val="NormalWeb"/>
              <w:spacing w:before="0" w:beforeAutospacing="0" w:after="0" w:afterAutospacing="0"/>
            </w:pPr>
            <w:r>
              <w:rPr>
                <w:sz w:val="20"/>
                <w:szCs w:val="20"/>
              </w:rPr>
              <w:t>/</w:t>
            </w:r>
            <w:r>
              <w:rPr>
                <w:sz w:val="15"/>
                <w:szCs w:val="15"/>
              </w:rPr>
              <w:t>S</w:t>
            </w:r>
            <w:r>
              <w:rPr>
                <w:sz w:val="20"/>
                <w:szCs w:val="20"/>
              </w:rPr>
              <w:t>/    R</w:t>
            </w:r>
            <w:r>
              <w:rPr>
                <w:sz w:val="15"/>
                <w:szCs w:val="15"/>
              </w:rPr>
              <w:t>HYS</w:t>
            </w:r>
            <w:r>
              <w:rPr>
                <w:sz w:val="20"/>
                <w:szCs w:val="20"/>
              </w:rPr>
              <w:t xml:space="preserve"> J. B</w:t>
            </w:r>
            <w:r>
              <w:rPr>
                <w:sz w:val="15"/>
                <w:szCs w:val="15"/>
              </w:rPr>
              <w:t>EST        </w:t>
            </w:r>
          </w:p>
          <w:p w:rsidR="001259B7" w:rsidRDefault="001259B7" w:rsidP="001259B7">
            <w:pPr>
              <w:pStyle w:val="rrdsinglerule"/>
              <w:jc w:val="left"/>
            </w:pPr>
            <w:r>
              <w:t> </w:t>
            </w:r>
          </w:p>
          <w:p w:rsidR="001259B7" w:rsidRDefault="001259B7" w:rsidP="001259B7">
            <w:pPr>
              <w:pStyle w:val="NormalWeb"/>
              <w:spacing w:before="0" w:beforeAutospacing="0" w:after="15" w:afterAutospacing="0"/>
            </w:pPr>
            <w:r>
              <w:rPr>
                <w:b/>
                <w:bCs/>
                <w:sz w:val="15"/>
                <w:szCs w:val="15"/>
              </w:rPr>
              <w:t>Rhys J. Best</w:t>
            </w:r>
          </w:p>
        </w:tc>
        <w:tc>
          <w:tcPr>
            <w:tcW w:w="5302" w:type="dxa"/>
            <w:hideMark/>
          </w:tcPr>
          <w:p w:rsidR="001259B7" w:rsidRDefault="001259B7" w:rsidP="001259B7">
            <w:pPr>
              <w:ind w:left="144"/>
            </w:pPr>
            <w:r>
              <w:rPr>
                <w:sz w:val="20"/>
              </w:rPr>
              <w:t>Chairman</w:t>
            </w:r>
          </w:p>
        </w:tc>
        <w:tc>
          <w:tcPr>
            <w:tcW w:w="2168" w:type="dxa"/>
            <w:hideMark/>
          </w:tcPr>
          <w:p w:rsidR="001259B7" w:rsidRDefault="001259B7" w:rsidP="001259B7">
            <w:r>
              <w:rPr>
                <w:sz w:val="20"/>
              </w:rPr>
              <w:t xml:space="preserve">February </w:t>
            </w:r>
            <w:r w:rsidR="001036A3">
              <w:rPr>
                <w:sz w:val="20"/>
              </w:rPr>
              <w:t>14</w:t>
            </w:r>
            <w:r>
              <w:rPr>
                <w:sz w:val="20"/>
              </w:rPr>
              <w:t>, 2020</w:t>
            </w:r>
          </w:p>
        </w:tc>
      </w:tr>
      <w:tr w:rsidR="001259B7" w:rsidTr="0008766F">
        <w:trPr>
          <w:trHeight w:val="120"/>
        </w:trPr>
        <w:tc>
          <w:tcPr>
            <w:tcW w:w="3420" w:type="dxa"/>
            <w:vAlign w:val="center"/>
          </w:tcPr>
          <w:p w:rsidR="001259B7" w:rsidRDefault="001259B7" w:rsidP="001259B7">
            <w:pPr>
              <w:rPr>
                <w:sz w:val="12"/>
              </w:rPr>
            </w:pPr>
          </w:p>
        </w:tc>
        <w:tc>
          <w:tcPr>
            <w:tcW w:w="5302" w:type="dxa"/>
            <w:vAlign w:val="center"/>
          </w:tcPr>
          <w:p w:rsidR="001259B7" w:rsidRDefault="001259B7" w:rsidP="001259B7">
            <w:pPr>
              <w:ind w:left="144"/>
              <w:rPr>
                <w:sz w:val="12"/>
              </w:rPr>
            </w:pPr>
          </w:p>
        </w:tc>
        <w:tc>
          <w:tcPr>
            <w:tcW w:w="2168" w:type="dxa"/>
            <w:vAlign w:val="center"/>
          </w:tcPr>
          <w:p w:rsidR="001259B7" w:rsidRDefault="001259B7" w:rsidP="001259B7">
            <w:pPr>
              <w:rPr>
                <w:sz w:val="12"/>
              </w:rPr>
            </w:pPr>
          </w:p>
        </w:tc>
      </w:tr>
      <w:tr w:rsidR="001259B7" w:rsidTr="0008766F">
        <w:tc>
          <w:tcPr>
            <w:tcW w:w="3420" w:type="dxa"/>
          </w:tcPr>
          <w:p w:rsidR="001259B7" w:rsidRDefault="001259B7" w:rsidP="001259B7">
            <w:pPr>
              <w:pStyle w:val="NormalWeb"/>
              <w:spacing w:before="0" w:beforeAutospacing="0" w:after="0" w:afterAutospacing="0"/>
            </w:pPr>
            <w:r>
              <w:rPr>
                <w:sz w:val="20"/>
                <w:szCs w:val="20"/>
              </w:rPr>
              <w:t>/</w:t>
            </w:r>
            <w:r>
              <w:rPr>
                <w:sz w:val="15"/>
                <w:szCs w:val="15"/>
              </w:rPr>
              <w:t>S</w:t>
            </w:r>
            <w:r>
              <w:rPr>
                <w:sz w:val="20"/>
                <w:szCs w:val="20"/>
              </w:rPr>
              <w:t>/   D</w:t>
            </w:r>
            <w:r>
              <w:rPr>
                <w:sz w:val="15"/>
                <w:szCs w:val="15"/>
              </w:rPr>
              <w:t>EBORAH</w:t>
            </w:r>
            <w:r>
              <w:rPr>
                <w:sz w:val="20"/>
                <w:szCs w:val="20"/>
              </w:rPr>
              <w:t xml:space="preserve"> G. A</w:t>
            </w:r>
            <w:r>
              <w:rPr>
                <w:sz w:val="15"/>
                <w:szCs w:val="15"/>
              </w:rPr>
              <w:t>DAMS</w:t>
            </w:r>
          </w:p>
          <w:p w:rsidR="001259B7" w:rsidRDefault="001259B7" w:rsidP="001259B7">
            <w:pPr>
              <w:pStyle w:val="rrdsinglerule"/>
              <w:jc w:val="left"/>
            </w:pPr>
            <w:r>
              <w:t> </w:t>
            </w:r>
          </w:p>
          <w:p w:rsidR="001259B7" w:rsidRDefault="001259B7" w:rsidP="001259B7">
            <w:pPr>
              <w:pStyle w:val="NormalWeb"/>
              <w:spacing w:before="0" w:beforeAutospacing="0" w:after="15" w:afterAutospacing="0"/>
            </w:pPr>
            <w:r>
              <w:rPr>
                <w:b/>
                <w:bCs/>
                <w:sz w:val="15"/>
                <w:szCs w:val="15"/>
              </w:rPr>
              <w:t>Deborah G. Adams</w:t>
            </w:r>
          </w:p>
        </w:tc>
        <w:tc>
          <w:tcPr>
            <w:tcW w:w="5302" w:type="dxa"/>
          </w:tcPr>
          <w:p w:rsidR="001259B7" w:rsidRDefault="001259B7" w:rsidP="001259B7">
            <w:pPr>
              <w:ind w:left="144"/>
            </w:pPr>
            <w:r>
              <w:rPr>
                <w:sz w:val="20"/>
              </w:rPr>
              <w:t>Director</w:t>
            </w:r>
          </w:p>
        </w:tc>
        <w:tc>
          <w:tcPr>
            <w:tcW w:w="2168" w:type="dxa"/>
          </w:tcPr>
          <w:p w:rsidR="001259B7" w:rsidRDefault="001259B7" w:rsidP="001259B7">
            <w:r>
              <w:rPr>
                <w:sz w:val="20"/>
              </w:rPr>
              <w:t xml:space="preserve">February </w:t>
            </w:r>
            <w:r w:rsidR="001036A3">
              <w:rPr>
                <w:sz w:val="20"/>
              </w:rPr>
              <w:t>14</w:t>
            </w:r>
            <w:r>
              <w:rPr>
                <w:sz w:val="20"/>
              </w:rPr>
              <w:t>, 2020</w:t>
            </w:r>
          </w:p>
        </w:tc>
      </w:tr>
      <w:tr w:rsidR="001259B7" w:rsidTr="0008766F">
        <w:trPr>
          <w:trHeight w:val="115"/>
        </w:trPr>
        <w:tc>
          <w:tcPr>
            <w:tcW w:w="3420" w:type="dxa"/>
          </w:tcPr>
          <w:p w:rsidR="001259B7" w:rsidRDefault="001259B7" w:rsidP="001259B7">
            <w:pPr>
              <w:rPr>
                <w:sz w:val="12"/>
              </w:rPr>
            </w:pPr>
          </w:p>
        </w:tc>
        <w:tc>
          <w:tcPr>
            <w:tcW w:w="5302" w:type="dxa"/>
          </w:tcPr>
          <w:p w:rsidR="001259B7" w:rsidRDefault="001259B7" w:rsidP="001259B7">
            <w:pPr>
              <w:ind w:left="144"/>
              <w:rPr>
                <w:sz w:val="20"/>
              </w:rPr>
            </w:pPr>
          </w:p>
        </w:tc>
        <w:tc>
          <w:tcPr>
            <w:tcW w:w="2168" w:type="dxa"/>
          </w:tcPr>
          <w:p w:rsidR="001259B7" w:rsidRDefault="001259B7" w:rsidP="001259B7">
            <w:pPr>
              <w:rPr>
                <w:sz w:val="20"/>
              </w:rPr>
            </w:pPr>
          </w:p>
        </w:tc>
      </w:tr>
      <w:tr w:rsidR="001259B7" w:rsidTr="0008766F">
        <w:tc>
          <w:tcPr>
            <w:tcW w:w="3420" w:type="dxa"/>
            <w:hideMark/>
          </w:tcPr>
          <w:p w:rsidR="001259B7" w:rsidRDefault="001259B7" w:rsidP="001259B7">
            <w:pPr>
              <w:pStyle w:val="NormalWeb"/>
              <w:spacing w:before="0" w:beforeAutospacing="0" w:after="0" w:afterAutospacing="0"/>
            </w:pPr>
            <w:r>
              <w:rPr>
                <w:sz w:val="20"/>
                <w:szCs w:val="20"/>
              </w:rPr>
              <w:t>/</w:t>
            </w:r>
            <w:r>
              <w:rPr>
                <w:sz w:val="15"/>
                <w:szCs w:val="15"/>
              </w:rPr>
              <w:t>S</w:t>
            </w:r>
            <w:r>
              <w:rPr>
                <w:sz w:val="20"/>
                <w:szCs w:val="20"/>
              </w:rPr>
              <w:t>/    L</w:t>
            </w:r>
            <w:r>
              <w:rPr>
                <w:sz w:val="15"/>
                <w:szCs w:val="15"/>
              </w:rPr>
              <w:t>EONARD</w:t>
            </w:r>
            <w:r>
              <w:rPr>
                <w:sz w:val="20"/>
                <w:szCs w:val="20"/>
              </w:rPr>
              <w:t xml:space="preserve"> M. A</w:t>
            </w:r>
            <w:r>
              <w:rPr>
                <w:sz w:val="15"/>
                <w:szCs w:val="15"/>
              </w:rPr>
              <w:t>NTHONY        </w:t>
            </w:r>
          </w:p>
          <w:p w:rsidR="001259B7" w:rsidRDefault="001259B7" w:rsidP="001259B7">
            <w:pPr>
              <w:pStyle w:val="rrdsinglerule"/>
              <w:jc w:val="left"/>
            </w:pPr>
            <w:r>
              <w:t> </w:t>
            </w:r>
          </w:p>
          <w:p w:rsidR="001259B7" w:rsidRDefault="001259B7" w:rsidP="001259B7">
            <w:pPr>
              <w:pStyle w:val="NormalWeb"/>
              <w:spacing w:before="0" w:beforeAutospacing="0" w:after="15" w:afterAutospacing="0"/>
            </w:pPr>
            <w:r>
              <w:rPr>
                <w:b/>
                <w:bCs/>
                <w:sz w:val="15"/>
                <w:szCs w:val="15"/>
              </w:rPr>
              <w:t>Leonard M. Anthony</w:t>
            </w:r>
          </w:p>
        </w:tc>
        <w:tc>
          <w:tcPr>
            <w:tcW w:w="5302" w:type="dxa"/>
            <w:hideMark/>
          </w:tcPr>
          <w:p w:rsidR="001259B7" w:rsidRDefault="001259B7" w:rsidP="001259B7">
            <w:pPr>
              <w:ind w:left="144"/>
            </w:pPr>
            <w:r>
              <w:rPr>
                <w:sz w:val="20"/>
              </w:rPr>
              <w:t>Director</w:t>
            </w:r>
          </w:p>
        </w:tc>
        <w:tc>
          <w:tcPr>
            <w:tcW w:w="2168" w:type="dxa"/>
            <w:hideMark/>
          </w:tcPr>
          <w:p w:rsidR="001259B7" w:rsidRDefault="001036A3" w:rsidP="001259B7">
            <w:r>
              <w:rPr>
                <w:sz w:val="20"/>
              </w:rPr>
              <w:t>February 14, 2020</w:t>
            </w:r>
          </w:p>
        </w:tc>
      </w:tr>
      <w:tr w:rsidR="001259B7" w:rsidTr="0008766F">
        <w:trPr>
          <w:trHeight w:val="120"/>
        </w:trPr>
        <w:tc>
          <w:tcPr>
            <w:tcW w:w="3420" w:type="dxa"/>
            <w:vAlign w:val="center"/>
          </w:tcPr>
          <w:p w:rsidR="001259B7" w:rsidRDefault="001259B7" w:rsidP="001259B7">
            <w:pPr>
              <w:rPr>
                <w:sz w:val="12"/>
              </w:rPr>
            </w:pPr>
          </w:p>
        </w:tc>
        <w:tc>
          <w:tcPr>
            <w:tcW w:w="5302" w:type="dxa"/>
            <w:vAlign w:val="center"/>
          </w:tcPr>
          <w:p w:rsidR="001259B7" w:rsidRDefault="001259B7" w:rsidP="001259B7">
            <w:pPr>
              <w:ind w:left="144"/>
              <w:rPr>
                <w:sz w:val="12"/>
              </w:rPr>
            </w:pPr>
          </w:p>
        </w:tc>
        <w:tc>
          <w:tcPr>
            <w:tcW w:w="2168" w:type="dxa"/>
            <w:vAlign w:val="center"/>
          </w:tcPr>
          <w:p w:rsidR="001259B7" w:rsidRDefault="001259B7" w:rsidP="001259B7">
            <w:pPr>
              <w:rPr>
                <w:sz w:val="12"/>
              </w:rPr>
            </w:pPr>
          </w:p>
        </w:tc>
      </w:tr>
      <w:tr w:rsidR="001259B7" w:rsidTr="0008766F">
        <w:tc>
          <w:tcPr>
            <w:tcW w:w="3420" w:type="dxa"/>
          </w:tcPr>
          <w:p w:rsidR="001259B7" w:rsidRDefault="001259B7" w:rsidP="001259B7">
            <w:pPr>
              <w:pStyle w:val="NormalWeb"/>
              <w:spacing w:before="0" w:beforeAutospacing="0" w:after="0" w:afterAutospacing="0"/>
            </w:pPr>
            <w:r>
              <w:rPr>
                <w:sz w:val="20"/>
                <w:szCs w:val="20"/>
              </w:rPr>
              <w:t>/</w:t>
            </w:r>
            <w:r>
              <w:rPr>
                <w:sz w:val="15"/>
                <w:szCs w:val="15"/>
              </w:rPr>
              <w:t>S</w:t>
            </w:r>
            <w:r>
              <w:rPr>
                <w:sz w:val="20"/>
                <w:szCs w:val="20"/>
              </w:rPr>
              <w:t>/    H</w:t>
            </w:r>
            <w:r>
              <w:rPr>
                <w:sz w:val="15"/>
                <w:szCs w:val="15"/>
              </w:rPr>
              <w:t>ENRY</w:t>
            </w:r>
            <w:r>
              <w:rPr>
                <w:sz w:val="20"/>
                <w:szCs w:val="20"/>
              </w:rPr>
              <w:t xml:space="preserve"> C</w:t>
            </w:r>
            <w:r>
              <w:rPr>
                <w:sz w:val="15"/>
                <w:szCs w:val="15"/>
              </w:rPr>
              <w:t>ORNELL        </w:t>
            </w:r>
          </w:p>
          <w:p w:rsidR="001259B7" w:rsidRDefault="001259B7" w:rsidP="001259B7">
            <w:pPr>
              <w:pStyle w:val="rrdsinglerule"/>
              <w:jc w:val="left"/>
            </w:pPr>
            <w:r>
              <w:t> </w:t>
            </w:r>
          </w:p>
          <w:p w:rsidR="001259B7" w:rsidRDefault="001259B7" w:rsidP="001259B7">
            <w:pPr>
              <w:pStyle w:val="NormalWeb"/>
              <w:spacing w:before="0" w:beforeAutospacing="0" w:after="15" w:afterAutospacing="0"/>
            </w:pPr>
            <w:r>
              <w:rPr>
                <w:b/>
                <w:bCs/>
                <w:sz w:val="15"/>
                <w:szCs w:val="15"/>
              </w:rPr>
              <w:t>Henry Cornell</w:t>
            </w:r>
          </w:p>
        </w:tc>
        <w:tc>
          <w:tcPr>
            <w:tcW w:w="5302" w:type="dxa"/>
          </w:tcPr>
          <w:p w:rsidR="001259B7" w:rsidRDefault="001259B7" w:rsidP="001259B7">
            <w:pPr>
              <w:ind w:left="144"/>
            </w:pPr>
            <w:r>
              <w:rPr>
                <w:sz w:val="20"/>
              </w:rPr>
              <w:t>Director</w:t>
            </w:r>
          </w:p>
        </w:tc>
        <w:tc>
          <w:tcPr>
            <w:tcW w:w="2168" w:type="dxa"/>
          </w:tcPr>
          <w:p w:rsidR="001259B7" w:rsidRDefault="001036A3" w:rsidP="001259B7">
            <w:r>
              <w:rPr>
                <w:sz w:val="20"/>
              </w:rPr>
              <w:t>February 14, 2020</w:t>
            </w:r>
          </w:p>
        </w:tc>
      </w:tr>
      <w:tr w:rsidR="001259B7" w:rsidTr="0008766F">
        <w:trPr>
          <w:trHeight w:val="115"/>
        </w:trPr>
        <w:tc>
          <w:tcPr>
            <w:tcW w:w="3420" w:type="dxa"/>
          </w:tcPr>
          <w:p w:rsidR="001259B7" w:rsidRDefault="001259B7" w:rsidP="001259B7">
            <w:pPr>
              <w:pStyle w:val="NormalWeb"/>
              <w:spacing w:before="0" w:beforeAutospacing="0" w:after="0" w:afterAutospacing="0"/>
              <w:rPr>
                <w:sz w:val="12"/>
                <w:szCs w:val="12"/>
                <w:lang w:val="fr-FR"/>
              </w:rPr>
            </w:pPr>
          </w:p>
        </w:tc>
        <w:tc>
          <w:tcPr>
            <w:tcW w:w="5302" w:type="dxa"/>
          </w:tcPr>
          <w:p w:rsidR="001259B7" w:rsidRDefault="001259B7" w:rsidP="001259B7">
            <w:pPr>
              <w:ind w:left="144"/>
              <w:rPr>
                <w:sz w:val="12"/>
                <w:szCs w:val="12"/>
              </w:rPr>
            </w:pPr>
          </w:p>
        </w:tc>
        <w:tc>
          <w:tcPr>
            <w:tcW w:w="2168" w:type="dxa"/>
          </w:tcPr>
          <w:p w:rsidR="001259B7" w:rsidRDefault="001259B7" w:rsidP="001259B7">
            <w:pPr>
              <w:rPr>
                <w:sz w:val="12"/>
                <w:szCs w:val="12"/>
              </w:rPr>
            </w:pPr>
          </w:p>
        </w:tc>
      </w:tr>
      <w:tr w:rsidR="001259B7" w:rsidTr="0008766F">
        <w:tc>
          <w:tcPr>
            <w:tcW w:w="3420" w:type="dxa"/>
            <w:hideMark/>
          </w:tcPr>
          <w:p w:rsidR="001259B7" w:rsidRDefault="001259B7" w:rsidP="001259B7">
            <w:pPr>
              <w:pStyle w:val="NormalWeb"/>
              <w:spacing w:before="0" w:beforeAutospacing="0" w:after="0" w:afterAutospacing="0"/>
              <w:rPr>
                <w:lang w:val="fr-FR"/>
              </w:rPr>
            </w:pPr>
            <w:r>
              <w:rPr>
                <w:sz w:val="20"/>
                <w:szCs w:val="20"/>
                <w:lang w:val="fr-FR"/>
              </w:rPr>
              <w:t>/</w:t>
            </w:r>
            <w:r>
              <w:rPr>
                <w:sz w:val="15"/>
                <w:szCs w:val="15"/>
                <w:lang w:val="fr-FR"/>
              </w:rPr>
              <w:t>S</w:t>
            </w:r>
            <w:r>
              <w:rPr>
                <w:sz w:val="20"/>
                <w:szCs w:val="20"/>
                <w:lang w:val="fr-FR"/>
              </w:rPr>
              <w:t>/    B</w:t>
            </w:r>
            <w:r>
              <w:rPr>
                <w:sz w:val="15"/>
                <w:szCs w:val="15"/>
                <w:lang w:val="fr-FR"/>
              </w:rPr>
              <w:t>ARBARA</w:t>
            </w:r>
            <w:r>
              <w:rPr>
                <w:sz w:val="20"/>
                <w:szCs w:val="20"/>
                <w:lang w:val="fr-FR"/>
              </w:rPr>
              <w:t xml:space="preserve"> J. D</w:t>
            </w:r>
            <w:r>
              <w:rPr>
                <w:sz w:val="15"/>
                <w:szCs w:val="15"/>
                <w:lang w:val="fr-FR"/>
              </w:rPr>
              <w:t>UGANIER</w:t>
            </w:r>
            <w:r>
              <w:rPr>
                <w:sz w:val="20"/>
                <w:szCs w:val="20"/>
                <w:lang w:val="fr-FR"/>
              </w:rPr>
              <w:t>       </w:t>
            </w:r>
          </w:p>
          <w:p w:rsidR="001259B7" w:rsidRDefault="001259B7" w:rsidP="001259B7">
            <w:pPr>
              <w:pStyle w:val="rrdsinglerule"/>
              <w:jc w:val="left"/>
              <w:rPr>
                <w:lang w:val="fr-FR"/>
              </w:rPr>
            </w:pPr>
            <w:r>
              <w:rPr>
                <w:lang w:val="fr-FR"/>
              </w:rPr>
              <w:t> </w:t>
            </w:r>
          </w:p>
          <w:p w:rsidR="001259B7" w:rsidRDefault="001259B7" w:rsidP="001259B7">
            <w:pPr>
              <w:pStyle w:val="NormalWeb"/>
              <w:spacing w:before="0" w:beforeAutospacing="0" w:after="15" w:afterAutospacing="0"/>
              <w:rPr>
                <w:lang w:val="fr-FR"/>
              </w:rPr>
            </w:pPr>
            <w:r>
              <w:rPr>
                <w:b/>
                <w:bCs/>
                <w:sz w:val="15"/>
                <w:szCs w:val="15"/>
                <w:lang w:val="fr-FR"/>
              </w:rPr>
              <w:t>Barbara J. Duganier</w:t>
            </w:r>
          </w:p>
        </w:tc>
        <w:tc>
          <w:tcPr>
            <w:tcW w:w="5302" w:type="dxa"/>
            <w:hideMark/>
          </w:tcPr>
          <w:p w:rsidR="001259B7" w:rsidRDefault="001259B7" w:rsidP="001259B7">
            <w:pPr>
              <w:ind w:left="144"/>
            </w:pPr>
            <w:r>
              <w:rPr>
                <w:sz w:val="20"/>
              </w:rPr>
              <w:t>Director</w:t>
            </w:r>
          </w:p>
        </w:tc>
        <w:tc>
          <w:tcPr>
            <w:tcW w:w="2168" w:type="dxa"/>
            <w:hideMark/>
          </w:tcPr>
          <w:p w:rsidR="001259B7" w:rsidRDefault="001036A3" w:rsidP="001259B7">
            <w:r>
              <w:rPr>
                <w:sz w:val="20"/>
              </w:rPr>
              <w:t>February 14, 2020</w:t>
            </w:r>
          </w:p>
        </w:tc>
      </w:tr>
      <w:tr w:rsidR="001259B7" w:rsidTr="0008766F">
        <w:trPr>
          <w:trHeight w:val="80"/>
        </w:trPr>
        <w:tc>
          <w:tcPr>
            <w:tcW w:w="3420" w:type="dxa"/>
            <w:vAlign w:val="center"/>
          </w:tcPr>
          <w:p w:rsidR="001259B7" w:rsidRDefault="001259B7" w:rsidP="001259B7">
            <w:pPr>
              <w:rPr>
                <w:sz w:val="12"/>
              </w:rPr>
            </w:pPr>
          </w:p>
        </w:tc>
        <w:tc>
          <w:tcPr>
            <w:tcW w:w="5302" w:type="dxa"/>
            <w:vAlign w:val="center"/>
          </w:tcPr>
          <w:p w:rsidR="001259B7" w:rsidRDefault="001259B7" w:rsidP="001259B7">
            <w:pPr>
              <w:ind w:left="144"/>
              <w:rPr>
                <w:sz w:val="12"/>
              </w:rPr>
            </w:pPr>
          </w:p>
        </w:tc>
        <w:tc>
          <w:tcPr>
            <w:tcW w:w="2168" w:type="dxa"/>
            <w:vAlign w:val="center"/>
          </w:tcPr>
          <w:p w:rsidR="001259B7" w:rsidRDefault="001259B7" w:rsidP="001259B7">
            <w:pPr>
              <w:rPr>
                <w:sz w:val="12"/>
              </w:rPr>
            </w:pPr>
          </w:p>
        </w:tc>
      </w:tr>
      <w:tr w:rsidR="001259B7" w:rsidTr="0008766F">
        <w:tc>
          <w:tcPr>
            <w:tcW w:w="3420" w:type="dxa"/>
            <w:hideMark/>
          </w:tcPr>
          <w:p w:rsidR="001259B7" w:rsidRDefault="001259B7" w:rsidP="001259B7">
            <w:pPr>
              <w:pStyle w:val="NormalWeb"/>
              <w:spacing w:before="0" w:beforeAutospacing="0" w:after="0" w:afterAutospacing="0"/>
            </w:pPr>
            <w:r>
              <w:rPr>
                <w:sz w:val="20"/>
                <w:szCs w:val="20"/>
              </w:rPr>
              <w:t>/</w:t>
            </w:r>
            <w:r>
              <w:rPr>
                <w:sz w:val="15"/>
                <w:szCs w:val="15"/>
              </w:rPr>
              <w:t>S</w:t>
            </w:r>
            <w:r>
              <w:rPr>
                <w:sz w:val="20"/>
                <w:szCs w:val="20"/>
              </w:rPr>
              <w:t>/    C</w:t>
            </w:r>
            <w:r>
              <w:rPr>
                <w:sz w:val="15"/>
                <w:szCs w:val="15"/>
              </w:rPr>
              <w:t>RAIG</w:t>
            </w:r>
            <w:r>
              <w:rPr>
                <w:sz w:val="20"/>
                <w:szCs w:val="20"/>
              </w:rPr>
              <w:t xml:space="preserve"> K</w:t>
            </w:r>
            <w:r>
              <w:rPr>
                <w:sz w:val="15"/>
                <w:szCs w:val="15"/>
              </w:rPr>
              <w:t>ETCHUM        </w:t>
            </w:r>
          </w:p>
          <w:p w:rsidR="001259B7" w:rsidRDefault="001259B7" w:rsidP="001259B7">
            <w:pPr>
              <w:pStyle w:val="rrdsinglerule"/>
              <w:jc w:val="left"/>
            </w:pPr>
            <w:r>
              <w:t> </w:t>
            </w:r>
          </w:p>
          <w:p w:rsidR="001259B7" w:rsidRDefault="001259B7" w:rsidP="001259B7">
            <w:pPr>
              <w:pStyle w:val="NormalWeb"/>
              <w:spacing w:before="0" w:beforeAutospacing="0" w:after="15" w:afterAutospacing="0"/>
            </w:pPr>
            <w:r>
              <w:rPr>
                <w:b/>
                <w:bCs/>
                <w:sz w:val="15"/>
                <w:szCs w:val="15"/>
              </w:rPr>
              <w:t>Craig Ketchum</w:t>
            </w:r>
          </w:p>
        </w:tc>
        <w:tc>
          <w:tcPr>
            <w:tcW w:w="5302" w:type="dxa"/>
            <w:hideMark/>
          </w:tcPr>
          <w:p w:rsidR="001259B7" w:rsidRDefault="001259B7" w:rsidP="001259B7">
            <w:pPr>
              <w:ind w:left="144"/>
            </w:pPr>
            <w:r>
              <w:rPr>
                <w:sz w:val="20"/>
              </w:rPr>
              <w:t>Director</w:t>
            </w:r>
          </w:p>
        </w:tc>
        <w:tc>
          <w:tcPr>
            <w:tcW w:w="2168" w:type="dxa"/>
            <w:hideMark/>
          </w:tcPr>
          <w:p w:rsidR="001259B7" w:rsidRDefault="001036A3" w:rsidP="001259B7">
            <w:r>
              <w:rPr>
                <w:sz w:val="20"/>
              </w:rPr>
              <w:t>February 14, 2020</w:t>
            </w:r>
          </w:p>
        </w:tc>
      </w:tr>
      <w:tr w:rsidR="001259B7" w:rsidTr="0008766F">
        <w:trPr>
          <w:trHeight w:val="120"/>
        </w:trPr>
        <w:tc>
          <w:tcPr>
            <w:tcW w:w="3420" w:type="dxa"/>
            <w:vAlign w:val="center"/>
          </w:tcPr>
          <w:p w:rsidR="001259B7" w:rsidRDefault="001259B7" w:rsidP="001259B7">
            <w:pPr>
              <w:rPr>
                <w:sz w:val="12"/>
              </w:rPr>
            </w:pPr>
          </w:p>
        </w:tc>
        <w:tc>
          <w:tcPr>
            <w:tcW w:w="5302" w:type="dxa"/>
            <w:vAlign w:val="center"/>
          </w:tcPr>
          <w:p w:rsidR="001259B7" w:rsidRDefault="001259B7" w:rsidP="001259B7">
            <w:pPr>
              <w:ind w:left="144"/>
              <w:rPr>
                <w:sz w:val="12"/>
              </w:rPr>
            </w:pPr>
          </w:p>
        </w:tc>
        <w:tc>
          <w:tcPr>
            <w:tcW w:w="2168" w:type="dxa"/>
            <w:vAlign w:val="center"/>
          </w:tcPr>
          <w:p w:rsidR="001259B7" w:rsidRDefault="001259B7" w:rsidP="001259B7">
            <w:pPr>
              <w:rPr>
                <w:sz w:val="12"/>
              </w:rPr>
            </w:pPr>
          </w:p>
        </w:tc>
      </w:tr>
      <w:tr w:rsidR="001259B7" w:rsidTr="0008766F">
        <w:tc>
          <w:tcPr>
            <w:tcW w:w="3420" w:type="dxa"/>
            <w:hideMark/>
          </w:tcPr>
          <w:p w:rsidR="001259B7" w:rsidRDefault="001259B7" w:rsidP="001259B7">
            <w:pPr>
              <w:pStyle w:val="NormalWeb"/>
              <w:spacing w:before="0" w:beforeAutospacing="0" w:after="0" w:afterAutospacing="0"/>
            </w:pPr>
            <w:r>
              <w:rPr>
                <w:sz w:val="20"/>
                <w:szCs w:val="20"/>
              </w:rPr>
              <w:t>/</w:t>
            </w:r>
            <w:r>
              <w:rPr>
                <w:sz w:val="15"/>
                <w:szCs w:val="15"/>
              </w:rPr>
              <w:t>S</w:t>
            </w:r>
            <w:r>
              <w:rPr>
                <w:sz w:val="20"/>
                <w:szCs w:val="20"/>
              </w:rPr>
              <w:t>/    D</w:t>
            </w:r>
            <w:r>
              <w:rPr>
                <w:sz w:val="15"/>
                <w:szCs w:val="15"/>
              </w:rPr>
              <w:t>R</w:t>
            </w:r>
            <w:r>
              <w:rPr>
                <w:sz w:val="20"/>
                <w:szCs w:val="20"/>
              </w:rPr>
              <w:t>. C</w:t>
            </w:r>
            <w:r>
              <w:rPr>
                <w:sz w:val="15"/>
                <w:szCs w:val="15"/>
              </w:rPr>
              <w:t>ORNELIS</w:t>
            </w:r>
            <w:r>
              <w:rPr>
                <w:sz w:val="20"/>
                <w:szCs w:val="20"/>
              </w:rPr>
              <w:t xml:space="preserve"> A</w:t>
            </w:r>
            <w:r>
              <w:rPr>
                <w:sz w:val="15"/>
                <w:szCs w:val="15"/>
              </w:rPr>
              <w:t>DRIANUS</w:t>
            </w:r>
            <w:r>
              <w:rPr>
                <w:sz w:val="20"/>
                <w:szCs w:val="20"/>
              </w:rPr>
              <w:t xml:space="preserve"> L</w:t>
            </w:r>
            <w:r>
              <w:rPr>
                <w:sz w:val="15"/>
                <w:szCs w:val="15"/>
              </w:rPr>
              <w:t>INSE        </w:t>
            </w:r>
          </w:p>
          <w:p w:rsidR="001259B7" w:rsidRDefault="001259B7" w:rsidP="001259B7">
            <w:pPr>
              <w:pStyle w:val="rrdsinglerule"/>
              <w:jc w:val="left"/>
            </w:pPr>
            <w:r>
              <w:t> </w:t>
            </w:r>
          </w:p>
          <w:p w:rsidR="001259B7" w:rsidRDefault="001259B7" w:rsidP="001259B7">
            <w:pPr>
              <w:pStyle w:val="NormalWeb"/>
              <w:spacing w:before="0" w:beforeAutospacing="0" w:after="15" w:afterAutospacing="0"/>
            </w:pPr>
            <w:r>
              <w:rPr>
                <w:b/>
                <w:bCs/>
                <w:sz w:val="15"/>
                <w:szCs w:val="15"/>
              </w:rPr>
              <w:t>Dr. Cornelis Adrianus Linse</w:t>
            </w:r>
          </w:p>
        </w:tc>
        <w:tc>
          <w:tcPr>
            <w:tcW w:w="5302" w:type="dxa"/>
            <w:hideMark/>
          </w:tcPr>
          <w:p w:rsidR="001259B7" w:rsidRDefault="001259B7" w:rsidP="001259B7">
            <w:pPr>
              <w:ind w:left="144"/>
            </w:pPr>
            <w:r>
              <w:rPr>
                <w:sz w:val="20"/>
              </w:rPr>
              <w:t>Director</w:t>
            </w:r>
          </w:p>
        </w:tc>
        <w:tc>
          <w:tcPr>
            <w:tcW w:w="2168" w:type="dxa"/>
            <w:hideMark/>
          </w:tcPr>
          <w:p w:rsidR="001259B7" w:rsidRDefault="001036A3" w:rsidP="001259B7">
            <w:r>
              <w:rPr>
                <w:sz w:val="20"/>
              </w:rPr>
              <w:t>February 14, 2020</w:t>
            </w:r>
          </w:p>
        </w:tc>
      </w:tr>
      <w:tr w:rsidR="001259B7" w:rsidTr="0008766F">
        <w:trPr>
          <w:trHeight w:val="120"/>
        </w:trPr>
        <w:tc>
          <w:tcPr>
            <w:tcW w:w="3420" w:type="dxa"/>
            <w:vAlign w:val="center"/>
          </w:tcPr>
          <w:p w:rsidR="001259B7" w:rsidRDefault="001259B7" w:rsidP="001259B7">
            <w:pPr>
              <w:rPr>
                <w:sz w:val="12"/>
              </w:rPr>
            </w:pPr>
          </w:p>
        </w:tc>
        <w:tc>
          <w:tcPr>
            <w:tcW w:w="5302" w:type="dxa"/>
            <w:vAlign w:val="center"/>
          </w:tcPr>
          <w:p w:rsidR="001259B7" w:rsidRDefault="001259B7" w:rsidP="001259B7">
            <w:pPr>
              <w:ind w:left="144"/>
              <w:rPr>
                <w:sz w:val="12"/>
              </w:rPr>
            </w:pPr>
          </w:p>
        </w:tc>
        <w:tc>
          <w:tcPr>
            <w:tcW w:w="2168" w:type="dxa"/>
            <w:vAlign w:val="center"/>
          </w:tcPr>
          <w:p w:rsidR="001259B7" w:rsidRDefault="001259B7" w:rsidP="001259B7">
            <w:pPr>
              <w:rPr>
                <w:sz w:val="12"/>
              </w:rPr>
            </w:pPr>
          </w:p>
        </w:tc>
      </w:tr>
      <w:tr w:rsidR="001259B7" w:rsidTr="0008766F">
        <w:tc>
          <w:tcPr>
            <w:tcW w:w="3420" w:type="dxa"/>
            <w:hideMark/>
          </w:tcPr>
          <w:p w:rsidR="001259B7" w:rsidRDefault="001259B7" w:rsidP="001259B7">
            <w:pPr>
              <w:pStyle w:val="NormalWeb"/>
              <w:spacing w:before="0" w:beforeAutospacing="0" w:after="0" w:afterAutospacing="0"/>
            </w:pPr>
            <w:r>
              <w:rPr>
                <w:sz w:val="20"/>
                <w:szCs w:val="20"/>
              </w:rPr>
              <w:t>/</w:t>
            </w:r>
            <w:r>
              <w:rPr>
                <w:sz w:val="15"/>
                <w:szCs w:val="15"/>
              </w:rPr>
              <w:t>S</w:t>
            </w:r>
            <w:r>
              <w:rPr>
                <w:sz w:val="20"/>
                <w:szCs w:val="20"/>
              </w:rPr>
              <w:t>/    J</w:t>
            </w:r>
            <w:r>
              <w:rPr>
                <w:sz w:val="15"/>
                <w:szCs w:val="15"/>
              </w:rPr>
              <w:t>OHN</w:t>
            </w:r>
            <w:r>
              <w:rPr>
                <w:sz w:val="20"/>
                <w:szCs w:val="20"/>
              </w:rPr>
              <w:t xml:space="preserve"> A. P</w:t>
            </w:r>
            <w:r>
              <w:rPr>
                <w:sz w:val="15"/>
                <w:szCs w:val="15"/>
              </w:rPr>
              <w:t>ERKINS        </w:t>
            </w:r>
          </w:p>
          <w:p w:rsidR="001259B7" w:rsidRDefault="001259B7" w:rsidP="001259B7">
            <w:pPr>
              <w:pStyle w:val="rrdsinglerule"/>
              <w:jc w:val="left"/>
            </w:pPr>
            <w:r>
              <w:t> </w:t>
            </w:r>
          </w:p>
          <w:p w:rsidR="001259B7" w:rsidRDefault="001259B7" w:rsidP="001259B7">
            <w:pPr>
              <w:pStyle w:val="NormalWeb"/>
              <w:spacing w:before="0" w:beforeAutospacing="0" w:after="15" w:afterAutospacing="0"/>
            </w:pPr>
            <w:r>
              <w:rPr>
                <w:b/>
                <w:bCs/>
                <w:sz w:val="15"/>
                <w:szCs w:val="15"/>
              </w:rPr>
              <w:t>John A. Perkins</w:t>
            </w:r>
          </w:p>
        </w:tc>
        <w:tc>
          <w:tcPr>
            <w:tcW w:w="5302" w:type="dxa"/>
            <w:hideMark/>
          </w:tcPr>
          <w:p w:rsidR="001259B7" w:rsidRDefault="001259B7" w:rsidP="001259B7">
            <w:pPr>
              <w:ind w:left="144"/>
            </w:pPr>
            <w:r>
              <w:rPr>
                <w:sz w:val="20"/>
              </w:rPr>
              <w:t>Director</w:t>
            </w:r>
          </w:p>
        </w:tc>
        <w:tc>
          <w:tcPr>
            <w:tcW w:w="2168" w:type="dxa"/>
            <w:hideMark/>
          </w:tcPr>
          <w:p w:rsidR="001259B7" w:rsidRDefault="001036A3" w:rsidP="001259B7">
            <w:r>
              <w:rPr>
                <w:sz w:val="20"/>
              </w:rPr>
              <w:t>February 14, 2020</w:t>
            </w:r>
          </w:p>
        </w:tc>
      </w:tr>
      <w:tr w:rsidR="001259B7" w:rsidTr="0008766F">
        <w:trPr>
          <w:trHeight w:val="120"/>
        </w:trPr>
        <w:tc>
          <w:tcPr>
            <w:tcW w:w="3420" w:type="dxa"/>
            <w:vAlign w:val="center"/>
          </w:tcPr>
          <w:p w:rsidR="001259B7" w:rsidRDefault="001259B7" w:rsidP="001259B7">
            <w:pPr>
              <w:rPr>
                <w:sz w:val="12"/>
              </w:rPr>
            </w:pPr>
          </w:p>
        </w:tc>
        <w:tc>
          <w:tcPr>
            <w:tcW w:w="5302" w:type="dxa"/>
            <w:vAlign w:val="center"/>
          </w:tcPr>
          <w:p w:rsidR="001259B7" w:rsidRDefault="001259B7" w:rsidP="001259B7">
            <w:pPr>
              <w:ind w:left="144"/>
              <w:rPr>
                <w:sz w:val="12"/>
              </w:rPr>
            </w:pPr>
          </w:p>
        </w:tc>
        <w:tc>
          <w:tcPr>
            <w:tcW w:w="2168" w:type="dxa"/>
            <w:vAlign w:val="center"/>
          </w:tcPr>
          <w:p w:rsidR="001259B7" w:rsidRDefault="001259B7" w:rsidP="001259B7">
            <w:pPr>
              <w:rPr>
                <w:sz w:val="12"/>
              </w:rPr>
            </w:pPr>
          </w:p>
        </w:tc>
      </w:tr>
      <w:tr w:rsidR="001259B7" w:rsidTr="0008766F">
        <w:tc>
          <w:tcPr>
            <w:tcW w:w="3420" w:type="dxa"/>
            <w:hideMark/>
          </w:tcPr>
          <w:p w:rsidR="001259B7" w:rsidRDefault="001259B7" w:rsidP="001259B7">
            <w:pPr>
              <w:pStyle w:val="NormalWeb"/>
              <w:spacing w:before="0" w:beforeAutospacing="0" w:after="0" w:afterAutospacing="0"/>
            </w:pPr>
            <w:r>
              <w:rPr>
                <w:sz w:val="20"/>
                <w:szCs w:val="20"/>
              </w:rPr>
              <w:t>/</w:t>
            </w:r>
            <w:r>
              <w:rPr>
                <w:sz w:val="15"/>
                <w:szCs w:val="15"/>
              </w:rPr>
              <w:t>S</w:t>
            </w:r>
            <w:r>
              <w:rPr>
                <w:sz w:val="20"/>
                <w:szCs w:val="20"/>
              </w:rPr>
              <w:t>/    H.B. W</w:t>
            </w:r>
            <w:r>
              <w:rPr>
                <w:sz w:val="15"/>
                <w:szCs w:val="15"/>
              </w:rPr>
              <w:t>EHRLE</w:t>
            </w:r>
            <w:r>
              <w:rPr>
                <w:sz w:val="20"/>
                <w:szCs w:val="20"/>
              </w:rPr>
              <w:t>, III        </w:t>
            </w:r>
          </w:p>
          <w:p w:rsidR="001259B7" w:rsidRDefault="001259B7" w:rsidP="001259B7">
            <w:pPr>
              <w:pStyle w:val="rrdsinglerule"/>
              <w:jc w:val="left"/>
            </w:pPr>
            <w:r>
              <w:t> </w:t>
            </w:r>
          </w:p>
          <w:p w:rsidR="001259B7" w:rsidRDefault="001259B7" w:rsidP="001259B7">
            <w:pPr>
              <w:pStyle w:val="NormalWeb"/>
              <w:spacing w:before="0" w:beforeAutospacing="0" w:after="15" w:afterAutospacing="0"/>
            </w:pPr>
            <w:r>
              <w:rPr>
                <w:b/>
                <w:bCs/>
                <w:sz w:val="15"/>
                <w:szCs w:val="15"/>
              </w:rPr>
              <w:t>H.B. Wehrle, III</w:t>
            </w:r>
          </w:p>
        </w:tc>
        <w:tc>
          <w:tcPr>
            <w:tcW w:w="5302" w:type="dxa"/>
            <w:hideMark/>
          </w:tcPr>
          <w:p w:rsidR="001259B7" w:rsidRDefault="001259B7" w:rsidP="001259B7">
            <w:pPr>
              <w:ind w:left="144"/>
            </w:pPr>
            <w:r>
              <w:rPr>
                <w:sz w:val="20"/>
              </w:rPr>
              <w:t>Director</w:t>
            </w:r>
          </w:p>
        </w:tc>
        <w:tc>
          <w:tcPr>
            <w:tcW w:w="2168" w:type="dxa"/>
            <w:hideMark/>
          </w:tcPr>
          <w:p w:rsidR="001259B7" w:rsidRDefault="001036A3" w:rsidP="001259B7">
            <w:r>
              <w:rPr>
                <w:sz w:val="20"/>
              </w:rPr>
              <w:t>February 14, 2020</w:t>
            </w:r>
          </w:p>
        </w:tc>
      </w:tr>
      <w:tr w:rsidR="00B541F7" w:rsidTr="0008766F">
        <w:trPr>
          <w:trHeight w:val="108"/>
        </w:trPr>
        <w:tc>
          <w:tcPr>
            <w:tcW w:w="3420" w:type="dxa"/>
            <w:vAlign w:val="center"/>
          </w:tcPr>
          <w:p w:rsidR="00B541F7" w:rsidRPr="00B541F7" w:rsidRDefault="00B541F7" w:rsidP="00B541F7">
            <w:pPr>
              <w:rPr>
                <w:sz w:val="8"/>
                <w:szCs w:val="8"/>
              </w:rPr>
            </w:pPr>
          </w:p>
        </w:tc>
        <w:tc>
          <w:tcPr>
            <w:tcW w:w="5302" w:type="dxa"/>
          </w:tcPr>
          <w:p w:rsidR="00B541F7" w:rsidRDefault="00B541F7" w:rsidP="001259B7">
            <w:pPr>
              <w:ind w:left="144"/>
              <w:rPr>
                <w:sz w:val="20"/>
              </w:rPr>
            </w:pPr>
          </w:p>
        </w:tc>
        <w:tc>
          <w:tcPr>
            <w:tcW w:w="2168" w:type="dxa"/>
          </w:tcPr>
          <w:p w:rsidR="00B541F7" w:rsidRDefault="00B541F7" w:rsidP="001259B7">
            <w:pPr>
              <w:rPr>
                <w:sz w:val="20"/>
              </w:rPr>
            </w:pPr>
          </w:p>
        </w:tc>
      </w:tr>
      <w:tr w:rsidR="001259B7" w:rsidTr="0008766F">
        <w:tc>
          <w:tcPr>
            <w:tcW w:w="3420" w:type="dxa"/>
            <w:hideMark/>
          </w:tcPr>
          <w:p w:rsidR="001259B7" w:rsidRDefault="001259B7" w:rsidP="001259B7">
            <w:pPr>
              <w:pStyle w:val="NormalWeb"/>
              <w:spacing w:before="0" w:beforeAutospacing="0" w:after="0" w:afterAutospacing="0"/>
            </w:pPr>
            <w:r>
              <w:rPr>
                <w:sz w:val="20"/>
                <w:szCs w:val="20"/>
              </w:rPr>
              <w:t>/</w:t>
            </w:r>
            <w:r>
              <w:rPr>
                <w:sz w:val="15"/>
                <w:szCs w:val="15"/>
              </w:rPr>
              <w:t>S</w:t>
            </w:r>
            <w:r>
              <w:rPr>
                <w:sz w:val="20"/>
                <w:szCs w:val="20"/>
              </w:rPr>
              <w:t>/    R</w:t>
            </w:r>
            <w:r>
              <w:rPr>
                <w:sz w:val="15"/>
                <w:szCs w:val="15"/>
              </w:rPr>
              <w:t>OBERT</w:t>
            </w:r>
            <w:r>
              <w:rPr>
                <w:sz w:val="20"/>
                <w:szCs w:val="20"/>
              </w:rPr>
              <w:t xml:space="preserve"> L. W</w:t>
            </w:r>
            <w:r>
              <w:rPr>
                <w:sz w:val="15"/>
                <w:szCs w:val="15"/>
              </w:rPr>
              <w:t>OOD</w:t>
            </w:r>
            <w:r>
              <w:rPr>
                <w:sz w:val="20"/>
                <w:szCs w:val="20"/>
              </w:rPr>
              <w:t>       </w:t>
            </w:r>
          </w:p>
          <w:p w:rsidR="001259B7" w:rsidRDefault="001259B7" w:rsidP="001259B7">
            <w:pPr>
              <w:pStyle w:val="rrdsinglerule"/>
              <w:jc w:val="left"/>
            </w:pPr>
            <w:r>
              <w:t> </w:t>
            </w:r>
          </w:p>
          <w:p w:rsidR="001259B7" w:rsidRDefault="001259B7" w:rsidP="001259B7">
            <w:pPr>
              <w:pStyle w:val="NormalWeb"/>
              <w:spacing w:before="0" w:beforeAutospacing="0" w:after="15" w:afterAutospacing="0"/>
            </w:pPr>
            <w:r>
              <w:rPr>
                <w:b/>
                <w:bCs/>
                <w:sz w:val="15"/>
                <w:szCs w:val="15"/>
              </w:rPr>
              <w:t>Robert L. Wood</w:t>
            </w:r>
          </w:p>
        </w:tc>
        <w:tc>
          <w:tcPr>
            <w:tcW w:w="5302" w:type="dxa"/>
            <w:hideMark/>
          </w:tcPr>
          <w:p w:rsidR="001259B7" w:rsidRDefault="001259B7" w:rsidP="001259B7">
            <w:pPr>
              <w:ind w:left="144"/>
            </w:pPr>
            <w:r>
              <w:rPr>
                <w:sz w:val="20"/>
              </w:rPr>
              <w:t>Director</w:t>
            </w:r>
          </w:p>
        </w:tc>
        <w:tc>
          <w:tcPr>
            <w:tcW w:w="2168" w:type="dxa"/>
            <w:hideMark/>
          </w:tcPr>
          <w:p w:rsidR="001259B7" w:rsidRDefault="001036A3" w:rsidP="001259B7">
            <w:r>
              <w:rPr>
                <w:sz w:val="20"/>
              </w:rPr>
              <w:t>February 14, 2020</w:t>
            </w:r>
          </w:p>
        </w:tc>
      </w:tr>
    </w:tbl>
    <w:p w:rsidR="000121CD" w:rsidRDefault="000121CD">
      <w:pPr>
        <w:rPr>
          <w:b/>
          <w:bCs/>
          <w:sz w:val="20"/>
        </w:rPr>
        <w:sectPr w:rsidR="000121CD">
          <w:footerReference w:type="default" r:id="rId59"/>
          <w:pgSz w:w="12240" w:h="15840"/>
          <w:pgMar w:top="720" w:right="720" w:bottom="720" w:left="720" w:header="720" w:footer="720" w:gutter="0"/>
          <w:pgNumType w:start="1"/>
          <w:cols w:space="720"/>
        </w:sectPr>
      </w:pPr>
    </w:p>
    <w:p w:rsidR="000121CD" w:rsidRDefault="00590862">
      <w:pPr>
        <w:pStyle w:val="NormalWeb"/>
        <w:keepNext/>
        <w:pageBreakBefore/>
        <w:spacing w:before="0" w:beforeAutospacing="0" w:after="0" w:afterAutospacing="0"/>
        <w:rPr>
          <w:sz w:val="20"/>
          <w:szCs w:val="20"/>
        </w:rPr>
      </w:pPr>
      <w:r>
        <w:rPr>
          <w:b/>
          <w:bCs/>
          <w:sz w:val="20"/>
          <w:szCs w:val="20"/>
        </w:rPr>
        <w:lastRenderedPageBreak/>
        <w:t xml:space="preserve">MANAGEMENT’S REPORT ON INTERNAL CONTROL OVER FINANCIAL REPORTING </w:t>
      </w:r>
    </w:p>
    <w:p w:rsidR="000121CD" w:rsidRDefault="00590862">
      <w:pPr>
        <w:pStyle w:val="NormalWeb"/>
        <w:spacing w:before="90" w:beforeAutospacing="0" w:after="0" w:afterAutospacing="0"/>
        <w:rPr>
          <w:sz w:val="20"/>
          <w:szCs w:val="20"/>
        </w:rPr>
      </w:pPr>
      <w:r>
        <w:rPr>
          <w:sz w:val="20"/>
          <w:szCs w:val="20"/>
        </w:rPr>
        <w:t xml:space="preserve">MRC Global Inc.’s management is responsible for establishing and maintaining adequate internal control over financial reporting. MRC Global Inc.’s internal control system was designed to provide reasonable assurance regarding the reliability of financial reporting and the preparation of financial statements for external purposes in accordance with generally accepted accounting principles. </w:t>
      </w:r>
    </w:p>
    <w:p w:rsidR="000121CD" w:rsidRDefault="00590862">
      <w:pPr>
        <w:pStyle w:val="NormalWeb"/>
        <w:spacing w:before="180" w:beforeAutospacing="0" w:after="0" w:afterAutospacing="0"/>
        <w:rPr>
          <w:sz w:val="20"/>
          <w:szCs w:val="20"/>
        </w:rPr>
      </w:pPr>
      <w:r>
        <w:rPr>
          <w:sz w:val="20"/>
          <w:szCs w:val="20"/>
        </w:rPr>
        <w:t xml:space="preserve">Internal control over financial reporting cannot provide absolute assurance of achieving financial reporting objectives because of its inherent limitations. Internal control over financial reporting is a process that involves human diligence and compliance and is subject to lapses in judgment and breakdowns resulting from human failures. Internal control over financial reporting also can be circumvented by collusion or improper management override. Because of such limitations, there is a risk that material misstatements may not be prevented or detected and corrected on a timely basis by internal control over financial reporting. However, these inherent limitations are known features of the financial reporting process. Therefore, it is possible to design into the process safeguards to reduce, though not eliminate, this risk. </w:t>
      </w:r>
    </w:p>
    <w:p w:rsidR="000121CD" w:rsidRDefault="00590862">
      <w:pPr>
        <w:pStyle w:val="NormalWeb"/>
        <w:spacing w:before="180" w:beforeAutospacing="0" w:after="0" w:afterAutospacing="0"/>
        <w:rPr>
          <w:sz w:val="20"/>
          <w:szCs w:val="20"/>
        </w:rPr>
      </w:pPr>
      <w:r>
        <w:rPr>
          <w:sz w:val="20"/>
          <w:szCs w:val="20"/>
        </w:rPr>
        <w:t xml:space="preserve">Management has used the framework set forth in the report entitled “Internal Control—Integrated Framework” issued by the Committee of Sponsoring Organizations (“COSO”) of the Treadway Commission (2013 framework) to evaluate the effectiveness of the Company’s internal control over financial reporting. Management has concluded that the Company’s internal control over financial reporting was effective as of </w:t>
      </w:r>
      <w:r w:rsidR="003627E3" w:rsidRPr="003A4344">
        <w:rPr>
          <w:sz w:val="20"/>
          <w:szCs w:val="20"/>
        </w:rPr>
        <w:t>December 31, 2019</w:t>
      </w:r>
      <w:r>
        <w:rPr>
          <w:sz w:val="20"/>
          <w:szCs w:val="20"/>
        </w:rPr>
        <w:t xml:space="preserve">. </w:t>
      </w:r>
    </w:p>
    <w:p w:rsidR="000121CD" w:rsidRDefault="00590862">
      <w:pPr>
        <w:pStyle w:val="NormalWeb"/>
        <w:spacing w:before="180" w:beforeAutospacing="0" w:after="0" w:afterAutospacing="0"/>
        <w:rPr>
          <w:sz w:val="20"/>
          <w:szCs w:val="20"/>
        </w:rPr>
      </w:pPr>
      <w:r>
        <w:rPr>
          <w:sz w:val="20"/>
          <w:szCs w:val="20"/>
        </w:rPr>
        <w:t xml:space="preserve">Ernst &amp; Young LLP, the independent registered public accounting firm that audited the Company’s consolidated financial statements included in this Form 10-K, has issued an attestation report on the Company’s internal control over financial reporting. Ernst &amp; Young LLP’s attestation report on the Company’s internal control over financial reporting is included in this Form 10-K. </w:t>
      </w:r>
    </w:p>
    <w:p w:rsidR="000121CD" w:rsidRDefault="00590862">
      <w:pPr>
        <w:pStyle w:val="NormalWeb"/>
        <w:keepNext/>
        <w:spacing w:before="0" w:beforeAutospacing="0" w:after="0" w:afterAutospacing="0"/>
        <w:rPr>
          <w:sz w:val="20"/>
          <w:szCs w:val="20"/>
        </w:rPr>
      </w:pPr>
      <w:r>
        <w:rPr>
          <w:sz w:val="20"/>
          <w:szCs w:val="20"/>
        </w:rPr>
        <w:t> </w:t>
      </w:r>
    </w:p>
    <w:p w:rsidR="000121CD" w:rsidRDefault="000121CD">
      <w:pPr>
        <w:pStyle w:val="NormalWeb"/>
        <w:keepNext/>
        <w:spacing w:before="0" w:beforeAutospacing="0" w:after="0" w:afterAutospacing="0"/>
        <w:rPr>
          <w:sz w:val="20"/>
          <w:szCs w:val="20"/>
        </w:rPr>
      </w:pPr>
    </w:p>
    <w:tbl>
      <w:tblPr>
        <w:tblW w:w="2021" w:type="pct"/>
        <w:tblCellMar>
          <w:left w:w="0" w:type="dxa"/>
          <w:right w:w="0" w:type="dxa"/>
        </w:tblCellMar>
        <w:tblLook w:val="04A0" w:firstRow="1" w:lastRow="0" w:firstColumn="1" w:lastColumn="0" w:noHBand="0" w:noVBand="1"/>
      </w:tblPr>
      <w:tblGrid>
        <w:gridCol w:w="4365"/>
      </w:tblGrid>
      <w:tr w:rsidR="000121CD">
        <w:trPr>
          <w:trHeight w:hRule="exact" w:val="20"/>
        </w:trPr>
        <w:tc>
          <w:tcPr>
            <w:tcW w:w="4365" w:type="dxa"/>
            <w:tcBorders>
              <w:top w:val="nil"/>
              <w:left w:val="nil"/>
              <w:bottom w:val="nil"/>
              <w:right w:val="nil"/>
            </w:tcBorders>
            <w:vAlign w:val="center"/>
          </w:tcPr>
          <w:p w:rsidR="000121CD" w:rsidRDefault="000121CD">
            <w:pPr>
              <w:rPr>
                <w:sz w:val="2"/>
              </w:rPr>
            </w:pPr>
          </w:p>
        </w:tc>
      </w:tr>
      <w:tr w:rsidR="000121CD">
        <w:trPr>
          <w:trHeight w:val="20"/>
        </w:trPr>
        <w:tc>
          <w:tcPr>
            <w:tcW w:w="4365" w:type="dxa"/>
            <w:vAlign w:val="center"/>
          </w:tcPr>
          <w:p w:rsidR="000121CD" w:rsidRDefault="000121CD">
            <w:pPr>
              <w:rPr>
                <w:sz w:val="20"/>
              </w:rPr>
            </w:pPr>
          </w:p>
        </w:tc>
      </w:tr>
      <w:tr w:rsidR="000121CD">
        <w:tc>
          <w:tcPr>
            <w:tcW w:w="4365" w:type="dxa"/>
            <w:vAlign w:val="center"/>
          </w:tcPr>
          <w:p w:rsidR="000121CD" w:rsidRDefault="000121CD">
            <w:pPr>
              <w:rPr>
                <w:sz w:val="20"/>
              </w:rPr>
            </w:pPr>
          </w:p>
        </w:tc>
      </w:tr>
      <w:tr w:rsidR="000121CD">
        <w:tc>
          <w:tcPr>
            <w:tcW w:w="4365" w:type="dxa"/>
            <w:hideMark/>
          </w:tcPr>
          <w:p w:rsidR="000121CD" w:rsidRDefault="00590862">
            <w:pPr>
              <w:pStyle w:val="NormalWeb"/>
              <w:spacing w:before="0" w:beforeAutospacing="0" w:after="0" w:afterAutospacing="0"/>
              <w:ind w:left="240" w:hanging="240"/>
              <w:rPr>
                <w:sz w:val="20"/>
                <w:szCs w:val="20"/>
              </w:rPr>
            </w:pPr>
            <w:r>
              <w:rPr>
                <w:sz w:val="20"/>
                <w:szCs w:val="20"/>
              </w:rPr>
              <w:t>/s/    ANDREW R. LANE</w:t>
            </w:r>
          </w:p>
          <w:p w:rsidR="000121CD" w:rsidRDefault="00590862">
            <w:pPr>
              <w:pStyle w:val="rrdsinglerule"/>
              <w:jc w:val="left"/>
              <w:rPr>
                <w:sz w:val="20"/>
                <w:szCs w:val="20"/>
              </w:rPr>
            </w:pPr>
            <w:r>
              <w:rPr>
                <w:sz w:val="20"/>
                <w:szCs w:val="20"/>
              </w:rPr>
              <w:t> </w:t>
            </w:r>
          </w:p>
        </w:tc>
      </w:tr>
      <w:tr w:rsidR="000121CD">
        <w:tc>
          <w:tcPr>
            <w:tcW w:w="4365" w:type="dxa"/>
            <w:hideMark/>
          </w:tcPr>
          <w:p w:rsidR="000121CD" w:rsidRDefault="00590862">
            <w:pPr>
              <w:pStyle w:val="NormalWeb"/>
              <w:spacing w:before="0" w:beforeAutospacing="0" w:after="0" w:afterAutospacing="0"/>
              <w:ind w:left="240" w:hanging="240"/>
              <w:rPr>
                <w:sz w:val="20"/>
                <w:szCs w:val="20"/>
              </w:rPr>
            </w:pPr>
            <w:r>
              <w:rPr>
                <w:b/>
                <w:bCs/>
                <w:sz w:val="20"/>
                <w:szCs w:val="20"/>
              </w:rPr>
              <w:t>Andrew R. Lane</w:t>
            </w:r>
          </w:p>
          <w:p w:rsidR="000121CD" w:rsidRDefault="00590862">
            <w:pPr>
              <w:pStyle w:val="NormalWeb"/>
              <w:spacing w:before="0" w:beforeAutospacing="0" w:after="15" w:afterAutospacing="0"/>
              <w:ind w:left="240" w:hanging="240"/>
              <w:rPr>
                <w:sz w:val="20"/>
                <w:szCs w:val="20"/>
              </w:rPr>
            </w:pPr>
            <w:r>
              <w:rPr>
                <w:b/>
                <w:bCs/>
                <w:sz w:val="20"/>
                <w:szCs w:val="20"/>
              </w:rPr>
              <w:t>President and Chief Executive Officer</w:t>
            </w:r>
          </w:p>
        </w:tc>
      </w:tr>
    </w:tbl>
    <w:p w:rsidR="000121CD" w:rsidRDefault="000121CD"/>
    <w:p w:rsidR="000121CD" w:rsidRDefault="00590862">
      <w:pPr>
        <w:pStyle w:val="NormalWeb"/>
        <w:keepNext/>
        <w:spacing w:before="0" w:beforeAutospacing="0" w:after="0" w:afterAutospacing="0"/>
        <w:rPr>
          <w:sz w:val="20"/>
          <w:szCs w:val="20"/>
        </w:rPr>
      </w:pPr>
      <w:r>
        <w:rPr>
          <w:sz w:val="20"/>
          <w:szCs w:val="20"/>
        </w:rPr>
        <w:t> </w:t>
      </w:r>
    </w:p>
    <w:tbl>
      <w:tblPr>
        <w:tblW w:w="2167" w:type="pct"/>
        <w:tblCellMar>
          <w:left w:w="0" w:type="dxa"/>
          <w:right w:w="0" w:type="dxa"/>
        </w:tblCellMar>
        <w:tblLook w:val="04A0" w:firstRow="1" w:lastRow="0" w:firstColumn="1" w:lastColumn="0" w:noHBand="0" w:noVBand="1"/>
      </w:tblPr>
      <w:tblGrid>
        <w:gridCol w:w="4681"/>
      </w:tblGrid>
      <w:tr w:rsidR="000121CD">
        <w:trPr>
          <w:trHeight w:hRule="exact" w:val="20"/>
        </w:trPr>
        <w:tc>
          <w:tcPr>
            <w:tcW w:w="4680" w:type="dxa"/>
            <w:tcBorders>
              <w:top w:val="nil"/>
              <w:left w:val="nil"/>
              <w:bottom w:val="nil"/>
              <w:right w:val="nil"/>
            </w:tcBorders>
            <w:vAlign w:val="center"/>
          </w:tcPr>
          <w:p w:rsidR="000121CD" w:rsidRDefault="000121CD">
            <w:pPr>
              <w:rPr>
                <w:sz w:val="2"/>
              </w:rPr>
            </w:pPr>
          </w:p>
        </w:tc>
      </w:tr>
      <w:tr w:rsidR="000121CD">
        <w:trPr>
          <w:trHeight w:val="20"/>
        </w:trPr>
        <w:tc>
          <w:tcPr>
            <w:tcW w:w="4680" w:type="dxa"/>
            <w:vAlign w:val="center"/>
          </w:tcPr>
          <w:p w:rsidR="000121CD" w:rsidRDefault="000121CD">
            <w:pPr>
              <w:rPr>
                <w:sz w:val="20"/>
              </w:rPr>
            </w:pPr>
          </w:p>
        </w:tc>
      </w:tr>
      <w:tr w:rsidR="000121CD">
        <w:tc>
          <w:tcPr>
            <w:tcW w:w="4680" w:type="dxa"/>
            <w:vAlign w:val="center"/>
          </w:tcPr>
          <w:p w:rsidR="000121CD" w:rsidRDefault="000121CD">
            <w:pPr>
              <w:rPr>
                <w:sz w:val="20"/>
              </w:rPr>
            </w:pPr>
          </w:p>
        </w:tc>
      </w:tr>
      <w:tr w:rsidR="000121CD">
        <w:tc>
          <w:tcPr>
            <w:tcW w:w="4680" w:type="dxa"/>
            <w:hideMark/>
          </w:tcPr>
          <w:p w:rsidR="000121CD" w:rsidRDefault="00590862">
            <w:pPr>
              <w:pStyle w:val="NormalWeb"/>
              <w:spacing w:before="0" w:beforeAutospacing="0" w:after="0" w:afterAutospacing="0"/>
              <w:ind w:left="240" w:hanging="240"/>
              <w:rPr>
                <w:sz w:val="20"/>
                <w:szCs w:val="20"/>
              </w:rPr>
            </w:pPr>
            <w:r>
              <w:rPr>
                <w:sz w:val="20"/>
                <w:szCs w:val="20"/>
              </w:rPr>
              <w:t>/s/    JAMES E. BRAUN</w:t>
            </w:r>
          </w:p>
          <w:p w:rsidR="000121CD" w:rsidRDefault="00590862">
            <w:pPr>
              <w:pStyle w:val="rrdsinglerule"/>
              <w:jc w:val="left"/>
              <w:rPr>
                <w:sz w:val="20"/>
                <w:szCs w:val="20"/>
              </w:rPr>
            </w:pPr>
            <w:r>
              <w:rPr>
                <w:sz w:val="20"/>
                <w:szCs w:val="20"/>
              </w:rPr>
              <w:t> </w:t>
            </w:r>
          </w:p>
        </w:tc>
      </w:tr>
      <w:tr w:rsidR="000121CD">
        <w:tc>
          <w:tcPr>
            <w:tcW w:w="4680" w:type="dxa"/>
            <w:hideMark/>
          </w:tcPr>
          <w:p w:rsidR="000121CD" w:rsidRDefault="00590862">
            <w:pPr>
              <w:pStyle w:val="NormalWeb"/>
              <w:spacing w:before="0" w:beforeAutospacing="0" w:after="0" w:afterAutospacing="0"/>
              <w:ind w:left="240" w:hanging="240"/>
              <w:rPr>
                <w:sz w:val="20"/>
                <w:szCs w:val="20"/>
              </w:rPr>
            </w:pPr>
            <w:r>
              <w:rPr>
                <w:b/>
                <w:bCs/>
                <w:sz w:val="20"/>
                <w:szCs w:val="20"/>
              </w:rPr>
              <w:t>James E. Braun</w:t>
            </w:r>
          </w:p>
          <w:p w:rsidR="000121CD" w:rsidRDefault="00590862">
            <w:pPr>
              <w:pStyle w:val="NormalWeb"/>
              <w:spacing w:before="0" w:beforeAutospacing="0" w:after="15" w:afterAutospacing="0"/>
              <w:ind w:left="240" w:hanging="240"/>
              <w:rPr>
                <w:sz w:val="20"/>
                <w:szCs w:val="20"/>
              </w:rPr>
            </w:pPr>
            <w:r>
              <w:rPr>
                <w:b/>
                <w:bCs/>
                <w:sz w:val="20"/>
                <w:szCs w:val="20"/>
              </w:rPr>
              <w:t>Executive Vice President and Chief Financial Officer</w:t>
            </w:r>
          </w:p>
        </w:tc>
      </w:tr>
    </w:tbl>
    <w:p w:rsidR="000121CD" w:rsidRDefault="000121CD"/>
    <w:p w:rsidR="000121CD" w:rsidRDefault="00590862">
      <w:pPr>
        <w:pStyle w:val="NormalWeb"/>
        <w:spacing w:before="180" w:beforeAutospacing="0" w:after="0" w:afterAutospacing="0"/>
        <w:rPr>
          <w:sz w:val="20"/>
          <w:szCs w:val="20"/>
        </w:rPr>
      </w:pPr>
      <w:r>
        <w:rPr>
          <w:sz w:val="20"/>
          <w:szCs w:val="20"/>
        </w:rPr>
        <w:t xml:space="preserve">Houston, Texas </w:t>
      </w:r>
    </w:p>
    <w:p w:rsidR="000121CD" w:rsidRDefault="00590862">
      <w:pPr>
        <w:pStyle w:val="NormalWeb"/>
        <w:spacing w:before="0" w:beforeAutospacing="0" w:after="0" w:afterAutospacing="0"/>
        <w:rPr>
          <w:sz w:val="20"/>
          <w:szCs w:val="20"/>
        </w:rPr>
      </w:pPr>
      <w:r>
        <w:rPr>
          <w:sz w:val="20"/>
          <w:szCs w:val="20"/>
        </w:rPr>
        <w:t xml:space="preserve">February </w:t>
      </w:r>
      <w:r w:rsidR="001036A3">
        <w:rPr>
          <w:sz w:val="20"/>
          <w:szCs w:val="20"/>
        </w:rPr>
        <w:t>14</w:t>
      </w:r>
      <w:r>
        <w:rPr>
          <w:sz w:val="20"/>
          <w:szCs w:val="20"/>
        </w:rPr>
        <w:t>, 20</w:t>
      </w:r>
      <w:r w:rsidR="001259B7">
        <w:rPr>
          <w:sz w:val="20"/>
          <w:szCs w:val="20"/>
        </w:rPr>
        <w:t>20</w:t>
      </w:r>
      <w:r>
        <w:rPr>
          <w:sz w:val="20"/>
          <w:szCs w:val="20"/>
        </w:rPr>
        <w:t xml:space="preserve"> </w:t>
      </w:r>
    </w:p>
    <w:p w:rsidR="000121CD" w:rsidRDefault="000121CD">
      <w:pPr>
        <w:pStyle w:val="Default"/>
        <w:rPr>
          <w:rFonts w:ascii="Times New Roman" w:hAnsi="Times New Roman" w:cs="Times New Roman"/>
          <w:b/>
          <w:bCs/>
          <w:color w:val="auto"/>
          <w:sz w:val="20"/>
          <w:szCs w:val="20"/>
        </w:rPr>
      </w:pPr>
    </w:p>
    <w:p w:rsidR="006B0137" w:rsidRDefault="006B0137">
      <w:pPr>
        <w:rPr>
          <w:rFonts w:eastAsiaTheme="minorHAnsi"/>
          <w:b/>
          <w:bCs/>
          <w:sz w:val="20"/>
        </w:rPr>
      </w:pPr>
      <w:r>
        <w:rPr>
          <w:b/>
          <w:bCs/>
          <w:sz w:val="20"/>
        </w:rPr>
        <w:br w:type="page"/>
      </w:r>
    </w:p>
    <w:p w:rsidR="006B0137" w:rsidRDefault="006B0137" w:rsidP="006B0137">
      <w:pPr>
        <w:pStyle w:val="Default"/>
        <w:rPr>
          <w:rFonts w:ascii="Times New Roman" w:hAnsi="Times New Roman" w:cs="Times New Roman"/>
          <w:color w:val="auto"/>
          <w:sz w:val="20"/>
          <w:szCs w:val="20"/>
        </w:rPr>
      </w:pPr>
      <w:r>
        <w:rPr>
          <w:rFonts w:ascii="Times New Roman" w:hAnsi="Times New Roman" w:cs="Times New Roman"/>
          <w:b/>
          <w:bCs/>
          <w:color w:val="auto"/>
          <w:sz w:val="20"/>
          <w:szCs w:val="20"/>
        </w:rPr>
        <w:lastRenderedPageBreak/>
        <w:t>REPORT OF INDEPENDENT REGISTERED PUBLIC ACCOUNTING FIRM</w:t>
      </w:r>
    </w:p>
    <w:p w:rsidR="006B0137" w:rsidRDefault="006B0137" w:rsidP="006B0137">
      <w:pPr>
        <w:pStyle w:val="NormalWeb"/>
        <w:spacing w:before="90" w:beforeAutospacing="0" w:after="0" w:afterAutospacing="0"/>
        <w:rPr>
          <w:sz w:val="20"/>
          <w:szCs w:val="20"/>
        </w:rPr>
      </w:pPr>
      <w:r>
        <w:rPr>
          <w:sz w:val="20"/>
          <w:szCs w:val="20"/>
        </w:rPr>
        <w:t xml:space="preserve">To the Stockholders and the Board of Directors of MRC Global Inc. </w:t>
      </w:r>
    </w:p>
    <w:p w:rsidR="006B0137" w:rsidRDefault="006B0137" w:rsidP="006B0137">
      <w:pPr>
        <w:pStyle w:val="NormalWeb"/>
        <w:spacing w:before="90" w:beforeAutospacing="0" w:after="0" w:afterAutospacing="0"/>
        <w:rPr>
          <w:b/>
          <w:sz w:val="20"/>
          <w:szCs w:val="20"/>
        </w:rPr>
      </w:pPr>
      <w:r>
        <w:rPr>
          <w:b/>
          <w:sz w:val="20"/>
          <w:szCs w:val="20"/>
        </w:rPr>
        <w:t xml:space="preserve">Opinion on Internal Control over Financial Reporting </w:t>
      </w:r>
    </w:p>
    <w:p w:rsidR="006B0137" w:rsidRDefault="006B0137" w:rsidP="006B0137">
      <w:pPr>
        <w:pStyle w:val="NormalWeb"/>
        <w:spacing w:before="180" w:beforeAutospacing="0" w:after="0" w:afterAutospacing="0"/>
        <w:rPr>
          <w:sz w:val="20"/>
          <w:szCs w:val="20"/>
        </w:rPr>
      </w:pPr>
      <w:r>
        <w:rPr>
          <w:sz w:val="20"/>
          <w:szCs w:val="20"/>
        </w:rPr>
        <w:t xml:space="preserve">We have audited MRC Global Inc.’s internal control over financial reporting as of December 31, 2019, based on criteria established in Internal Control— Integrated Framework issued by the Committee of Sponsoring Organizations of the Treadway Commission (2013 framework) (the COSO criteria). In our opinion, MRC Global Inc. (the Company) maintained, in all material respects, effective internal control over financial reporting as of December 31, 2019, based on the COSO criteria. </w:t>
      </w:r>
    </w:p>
    <w:p w:rsidR="006B0137" w:rsidRDefault="006B0137" w:rsidP="006B0137">
      <w:pPr>
        <w:pStyle w:val="NormalWeb"/>
        <w:spacing w:before="180" w:beforeAutospacing="0" w:after="0" w:afterAutospacing="0"/>
        <w:rPr>
          <w:sz w:val="20"/>
          <w:szCs w:val="20"/>
        </w:rPr>
      </w:pPr>
      <w:r>
        <w:rPr>
          <w:sz w:val="20"/>
          <w:szCs w:val="20"/>
        </w:rPr>
        <w:t xml:space="preserve">We also have audited, in accordance with the standards of the Public Company Accounting Oversight Board (United States) (PCAOB), the 2019 consolidated financial statements of the Company, and our report dated February </w:t>
      </w:r>
      <w:r w:rsidR="0053528A">
        <w:rPr>
          <w:sz w:val="20"/>
          <w:szCs w:val="20"/>
        </w:rPr>
        <w:t>14</w:t>
      </w:r>
      <w:r>
        <w:rPr>
          <w:sz w:val="20"/>
          <w:szCs w:val="20"/>
        </w:rPr>
        <w:t>, 20</w:t>
      </w:r>
      <w:r w:rsidR="0053528A">
        <w:rPr>
          <w:sz w:val="20"/>
          <w:szCs w:val="20"/>
        </w:rPr>
        <w:t>20</w:t>
      </w:r>
      <w:r>
        <w:rPr>
          <w:sz w:val="20"/>
          <w:szCs w:val="20"/>
        </w:rPr>
        <w:t xml:space="preserve"> expressed an unqualified opinion thereon. </w:t>
      </w:r>
    </w:p>
    <w:p w:rsidR="006B0137" w:rsidRDefault="006B0137" w:rsidP="006B0137">
      <w:pPr>
        <w:pStyle w:val="NormalWeb"/>
        <w:spacing w:before="180" w:beforeAutospacing="0" w:after="0" w:afterAutospacing="0"/>
        <w:rPr>
          <w:b/>
          <w:sz w:val="20"/>
          <w:szCs w:val="20"/>
        </w:rPr>
      </w:pPr>
      <w:r>
        <w:rPr>
          <w:b/>
          <w:sz w:val="20"/>
          <w:szCs w:val="20"/>
        </w:rPr>
        <w:t xml:space="preserve">Basis for Opinion </w:t>
      </w:r>
    </w:p>
    <w:p w:rsidR="006B0137" w:rsidRDefault="006B0137" w:rsidP="006B0137">
      <w:pPr>
        <w:pStyle w:val="NormalWeb"/>
        <w:spacing w:before="180" w:beforeAutospacing="0" w:after="0" w:afterAutospacing="0"/>
        <w:rPr>
          <w:sz w:val="20"/>
          <w:szCs w:val="20"/>
        </w:rPr>
      </w:pPr>
      <w:r>
        <w:rPr>
          <w:sz w:val="20"/>
          <w:szCs w:val="20"/>
        </w:rPr>
        <w:t xml:space="preserve">The Company’s management is responsible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an opinion on the Company’s internal control over financial reporting based on our audit. We are a public accounting firm registered with the PCAOB and are required to be independent with respect to the Company in accordance with the U.S. federal securities laws and the applicable rules and regulations of the Securities and Exchange Commission and the PCAOB. </w:t>
      </w:r>
    </w:p>
    <w:p w:rsidR="006B0137" w:rsidRDefault="006B0137" w:rsidP="006B0137">
      <w:pPr>
        <w:pStyle w:val="NormalWeb"/>
        <w:spacing w:before="180" w:beforeAutospacing="0" w:after="0" w:afterAutospacing="0"/>
        <w:rPr>
          <w:sz w:val="20"/>
          <w:szCs w:val="20"/>
        </w:rPr>
      </w:pPr>
      <w:r>
        <w:rPr>
          <w:sz w:val="20"/>
          <w:szCs w:val="20"/>
        </w:rPr>
        <w:t xml:space="preserve">We conducted our audit in accordance with the standards of the PCAOB. Those standards require that we plan and perform the audit to obtain reasonable assurance about whether effective internal control over financial reporting was maintained in all material respects. </w:t>
      </w:r>
    </w:p>
    <w:p w:rsidR="006B0137" w:rsidRDefault="006B0137" w:rsidP="006B0137">
      <w:pPr>
        <w:pStyle w:val="NormalWeb"/>
        <w:spacing w:before="180" w:beforeAutospacing="0" w:after="0" w:afterAutospacing="0"/>
        <w:rPr>
          <w:sz w:val="20"/>
          <w:szCs w:val="20"/>
        </w:rPr>
      </w:pPr>
      <w:r>
        <w:rPr>
          <w:sz w:val="20"/>
          <w:szCs w:val="20"/>
        </w:rPr>
        <w:t xml:space="preserve">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 </w:t>
      </w:r>
    </w:p>
    <w:p w:rsidR="006B0137" w:rsidRDefault="006B0137" w:rsidP="006B0137">
      <w:pPr>
        <w:pStyle w:val="NormalWeb"/>
        <w:spacing w:before="180" w:beforeAutospacing="0" w:after="0" w:afterAutospacing="0"/>
        <w:rPr>
          <w:b/>
          <w:sz w:val="20"/>
          <w:szCs w:val="20"/>
        </w:rPr>
      </w:pPr>
      <w:r>
        <w:rPr>
          <w:b/>
          <w:sz w:val="20"/>
          <w:szCs w:val="20"/>
        </w:rPr>
        <w:t xml:space="preserve">Definition and Limitations of Internal Control Over Financial Reporting </w:t>
      </w:r>
    </w:p>
    <w:p w:rsidR="006B0137" w:rsidRDefault="006B0137" w:rsidP="006B0137">
      <w:pPr>
        <w:pStyle w:val="NormalWeb"/>
        <w:spacing w:before="180" w:beforeAutospacing="0" w:after="0" w:afterAutospacing="0"/>
        <w:rPr>
          <w:sz w:val="20"/>
          <w:szCs w:val="20"/>
        </w:rPr>
      </w:pPr>
      <w:r>
        <w:rPr>
          <w:sz w:val="20"/>
          <w:szCs w:val="20"/>
        </w:rPr>
        <w:t xml:space="preserve">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 </w:t>
      </w:r>
    </w:p>
    <w:p w:rsidR="006B0137" w:rsidRDefault="006B0137" w:rsidP="006B0137">
      <w:pPr>
        <w:pStyle w:val="NormalWeb"/>
        <w:spacing w:before="180" w:beforeAutospacing="0" w:after="0" w:afterAutospacing="0"/>
        <w:rPr>
          <w:sz w:val="20"/>
          <w:szCs w:val="20"/>
        </w:rPr>
      </w:pPr>
      <w:r>
        <w:rPr>
          <w:sz w:val="20"/>
          <w:szCs w:val="20"/>
        </w:rPr>
        <w:t xml:space="preserve">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w:t>
      </w:r>
    </w:p>
    <w:p w:rsidR="006B0137" w:rsidRDefault="006B0137" w:rsidP="006B0137">
      <w:pPr>
        <w:pStyle w:val="NormalWeb"/>
        <w:spacing w:before="90" w:beforeAutospacing="0" w:after="0" w:afterAutospacing="0"/>
        <w:rPr>
          <w:sz w:val="20"/>
          <w:szCs w:val="20"/>
        </w:rPr>
      </w:pPr>
    </w:p>
    <w:p w:rsidR="006B0137" w:rsidRDefault="006B0137" w:rsidP="006B0137">
      <w:pPr>
        <w:pStyle w:val="NormalWeb"/>
        <w:spacing w:before="0" w:beforeAutospacing="0" w:after="0" w:afterAutospacing="0"/>
        <w:rPr>
          <w:sz w:val="20"/>
          <w:szCs w:val="20"/>
        </w:rPr>
      </w:pPr>
      <w:r>
        <w:rPr>
          <w:sz w:val="20"/>
          <w:szCs w:val="20"/>
        </w:rPr>
        <w:t xml:space="preserve">/s/ Ernst &amp; Young LLP </w:t>
      </w:r>
    </w:p>
    <w:p w:rsidR="006B0137" w:rsidRDefault="006B0137" w:rsidP="006B0137">
      <w:pPr>
        <w:pStyle w:val="NormalWeb"/>
        <w:spacing w:before="180" w:beforeAutospacing="0" w:after="0" w:afterAutospacing="0"/>
        <w:rPr>
          <w:sz w:val="20"/>
          <w:szCs w:val="20"/>
        </w:rPr>
      </w:pPr>
      <w:r>
        <w:rPr>
          <w:sz w:val="20"/>
          <w:szCs w:val="20"/>
        </w:rPr>
        <w:t>Houston, Texas</w:t>
      </w:r>
    </w:p>
    <w:p w:rsidR="006B0137" w:rsidRDefault="006B0137" w:rsidP="006B0137">
      <w:pPr>
        <w:pStyle w:val="NormalWeb"/>
        <w:spacing w:before="0" w:beforeAutospacing="0" w:after="0" w:afterAutospacing="0"/>
        <w:rPr>
          <w:sz w:val="20"/>
          <w:szCs w:val="20"/>
        </w:rPr>
      </w:pPr>
      <w:r>
        <w:rPr>
          <w:sz w:val="20"/>
          <w:szCs w:val="20"/>
        </w:rPr>
        <w:t>February 14, 2020 </w:t>
      </w:r>
    </w:p>
    <w:p w:rsidR="006B0137" w:rsidRDefault="006B0137">
      <w:pPr>
        <w:pStyle w:val="Default"/>
        <w:rPr>
          <w:rFonts w:ascii="Times New Roman" w:hAnsi="Times New Roman" w:cs="Times New Roman"/>
          <w:b/>
          <w:bCs/>
          <w:color w:val="auto"/>
          <w:sz w:val="20"/>
          <w:szCs w:val="20"/>
        </w:rPr>
      </w:pPr>
    </w:p>
    <w:p w:rsidR="000121CD" w:rsidRDefault="00590862">
      <w:pPr>
        <w:pStyle w:val="Default"/>
        <w:rPr>
          <w:rFonts w:ascii="Times New Roman" w:hAnsi="Times New Roman" w:cs="Times New Roman"/>
          <w:b/>
          <w:bCs/>
          <w:color w:val="auto"/>
          <w:sz w:val="20"/>
          <w:szCs w:val="20"/>
        </w:rPr>
      </w:pPr>
      <w:r>
        <w:rPr>
          <w:rFonts w:ascii="Times New Roman" w:hAnsi="Times New Roman" w:cs="Times New Roman"/>
          <w:b/>
          <w:bCs/>
          <w:color w:val="auto"/>
          <w:sz w:val="20"/>
          <w:szCs w:val="20"/>
        </w:rPr>
        <w:br w:type="page"/>
      </w:r>
    </w:p>
    <w:p w:rsidR="000A09C2" w:rsidRDefault="006B0137" w:rsidP="000A09C2">
      <w:pPr>
        <w:autoSpaceDE w:val="0"/>
        <w:autoSpaceDN w:val="0"/>
        <w:adjustRightInd w:val="0"/>
        <w:rPr>
          <w:b/>
          <w:bCs/>
          <w:color w:val="000000"/>
          <w:sz w:val="20"/>
        </w:rPr>
      </w:pPr>
      <w:bookmarkStart w:id="25" w:name="_Hlk16174147"/>
      <w:r>
        <w:rPr>
          <w:b/>
          <w:bCs/>
          <w:color w:val="000000"/>
          <w:sz w:val="20"/>
        </w:rPr>
        <w:lastRenderedPageBreak/>
        <w:t>REPORT OF INDEPENDENT REGISTERED PUBLIC ACCOUNTING FIRM</w:t>
      </w:r>
    </w:p>
    <w:p w:rsidR="006B0137" w:rsidRDefault="006B0137" w:rsidP="000A09C2">
      <w:pPr>
        <w:autoSpaceDE w:val="0"/>
        <w:autoSpaceDN w:val="0"/>
        <w:adjustRightInd w:val="0"/>
        <w:rPr>
          <w:color w:val="000000"/>
          <w:sz w:val="20"/>
        </w:rPr>
      </w:pPr>
    </w:p>
    <w:p w:rsidR="000A09C2" w:rsidRDefault="000A09C2" w:rsidP="000A09C2">
      <w:pPr>
        <w:autoSpaceDE w:val="0"/>
        <w:autoSpaceDN w:val="0"/>
        <w:adjustRightInd w:val="0"/>
        <w:rPr>
          <w:color w:val="000000"/>
          <w:sz w:val="20"/>
        </w:rPr>
      </w:pPr>
      <w:r>
        <w:rPr>
          <w:color w:val="000000"/>
          <w:sz w:val="20"/>
        </w:rPr>
        <w:t>To the Stockholders and the Board of Directors of MRC Global Inc.</w:t>
      </w:r>
    </w:p>
    <w:p w:rsidR="000A09C2" w:rsidRDefault="000A09C2" w:rsidP="000A09C2">
      <w:pPr>
        <w:autoSpaceDE w:val="0"/>
        <w:autoSpaceDN w:val="0"/>
        <w:adjustRightInd w:val="0"/>
        <w:rPr>
          <w:color w:val="000000"/>
          <w:sz w:val="20"/>
        </w:rPr>
      </w:pPr>
      <w:r>
        <w:rPr>
          <w:color w:val="000000"/>
          <w:sz w:val="20"/>
        </w:rPr>
        <w:t xml:space="preserve"> </w:t>
      </w:r>
    </w:p>
    <w:p w:rsidR="000A09C2" w:rsidRDefault="000A09C2" w:rsidP="000A09C2">
      <w:pPr>
        <w:autoSpaceDE w:val="0"/>
        <w:autoSpaceDN w:val="0"/>
        <w:adjustRightInd w:val="0"/>
        <w:rPr>
          <w:color w:val="000000"/>
          <w:sz w:val="20"/>
        </w:rPr>
      </w:pPr>
      <w:r>
        <w:rPr>
          <w:b/>
          <w:bCs/>
          <w:color w:val="000000"/>
          <w:sz w:val="20"/>
        </w:rPr>
        <w:t xml:space="preserve">Opinion on the Financial Statements </w:t>
      </w:r>
    </w:p>
    <w:p w:rsidR="000A09C2" w:rsidRDefault="000A09C2" w:rsidP="000A09C2">
      <w:pPr>
        <w:autoSpaceDE w:val="0"/>
        <w:autoSpaceDN w:val="0"/>
        <w:adjustRightInd w:val="0"/>
        <w:rPr>
          <w:color w:val="000000"/>
          <w:sz w:val="20"/>
        </w:rPr>
      </w:pPr>
    </w:p>
    <w:p w:rsidR="000A09C2" w:rsidRDefault="000A09C2" w:rsidP="000A09C2">
      <w:pPr>
        <w:autoSpaceDE w:val="0"/>
        <w:autoSpaceDN w:val="0"/>
        <w:adjustRightInd w:val="0"/>
        <w:rPr>
          <w:color w:val="000000"/>
          <w:sz w:val="20"/>
        </w:rPr>
      </w:pPr>
      <w:r>
        <w:rPr>
          <w:color w:val="000000"/>
          <w:sz w:val="20"/>
        </w:rPr>
        <w:t xml:space="preserve">We have audited the accompanying consolidated balance sheets of MRC Global Inc. (the Company) as of December 31, 2019 and 2018, and the related consolidated statements of </w:t>
      </w:r>
      <w:r>
        <w:rPr>
          <w:bCs/>
          <w:color w:val="000000"/>
          <w:sz w:val="20"/>
        </w:rPr>
        <w:t>operations, comprehensive income</w:t>
      </w:r>
      <w:r>
        <w:rPr>
          <w:b/>
          <w:bCs/>
          <w:color w:val="000000"/>
          <w:sz w:val="20"/>
        </w:rPr>
        <w:t xml:space="preserve">, </w:t>
      </w:r>
      <w:r>
        <w:rPr>
          <w:color w:val="000000"/>
          <w:sz w:val="20"/>
        </w:rPr>
        <w:t xml:space="preserve">stockholders' equity and cash flows for each of the three years in the period ended December 31, 2019, and the related notes (collectively referred to as the “financial statements”). In our opinion, the financial statements present fairly, in all material respects, the consolidated financial position of the Company at December 31, 2019 and 2018, and the consolidated results of its operations and its cash flows for each of the three years in the period ended December 31, 2019, in conformity with U.S. generally accepted accounting principles. </w:t>
      </w:r>
    </w:p>
    <w:p w:rsidR="000A09C2" w:rsidRDefault="000A09C2" w:rsidP="000A09C2">
      <w:pPr>
        <w:autoSpaceDE w:val="0"/>
        <w:autoSpaceDN w:val="0"/>
        <w:adjustRightInd w:val="0"/>
        <w:rPr>
          <w:b/>
          <w:bCs/>
          <w:color w:val="000000"/>
          <w:sz w:val="20"/>
        </w:rPr>
      </w:pPr>
    </w:p>
    <w:p w:rsidR="000A09C2" w:rsidRDefault="000A09C2" w:rsidP="000A09C2">
      <w:pPr>
        <w:rPr>
          <w:color w:val="000000"/>
          <w:sz w:val="20"/>
        </w:rPr>
      </w:pPr>
      <w:r>
        <w:rPr>
          <w:color w:val="000000"/>
          <w:sz w:val="20"/>
        </w:rPr>
        <w:t xml:space="preserve">We also have audited, in accordance with the standards of the Public Company Accounting Oversight Board (United States) (PCAOB), the Company's internal control over financial reporting as of December 31, 2019, based on criteria established in Internal Control-Integrated Framework issued by the Committee of Sponsoring Organizations of the Treadway Commission </w:t>
      </w:r>
      <w:r>
        <w:rPr>
          <w:bCs/>
          <w:color w:val="000000"/>
          <w:sz w:val="20"/>
        </w:rPr>
        <w:t>2013 framework</w:t>
      </w:r>
      <w:r>
        <w:rPr>
          <w:color w:val="000000"/>
          <w:sz w:val="20"/>
        </w:rPr>
        <w:t xml:space="preserve"> and our report dated February 14, 2020 expressed </w:t>
      </w:r>
      <w:r>
        <w:rPr>
          <w:bCs/>
          <w:color w:val="000000"/>
          <w:sz w:val="20"/>
        </w:rPr>
        <w:t>an unqualified opinion thereon</w:t>
      </w:r>
      <w:r>
        <w:rPr>
          <w:color w:val="000000"/>
          <w:sz w:val="20"/>
        </w:rPr>
        <w:t>.</w:t>
      </w:r>
    </w:p>
    <w:p w:rsidR="000A09C2" w:rsidRDefault="000A09C2" w:rsidP="000A09C2">
      <w:pPr>
        <w:autoSpaceDE w:val="0"/>
        <w:autoSpaceDN w:val="0"/>
        <w:adjustRightInd w:val="0"/>
        <w:rPr>
          <w:b/>
          <w:bCs/>
          <w:color w:val="000000"/>
          <w:sz w:val="20"/>
        </w:rPr>
      </w:pPr>
    </w:p>
    <w:p w:rsidR="000A09C2" w:rsidRDefault="000A09C2" w:rsidP="000A09C2">
      <w:pPr>
        <w:autoSpaceDE w:val="0"/>
        <w:autoSpaceDN w:val="0"/>
        <w:adjustRightInd w:val="0"/>
        <w:rPr>
          <w:color w:val="000000"/>
          <w:sz w:val="20"/>
        </w:rPr>
      </w:pPr>
      <w:r>
        <w:rPr>
          <w:b/>
          <w:bCs/>
          <w:color w:val="000000"/>
          <w:sz w:val="20"/>
        </w:rPr>
        <w:t xml:space="preserve">Basis for Opinion </w:t>
      </w:r>
    </w:p>
    <w:p w:rsidR="000A09C2" w:rsidRDefault="000A09C2" w:rsidP="000A09C2">
      <w:pPr>
        <w:autoSpaceDE w:val="0"/>
        <w:autoSpaceDN w:val="0"/>
        <w:adjustRightInd w:val="0"/>
        <w:rPr>
          <w:color w:val="000000"/>
          <w:sz w:val="20"/>
        </w:rPr>
      </w:pPr>
    </w:p>
    <w:p w:rsidR="000A09C2" w:rsidRDefault="000A09C2" w:rsidP="000A09C2">
      <w:pPr>
        <w:autoSpaceDE w:val="0"/>
        <w:autoSpaceDN w:val="0"/>
        <w:adjustRightInd w:val="0"/>
        <w:rPr>
          <w:color w:val="000000"/>
          <w:sz w:val="20"/>
        </w:rPr>
      </w:pPr>
      <w:r>
        <w:rPr>
          <w:color w:val="000000"/>
          <w:sz w:val="20"/>
        </w:rPr>
        <w:t xml:space="preserve">These financial statements are the responsibility of the Company's management. Our responsibility is to express an opinion on the Company’s financial statements based on our audits. We are a public accounting firm registered with the PCAOB and are required to be independent with respect to the Company in accordance with the U.S. federal securities laws and the applicable rules and regulations of the Securities and Exchange Commission and the PCAOB. </w:t>
      </w:r>
    </w:p>
    <w:p w:rsidR="000A09C2" w:rsidRDefault="000A09C2" w:rsidP="000A09C2">
      <w:pPr>
        <w:autoSpaceDE w:val="0"/>
        <w:autoSpaceDN w:val="0"/>
        <w:adjustRightInd w:val="0"/>
        <w:rPr>
          <w:color w:val="000000"/>
          <w:sz w:val="20"/>
        </w:rPr>
      </w:pPr>
    </w:p>
    <w:p w:rsidR="000A09C2" w:rsidRDefault="000A09C2" w:rsidP="000A09C2">
      <w:pPr>
        <w:autoSpaceDE w:val="0"/>
        <w:autoSpaceDN w:val="0"/>
        <w:adjustRightInd w:val="0"/>
        <w:rPr>
          <w:color w:val="000000"/>
          <w:sz w:val="20"/>
        </w:rPr>
      </w:pPr>
      <w:r>
        <w:rPr>
          <w:color w:val="000000"/>
          <w:sz w:val="20"/>
        </w:rPr>
        <w:t xml:space="preserve">We conducted our audits in accordance with the standards of the PCAOB. Those standards require that we plan and perform the audit to obtain reasonable assurance about whether the financial statements are free of material misstatement, whether due to error or fraud. 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 </w:t>
      </w:r>
    </w:p>
    <w:p w:rsidR="000A09C2" w:rsidRDefault="000A09C2" w:rsidP="000A09C2">
      <w:pPr>
        <w:rPr>
          <w:b/>
          <w:color w:val="000000"/>
          <w:sz w:val="20"/>
        </w:rPr>
      </w:pPr>
    </w:p>
    <w:p w:rsidR="000A09C2" w:rsidRDefault="000A09C2" w:rsidP="000A09C2">
      <w:pPr>
        <w:spacing w:after="240"/>
        <w:rPr>
          <w:b/>
          <w:color w:val="000000"/>
          <w:sz w:val="20"/>
        </w:rPr>
      </w:pPr>
      <w:r>
        <w:rPr>
          <w:b/>
          <w:color w:val="000000"/>
          <w:sz w:val="20"/>
        </w:rPr>
        <w:t xml:space="preserve">Critical Audit Matter </w:t>
      </w:r>
    </w:p>
    <w:p w:rsidR="000A09C2" w:rsidRDefault="000A09C2" w:rsidP="000A09C2">
      <w:pPr>
        <w:spacing w:after="240"/>
        <w:rPr>
          <w:i/>
          <w:sz w:val="22"/>
          <w:szCs w:val="22"/>
        </w:rPr>
      </w:pPr>
      <w:bookmarkStart w:id="26" w:name="_Hlk16174136"/>
      <w:r>
        <w:rPr>
          <w:color w:val="000000"/>
          <w:sz w:val="20"/>
        </w:rPr>
        <w:t>T</w:t>
      </w:r>
      <w:r>
        <w:rPr>
          <w:color w:val="000000" w:themeColor="text1"/>
          <w:sz w:val="20"/>
        </w:rPr>
        <w:t>he critical audit matter communicated below is a matter arising from the current period audit of the financial statements that was communicated or required to be communicated to the audit committee and that: (1) relates to accounts or disclosures that are material to the financial statements and (2) involved our especially challenging, subjective or complex judgments. The communication of the critical audit matter does not alter in any way our opinion on the consolidated financial statements, taken as a whole, and we are not, by communicating the critical audit matter below, providing a separate opinion on the critical audit matter or on the accounts or disclosures to which they relate.</w:t>
      </w:r>
      <w:bookmarkEnd w:id="25"/>
      <w:bookmarkEnd w:id="26"/>
    </w:p>
    <w:tbl>
      <w:tblPr>
        <w:tblW w:w="5000" w:type="pct"/>
        <w:tblCellSpacing w:w="0" w:type="dxa"/>
        <w:tblCellMar>
          <w:left w:w="0" w:type="dxa"/>
          <w:right w:w="0" w:type="dxa"/>
        </w:tblCellMar>
        <w:tblLook w:val="04A0" w:firstRow="1" w:lastRow="0" w:firstColumn="1" w:lastColumn="0" w:noHBand="0" w:noVBand="1"/>
      </w:tblPr>
      <w:tblGrid>
        <w:gridCol w:w="1663"/>
        <w:gridCol w:w="9137"/>
      </w:tblGrid>
      <w:tr w:rsidR="00780609" w:rsidTr="00780609">
        <w:trPr>
          <w:trHeight w:hRule="exact" w:val="20"/>
          <w:tblCellSpacing w:w="0" w:type="dxa"/>
        </w:trPr>
        <w:tc>
          <w:tcPr>
            <w:tcW w:w="1530" w:type="dxa"/>
            <w:tcBorders>
              <w:top w:val="nil"/>
              <w:left w:val="nil"/>
              <w:bottom w:val="nil"/>
              <w:right w:val="nil"/>
            </w:tcBorders>
            <w:noWrap/>
          </w:tcPr>
          <w:p w:rsidR="00780609" w:rsidRDefault="00780609">
            <w:pPr>
              <w:rPr>
                <w:rFonts w:eastAsiaTheme="minorHAnsi"/>
                <w:color w:val="000000"/>
                <w:sz w:val="20"/>
              </w:rPr>
            </w:pPr>
          </w:p>
          <w:p w:rsidR="00780609" w:rsidRDefault="00780609">
            <w:pPr>
              <w:rPr>
                <w:sz w:val="2"/>
              </w:rPr>
            </w:pPr>
          </w:p>
        </w:tc>
        <w:tc>
          <w:tcPr>
            <w:tcW w:w="8406" w:type="dxa"/>
            <w:tcBorders>
              <w:top w:val="nil"/>
              <w:left w:val="nil"/>
              <w:bottom w:val="nil"/>
              <w:right w:val="nil"/>
            </w:tcBorders>
          </w:tcPr>
          <w:p w:rsidR="00780609" w:rsidRDefault="00780609" w:rsidP="00A83242">
            <w:pPr>
              <w:rPr>
                <w:color w:val="000000" w:themeColor="text1"/>
                <w:sz w:val="20"/>
              </w:rPr>
            </w:pPr>
          </w:p>
          <w:p w:rsidR="00780609" w:rsidRDefault="00780609">
            <w:pPr>
              <w:rPr>
                <w:sz w:val="2"/>
              </w:rPr>
            </w:pPr>
          </w:p>
        </w:tc>
      </w:tr>
      <w:tr w:rsidR="00780609" w:rsidTr="00780609">
        <w:trPr>
          <w:tblCellSpacing w:w="0" w:type="dxa"/>
        </w:trPr>
        <w:tc>
          <w:tcPr>
            <w:tcW w:w="1530" w:type="dxa"/>
            <w:noWrap/>
          </w:tcPr>
          <w:p w:rsidR="00780609" w:rsidRDefault="00780609" w:rsidP="00A83242">
            <w:pPr>
              <w:rPr>
                <w:i/>
                <w:color w:val="000000" w:themeColor="text1"/>
                <w:sz w:val="20"/>
              </w:rPr>
            </w:pPr>
          </w:p>
        </w:tc>
        <w:tc>
          <w:tcPr>
            <w:tcW w:w="8406" w:type="dxa"/>
          </w:tcPr>
          <w:p w:rsidR="00780609" w:rsidRDefault="00780609" w:rsidP="00A83242">
            <w:pPr>
              <w:rPr>
                <w:b/>
                <w:i/>
                <w:color w:val="000000" w:themeColor="text1"/>
                <w:sz w:val="20"/>
              </w:rPr>
            </w:pPr>
            <w:r>
              <w:rPr>
                <w:b/>
                <w:i/>
                <w:color w:val="000000" w:themeColor="text1"/>
                <w:sz w:val="20"/>
              </w:rPr>
              <w:t>Valuation of International Goodwill</w:t>
            </w:r>
          </w:p>
          <w:p w:rsidR="00780609" w:rsidRDefault="00780609" w:rsidP="00A83242">
            <w:pPr>
              <w:rPr>
                <w:color w:val="000000" w:themeColor="text1"/>
                <w:sz w:val="20"/>
              </w:rPr>
            </w:pPr>
          </w:p>
        </w:tc>
      </w:tr>
      <w:tr w:rsidR="00780609" w:rsidTr="00780609">
        <w:trPr>
          <w:tblCellSpacing w:w="0" w:type="dxa"/>
        </w:trPr>
        <w:tc>
          <w:tcPr>
            <w:tcW w:w="1530" w:type="dxa"/>
            <w:noWrap/>
            <w:hideMark/>
          </w:tcPr>
          <w:p w:rsidR="00780609" w:rsidRDefault="00780609" w:rsidP="00A83242">
            <w:pPr>
              <w:rPr>
                <w:i/>
                <w:color w:val="000000" w:themeColor="text1"/>
                <w:sz w:val="20"/>
              </w:rPr>
            </w:pPr>
            <w:r>
              <w:rPr>
                <w:i/>
                <w:color w:val="000000" w:themeColor="text1"/>
                <w:sz w:val="20"/>
              </w:rPr>
              <w:t>Description of the Matter</w:t>
            </w:r>
          </w:p>
        </w:tc>
        <w:tc>
          <w:tcPr>
            <w:tcW w:w="8406" w:type="dxa"/>
          </w:tcPr>
          <w:p w:rsidR="00780609" w:rsidRDefault="00780609" w:rsidP="00A83242">
            <w:pPr>
              <w:rPr>
                <w:color w:val="000000"/>
                <w:sz w:val="20"/>
              </w:rPr>
            </w:pPr>
            <w:r>
              <w:rPr>
                <w:color w:val="000000"/>
                <w:sz w:val="20"/>
              </w:rPr>
              <w:t>As described in Note 6 to the consolidated financial statements, the Company’s goodwill in its international reporting unit was $4</w:t>
            </w:r>
            <w:r w:rsidR="006D4618">
              <w:rPr>
                <w:color w:val="000000"/>
                <w:sz w:val="20"/>
              </w:rPr>
              <w:t>2</w:t>
            </w:r>
            <w:r>
              <w:rPr>
                <w:color w:val="000000"/>
                <w:sz w:val="20"/>
              </w:rPr>
              <w:t xml:space="preserve"> million as of December 31, 2019. The Company’s goodwill is tested for impairment at least annually at the reporting unit </w:t>
            </w:r>
            <w:r>
              <w:rPr>
                <w:color w:val="000000" w:themeColor="text1"/>
                <w:sz w:val="20"/>
              </w:rPr>
              <w:t>level.</w:t>
            </w:r>
            <w:r>
              <w:rPr>
                <w:rStyle w:val="Heading2Char"/>
                <w:color w:val="000000" w:themeColor="text1"/>
                <w:sz w:val="20"/>
              </w:rPr>
              <w:t xml:space="preserve"> </w:t>
            </w:r>
            <w:r>
              <w:rPr>
                <w:rStyle w:val="ms-rtethemefontface-1"/>
                <w:color w:val="000000" w:themeColor="text1"/>
                <w:sz w:val="20"/>
              </w:rPr>
              <w:t>The Company’s goodwill is attributable to past acquisitions and is assigned to reporting units as of the acquisition date</w:t>
            </w:r>
            <w:r>
              <w:rPr>
                <w:color w:val="000000"/>
                <w:sz w:val="20"/>
              </w:rPr>
              <w:t xml:space="preserve">.   </w:t>
            </w:r>
          </w:p>
          <w:p w:rsidR="00780609" w:rsidRDefault="00780609" w:rsidP="00A83242">
            <w:pPr>
              <w:rPr>
                <w:color w:val="000000"/>
                <w:sz w:val="20"/>
              </w:rPr>
            </w:pPr>
          </w:p>
          <w:p w:rsidR="00780609" w:rsidRDefault="00780609" w:rsidP="00A83242">
            <w:pPr>
              <w:rPr>
                <w:rStyle w:val="ms-rtethemefontface-1"/>
                <w:rFonts w:eastAsiaTheme="minorHAnsi"/>
                <w:color w:val="000000" w:themeColor="text1"/>
                <w:sz w:val="22"/>
                <w:szCs w:val="22"/>
              </w:rPr>
            </w:pPr>
            <w:r>
              <w:rPr>
                <w:color w:val="000000"/>
                <w:sz w:val="20"/>
              </w:rPr>
              <w:t xml:space="preserve">Auditing management's annual goodwill impairment test for the international reporting unit involved especially challenging auditor judgment due to the </w:t>
            </w:r>
            <w:r>
              <w:rPr>
                <w:rStyle w:val="ms-rtethemefontface-1"/>
                <w:color w:val="000000" w:themeColor="text1"/>
                <w:sz w:val="20"/>
              </w:rPr>
              <w:t xml:space="preserve">significant estimation required in the </w:t>
            </w:r>
            <w:r>
              <w:rPr>
                <w:color w:val="000000"/>
                <w:sz w:val="20"/>
              </w:rPr>
              <w:t xml:space="preserve">determination of the fair value of the reporting unit. In particular, the fair value estimate was sensitive to significant assumptions, such as the revenue growth rate, gross margin percentage, terminal value and </w:t>
            </w:r>
            <w:r>
              <w:rPr>
                <w:rStyle w:val="ms-rtethemefontface-1"/>
                <w:color w:val="000000" w:themeColor="text1"/>
                <w:sz w:val="20"/>
              </w:rPr>
              <w:t>weighted average cost of capital</w:t>
            </w:r>
            <w:r>
              <w:rPr>
                <w:color w:val="000000"/>
                <w:sz w:val="20"/>
              </w:rPr>
              <w:t>, which are affected by expectations about future market and economic conditions, as well as Company specific strategic initiatives.</w:t>
            </w:r>
          </w:p>
          <w:p w:rsidR="00780609" w:rsidRDefault="00780609" w:rsidP="00A83242">
            <w:pPr>
              <w:rPr>
                <w:color w:val="000000"/>
                <w:sz w:val="20"/>
              </w:rPr>
            </w:pPr>
          </w:p>
        </w:tc>
      </w:tr>
      <w:tr w:rsidR="00780609" w:rsidTr="00780609">
        <w:trPr>
          <w:trHeight w:val="3150"/>
          <w:tblCellSpacing w:w="0" w:type="dxa"/>
        </w:trPr>
        <w:tc>
          <w:tcPr>
            <w:tcW w:w="1530" w:type="dxa"/>
            <w:noWrap/>
            <w:hideMark/>
          </w:tcPr>
          <w:p w:rsidR="00780609" w:rsidRDefault="00780609" w:rsidP="00A83242">
            <w:pPr>
              <w:rPr>
                <w:i/>
                <w:color w:val="000000" w:themeColor="text1"/>
                <w:sz w:val="20"/>
              </w:rPr>
            </w:pPr>
            <w:bookmarkStart w:id="27" w:name="SPBookmark_Description_x0020_of_x0020_Au"/>
            <w:bookmarkEnd w:id="27"/>
            <w:r>
              <w:rPr>
                <w:i/>
                <w:color w:val="000000" w:themeColor="text1"/>
                <w:sz w:val="20"/>
              </w:rPr>
              <w:lastRenderedPageBreak/>
              <w:t>How We Addressed the Matter in Our Audit</w:t>
            </w:r>
          </w:p>
        </w:tc>
        <w:tc>
          <w:tcPr>
            <w:tcW w:w="8406" w:type="dxa"/>
          </w:tcPr>
          <w:p w:rsidR="00780609" w:rsidRDefault="00780609" w:rsidP="00A83242">
            <w:pPr>
              <w:rPr>
                <w:rFonts w:eastAsiaTheme="minorHAnsi"/>
                <w:color w:val="000000" w:themeColor="text1"/>
                <w:sz w:val="20"/>
              </w:rPr>
            </w:pPr>
            <w:r>
              <w:rPr>
                <w:color w:val="000000"/>
                <w:sz w:val="20"/>
              </w:rPr>
              <w:t>We obtained an understanding, evaluated the design and tested the operating effectiveness of controls over the Company’s goodwill impairment review process, including controls over management’s review of the significant assumptions described above</w:t>
            </w:r>
            <w:r>
              <w:rPr>
                <w:color w:val="000000" w:themeColor="text1"/>
                <w:sz w:val="20"/>
              </w:rPr>
              <w:t xml:space="preserve">.     </w:t>
            </w:r>
          </w:p>
          <w:p w:rsidR="00780609" w:rsidRDefault="00780609" w:rsidP="00A83242">
            <w:pPr>
              <w:rPr>
                <w:color w:val="000000" w:themeColor="text1"/>
                <w:kern w:val="12"/>
                <w:sz w:val="20"/>
              </w:rPr>
            </w:pPr>
          </w:p>
          <w:p w:rsidR="00780609" w:rsidRDefault="00780609" w:rsidP="00A83242">
            <w:pPr>
              <w:rPr>
                <w:color w:val="000000" w:themeColor="text1"/>
                <w:sz w:val="20"/>
              </w:rPr>
            </w:pPr>
            <w:r>
              <w:rPr>
                <w:color w:val="000000"/>
                <w:sz w:val="20"/>
              </w:rPr>
              <w:t xml:space="preserve">To test the estimated fair value of the Company’s international reporting unit, we performed audit procedures that included, among others, assessing and testing the significant assumptions discussed above and the underlying data used by the Company in its analysis.  In addition, we assessed the appropriateness of the fair value methodologies used by the Company in its analysis.  We compared the significant assumptions used by management to current industry and economic trends, historical results and other relevant factors, as well as evaluated whether changes to the Company’s business model, product mix and other factors would affect the significant assumptions. We assessed the historical accuracy of management’s estimates and performed sensitivity analyses of significant assumptions to evaluate the changes in the fair value of the reporting unit that would result from changes in the assumptions. </w:t>
            </w:r>
            <w:r>
              <w:rPr>
                <w:color w:val="000000" w:themeColor="text1"/>
                <w:sz w:val="20"/>
              </w:rPr>
              <w:t xml:space="preserve">We also involved a specialist to assist in our evaluation of the valuation methodologies applied by the Company and the significant assumptions used by management in estimating the fair value of the reporting unit. </w:t>
            </w:r>
            <w:r>
              <w:rPr>
                <w:color w:val="000000"/>
                <w:sz w:val="20"/>
              </w:rPr>
              <w:t xml:space="preserve">We also tested management’s reconciliation of the fair value of the reporting units to the market capitalization of the Company. </w:t>
            </w:r>
          </w:p>
        </w:tc>
      </w:tr>
    </w:tbl>
    <w:p w:rsidR="00780609" w:rsidRDefault="00780609"/>
    <w:p w:rsidR="000A09C2" w:rsidRDefault="000A09C2" w:rsidP="000A09C2">
      <w:pPr>
        <w:autoSpaceDE w:val="0"/>
        <w:autoSpaceDN w:val="0"/>
        <w:adjustRightInd w:val="0"/>
        <w:rPr>
          <w:color w:val="000000"/>
          <w:sz w:val="20"/>
        </w:rPr>
      </w:pPr>
      <w:r>
        <w:rPr>
          <w:color w:val="000000"/>
          <w:sz w:val="20"/>
        </w:rPr>
        <w:t xml:space="preserve">/s/ Ernst &amp; Young LLP </w:t>
      </w:r>
    </w:p>
    <w:p w:rsidR="000A09C2" w:rsidRDefault="000A09C2" w:rsidP="000A09C2">
      <w:pPr>
        <w:autoSpaceDE w:val="0"/>
        <w:autoSpaceDN w:val="0"/>
        <w:adjustRightInd w:val="0"/>
        <w:rPr>
          <w:color w:val="000000"/>
          <w:sz w:val="20"/>
        </w:rPr>
      </w:pPr>
    </w:p>
    <w:p w:rsidR="000A09C2" w:rsidRDefault="000A09C2" w:rsidP="000A09C2">
      <w:pPr>
        <w:autoSpaceDE w:val="0"/>
        <w:autoSpaceDN w:val="0"/>
        <w:adjustRightInd w:val="0"/>
        <w:rPr>
          <w:color w:val="000000"/>
          <w:sz w:val="20"/>
        </w:rPr>
      </w:pPr>
      <w:r>
        <w:rPr>
          <w:color w:val="000000"/>
          <w:sz w:val="20"/>
        </w:rPr>
        <w:t>We have served as the Company’s auditor since 2007.</w:t>
      </w:r>
    </w:p>
    <w:p w:rsidR="000A09C2" w:rsidRDefault="000A09C2" w:rsidP="000A09C2">
      <w:pPr>
        <w:autoSpaceDE w:val="0"/>
        <w:autoSpaceDN w:val="0"/>
        <w:adjustRightInd w:val="0"/>
        <w:rPr>
          <w:color w:val="000000"/>
          <w:sz w:val="20"/>
        </w:rPr>
      </w:pPr>
    </w:p>
    <w:p w:rsidR="000A09C2" w:rsidRDefault="000A09C2" w:rsidP="000A09C2">
      <w:pPr>
        <w:autoSpaceDE w:val="0"/>
        <w:autoSpaceDN w:val="0"/>
        <w:adjustRightInd w:val="0"/>
        <w:rPr>
          <w:color w:val="000000"/>
          <w:sz w:val="20"/>
        </w:rPr>
      </w:pPr>
      <w:r>
        <w:rPr>
          <w:color w:val="000000"/>
          <w:sz w:val="20"/>
        </w:rPr>
        <w:t xml:space="preserve">Houston, Texas </w:t>
      </w:r>
    </w:p>
    <w:p w:rsidR="000121CD" w:rsidRPr="006B0137" w:rsidRDefault="000A09C2" w:rsidP="006B0137">
      <w:r>
        <w:rPr>
          <w:color w:val="000000"/>
          <w:sz w:val="20"/>
        </w:rPr>
        <w:t>February 14, 2020</w:t>
      </w:r>
      <w:r>
        <w:t xml:space="preserve"> </w:t>
      </w:r>
    </w:p>
    <w:p w:rsidR="000121CD" w:rsidRDefault="00590862">
      <w:pPr>
        <w:pStyle w:val="NormalWeb"/>
        <w:spacing w:before="180" w:beforeAutospacing="0" w:after="0" w:afterAutospacing="0"/>
        <w:rPr>
          <w:sz w:val="2"/>
          <w:szCs w:val="2"/>
        </w:rPr>
      </w:pPr>
      <w:r>
        <w:rPr>
          <w:sz w:val="2"/>
          <w:szCs w:val="2"/>
        </w:rPr>
        <w:t> </w:t>
      </w:r>
    </w:p>
    <w:p w:rsidR="000121CD" w:rsidRDefault="00590862">
      <w:pPr>
        <w:pStyle w:val="NormalWeb"/>
        <w:keepNext/>
        <w:pageBreakBefore/>
        <w:spacing w:before="0" w:beforeAutospacing="0" w:after="0" w:afterAutospacing="0"/>
      </w:pPr>
      <w:r>
        <w:rPr>
          <w:sz w:val="20"/>
          <w:szCs w:val="20"/>
        </w:rPr>
        <w:lastRenderedPageBreak/>
        <w:t>CONSOLIDATED BALANCE SHEETS</w:t>
      </w:r>
      <w:r>
        <w:rPr>
          <w:b/>
          <w:bCs/>
          <w:sz w:val="20"/>
          <w:szCs w:val="20"/>
        </w:rPr>
        <w:t xml:space="preserve"> </w:t>
      </w:r>
    </w:p>
    <w:p w:rsidR="000121CD" w:rsidRDefault="00590862">
      <w:pPr>
        <w:pStyle w:val="NormalWeb"/>
        <w:spacing w:before="0" w:beforeAutospacing="0" w:after="0" w:afterAutospacing="0"/>
      </w:pPr>
      <w:r>
        <w:rPr>
          <w:sz w:val="20"/>
          <w:szCs w:val="20"/>
        </w:rPr>
        <w:t xml:space="preserve">MRC GLOBAL INC. </w:t>
      </w:r>
    </w:p>
    <w:p w:rsidR="000121CD" w:rsidRDefault="00590862">
      <w:pPr>
        <w:pStyle w:val="NormalWeb"/>
        <w:keepNext/>
        <w:spacing w:before="0" w:beforeAutospacing="0" w:after="0" w:afterAutospacing="0"/>
        <w:rPr>
          <w:i/>
          <w:sz w:val="18"/>
          <w:szCs w:val="18"/>
        </w:rPr>
      </w:pPr>
      <w:r>
        <w:rPr>
          <w:i/>
          <w:sz w:val="18"/>
          <w:szCs w:val="18"/>
        </w:rPr>
        <w:t> (in millions, except shares)</w:t>
      </w:r>
    </w:p>
    <w:p w:rsidR="000121CD" w:rsidRDefault="000121CD">
      <w:pPr>
        <w:pStyle w:val="NormalWeb"/>
        <w:keepNext/>
        <w:spacing w:before="0" w:beforeAutospacing="0" w:after="0" w:afterAutospacing="0"/>
        <w:rPr>
          <w:i/>
          <w:sz w:val="18"/>
          <w:szCs w:val="18"/>
        </w:rPr>
      </w:pPr>
    </w:p>
    <w:p w:rsidR="000121CD" w:rsidRDefault="000121CD">
      <w:pPr>
        <w:rPr>
          <w:sz w:val="2"/>
        </w:rPr>
      </w:pPr>
    </w:p>
    <w:tbl>
      <w:tblPr>
        <w:tblW w:w="5000" w:type="pct"/>
        <w:tblCellMar>
          <w:left w:w="0" w:type="dxa"/>
          <w:right w:w="0" w:type="dxa"/>
        </w:tblCellMar>
        <w:tblLook w:val="04A0" w:firstRow="1" w:lastRow="0" w:firstColumn="1" w:lastColumn="0" w:noHBand="0" w:noVBand="1"/>
      </w:tblPr>
      <w:tblGrid>
        <w:gridCol w:w="6913"/>
        <w:gridCol w:w="289"/>
        <w:gridCol w:w="1458"/>
        <w:gridCol w:w="395"/>
        <w:gridCol w:w="289"/>
        <w:gridCol w:w="1456"/>
      </w:tblGrid>
      <w:tr w:rsidR="0018024C" w:rsidTr="0018024C">
        <w:trPr>
          <w:trHeight w:hRule="exact" w:val="20"/>
        </w:trPr>
        <w:tc>
          <w:tcPr>
            <w:tcW w:w="3200" w:type="pct"/>
            <w:tcBorders>
              <w:top w:val="nil"/>
              <w:left w:val="nil"/>
              <w:bottom w:val="nil"/>
              <w:right w:val="nil"/>
            </w:tcBorders>
            <w:shd w:val="clear" w:color="auto" w:fill="auto"/>
            <w:vAlign w:val="bottom"/>
          </w:tcPr>
          <w:p w:rsidR="0018024C" w:rsidRDefault="0018024C" w:rsidP="0018024C">
            <w:pPr>
              <w:rPr>
                <w:sz w:val="2"/>
              </w:rPr>
            </w:pPr>
          </w:p>
        </w:tc>
        <w:tc>
          <w:tcPr>
            <w:tcW w:w="134" w:type="pct"/>
            <w:tcBorders>
              <w:top w:val="nil"/>
              <w:left w:val="nil"/>
              <w:bottom w:val="nil"/>
              <w:right w:val="nil"/>
            </w:tcBorders>
            <w:shd w:val="clear" w:color="auto" w:fill="auto"/>
            <w:vAlign w:val="bottom"/>
          </w:tcPr>
          <w:p w:rsidR="0018024C" w:rsidRDefault="0018024C" w:rsidP="0018024C">
            <w:pPr>
              <w:rPr>
                <w:sz w:val="2"/>
              </w:rPr>
            </w:pPr>
          </w:p>
        </w:tc>
        <w:tc>
          <w:tcPr>
            <w:tcW w:w="675" w:type="pct"/>
            <w:tcBorders>
              <w:top w:val="nil"/>
              <w:left w:val="nil"/>
              <w:bottom w:val="nil"/>
              <w:right w:val="nil"/>
            </w:tcBorders>
            <w:shd w:val="clear" w:color="auto" w:fill="auto"/>
            <w:vAlign w:val="bottom"/>
          </w:tcPr>
          <w:p w:rsidR="0018024C" w:rsidRDefault="0018024C" w:rsidP="0018024C">
            <w:pPr>
              <w:rPr>
                <w:sz w:val="2"/>
              </w:rPr>
            </w:pPr>
          </w:p>
        </w:tc>
        <w:tc>
          <w:tcPr>
            <w:tcW w:w="183" w:type="pct"/>
            <w:tcBorders>
              <w:top w:val="nil"/>
              <w:left w:val="nil"/>
              <w:bottom w:val="nil"/>
              <w:right w:val="nil"/>
            </w:tcBorders>
            <w:shd w:val="clear" w:color="auto" w:fill="auto"/>
            <w:vAlign w:val="bottom"/>
          </w:tcPr>
          <w:p w:rsidR="0018024C" w:rsidRDefault="0018024C" w:rsidP="0018024C">
            <w:pPr>
              <w:rPr>
                <w:sz w:val="2"/>
              </w:rPr>
            </w:pPr>
          </w:p>
        </w:tc>
        <w:tc>
          <w:tcPr>
            <w:tcW w:w="134" w:type="pct"/>
            <w:tcBorders>
              <w:top w:val="nil"/>
              <w:left w:val="nil"/>
              <w:bottom w:val="nil"/>
              <w:right w:val="nil"/>
            </w:tcBorders>
            <w:shd w:val="clear" w:color="auto" w:fill="auto"/>
            <w:vAlign w:val="bottom"/>
          </w:tcPr>
          <w:p w:rsidR="0018024C" w:rsidRDefault="0018024C" w:rsidP="0018024C">
            <w:pPr>
              <w:rPr>
                <w:sz w:val="2"/>
              </w:rPr>
            </w:pPr>
          </w:p>
        </w:tc>
        <w:tc>
          <w:tcPr>
            <w:tcW w:w="674" w:type="pct"/>
            <w:tcBorders>
              <w:top w:val="nil"/>
              <w:left w:val="nil"/>
              <w:bottom w:val="nil"/>
              <w:right w:val="nil"/>
            </w:tcBorders>
            <w:shd w:val="clear" w:color="auto" w:fill="auto"/>
            <w:vAlign w:val="bottom"/>
          </w:tcPr>
          <w:p w:rsidR="0018024C" w:rsidRDefault="0018024C" w:rsidP="0018024C">
            <w:pPr>
              <w:rPr>
                <w:sz w:val="2"/>
              </w:rPr>
            </w:pPr>
          </w:p>
        </w:tc>
      </w:tr>
      <w:tr w:rsidR="0018024C" w:rsidTr="0018024C">
        <w:trPr>
          <w:trHeight w:hRule="exact" w:val="315"/>
        </w:trPr>
        <w:tc>
          <w:tcPr>
            <w:tcW w:w="3200" w:type="pct"/>
            <w:tcBorders>
              <w:top w:val="nil"/>
              <w:left w:val="nil"/>
              <w:bottom w:val="nil"/>
              <w:right w:val="nil"/>
              <w:tl2br w:val="nil"/>
              <w:tr2bl w:val="nil"/>
            </w:tcBorders>
            <w:shd w:val="clear" w:color="auto" w:fill="auto"/>
            <w:vAlign w:val="bottom"/>
          </w:tcPr>
          <w:p w:rsidR="0018024C" w:rsidRDefault="0018024C" w:rsidP="0018024C">
            <w:pPr>
              <w:rPr>
                <w:i/>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18024C" w:rsidRDefault="0018024C" w:rsidP="0018024C">
            <w:pPr>
              <w:jc w:val="center"/>
              <w:rPr>
                <w:b/>
                <w:color w:val="000000"/>
                <w:sz w:val="20"/>
              </w:rPr>
            </w:pPr>
            <w:r>
              <w:rPr>
                <w:b/>
                <w:color w:val="000000"/>
                <w:sz w:val="20"/>
              </w:rPr>
              <w:t xml:space="preserve">December 31, </w:t>
            </w:r>
          </w:p>
        </w:tc>
      </w:tr>
      <w:tr w:rsidR="0018024C" w:rsidTr="0018024C">
        <w:trPr>
          <w:trHeight w:hRule="exact" w:val="315"/>
        </w:trPr>
        <w:tc>
          <w:tcPr>
            <w:tcW w:w="3200" w:type="pct"/>
            <w:tcBorders>
              <w:top w:val="nil"/>
              <w:left w:val="nil"/>
              <w:bottom w:val="nil"/>
              <w:right w:val="nil"/>
              <w:tl2br w:val="nil"/>
              <w:tr2bl w:val="nil"/>
            </w:tcBorders>
            <w:shd w:val="clear" w:color="auto" w:fill="auto"/>
            <w:vAlign w:val="bottom"/>
          </w:tcPr>
          <w:p w:rsidR="0018024C" w:rsidRDefault="0018024C" w:rsidP="0018024C">
            <w:pPr>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color w:val="000000"/>
                <w:sz w:val="20"/>
              </w:rPr>
            </w:pPr>
            <w:r>
              <w:rPr>
                <w:b/>
                <w:color w:val="000000"/>
                <w:sz w:val="20"/>
              </w:rPr>
              <w:t>2019</w:t>
            </w:r>
          </w:p>
        </w:tc>
        <w:tc>
          <w:tcPr>
            <w:tcW w:w="183" w:type="pct"/>
            <w:tcBorders>
              <w:top w:val="single" w:sz="0" w:space="0" w:color="000000"/>
              <w:left w:val="nil"/>
              <w:bottom w:val="nil"/>
              <w:right w:val="nil"/>
              <w:tl2br w:val="nil"/>
              <w:tr2bl w:val="nil"/>
            </w:tcBorders>
            <w:shd w:val="clear" w:color="auto" w:fill="auto"/>
            <w:vAlign w:val="bottom"/>
          </w:tcPr>
          <w:p w:rsidR="0018024C" w:rsidRDefault="0018024C" w:rsidP="0018024C">
            <w:pPr>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color w:val="000000"/>
                <w:sz w:val="20"/>
              </w:rPr>
            </w:pPr>
            <w:r>
              <w:rPr>
                <w:b/>
                <w:color w:val="000000"/>
                <w:sz w:val="20"/>
              </w:rPr>
              <w:t xml:space="preserve"> 2018</w:t>
            </w: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r>
              <w:rPr>
                <w:b/>
                <w:color w:val="000000"/>
                <w:sz w:val="20"/>
              </w:rPr>
              <w:t>Assets</w:t>
            </w:r>
          </w:p>
        </w:tc>
        <w:tc>
          <w:tcPr>
            <w:tcW w:w="134" w:type="pct"/>
            <w:tcBorders>
              <w:top w:val="single" w:sz="0" w:space="0" w:color="000000"/>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single" w:sz="0" w:space="0" w:color="000000"/>
              <w:left w:val="nil"/>
              <w:bottom w:val="nil"/>
              <w:right w:val="nil"/>
              <w:tl2br w:val="nil"/>
              <w:tr2bl w:val="nil"/>
            </w:tcBorders>
            <w:shd w:val="clear" w:color="auto" w:fill="CCEEFF"/>
            <w:vAlign w:val="bottom"/>
          </w:tcPr>
          <w:p w:rsidR="0018024C" w:rsidRDefault="0018024C" w:rsidP="0018024C">
            <w:pPr>
              <w:rPr>
                <w:color w:val="000000"/>
                <w:sz w:val="20"/>
              </w:rPr>
            </w:pP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single" w:sz="0" w:space="0" w:color="000000"/>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single" w:sz="0" w:space="0" w:color="000000"/>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3200"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 xml:space="preserve">Current assets: </w:t>
            </w:r>
          </w:p>
        </w:tc>
        <w:tc>
          <w:tcPr>
            <w:tcW w:w="134" w:type="pct"/>
            <w:tcBorders>
              <w:top w:val="nil"/>
              <w:left w:val="nil"/>
              <w:bottom w:val="nil"/>
              <w:right w:val="nil"/>
              <w:tl2br w:val="nil"/>
              <w:tr2bl w:val="nil"/>
            </w:tcBorders>
            <w:vAlign w:val="bottom"/>
          </w:tcPr>
          <w:p w:rsidR="0018024C" w:rsidRDefault="0018024C" w:rsidP="0018024C">
            <w:pPr>
              <w:rPr>
                <w:color w:val="000000"/>
                <w:sz w:val="20"/>
              </w:rPr>
            </w:pPr>
          </w:p>
        </w:tc>
        <w:tc>
          <w:tcPr>
            <w:tcW w:w="675" w:type="pct"/>
            <w:tcBorders>
              <w:top w:val="nil"/>
              <w:left w:val="nil"/>
              <w:bottom w:val="nil"/>
              <w:right w:val="nil"/>
              <w:tl2br w:val="nil"/>
              <w:tr2bl w:val="nil"/>
            </w:tcBorders>
            <w:vAlign w:val="bottom"/>
          </w:tcPr>
          <w:p w:rsidR="0018024C" w:rsidRDefault="0018024C" w:rsidP="0018024C">
            <w:pPr>
              <w:rPr>
                <w:color w:val="000000"/>
                <w:sz w:val="20"/>
              </w:rPr>
            </w:pP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ind w:left="120"/>
              <w:rPr>
                <w:color w:val="000000"/>
                <w:sz w:val="20"/>
              </w:rPr>
            </w:pPr>
            <w:r>
              <w:rPr>
                <w:color w:val="000000"/>
                <w:sz w:val="20"/>
              </w:rPr>
              <w:t xml:space="preserve">Cash </w:t>
            </w: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r>
              <w:rPr>
                <w:b/>
                <w:color w:val="000000"/>
                <w:sz w:val="20"/>
              </w:rPr>
              <w:t>$</w:t>
            </w:r>
          </w:p>
        </w:tc>
        <w:tc>
          <w:tcPr>
            <w:tcW w:w="675"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32</w:t>
            </w: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w:t>
            </w:r>
          </w:p>
        </w:tc>
        <w:tc>
          <w:tcPr>
            <w:tcW w:w="674"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43</w:t>
            </w:r>
          </w:p>
        </w:tc>
      </w:tr>
      <w:tr w:rsidR="0018024C" w:rsidTr="0018024C">
        <w:trPr>
          <w:trHeight w:hRule="exact" w:val="255"/>
        </w:trPr>
        <w:tc>
          <w:tcPr>
            <w:tcW w:w="3200" w:type="pct"/>
            <w:tcBorders>
              <w:top w:val="nil"/>
              <w:left w:val="nil"/>
              <w:bottom w:val="nil"/>
              <w:right w:val="nil"/>
              <w:tl2br w:val="nil"/>
              <w:tr2bl w:val="nil"/>
            </w:tcBorders>
            <w:vAlign w:val="bottom"/>
          </w:tcPr>
          <w:p w:rsidR="0018024C" w:rsidRDefault="0018024C" w:rsidP="0018024C">
            <w:pPr>
              <w:ind w:left="120"/>
              <w:rPr>
                <w:color w:val="000000"/>
                <w:sz w:val="20"/>
              </w:rPr>
            </w:pPr>
            <w:r>
              <w:rPr>
                <w:color w:val="000000"/>
                <w:sz w:val="20"/>
              </w:rPr>
              <w:t>Accounts receivable, net</w:t>
            </w:r>
          </w:p>
        </w:tc>
        <w:tc>
          <w:tcPr>
            <w:tcW w:w="134" w:type="pct"/>
            <w:tcBorders>
              <w:top w:val="nil"/>
              <w:left w:val="nil"/>
              <w:bottom w:val="nil"/>
              <w:right w:val="nil"/>
              <w:tl2br w:val="nil"/>
              <w:tr2bl w:val="nil"/>
            </w:tcBorders>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459</w:t>
            </w: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587</w:t>
            </w: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ind w:left="120"/>
              <w:rPr>
                <w:color w:val="000000"/>
                <w:sz w:val="20"/>
              </w:rPr>
            </w:pPr>
            <w:r>
              <w:rPr>
                <w:color w:val="000000"/>
                <w:sz w:val="20"/>
              </w:rPr>
              <w:t>Inventories, net</w:t>
            </w: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701</w:t>
            </w: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797</w:t>
            </w:r>
          </w:p>
        </w:tc>
      </w:tr>
      <w:tr w:rsidR="0018024C" w:rsidTr="0018024C">
        <w:trPr>
          <w:trHeight w:hRule="exact" w:val="255"/>
        </w:trPr>
        <w:tc>
          <w:tcPr>
            <w:tcW w:w="3200" w:type="pct"/>
            <w:tcBorders>
              <w:top w:val="nil"/>
              <w:left w:val="nil"/>
              <w:bottom w:val="nil"/>
              <w:right w:val="nil"/>
              <w:tl2br w:val="nil"/>
              <w:tr2bl w:val="nil"/>
            </w:tcBorders>
            <w:vAlign w:val="bottom"/>
          </w:tcPr>
          <w:p w:rsidR="0018024C" w:rsidRDefault="0018024C" w:rsidP="0018024C">
            <w:pPr>
              <w:ind w:left="120"/>
              <w:rPr>
                <w:color w:val="000000"/>
                <w:sz w:val="20"/>
              </w:rPr>
            </w:pPr>
            <w:r>
              <w:rPr>
                <w:color w:val="000000"/>
                <w:sz w:val="20"/>
              </w:rPr>
              <w:t>Other current assets</w:t>
            </w:r>
          </w:p>
        </w:tc>
        <w:tc>
          <w:tcPr>
            <w:tcW w:w="134" w:type="pct"/>
            <w:tcBorders>
              <w:top w:val="nil"/>
              <w:left w:val="nil"/>
              <w:bottom w:val="single" w:sz="12" w:space="0" w:color="000000"/>
              <w:right w:val="nil"/>
              <w:tl2br w:val="nil"/>
              <w:tr2bl w:val="nil"/>
            </w:tcBorders>
            <w:vAlign w:val="bottom"/>
          </w:tcPr>
          <w:p w:rsidR="0018024C" w:rsidRDefault="0018024C" w:rsidP="0018024C">
            <w:pPr>
              <w:rPr>
                <w:b/>
                <w:color w:val="000000"/>
                <w:sz w:val="20"/>
              </w:rPr>
            </w:pPr>
          </w:p>
        </w:tc>
        <w:tc>
          <w:tcPr>
            <w:tcW w:w="675" w:type="pct"/>
            <w:tcBorders>
              <w:top w:val="nil"/>
              <w:left w:val="nil"/>
              <w:bottom w:val="single" w:sz="12" w:space="0" w:color="000000"/>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26</w:t>
            </w: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single" w:sz="12" w:space="0" w:color="000000"/>
              <w:right w:val="nil"/>
              <w:tl2br w:val="nil"/>
              <w:tr2bl w:val="nil"/>
            </w:tcBorders>
            <w:vAlign w:val="bottom"/>
          </w:tcPr>
          <w:p w:rsidR="0018024C" w:rsidRDefault="0018024C" w:rsidP="0018024C">
            <w:pPr>
              <w:rPr>
                <w:color w:val="000000"/>
                <w:sz w:val="20"/>
              </w:rPr>
            </w:pPr>
          </w:p>
        </w:tc>
        <w:tc>
          <w:tcPr>
            <w:tcW w:w="674" w:type="pct"/>
            <w:tcBorders>
              <w:top w:val="nil"/>
              <w:left w:val="nil"/>
              <w:bottom w:val="single" w:sz="12" w:space="0" w:color="000000"/>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38</w:t>
            </w: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Total current assets</w:t>
            </w:r>
          </w:p>
        </w:tc>
        <w:tc>
          <w:tcPr>
            <w:tcW w:w="134" w:type="pct"/>
            <w:tcBorders>
              <w:top w:val="single" w:sz="0" w:space="0" w:color="000000"/>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single" w:sz="0" w:space="0" w:color="000000"/>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1,218</w:t>
            </w: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single" w:sz="0" w:space="0" w:color="000000"/>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single" w:sz="0" w:space="0" w:color="000000"/>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1,465</w:t>
            </w:r>
          </w:p>
        </w:tc>
      </w:tr>
      <w:tr w:rsidR="0018024C" w:rsidTr="0018024C">
        <w:trPr>
          <w:trHeight w:hRule="exact" w:val="150"/>
        </w:trPr>
        <w:tc>
          <w:tcPr>
            <w:tcW w:w="3200"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vAlign w:val="bottom"/>
          </w:tcPr>
          <w:p w:rsidR="0018024C" w:rsidRDefault="0018024C" w:rsidP="0018024C">
            <w:pPr>
              <w:rPr>
                <w:b/>
                <w:color w:val="000000"/>
                <w:sz w:val="20"/>
              </w:rPr>
            </w:pP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Long-term assets:</w:t>
            </w: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RPr="00B94B3A" w:rsidTr="0018024C">
        <w:trPr>
          <w:trHeight w:hRule="exact" w:val="255"/>
        </w:trPr>
        <w:tc>
          <w:tcPr>
            <w:tcW w:w="3200" w:type="pct"/>
            <w:tcBorders>
              <w:top w:val="nil"/>
              <w:left w:val="nil"/>
              <w:bottom w:val="nil"/>
              <w:right w:val="nil"/>
              <w:tl2br w:val="nil"/>
              <w:tr2bl w:val="nil"/>
            </w:tcBorders>
            <w:vAlign w:val="bottom"/>
          </w:tcPr>
          <w:p w:rsidR="0018024C" w:rsidRPr="00B94B3A" w:rsidRDefault="0018024C" w:rsidP="0018024C">
            <w:pPr>
              <w:ind w:left="120"/>
              <w:rPr>
                <w:color w:val="000000"/>
                <w:sz w:val="20"/>
              </w:rPr>
            </w:pPr>
            <w:r w:rsidRPr="00B94B3A">
              <w:rPr>
                <w:color w:val="000000"/>
                <w:sz w:val="20"/>
              </w:rPr>
              <w:t>Operating lease assets</w:t>
            </w:r>
          </w:p>
        </w:tc>
        <w:tc>
          <w:tcPr>
            <w:tcW w:w="134" w:type="pct"/>
            <w:tcBorders>
              <w:top w:val="nil"/>
              <w:left w:val="nil"/>
              <w:bottom w:val="nil"/>
              <w:right w:val="nil"/>
              <w:tl2br w:val="nil"/>
              <w:tr2bl w:val="nil"/>
            </w:tcBorders>
            <w:vAlign w:val="bottom"/>
          </w:tcPr>
          <w:p w:rsidR="0018024C" w:rsidRPr="00B94B3A" w:rsidRDefault="0018024C" w:rsidP="0018024C">
            <w:pPr>
              <w:rPr>
                <w:b/>
                <w:color w:val="000000"/>
                <w:sz w:val="20"/>
              </w:rPr>
            </w:pPr>
          </w:p>
        </w:tc>
        <w:tc>
          <w:tcPr>
            <w:tcW w:w="675"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186</w:t>
            </w:r>
          </w:p>
        </w:tc>
        <w:tc>
          <w:tcPr>
            <w:tcW w:w="183" w:type="pct"/>
            <w:tcBorders>
              <w:top w:val="nil"/>
              <w:left w:val="nil"/>
              <w:bottom w:val="nil"/>
              <w:right w:val="nil"/>
              <w:tl2br w:val="nil"/>
              <w:tr2bl w:val="nil"/>
            </w:tcBorders>
            <w:vAlign w:val="bottom"/>
          </w:tcPr>
          <w:p w:rsidR="0018024C" w:rsidRPr="00B94B3A"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Pr="00B94B3A"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w:t>
            </w: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ind w:left="120"/>
              <w:rPr>
                <w:color w:val="000000"/>
                <w:sz w:val="20"/>
              </w:rPr>
            </w:pPr>
            <w:r>
              <w:rPr>
                <w:color w:val="000000"/>
                <w:sz w:val="20"/>
              </w:rPr>
              <w:t>Property, plant and equipment, net</w:t>
            </w: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138</w:t>
            </w: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140</w:t>
            </w:r>
          </w:p>
        </w:tc>
      </w:tr>
      <w:tr w:rsidR="0018024C" w:rsidTr="0018024C">
        <w:trPr>
          <w:trHeight w:hRule="exact" w:val="255"/>
        </w:trPr>
        <w:tc>
          <w:tcPr>
            <w:tcW w:w="3200" w:type="pct"/>
            <w:tcBorders>
              <w:top w:val="nil"/>
              <w:left w:val="nil"/>
              <w:bottom w:val="nil"/>
              <w:right w:val="nil"/>
              <w:tl2br w:val="nil"/>
              <w:tr2bl w:val="nil"/>
            </w:tcBorders>
            <w:vAlign w:val="bottom"/>
          </w:tcPr>
          <w:p w:rsidR="0018024C" w:rsidRDefault="0018024C" w:rsidP="0018024C">
            <w:pPr>
              <w:ind w:left="120"/>
              <w:rPr>
                <w:color w:val="000000"/>
                <w:sz w:val="20"/>
              </w:rPr>
            </w:pPr>
            <w:r>
              <w:rPr>
                <w:color w:val="000000"/>
                <w:sz w:val="20"/>
              </w:rPr>
              <w:t>Other assets</w:t>
            </w:r>
          </w:p>
        </w:tc>
        <w:tc>
          <w:tcPr>
            <w:tcW w:w="134" w:type="pct"/>
            <w:tcBorders>
              <w:top w:val="nil"/>
              <w:left w:val="nil"/>
              <w:bottom w:val="nil"/>
              <w:right w:val="nil"/>
              <w:tl2br w:val="nil"/>
              <w:tr2bl w:val="nil"/>
            </w:tcBorders>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19</w:t>
            </w: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23</w:t>
            </w:r>
          </w:p>
        </w:tc>
      </w:tr>
      <w:tr w:rsidR="0018024C" w:rsidTr="0018024C">
        <w:trPr>
          <w:trHeight w:hRule="exact" w:val="150"/>
        </w:trPr>
        <w:tc>
          <w:tcPr>
            <w:tcW w:w="320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3200"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 xml:space="preserve">Intangible assets: </w:t>
            </w:r>
          </w:p>
        </w:tc>
        <w:tc>
          <w:tcPr>
            <w:tcW w:w="134" w:type="pct"/>
            <w:tcBorders>
              <w:top w:val="nil"/>
              <w:left w:val="nil"/>
              <w:bottom w:val="nil"/>
              <w:right w:val="nil"/>
              <w:tl2br w:val="nil"/>
              <w:tr2bl w:val="nil"/>
            </w:tcBorders>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vAlign w:val="bottom"/>
          </w:tcPr>
          <w:p w:rsidR="0018024C" w:rsidRDefault="0018024C" w:rsidP="0018024C">
            <w:pPr>
              <w:rPr>
                <w:b/>
                <w:color w:val="000000"/>
                <w:sz w:val="20"/>
              </w:rPr>
            </w:pP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ind w:left="120"/>
              <w:rPr>
                <w:color w:val="000000"/>
                <w:sz w:val="20"/>
              </w:rPr>
            </w:pPr>
            <w:r>
              <w:rPr>
                <w:color w:val="000000"/>
                <w:sz w:val="20"/>
              </w:rPr>
              <w:t>Goodwill, net</w:t>
            </w: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483</w:t>
            </w: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484</w:t>
            </w:r>
          </w:p>
        </w:tc>
      </w:tr>
      <w:tr w:rsidR="0018024C" w:rsidTr="0018024C">
        <w:trPr>
          <w:trHeight w:hRule="exact" w:val="255"/>
        </w:trPr>
        <w:tc>
          <w:tcPr>
            <w:tcW w:w="3200" w:type="pct"/>
            <w:tcBorders>
              <w:top w:val="nil"/>
              <w:left w:val="nil"/>
              <w:bottom w:val="nil"/>
              <w:right w:val="nil"/>
              <w:tl2br w:val="nil"/>
              <w:tr2bl w:val="nil"/>
            </w:tcBorders>
            <w:vAlign w:val="bottom"/>
          </w:tcPr>
          <w:p w:rsidR="0018024C" w:rsidRDefault="0018024C" w:rsidP="0018024C">
            <w:pPr>
              <w:ind w:left="120"/>
              <w:rPr>
                <w:color w:val="000000"/>
                <w:sz w:val="20"/>
              </w:rPr>
            </w:pPr>
            <w:r>
              <w:rPr>
                <w:color w:val="000000"/>
                <w:sz w:val="20"/>
              </w:rPr>
              <w:t>Other intangible assets, net</w:t>
            </w:r>
          </w:p>
        </w:tc>
        <w:tc>
          <w:tcPr>
            <w:tcW w:w="134" w:type="pct"/>
            <w:tcBorders>
              <w:top w:val="nil"/>
              <w:left w:val="nil"/>
              <w:bottom w:val="single" w:sz="12" w:space="0" w:color="000000"/>
              <w:right w:val="nil"/>
              <w:tl2br w:val="nil"/>
              <w:tr2bl w:val="nil"/>
            </w:tcBorders>
            <w:vAlign w:val="bottom"/>
          </w:tcPr>
          <w:p w:rsidR="0018024C" w:rsidRDefault="0018024C" w:rsidP="0018024C">
            <w:pPr>
              <w:rPr>
                <w:b/>
                <w:color w:val="000000"/>
                <w:sz w:val="20"/>
              </w:rPr>
            </w:pPr>
          </w:p>
        </w:tc>
        <w:tc>
          <w:tcPr>
            <w:tcW w:w="675" w:type="pct"/>
            <w:tcBorders>
              <w:top w:val="nil"/>
              <w:left w:val="nil"/>
              <w:bottom w:val="single" w:sz="12" w:space="0" w:color="000000"/>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281</w:t>
            </w: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single" w:sz="12" w:space="0" w:color="000000"/>
              <w:right w:val="nil"/>
              <w:tl2br w:val="nil"/>
              <w:tr2bl w:val="nil"/>
            </w:tcBorders>
            <w:vAlign w:val="bottom"/>
          </w:tcPr>
          <w:p w:rsidR="0018024C" w:rsidRDefault="0018024C" w:rsidP="0018024C">
            <w:pPr>
              <w:rPr>
                <w:color w:val="000000"/>
                <w:sz w:val="20"/>
              </w:rPr>
            </w:pPr>
          </w:p>
        </w:tc>
        <w:tc>
          <w:tcPr>
            <w:tcW w:w="674" w:type="pct"/>
            <w:tcBorders>
              <w:top w:val="nil"/>
              <w:left w:val="nil"/>
              <w:bottom w:val="single" w:sz="12" w:space="0" w:color="000000"/>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322</w:t>
            </w:r>
          </w:p>
        </w:tc>
      </w:tr>
      <w:tr w:rsidR="0018024C" w:rsidTr="0018024C">
        <w:trPr>
          <w:trHeight w:hRule="exact" w:val="237"/>
        </w:trPr>
        <w:tc>
          <w:tcPr>
            <w:tcW w:w="320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rPr>
                <w:b/>
                <w:color w:val="000000"/>
                <w:sz w:val="20"/>
              </w:rPr>
            </w:pPr>
            <w:r>
              <w:rPr>
                <w:b/>
                <w:color w:val="000000"/>
                <w:sz w:val="20"/>
              </w:rPr>
              <w:t>$</w:t>
            </w:r>
          </w:p>
        </w:tc>
        <w:tc>
          <w:tcPr>
            <w:tcW w:w="675" w:type="pct"/>
            <w:tcBorders>
              <w:top w:val="single" w:sz="0" w:space="0" w:color="000000"/>
              <w:left w:val="nil"/>
              <w:bottom w:val="double" w:sz="4" w:space="0" w:color="000000"/>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2,325</w:t>
            </w: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rPr>
                <w:color w:val="000000"/>
                <w:sz w:val="20"/>
              </w:rPr>
            </w:pPr>
            <w:r>
              <w:rPr>
                <w:color w:val="000000"/>
                <w:sz w:val="20"/>
              </w:rPr>
              <w:t>$</w:t>
            </w:r>
          </w:p>
        </w:tc>
        <w:tc>
          <w:tcPr>
            <w:tcW w:w="674" w:type="pct"/>
            <w:tcBorders>
              <w:top w:val="single" w:sz="0" w:space="0" w:color="000000"/>
              <w:left w:val="nil"/>
              <w:bottom w:val="double" w:sz="4" w:space="0" w:color="000000"/>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2,434</w:t>
            </w:r>
          </w:p>
        </w:tc>
      </w:tr>
      <w:tr w:rsidR="0018024C" w:rsidTr="0018024C">
        <w:trPr>
          <w:trHeight w:hRule="exact" w:val="150"/>
        </w:trPr>
        <w:tc>
          <w:tcPr>
            <w:tcW w:w="3200"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double" w:sz="0" w:space="0" w:color="000000"/>
              <w:left w:val="nil"/>
              <w:bottom w:val="nil"/>
              <w:right w:val="nil"/>
              <w:tl2br w:val="nil"/>
              <w:tr2bl w:val="nil"/>
            </w:tcBorders>
            <w:vAlign w:val="bottom"/>
          </w:tcPr>
          <w:p w:rsidR="0018024C" w:rsidRDefault="0018024C" w:rsidP="0018024C">
            <w:pPr>
              <w:rPr>
                <w:b/>
                <w:color w:val="000000"/>
                <w:sz w:val="20"/>
              </w:rPr>
            </w:pPr>
          </w:p>
        </w:tc>
        <w:tc>
          <w:tcPr>
            <w:tcW w:w="675" w:type="pct"/>
            <w:tcBorders>
              <w:top w:val="double" w:sz="0" w:space="0" w:color="000000"/>
              <w:left w:val="nil"/>
              <w:bottom w:val="nil"/>
              <w:right w:val="nil"/>
              <w:tl2br w:val="nil"/>
              <w:tr2bl w:val="nil"/>
            </w:tcBorders>
            <w:vAlign w:val="bottom"/>
          </w:tcPr>
          <w:p w:rsidR="0018024C" w:rsidRDefault="0018024C" w:rsidP="0018024C">
            <w:pPr>
              <w:rPr>
                <w:b/>
                <w:color w:val="000000"/>
                <w:sz w:val="20"/>
              </w:rPr>
            </w:pP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double" w:sz="0" w:space="0" w:color="000000"/>
              <w:left w:val="nil"/>
              <w:bottom w:val="nil"/>
              <w:right w:val="nil"/>
              <w:tl2br w:val="nil"/>
              <w:tr2bl w:val="nil"/>
            </w:tcBorders>
            <w:vAlign w:val="bottom"/>
          </w:tcPr>
          <w:p w:rsidR="0018024C" w:rsidRDefault="0018024C" w:rsidP="0018024C">
            <w:pPr>
              <w:rPr>
                <w:color w:val="000000"/>
                <w:sz w:val="20"/>
              </w:rPr>
            </w:pPr>
          </w:p>
        </w:tc>
        <w:tc>
          <w:tcPr>
            <w:tcW w:w="674" w:type="pct"/>
            <w:tcBorders>
              <w:top w:val="double" w:sz="0" w:space="0" w:color="000000"/>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r>
              <w:rPr>
                <w:b/>
                <w:color w:val="000000"/>
                <w:sz w:val="20"/>
              </w:rPr>
              <w:t>Liabilities and stockholders' equity</w:t>
            </w: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3200"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 xml:space="preserve">Current liabilities: </w:t>
            </w:r>
          </w:p>
        </w:tc>
        <w:tc>
          <w:tcPr>
            <w:tcW w:w="134" w:type="pct"/>
            <w:tcBorders>
              <w:top w:val="nil"/>
              <w:left w:val="nil"/>
              <w:bottom w:val="nil"/>
              <w:right w:val="nil"/>
              <w:tl2br w:val="nil"/>
              <w:tr2bl w:val="nil"/>
            </w:tcBorders>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vAlign w:val="bottom"/>
          </w:tcPr>
          <w:p w:rsidR="0018024C" w:rsidRDefault="0018024C" w:rsidP="0018024C">
            <w:pPr>
              <w:rPr>
                <w:b/>
                <w:color w:val="000000"/>
                <w:sz w:val="20"/>
              </w:rPr>
            </w:pP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ind w:left="120"/>
              <w:rPr>
                <w:color w:val="000000"/>
                <w:sz w:val="20"/>
              </w:rPr>
            </w:pPr>
            <w:r>
              <w:rPr>
                <w:color w:val="000000"/>
                <w:sz w:val="20"/>
              </w:rPr>
              <w:t>Trade accounts payable</w:t>
            </w: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r>
              <w:rPr>
                <w:b/>
                <w:color w:val="000000"/>
                <w:sz w:val="20"/>
              </w:rPr>
              <w:t>$</w:t>
            </w:r>
          </w:p>
        </w:tc>
        <w:tc>
          <w:tcPr>
            <w:tcW w:w="675"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357</w:t>
            </w: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w:t>
            </w:r>
          </w:p>
        </w:tc>
        <w:tc>
          <w:tcPr>
            <w:tcW w:w="674"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435</w:t>
            </w:r>
          </w:p>
        </w:tc>
      </w:tr>
      <w:tr w:rsidR="0018024C" w:rsidTr="0018024C">
        <w:trPr>
          <w:trHeight w:hRule="exact" w:val="255"/>
        </w:trPr>
        <w:tc>
          <w:tcPr>
            <w:tcW w:w="3200" w:type="pct"/>
            <w:tcBorders>
              <w:top w:val="nil"/>
              <w:left w:val="nil"/>
              <w:bottom w:val="nil"/>
              <w:right w:val="nil"/>
              <w:tl2br w:val="nil"/>
              <w:tr2bl w:val="nil"/>
            </w:tcBorders>
            <w:vAlign w:val="bottom"/>
          </w:tcPr>
          <w:p w:rsidR="0018024C" w:rsidRDefault="0018024C" w:rsidP="0018024C">
            <w:pPr>
              <w:ind w:left="120"/>
              <w:rPr>
                <w:color w:val="000000"/>
                <w:sz w:val="20"/>
              </w:rPr>
            </w:pPr>
            <w:r>
              <w:rPr>
                <w:color w:val="000000"/>
                <w:sz w:val="20"/>
              </w:rPr>
              <w:t>Accrued expenses and other current liabilities</w:t>
            </w:r>
          </w:p>
        </w:tc>
        <w:tc>
          <w:tcPr>
            <w:tcW w:w="134" w:type="pct"/>
            <w:tcBorders>
              <w:top w:val="nil"/>
              <w:left w:val="nil"/>
              <w:bottom w:val="nil"/>
              <w:right w:val="nil"/>
              <w:tl2br w:val="nil"/>
              <w:tr2bl w:val="nil"/>
            </w:tcBorders>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91</w:t>
            </w: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130</w:t>
            </w: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ind w:left="120"/>
              <w:rPr>
                <w:color w:val="000000"/>
                <w:sz w:val="20"/>
              </w:rPr>
            </w:pPr>
            <w:r>
              <w:rPr>
                <w:color w:val="000000"/>
                <w:sz w:val="20"/>
              </w:rPr>
              <w:t>Operating lease liabilities</w:t>
            </w: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34</w:t>
            </w: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w:t>
            </w:r>
          </w:p>
        </w:tc>
      </w:tr>
      <w:tr w:rsidR="0018024C" w:rsidTr="0018024C">
        <w:trPr>
          <w:trHeight w:hRule="exact" w:val="255"/>
        </w:trPr>
        <w:tc>
          <w:tcPr>
            <w:tcW w:w="3200" w:type="pct"/>
            <w:tcBorders>
              <w:top w:val="nil"/>
              <w:left w:val="nil"/>
              <w:bottom w:val="nil"/>
              <w:right w:val="nil"/>
              <w:tl2br w:val="nil"/>
              <w:tr2bl w:val="nil"/>
            </w:tcBorders>
            <w:vAlign w:val="bottom"/>
          </w:tcPr>
          <w:p w:rsidR="0018024C" w:rsidRDefault="0018024C" w:rsidP="0018024C">
            <w:pPr>
              <w:ind w:left="120"/>
              <w:rPr>
                <w:color w:val="000000"/>
                <w:sz w:val="20"/>
              </w:rPr>
            </w:pPr>
            <w:r>
              <w:rPr>
                <w:color w:val="000000"/>
                <w:sz w:val="20"/>
              </w:rPr>
              <w:t>Current portion of long-term debt</w:t>
            </w:r>
          </w:p>
        </w:tc>
        <w:tc>
          <w:tcPr>
            <w:tcW w:w="134" w:type="pct"/>
            <w:tcBorders>
              <w:top w:val="nil"/>
              <w:left w:val="nil"/>
              <w:bottom w:val="single" w:sz="12" w:space="0" w:color="000000"/>
              <w:right w:val="nil"/>
              <w:tl2br w:val="nil"/>
              <w:tr2bl w:val="nil"/>
            </w:tcBorders>
            <w:vAlign w:val="bottom"/>
          </w:tcPr>
          <w:p w:rsidR="0018024C" w:rsidRDefault="0018024C" w:rsidP="0018024C">
            <w:pPr>
              <w:rPr>
                <w:b/>
                <w:color w:val="000000"/>
                <w:sz w:val="20"/>
              </w:rPr>
            </w:pPr>
          </w:p>
        </w:tc>
        <w:tc>
          <w:tcPr>
            <w:tcW w:w="675" w:type="pct"/>
            <w:tcBorders>
              <w:top w:val="nil"/>
              <w:left w:val="nil"/>
              <w:bottom w:val="single" w:sz="12" w:space="0" w:color="000000"/>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4</w:t>
            </w: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single" w:sz="12" w:space="0" w:color="000000"/>
              <w:right w:val="nil"/>
              <w:tl2br w:val="nil"/>
              <w:tr2bl w:val="nil"/>
            </w:tcBorders>
            <w:vAlign w:val="bottom"/>
          </w:tcPr>
          <w:p w:rsidR="0018024C" w:rsidRDefault="0018024C" w:rsidP="0018024C">
            <w:pPr>
              <w:rPr>
                <w:color w:val="000000"/>
                <w:sz w:val="20"/>
              </w:rPr>
            </w:pPr>
          </w:p>
        </w:tc>
        <w:tc>
          <w:tcPr>
            <w:tcW w:w="674" w:type="pct"/>
            <w:tcBorders>
              <w:top w:val="nil"/>
              <w:left w:val="nil"/>
              <w:bottom w:val="single" w:sz="12" w:space="0" w:color="000000"/>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4</w:t>
            </w: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Total current liabilities</w:t>
            </w:r>
          </w:p>
        </w:tc>
        <w:tc>
          <w:tcPr>
            <w:tcW w:w="134" w:type="pct"/>
            <w:tcBorders>
              <w:top w:val="single" w:sz="0" w:space="0" w:color="000000"/>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single" w:sz="0" w:space="0" w:color="000000"/>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486</w:t>
            </w: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single" w:sz="0" w:space="0" w:color="000000"/>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single" w:sz="0" w:space="0" w:color="000000"/>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569</w:t>
            </w:r>
          </w:p>
        </w:tc>
      </w:tr>
      <w:tr w:rsidR="0018024C" w:rsidTr="0018024C">
        <w:trPr>
          <w:trHeight w:hRule="exact" w:val="150"/>
        </w:trPr>
        <w:tc>
          <w:tcPr>
            <w:tcW w:w="3200"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vAlign w:val="bottom"/>
          </w:tcPr>
          <w:p w:rsidR="0018024C" w:rsidRDefault="0018024C" w:rsidP="0018024C">
            <w:pPr>
              <w:rPr>
                <w:b/>
                <w:color w:val="000000"/>
                <w:sz w:val="20"/>
              </w:rPr>
            </w:pP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 xml:space="preserve">Long-term obligations: </w:t>
            </w: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3200" w:type="pct"/>
            <w:tcBorders>
              <w:top w:val="nil"/>
              <w:left w:val="nil"/>
              <w:bottom w:val="nil"/>
              <w:right w:val="nil"/>
              <w:tl2br w:val="nil"/>
              <w:tr2bl w:val="nil"/>
            </w:tcBorders>
            <w:vAlign w:val="bottom"/>
          </w:tcPr>
          <w:p w:rsidR="0018024C" w:rsidRDefault="0018024C" w:rsidP="0018024C">
            <w:pPr>
              <w:ind w:left="120"/>
              <w:rPr>
                <w:color w:val="000000"/>
                <w:sz w:val="20"/>
              </w:rPr>
            </w:pPr>
            <w:r>
              <w:rPr>
                <w:color w:val="000000"/>
                <w:sz w:val="20"/>
              </w:rPr>
              <w:t>Long-term debt, net</w:t>
            </w:r>
          </w:p>
        </w:tc>
        <w:tc>
          <w:tcPr>
            <w:tcW w:w="134" w:type="pct"/>
            <w:tcBorders>
              <w:top w:val="nil"/>
              <w:left w:val="nil"/>
              <w:bottom w:val="nil"/>
              <w:right w:val="nil"/>
              <w:tl2br w:val="nil"/>
              <w:tr2bl w:val="nil"/>
            </w:tcBorders>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547</w:t>
            </w: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680</w:t>
            </w: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ind w:left="120"/>
              <w:rPr>
                <w:color w:val="000000"/>
                <w:sz w:val="20"/>
              </w:rPr>
            </w:pPr>
            <w:r>
              <w:rPr>
                <w:color w:val="000000"/>
                <w:sz w:val="20"/>
              </w:rPr>
              <w:t>Operating lease liabilities</w:t>
            </w: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167</w:t>
            </w: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w:t>
            </w:r>
          </w:p>
        </w:tc>
      </w:tr>
      <w:tr w:rsidR="0018024C" w:rsidRPr="00BF754C" w:rsidTr="0018024C">
        <w:trPr>
          <w:trHeight w:hRule="exact" w:val="255"/>
        </w:trPr>
        <w:tc>
          <w:tcPr>
            <w:tcW w:w="3200" w:type="pct"/>
            <w:tcBorders>
              <w:top w:val="nil"/>
              <w:left w:val="nil"/>
              <w:bottom w:val="nil"/>
              <w:right w:val="nil"/>
              <w:tl2br w:val="nil"/>
              <w:tr2bl w:val="nil"/>
            </w:tcBorders>
            <w:vAlign w:val="bottom"/>
          </w:tcPr>
          <w:p w:rsidR="0018024C" w:rsidRPr="00BF754C" w:rsidRDefault="0018024C" w:rsidP="0018024C">
            <w:pPr>
              <w:ind w:left="120"/>
              <w:rPr>
                <w:color w:val="000000"/>
                <w:sz w:val="20"/>
              </w:rPr>
            </w:pPr>
            <w:r w:rsidRPr="00BF754C">
              <w:rPr>
                <w:color w:val="000000"/>
                <w:sz w:val="20"/>
              </w:rPr>
              <w:t>Deferred income taxes</w:t>
            </w:r>
          </w:p>
        </w:tc>
        <w:tc>
          <w:tcPr>
            <w:tcW w:w="134" w:type="pct"/>
            <w:tcBorders>
              <w:top w:val="nil"/>
              <w:left w:val="nil"/>
              <w:bottom w:val="nil"/>
              <w:right w:val="nil"/>
              <w:tl2br w:val="nil"/>
              <w:tr2bl w:val="nil"/>
            </w:tcBorders>
            <w:vAlign w:val="bottom"/>
          </w:tcPr>
          <w:p w:rsidR="0018024C" w:rsidRPr="00BF754C" w:rsidRDefault="0018024C" w:rsidP="0018024C">
            <w:pPr>
              <w:rPr>
                <w:b/>
                <w:color w:val="000000"/>
                <w:sz w:val="20"/>
              </w:rPr>
            </w:pPr>
          </w:p>
        </w:tc>
        <w:tc>
          <w:tcPr>
            <w:tcW w:w="675" w:type="pct"/>
            <w:tcBorders>
              <w:top w:val="nil"/>
              <w:left w:val="nil"/>
              <w:bottom w:val="nil"/>
              <w:right w:val="nil"/>
              <w:tl2br w:val="nil"/>
              <w:tr2bl w:val="nil"/>
            </w:tcBorders>
            <w:vAlign w:val="bottom"/>
          </w:tcPr>
          <w:p w:rsidR="0018024C" w:rsidRPr="00BF754C" w:rsidRDefault="0018024C" w:rsidP="0018024C">
            <w:pPr>
              <w:ind w:right="63"/>
              <w:jc w:val="right"/>
              <w:rPr>
                <w:b/>
                <w:color w:val="000000"/>
                <w:sz w:val="20"/>
              </w:rPr>
            </w:pPr>
            <w:r w:rsidRPr="00BF754C">
              <w:rPr>
                <w:b/>
                <w:color w:val="000000"/>
                <w:sz w:val="20"/>
              </w:rPr>
              <w:t xml:space="preserve"> 91</w:t>
            </w:r>
          </w:p>
        </w:tc>
        <w:tc>
          <w:tcPr>
            <w:tcW w:w="183" w:type="pct"/>
            <w:tcBorders>
              <w:top w:val="nil"/>
              <w:left w:val="nil"/>
              <w:bottom w:val="nil"/>
              <w:right w:val="nil"/>
              <w:tl2br w:val="nil"/>
              <w:tr2bl w:val="nil"/>
            </w:tcBorders>
            <w:vAlign w:val="bottom"/>
          </w:tcPr>
          <w:p w:rsidR="0018024C" w:rsidRPr="00BF75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Pr="00BF754C"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Pr="00BF754C" w:rsidRDefault="0018024C" w:rsidP="0018024C">
            <w:pPr>
              <w:ind w:right="65"/>
              <w:jc w:val="right"/>
              <w:rPr>
                <w:color w:val="000000"/>
                <w:sz w:val="20"/>
              </w:rPr>
            </w:pPr>
            <w:r w:rsidRPr="00BF754C">
              <w:rPr>
                <w:color w:val="000000"/>
                <w:sz w:val="20"/>
              </w:rPr>
              <w:t xml:space="preserve"> 98</w:t>
            </w: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ind w:left="120"/>
              <w:rPr>
                <w:color w:val="000000"/>
                <w:sz w:val="20"/>
              </w:rPr>
            </w:pPr>
            <w:r>
              <w:rPr>
                <w:color w:val="000000"/>
                <w:sz w:val="20"/>
              </w:rPr>
              <w:t>Other liabilities</w:t>
            </w: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37</w:t>
            </w: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40</w:t>
            </w:r>
          </w:p>
        </w:tc>
      </w:tr>
      <w:tr w:rsidR="0018024C" w:rsidTr="0018024C">
        <w:trPr>
          <w:trHeight w:hRule="exact" w:val="150"/>
        </w:trPr>
        <w:tc>
          <w:tcPr>
            <w:tcW w:w="3200" w:type="pct"/>
            <w:tcBorders>
              <w:top w:val="nil"/>
              <w:left w:val="nil"/>
              <w:bottom w:val="nil"/>
              <w:right w:val="nil"/>
              <w:tl2br w:val="nil"/>
              <w:tr2bl w:val="nil"/>
            </w:tcBorders>
            <w:vAlign w:val="bottom"/>
          </w:tcPr>
          <w:p w:rsidR="0018024C" w:rsidRDefault="0018024C" w:rsidP="0018024C">
            <w:pPr>
              <w:ind w:left="120"/>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vAlign w:val="bottom"/>
          </w:tcPr>
          <w:p w:rsidR="0018024C" w:rsidRDefault="0018024C" w:rsidP="0018024C">
            <w:pPr>
              <w:rPr>
                <w:b/>
                <w:color w:val="000000"/>
                <w:sz w:val="20"/>
              </w:rPr>
            </w:pP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Commitments and contingencies</w:t>
            </w: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shd w:val="clear" w:color="auto" w:fill="CCEEFF"/>
            <w:vAlign w:val="bottom"/>
          </w:tcPr>
          <w:p w:rsidR="0018024C" w:rsidRPr="00D44F9E" w:rsidRDefault="0018024C" w:rsidP="0018024C">
            <w:pPr>
              <w:rPr>
                <w:b/>
                <w:color w:val="000000"/>
                <w:sz w:val="20"/>
              </w:rPr>
            </w:pP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nil"/>
              <w:left w:val="nil"/>
              <w:bottom w:val="nil"/>
              <w:right w:val="nil"/>
              <w:tl2br w:val="nil"/>
              <w:tr2bl w:val="nil"/>
            </w:tcBorders>
            <w:shd w:val="clear" w:color="auto" w:fill="CCEEFF"/>
            <w:vAlign w:val="bottom"/>
          </w:tcPr>
          <w:p w:rsidR="0018024C" w:rsidRPr="00D44F9E" w:rsidRDefault="0018024C" w:rsidP="0018024C">
            <w:pPr>
              <w:rPr>
                <w:color w:val="000000"/>
                <w:sz w:val="20"/>
              </w:rPr>
            </w:pPr>
          </w:p>
        </w:tc>
      </w:tr>
      <w:tr w:rsidR="0018024C" w:rsidTr="0018024C">
        <w:trPr>
          <w:trHeight w:hRule="exact" w:val="150"/>
        </w:trPr>
        <w:tc>
          <w:tcPr>
            <w:tcW w:w="3200"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vAlign w:val="bottom"/>
          </w:tcPr>
          <w:p w:rsidR="0018024C" w:rsidRDefault="0018024C" w:rsidP="0018024C">
            <w:pPr>
              <w:rPr>
                <w:b/>
                <w:color w:val="000000"/>
                <w:sz w:val="20"/>
              </w:rPr>
            </w:pP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sidRPr="00D44F9E">
              <w:rPr>
                <w:color w:val="000000"/>
                <w:sz w:val="20"/>
              </w:rPr>
              <w:t>6.5%</w:t>
            </w:r>
            <w:r>
              <w:rPr>
                <w:color w:val="000000"/>
                <w:sz w:val="20"/>
              </w:rPr>
              <w:t xml:space="preserve"> Series A Convertible Perpetual Preferred Stock, </w:t>
            </w:r>
            <w:r w:rsidRPr="00D44F9E">
              <w:rPr>
                <w:color w:val="000000"/>
                <w:sz w:val="20"/>
              </w:rPr>
              <w:t>$0.01</w:t>
            </w:r>
            <w:r>
              <w:rPr>
                <w:color w:val="000000"/>
                <w:sz w:val="20"/>
              </w:rPr>
              <w:t xml:space="preserve"> par value; authorized</w:t>
            </w: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3200"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 xml:space="preserve"> </w:t>
            </w:r>
            <w:r w:rsidRPr="00D44F9E">
              <w:rPr>
                <w:color w:val="000000"/>
                <w:sz w:val="20"/>
              </w:rPr>
              <w:t>363,000</w:t>
            </w:r>
            <w:r>
              <w:rPr>
                <w:color w:val="000000"/>
                <w:sz w:val="20"/>
              </w:rPr>
              <w:t xml:space="preserve"> shares; </w:t>
            </w:r>
            <w:r w:rsidRPr="00D44F9E">
              <w:rPr>
                <w:color w:val="000000"/>
                <w:sz w:val="20"/>
              </w:rPr>
              <w:t>363,000</w:t>
            </w:r>
            <w:r>
              <w:rPr>
                <w:color w:val="000000"/>
                <w:sz w:val="20"/>
              </w:rPr>
              <w:t xml:space="preserve"> shares </w:t>
            </w:r>
            <w:r w:rsidRPr="00FA0568">
              <w:rPr>
                <w:color w:val="000000"/>
                <w:sz w:val="20"/>
              </w:rPr>
              <w:t>issued and outstanding</w:t>
            </w:r>
          </w:p>
        </w:tc>
        <w:tc>
          <w:tcPr>
            <w:tcW w:w="134" w:type="pct"/>
            <w:tcBorders>
              <w:top w:val="nil"/>
              <w:left w:val="nil"/>
              <w:bottom w:val="nil"/>
              <w:right w:val="nil"/>
              <w:tl2br w:val="nil"/>
              <w:tr2bl w:val="nil"/>
            </w:tcBorders>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355</w:t>
            </w: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355</w:t>
            </w:r>
          </w:p>
        </w:tc>
      </w:tr>
      <w:tr w:rsidR="0018024C" w:rsidTr="0018024C">
        <w:trPr>
          <w:trHeight w:hRule="exact" w:val="150"/>
        </w:trPr>
        <w:tc>
          <w:tcPr>
            <w:tcW w:w="320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3200"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 xml:space="preserve">Stockholders' equity: </w:t>
            </w:r>
          </w:p>
        </w:tc>
        <w:tc>
          <w:tcPr>
            <w:tcW w:w="134" w:type="pct"/>
            <w:tcBorders>
              <w:top w:val="nil"/>
              <w:left w:val="nil"/>
              <w:bottom w:val="nil"/>
              <w:right w:val="nil"/>
              <w:tl2br w:val="nil"/>
              <w:tr2bl w:val="nil"/>
            </w:tcBorders>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vAlign w:val="bottom"/>
          </w:tcPr>
          <w:p w:rsidR="0018024C" w:rsidRDefault="0018024C" w:rsidP="0018024C">
            <w:pPr>
              <w:rPr>
                <w:b/>
                <w:color w:val="000000"/>
                <w:sz w:val="20"/>
              </w:rPr>
            </w:pP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ind w:left="120"/>
              <w:rPr>
                <w:color w:val="000000"/>
                <w:sz w:val="20"/>
              </w:rPr>
            </w:pPr>
            <w:r>
              <w:rPr>
                <w:color w:val="000000"/>
                <w:sz w:val="20"/>
              </w:rPr>
              <w:t xml:space="preserve">Common stock, </w:t>
            </w:r>
            <w:r w:rsidRPr="00D44F9E">
              <w:rPr>
                <w:color w:val="000000"/>
                <w:sz w:val="20"/>
              </w:rPr>
              <w:t>$0.01</w:t>
            </w:r>
            <w:r>
              <w:rPr>
                <w:color w:val="000000"/>
                <w:sz w:val="20"/>
              </w:rPr>
              <w:t xml:space="preserve"> par value per share: </w:t>
            </w:r>
            <w:r w:rsidRPr="00D44F9E">
              <w:rPr>
                <w:color w:val="000000"/>
                <w:sz w:val="20"/>
              </w:rPr>
              <w:t>500</w:t>
            </w:r>
            <w:r>
              <w:rPr>
                <w:color w:val="000000"/>
                <w:sz w:val="20"/>
              </w:rPr>
              <w:t xml:space="preserve"> million shares authorized, </w:t>
            </w: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3200" w:type="pct"/>
            <w:tcBorders>
              <w:top w:val="nil"/>
              <w:left w:val="nil"/>
              <w:bottom w:val="nil"/>
              <w:right w:val="nil"/>
              <w:tl2br w:val="nil"/>
              <w:tr2bl w:val="nil"/>
            </w:tcBorders>
            <w:vAlign w:val="bottom"/>
          </w:tcPr>
          <w:p w:rsidR="0018024C" w:rsidRDefault="0018024C" w:rsidP="0018024C">
            <w:pPr>
              <w:ind w:left="120"/>
              <w:rPr>
                <w:color w:val="000000"/>
                <w:sz w:val="20"/>
              </w:rPr>
            </w:pPr>
            <w:r w:rsidRPr="00D44F9E">
              <w:rPr>
                <w:color w:val="000000"/>
                <w:sz w:val="20"/>
              </w:rPr>
              <w:t>105,624,750</w:t>
            </w:r>
            <w:r>
              <w:rPr>
                <w:color w:val="000000"/>
                <w:sz w:val="20"/>
              </w:rPr>
              <w:t xml:space="preserve"> and </w:t>
            </w:r>
            <w:r w:rsidRPr="00D44F9E">
              <w:rPr>
                <w:color w:val="000000"/>
                <w:sz w:val="20"/>
              </w:rPr>
              <w:t>104,953,693</w:t>
            </w:r>
            <w:r>
              <w:rPr>
                <w:color w:val="000000"/>
                <w:sz w:val="20"/>
              </w:rPr>
              <w:t xml:space="preserve"> issued, respectively</w:t>
            </w:r>
          </w:p>
        </w:tc>
        <w:tc>
          <w:tcPr>
            <w:tcW w:w="134" w:type="pct"/>
            <w:tcBorders>
              <w:top w:val="nil"/>
              <w:left w:val="nil"/>
              <w:bottom w:val="nil"/>
              <w:right w:val="nil"/>
              <w:tl2br w:val="nil"/>
              <w:tr2bl w:val="nil"/>
            </w:tcBorders>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1</w:t>
            </w: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1</w:t>
            </w: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ind w:left="120"/>
              <w:rPr>
                <w:color w:val="000000"/>
                <w:sz w:val="20"/>
              </w:rPr>
            </w:pPr>
            <w:r>
              <w:rPr>
                <w:color w:val="000000"/>
                <w:sz w:val="20"/>
              </w:rPr>
              <w:t>Additional paid-in capital</w:t>
            </w: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1,731</w:t>
            </w: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1,721</w:t>
            </w:r>
          </w:p>
        </w:tc>
      </w:tr>
      <w:tr w:rsidR="0018024C" w:rsidTr="0018024C">
        <w:trPr>
          <w:trHeight w:hRule="exact" w:val="255"/>
        </w:trPr>
        <w:tc>
          <w:tcPr>
            <w:tcW w:w="3200" w:type="pct"/>
            <w:tcBorders>
              <w:top w:val="nil"/>
              <w:left w:val="nil"/>
              <w:bottom w:val="nil"/>
              <w:right w:val="nil"/>
              <w:tl2br w:val="nil"/>
              <w:tr2bl w:val="nil"/>
            </w:tcBorders>
            <w:vAlign w:val="bottom"/>
          </w:tcPr>
          <w:p w:rsidR="0018024C" w:rsidRDefault="0018024C" w:rsidP="0018024C">
            <w:pPr>
              <w:ind w:left="120"/>
              <w:rPr>
                <w:color w:val="000000"/>
                <w:sz w:val="20"/>
              </w:rPr>
            </w:pPr>
            <w:r>
              <w:rPr>
                <w:color w:val="000000"/>
                <w:sz w:val="20"/>
              </w:rPr>
              <w:t>Retained deficit</w:t>
            </w:r>
          </w:p>
        </w:tc>
        <w:tc>
          <w:tcPr>
            <w:tcW w:w="134" w:type="pct"/>
            <w:tcBorders>
              <w:top w:val="nil"/>
              <w:left w:val="nil"/>
              <w:bottom w:val="nil"/>
              <w:right w:val="nil"/>
              <w:tl2br w:val="nil"/>
              <w:tr2bl w:val="nil"/>
            </w:tcBorders>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vAlign w:val="bottom"/>
          </w:tcPr>
          <w:p w:rsidR="0018024C" w:rsidRPr="00D44F9E" w:rsidRDefault="0018024C" w:rsidP="0018024C">
            <w:pPr>
              <w:jc w:val="right"/>
              <w:rPr>
                <w:b/>
                <w:color w:val="000000"/>
                <w:sz w:val="20"/>
              </w:rPr>
            </w:pPr>
            <w:r w:rsidRPr="00D44F9E">
              <w:rPr>
                <w:b/>
                <w:color w:val="000000"/>
                <w:sz w:val="20"/>
              </w:rPr>
              <w:t xml:space="preserve"> (483)</w:t>
            </w: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nil"/>
              <w:right w:val="nil"/>
              <w:tl2br w:val="nil"/>
              <w:tr2bl w:val="nil"/>
            </w:tcBorders>
            <w:vAlign w:val="bottom"/>
          </w:tcPr>
          <w:p w:rsidR="0018024C" w:rsidRDefault="0018024C" w:rsidP="0018024C">
            <w:pPr>
              <w:rPr>
                <w:color w:val="000000"/>
                <w:sz w:val="20"/>
              </w:rPr>
            </w:pPr>
          </w:p>
        </w:tc>
        <w:tc>
          <w:tcPr>
            <w:tcW w:w="674" w:type="pct"/>
            <w:tcBorders>
              <w:top w:val="nil"/>
              <w:left w:val="nil"/>
              <w:bottom w:val="nil"/>
              <w:right w:val="nil"/>
              <w:tl2br w:val="nil"/>
              <w:tr2bl w:val="nil"/>
            </w:tcBorders>
            <w:vAlign w:val="bottom"/>
          </w:tcPr>
          <w:p w:rsidR="0018024C" w:rsidRPr="00D44F9E" w:rsidRDefault="0018024C" w:rsidP="0018024C">
            <w:pPr>
              <w:ind w:right="3"/>
              <w:jc w:val="right"/>
              <w:rPr>
                <w:color w:val="000000"/>
                <w:sz w:val="20"/>
              </w:rPr>
            </w:pPr>
            <w:r w:rsidRPr="00D44F9E">
              <w:rPr>
                <w:color w:val="000000"/>
                <w:sz w:val="20"/>
              </w:rPr>
              <w:t xml:space="preserve"> (498)</w:t>
            </w: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ind w:left="120"/>
              <w:rPr>
                <w:color w:val="000000"/>
                <w:sz w:val="20"/>
              </w:rPr>
            </w:pPr>
            <w:r>
              <w:rPr>
                <w:color w:val="000000"/>
                <w:sz w:val="20"/>
              </w:rPr>
              <w:t xml:space="preserve">Treasury stock at cost: </w:t>
            </w:r>
            <w:r w:rsidRPr="00D44F9E">
              <w:rPr>
                <w:color w:val="000000"/>
                <w:sz w:val="20"/>
              </w:rPr>
              <w:t>24,216,330</w:t>
            </w:r>
            <w:r>
              <w:rPr>
                <w:color w:val="000000"/>
                <w:sz w:val="20"/>
              </w:rPr>
              <w:t xml:space="preserve"> and </w:t>
            </w:r>
            <w:r w:rsidRPr="00D44F9E">
              <w:rPr>
                <w:color w:val="000000"/>
                <w:sz w:val="20"/>
              </w:rPr>
              <w:t>19,347,839</w:t>
            </w:r>
            <w:r>
              <w:rPr>
                <w:color w:val="000000"/>
                <w:sz w:val="20"/>
              </w:rPr>
              <w:t xml:space="preserve"> shares, respectively</w:t>
            </w:r>
          </w:p>
        </w:tc>
        <w:tc>
          <w:tcPr>
            <w:tcW w:w="134"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nil"/>
              <w:left w:val="nil"/>
              <w:bottom w:val="nil"/>
              <w:right w:val="nil"/>
              <w:tl2br w:val="nil"/>
              <w:tr2bl w:val="nil"/>
            </w:tcBorders>
            <w:shd w:val="clear" w:color="auto" w:fill="CCEEFF"/>
            <w:vAlign w:val="bottom"/>
          </w:tcPr>
          <w:p w:rsidR="0018024C" w:rsidRPr="00D44F9E" w:rsidRDefault="0018024C" w:rsidP="0018024C">
            <w:pPr>
              <w:jc w:val="right"/>
              <w:rPr>
                <w:b/>
                <w:color w:val="000000"/>
                <w:sz w:val="20"/>
              </w:rPr>
            </w:pPr>
            <w:r w:rsidRPr="00D44F9E">
              <w:rPr>
                <w:b/>
                <w:color w:val="000000"/>
                <w:sz w:val="20"/>
              </w:rPr>
              <w:t xml:space="preserve"> (375)</w:t>
            </w: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nil"/>
              <w:left w:val="nil"/>
              <w:bottom w:val="nil"/>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(300)</w:t>
            </w:r>
          </w:p>
        </w:tc>
      </w:tr>
      <w:tr w:rsidR="0018024C" w:rsidTr="0018024C">
        <w:trPr>
          <w:trHeight w:hRule="exact" w:val="255"/>
        </w:trPr>
        <w:tc>
          <w:tcPr>
            <w:tcW w:w="3200" w:type="pct"/>
            <w:tcBorders>
              <w:top w:val="nil"/>
              <w:left w:val="nil"/>
              <w:bottom w:val="nil"/>
              <w:right w:val="nil"/>
              <w:tl2br w:val="nil"/>
              <w:tr2bl w:val="nil"/>
            </w:tcBorders>
            <w:vAlign w:val="bottom"/>
          </w:tcPr>
          <w:p w:rsidR="0018024C" w:rsidRDefault="0018024C" w:rsidP="0018024C">
            <w:pPr>
              <w:ind w:left="120"/>
              <w:rPr>
                <w:color w:val="000000"/>
                <w:sz w:val="20"/>
              </w:rPr>
            </w:pPr>
            <w:r>
              <w:rPr>
                <w:color w:val="000000"/>
                <w:sz w:val="20"/>
              </w:rPr>
              <w:t>Accumulated other comprehensive loss</w:t>
            </w:r>
          </w:p>
        </w:tc>
        <w:tc>
          <w:tcPr>
            <w:tcW w:w="134" w:type="pct"/>
            <w:tcBorders>
              <w:top w:val="nil"/>
              <w:left w:val="nil"/>
              <w:bottom w:val="single" w:sz="12" w:space="0" w:color="000000"/>
              <w:right w:val="nil"/>
              <w:tl2br w:val="nil"/>
              <w:tr2bl w:val="nil"/>
            </w:tcBorders>
            <w:vAlign w:val="bottom"/>
          </w:tcPr>
          <w:p w:rsidR="0018024C" w:rsidRDefault="0018024C" w:rsidP="0018024C">
            <w:pPr>
              <w:rPr>
                <w:b/>
                <w:color w:val="000000"/>
                <w:sz w:val="20"/>
              </w:rPr>
            </w:pPr>
          </w:p>
        </w:tc>
        <w:tc>
          <w:tcPr>
            <w:tcW w:w="675" w:type="pct"/>
            <w:tcBorders>
              <w:top w:val="nil"/>
              <w:left w:val="nil"/>
              <w:bottom w:val="single" w:sz="12" w:space="0" w:color="000000"/>
              <w:right w:val="nil"/>
              <w:tl2br w:val="nil"/>
              <w:tr2bl w:val="nil"/>
            </w:tcBorders>
            <w:vAlign w:val="bottom"/>
          </w:tcPr>
          <w:p w:rsidR="0018024C" w:rsidRPr="00D44F9E" w:rsidRDefault="0018024C" w:rsidP="0018024C">
            <w:pPr>
              <w:jc w:val="right"/>
              <w:rPr>
                <w:b/>
                <w:color w:val="000000"/>
                <w:sz w:val="20"/>
              </w:rPr>
            </w:pPr>
            <w:r w:rsidRPr="00D44F9E">
              <w:rPr>
                <w:b/>
                <w:color w:val="000000"/>
                <w:sz w:val="20"/>
              </w:rPr>
              <w:t xml:space="preserve"> (232)</w:t>
            </w: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nil"/>
              <w:left w:val="nil"/>
              <w:bottom w:val="single" w:sz="12" w:space="0" w:color="000000"/>
              <w:right w:val="nil"/>
              <w:tl2br w:val="nil"/>
              <w:tr2bl w:val="nil"/>
            </w:tcBorders>
            <w:vAlign w:val="bottom"/>
          </w:tcPr>
          <w:p w:rsidR="0018024C" w:rsidRDefault="0018024C" w:rsidP="0018024C">
            <w:pPr>
              <w:rPr>
                <w:color w:val="000000"/>
                <w:sz w:val="20"/>
              </w:rPr>
            </w:pPr>
          </w:p>
        </w:tc>
        <w:tc>
          <w:tcPr>
            <w:tcW w:w="674" w:type="pct"/>
            <w:tcBorders>
              <w:top w:val="nil"/>
              <w:left w:val="nil"/>
              <w:bottom w:val="single" w:sz="12" w:space="0" w:color="000000"/>
              <w:right w:val="nil"/>
              <w:tl2br w:val="nil"/>
              <w:tr2bl w:val="nil"/>
            </w:tcBorders>
            <w:vAlign w:val="bottom"/>
          </w:tcPr>
          <w:p w:rsidR="0018024C" w:rsidRPr="00D44F9E" w:rsidRDefault="0018024C" w:rsidP="0018024C">
            <w:pPr>
              <w:ind w:right="3"/>
              <w:jc w:val="right"/>
              <w:rPr>
                <w:color w:val="000000"/>
                <w:sz w:val="20"/>
              </w:rPr>
            </w:pPr>
            <w:r w:rsidRPr="00D44F9E">
              <w:rPr>
                <w:color w:val="000000"/>
                <w:sz w:val="20"/>
              </w:rPr>
              <w:t xml:space="preserve"> (232)</w:t>
            </w: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single" w:sz="0" w:space="0" w:color="000000"/>
              <w:left w:val="nil"/>
              <w:bottom w:val="single" w:sz="12" w:space="0" w:color="000000"/>
              <w:right w:val="nil"/>
              <w:tl2br w:val="nil"/>
              <w:tr2bl w:val="nil"/>
            </w:tcBorders>
            <w:shd w:val="clear" w:color="auto" w:fill="CCEEFF"/>
            <w:vAlign w:val="bottom"/>
          </w:tcPr>
          <w:p w:rsidR="0018024C" w:rsidRDefault="0018024C" w:rsidP="0018024C">
            <w:pPr>
              <w:rPr>
                <w:b/>
                <w:color w:val="000000"/>
                <w:sz w:val="20"/>
              </w:rPr>
            </w:pPr>
          </w:p>
        </w:tc>
        <w:tc>
          <w:tcPr>
            <w:tcW w:w="675" w:type="pct"/>
            <w:tcBorders>
              <w:top w:val="single" w:sz="0" w:space="0" w:color="000000"/>
              <w:left w:val="nil"/>
              <w:bottom w:val="single" w:sz="12" w:space="0" w:color="000000"/>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642</w:t>
            </w: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single" w:sz="0" w:space="0" w:color="000000"/>
              <w:left w:val="nil"/>
              <w:bottom w:val="single" w:sz="12" w:space="0" w:color="000000"/>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single" w:sz="0" w:space="0" w:color="000000"/>
              <w:left w:val="nil"/>
              <w:bottom w:val="single" w:sz="12" w:space="0" w:color="000000"/>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692</w:t>
            </w:r>
          </w:p>
        </w:tc>
      </w:tr>
      <w:tr w:rsidR="0018024C" w:rsidTr="0018024C">
        <w:trPr>
          <w:trHeight w:hRule="exact" w:val="255"/>
        </w:trPr>
        <w:tc>
          <w:tcPr>
            <w:tcW w:w="3200"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single" w:sz="0" w:space="0" w:color="000000"/>
              <w:left w:val="nil"/>
              <w:bottom w:val="double" w:sz="4" w:space="0" w:color="000000"/>
              <w:right w:val="nil"/>
              <w:tl2br w:val="nil"/>
              <w:tr2bl w:val="nil"/>
            </w:tcBorders>
            <w:vAlign w:val="bottom"/>
          </w:tcPr>
          <w:p w:rsidR="0018024C" w:rsidRDefault="0018024C" w:rsidP="0018024C">
            <w:pPr>
              <w:rPr>
                <w:b/>
                <w:color w:val="000000"/>
                <w:sz w:val="20"/>
              </w:rPr>
            </w:pPr>
            <w:r>
              <w:rPr>
                <w:b/>
                <w:color w:val="000000"/>
                <w:sz w:val="20"/>
              </w:rPr>
              <w:t>$</w:t>
            </w:r>
          </w:p>
        </w:tc>
        <w:tc>
          <w:tcPr>
            <w:tcW w:w="675" w:type="pct"/>
            <w:tcBorders>
              <w:top w:val="single" w:sz="0" w:space="0" w:color="000000"/>
              <w:left w:val="nil"/>
              <w:bottom w:val="double" w:sz="4" w:space="0" w:color="000000"/>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2,325</w:t>
            </w:r>
          </w:p>
        </w:tc>
        <w:tc>
          <w:tcPr>
            <w:tcW w:w="183" w:type="pct"/>
            <w:tcBorders>
              <w:top w:val="nil"/>
              <w:left w:val="nil"/>
              <w:bottom w:val="nil"/>
              <w:right w:val="nil"/>
              <w:tl2br w:val="nil"/>
              <w:tr2bl w:val="nil"/>
            </w:tcBorders>
            <w:vAlign w:val="bottom"/>
          </w:tcPr>
          <w:p w:rsidR="0018024C" w:rsidRDefault="0018024C" w:rsidP="0018024C">
            <w:pPr>
              <w:rPr>
                <w:color w:val="000000"/>
                <w:sz w:val="20"/>
              </w:rPr>
            </w:pPr>
          </w:p>
        </w:tc>
        <w:tc>
          <w:tcPr>
            <w:tcW w:w="134" w:type="pct"/>
            <w:tcBorders>
              <w:top w:val="single" w:sz="0" w:space="0" w:color="000000"/>
              <w:left w:val="nil"/>
              <w:bottom w:val="double" w:sz="4" w:space="0" w:color="000000"/>
              <w:right w:val="nil"/>
              <w:tl2br w:val="nil"/>
              <w:tr2bl w:val="nil"/>
            </w:tcBorders>
            <w:vAlign w:val="bottom"/>
          </w:tcPr>
          <w:p w:rsidR="0018024C" w:rsidRDefault="0018024C" w:rsidP="0018024C">
            <w:pPr>
              <w:rPr>
                <w:color w:val="000000"/>
                <w:sz w:val="20"/>
              </w:rPr>
            </w:pPr>
            <w:r>
              <w:rPr>
                <w:color w:val="000000"/>
                <w:sz w:val="20"/>
              </w:rPr>
              <w:t>$</w:t>
            </w:r>
          </w:p>
        </w:tc>
        <w:tc>
          <w:tcPr>
            <w:tcW w:w="674" w:type="pct"/>
            <w:tcBorders>
              <w:top w:val="single" w:sz="0" w:space="0" w:color="000000"/>
              <w:left w:val="nil"/>
              <w:bottom w:val="double" w:sz="4" w:space="0" w:color="000000"/>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2,434</w:t>
            </w:r>
          </w:p>
        </w:tc>
      </w:tr>
      <w:tr w:rsidR="0018024C" w:rsidTr="0018024C">
        <w:trPr>
          <w:trHeight w:hRule="exact" w:val="255"/>
        </w:trPr>
        <w:tc>
          <w:tcPr>
            <w:tcW w:w="3200" w:type="pct"/>
            <w:tcBorders>
              <w:top w:val="nil"/>
              <w:left w:val="nil"/>
              <w:bottom w:val="nil"/>
              <w:right w:val="nil"/>
              <w:tl2br w:val="nil"/>
              <w:tr2bl w:val="nil"/>
            </w:tcBorders>
            <w:shd w:val="clear" w:color="auto" w:fill="CCEEFF"/>
            <w:vAlign w:val="bottom"/>
          </w:tcPr>
          <w:p w:rsidR="0018024C" w:rsidRDefault="0018024C" w:rsidP="0018024C">
            <w:pPr>
              <w:rPr>
                <w:i/>
                <w:sz w:val="20"/>
              </w:rPr>
            </w:pPr>
            <w:r>
              <w:rPr>
                <w:i/>
                <w:sz w:val="20"/>
              </w:rPr>
              <w:t>See notes to consolidated financial statements.</w:t>
            </w:r>
          </w:p>
        </w:tc>
        <w:tc>
          <w:tcPr>
            <w:tcW w:w="134" w:type="pct"/>
            <w:tcBorders>
              <w:top w:val="double" w:sz="0" w:space="0" w:color="000000"/>
              <w:left w:val="nil"/>
              <w:bottom w:val="nil"/>
              <w:right w:val="nil"/>
              <w:tl2br w:val="nil"/>
              <w:tr2bl w:val="nil"/>
            </w:tcBorders>
            <w:shd w:val="clear" w:color="auto" w:fill="CCEEFF"/>
            <w:vAlign w:val="bottom"/>
          </w:tcPr>
          <w:p w:rsidR="0018024C" w:rsidRDefault="0018024C" w:rsidP="0018024C">
            <w:pPr>
              <w:rPr>
                <w:i/>
                <w:sz w:val="20"/>
              </w:rPr>
            </w:pPr>
          </w:p>
        </w:tc>
        <w:tc>
          <w:tcPr>
            <w:tcW w:w="675" w:type="pct"/>
            <w:tcBorders>
              <w:top w:val="double" w:sz="0" w:space="0" w:color="000000"/>
              <w:left w:val="nil"/>
              <w:bottom w:val="nil"/>
              <w:right w:val="nil"/>
              <w:tl2br w:val="nil"/>
              <w:tr2bl w:val="nil"/>
            </w:tcBorders>
            <w:shd w:val="clear" w:color="auto" w:fill="CCEEFF"/>
            <w:vAlign w:val="bottom"/>
          </w:tcPr>
          <w:p w:rsidR="0018024C" w:rsidRDefault="0018024C" w:rsidP="0018024C">
            <w:pPr>
              <w:rPr>
                <w:color w:val="000000"/>
                <w:sz w:val="20"/>
              </w:rPr>
            </w:pPr>
          </w:p>
        </w:tc>
        <w:tc>
          <w:tcPr>
            <w:tcW w:w="18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4" w:type="pct"/>
            <w:tcBorders>
              <w:top w:val="double" w:sz="0" w:space="0" w:color="000000"/>
              <w:left w:val="nil"/>
              <w:bottom w:val="nil"/>
              <w:right w:val="nil"/>
              <w:tl2br w:val="nil"/>
              <w:tr2bl w:val="nil"/>
            </w:tcBorders>
            <w:shd w:val="clear" w:color="auto" w:fill="CCEEFF"/>
            <w:vAlign w:val="bottom"/>
          </w:tcPr>
          <w:p w:rsidR="0018024C" w:rsidRDefault="0018024C" w:rsidP="0018024C">
            <w:pPr>
              <w:rPr>
                <w:color w:val="000000"/>
                <w:sz w:val="20"/>
              </w:rPr>
            </w:pPr>
          </w:p>
        </w:tc>
        <w:tc>
          <w:tcPr>
            <w:tcW w:w="674" w:type="pct"/>
            <w:tcBorders>
              <w:top w:val="double" w:sz="0" w:space="0" w:color="000000"/>
              <w:left w:val="nil"/>
              <w:bottom w:val="nil"/>
              <w:right w:val="nil"/>
              <w:tl2br w:val="nil"/>
              <w:tr2bl w:val="nil"/>
            </w:tcBorders>
            <w:shd w:val="clear" w:color="auto" w:fill="CCEEFF"/>
            <w:vAlign w:val="bottom"/>
          </w:tcPr>
          <w:p w:rsidR="0018024C" w:rsidRDefault="0018024C" w:rsidP="0018024C">
            <w:pPr>
              <w:rPr>
                <w:color w:val="000000"/>
                <w:sz w:val="20"/>
              </w:rPr>
            </w:pPr>
          </w:p>
        </w:tc>
      </w:tr>
    </w:tbl>
    <w:p w:rsidR="00FC1460" w:rsidRDefault="00FC1460"/>
    <w:p w:rsidR="002C1865" w:rsidRPr="002C1865" w:rsidRDefault="002C1865" w:rsidP="002C1865">
      <w:pPr>
        <w:rPr>
          <w:sz w:val="2"/>
        </w:rPr>
      </w:pPr>
    </w:p>
    <w:p w:rsidR="000121CD" w:rsidRDefault="000121CD">
      <w:pPr>
        <w:rPr>
          <w:sz w:val="2"/>
        </w:rPr>
      </w:pPr>
    </w:p>
    <w:p w:rsidR="000121CD" w:rsidRDefault="000121CD">
      <w:pPr>
        <w:rPr>
          <w:sz w:val="2"/>
        </w:rPr>
      </w:pPr>
    </w:p>
    <w:p w:rsidR="000121CD" w:rsidRDefault="000121CD">
      <w:pPr>
        <w:rPr>
          <w:sz w:val="2"/>
        </w:rPr>
      </w:pPr>
    </w:p>
    <w:p w:rsidR="000121CD" w:rsidRDefault="00590862">
      <w:pPr>
        <w:pStyle w:val="NormalWeb"/>
        <w:keepNext/>
        <w:pageBreakBefore/>
        <w:spacing w:before="0" w:beforeAutospacing="0" w:after="0" w:afterAutospacing="0"/>
      </w:pPr>
      <w:r>
        <w:rPr>
          <w:sz w:val="20"/>
          <w:szCs w:val="20"/>
        </w:rPr>
        <w:lastRenderedPageBreak/>
        <w:t>CONSOLIDATED STATEMENTS OF OPERATIONS</w:t>
      </w:r>
    </w:p>
    <w:p w:rsidR="000121CD" w:rsidRDefault="00590862">
      <w:pPr>
        <w:pStyle w:val="NormalWeb"/>
        <w:spacing w:before="0" w:beforeAutospacing="0" w:after="0" w:afterAutospacing="0"/>
      </w:pPr>
      <w:r>
        <w:rPr>
          <w:sz w:val="20"/>
          <w:szCs w:val="20"/>
        </w:rPr>
        <w:t xml:space="preserve">MRC GLOBAL INC. </w:t>
      </w:r>
    </w:p>
    <w:p w:rsidR="000121CD" w:rsidRDefault="00590862">
      <w:pPr>
        <w:pStyle w:val="NormalWeb"/>
        <w:keepNext/>
        <w:spacing w:before="0" w:beforeAutospacing="0" w:after="0" w:afterAutospacing="0"/>
        <w:rPr>
          <w:i/>
          <w:sz w:val="18"/>
          <w:szCs w:val="18"/>
        </w:rPr>
      </w:pPr>
      <w:r>
        <w:rPr>
          <w:i/>
          <w:sz w:val="18"/>
          <w:szCs w:val="18"/>
        </w:rPr>
        <w:t>(in millions, except per share amounts)</w:t>
      </w:r>
    </w:p>
    <w:p w:rsidR="000121CD" w:rsidRDefault="000121CD">
      <w:pPr>
        <w:pStyle w:val="NormalWeb"/>
        <w:keepNext/>
        <w:spacing w:before="0" w:beforeAutospacing="0" w:after="0" w:afterAutospacing="0"/>
        <w:rPr>
          <w:sz w:val="18"/>
          <w:szCs w:val="18"/>
        </w:rPr>
      </w:pPr>
    </w:p>
    <w:p w:rsidR="000121CD" w:rsidRDefault="000121CD">
      <w:pPr>
        <w:rPr>
          <w:sz w:val="2"/>
        </w:rPr>
      </w:pPr>
    </w:p>
    <w:tbl>
      <w:tblPr>
        <w:tblW w:w="5000" w:type="pct"/>
        <w:tblCellMar>
          <w:left w:w="0" w:type="dxa"/>
          <w:right w:w="0" w:type="dxa"/>
        </w:tblCellMar>
        <w:tblLook w:val="04A0" w:firstRow="1" w:lastRow="0" w:firstColumn="1" w:lastColumn="0" w:noHBand="0" w:noVBand="1"/>
      </w:tblPr>
      <w:tblGrid>
        <w:gridCol w:w="5259"/>
        <w:gridCol w:w="298"/>
        <w:gridCol w:w="1346"/>
        <w:gridCol w:w="203"/>
        <w:gridCol w:w="298"/>
        <w:gridCol w:w="1346"/>
        <w:gridCol w:w="203"/>
        <w:gridCol w:w="298"/>
        <w:gridCol w:w="1346"/>
        <w:gridCol w:w="203"/>
      </w:tblGrid>
      <w:tr w:rsidR="0018024C" w:rsidTr="0018024C">
        <w:trPr>
          <w:trHeight w:hRule="exact" w:val="20"/>
        </w:trPr>
        <w:tc>
          <w:tcPr>
            <w:tcW w:w="2435" w:type="pct"/>
            <w:tcBorders>
              <w:top w:val="nil"/>
              <w:left w:val="nil"/>
              <w:bottom w:val="nil"/>
              <w:right w:val="nil"/>
            </w:tcBorders>
            <w:shd w:val="clear" w:color="auto" w:fill="auto"/>
            <w:vAlign w:val="bottom"/>
          </w:tcPr>
          <w:p w:rsidR="0018024C" w:rsidRDefault="0018024C" w:rsidP="0018024C">
            <w:pPr>
              <w:rPr>
                <w:sz w:val="2"/>
              </w:rPr>
            </w:pPr>
          </w:p>
        </w:tc>
        <w:tc>
          <w:tcPr>
            <w:tcW w:w="138" w:type="pct"/>
            <w:tcBorders>
              <w:top w:val="nil"/>
              <w:left w:val="nil"/>
              <w:bottom w:val="nil"/>
              <w:right w:val="nil"/>
            </w:tcBorders>
            <w:shd w:val="clear" w:color="auto" w:fill="auto"/>
            <w:vAlign w:val="bottom"/>
          </w:tcPr>
          <w:p w:rsidR="0018024C" w:rsidRDefault="0018024C" w:rsidP="0018024C">
            <w:pPr>
              <w:rPr>
                <w:sz w:val="2"/>
              </w:rPr>
            </w:pPr>
          </w:p>
        </w:tc>
        <w:tc>
          <w:tcPr>
            <w:tcW w:w="623" w:type="pct"/>
            <w:tcBorders>
              <w:top w:val="nil"/>
              <w:left w:val="nil"/>
              <w:bottom w:val="nil"/>
              <w:right w:val="nil"/>
            </w:tcBorders>
            <w:shd w:val="clear" w:color="auto" w:fill="auto"/>
            <w:vAlign w:val="bottom"/>
          </w:tcPr>
          <w:p w:rsidR="0018024C" w:rsidRDefault="0018024C" w:rsidP="0018024C">
            <w:pPr>
              <w:rPr>
                <w:sz w:val="2"/>
              </w:rPr>
            </w:pPr>
          </w:p>
        </w:tc>
        <w:tc>
          <w:tcPr>
            <w:tcW w:w="94" w:type="pct"/>
            <w:tcBorders>
              <w:top w:val="nil"/>
              <w:left w:val="nil"/>
              <w:bottom w:val="nil"/>
              <w:right w:val="nil"/>
            </w:tcBorders>
            <w:shd w:val="clear" w:color="auto" w:fill="auto"/>
            <w:vAlign w:val="bottom"/>
          </w:tcPr>
          <w:p w:rsidR="0018024C" w:rsidRDefault="0018024C" w:rsidP="0018024C">
            <w:pPr>
              <w:rPr>
                <w:sz w:val="2"/>
              </w:rPr>
            </w:pPr>
          </w:p>
        </w:tc>
        <w:tc>
          <w:tcPr>
            <w:tcW w:w="138" w:type="pct"/>
            <w:tcBorders>
              <w:top w:val="nil"/>
              <w:left w:val="nil"/>
              <w:bottom w:val="nil"/>
              <w:right w:val="nil"/>
            </w:tcBorders>
            <w:shd w:val="clear" w:color="auto" w:fill="auto"/>
            <w:vAlign w:val="bottom"/>
          </w:tcPr>
          <w:p w:rsidR="0018024C" w:rsidRDefault="0018024C" w:rsidP="0018024C">
            <w:pPr>
              <w:rPr>
                <w:sz w:val="2"/>
              </w:rPr>
            </w:pPr>
          </w:p>
        </w:tc>
        <w:tc>
          <w:tcPr>
            <w:tcW w:w="623" w:type="pct"/>
            <w:tcBorders>
              <w:top w:val="nil"/>
              <w:left w:val="nil"/>
              <w:bottom w:val="nil"/>
              <w:right w:val="nil"/>
            </w:tcBorders>
            <w:shd w:val="clear" w:color="auto" w:fill="auto"/>
            <w:vAlign w:val="bottom"/>
          </w:tcPr>
          <w:p w:rsidR="0018024C" w:rsidRDefault="0018024C" w:rsidP="0018024C">
            <w:pPr>
              <w:rPr>
                <w:sz w:val="2"/>
              </w:rPr>
            </w:pPr>
          </w:p>
        </w:tc>
        <w:tc>
          <w:tcPr>
            <w:tcW w:w="94" w:type="pct"/>
            <w:tcBorders>
              <w:top w:val="nil"/>
              <w:left w:val="nil"/>
              <w:bottom w:val="nil"/>
              <w:right w:val="nil"/>
            </w:tcBorders>
            <w:shd w:val="clear" w:color="auto" w:fill="auto"/>
            <w:vAlign w:val="bottom"/>
          </w:tcPr>
          <w:p w:rsidR="0018024C" w:rsidRDefault="0018024C" w:rsidP="0018024C">
            <w:pPr>
              <w:rPr>
                <w:sz w:val="2"/>
              </w:rPr>
            </w:pPr>
          </w:p>
        </w:tc>
        <w:tc>
          <w:tcPr>
            <w:tcW w:w="138" w:type="pct"/>
            <w:tcBorders>
              <w:top w:val="nil"/>
              <w:left w:val="nil"/>
              <w:bottom w:val="nil"/>
              <w:right w:val="nil"/>
            </w:tcBorders>
            <w:shd w:val="clear" w:color="auto" w:fill="auto"/>
            <w:vAlign w:val="bottom"/>
          </w:tcPr>
          <w:p w:rsidR="0018024C" w:rsidRDefault="0018024C" w:rsidP="0018024C">
            <w:pPr>
              <w:rPr>
                <w:sz w:val="2"/>
              </w:rPr>
            </w:pPr>
          </w:p>
        </w:tc>
        <w:tc>
          <w:tcPr>
            <w:tcW w:w="623" w:type="pct"/>
            <w:tcBorders>
              <w:top w:val="nil"/>
              <w:left w:val="nil"/>
              <w:bottom w:val="nil"/>
              <w:right w:val="nil"/>
            </w:tcBorders>
            <w:shd w:val="clear" w:color="auto" w:fill="auto"/>
            <w:vAlign w:val="bottom"/>
          </w:tcPr>
          <w:p w:rsidR="0018024C" w:rsidRDefault="0018024C" w:rsidP="0018024C">
            <w:pPr>
              <w:rPr>
                <w:sz w:val="2"/>
              </w:rPr>
            </w:pPr>
          </w:p>
        </w:tc>
        <w:tc>
          <w:tcPr>
            <w:tcW w:w="94" w:type="pct"/>
            <w:tcBorders>
              <w:top w:val="nil"/>
              <w:left w:val="nil"/>
              <w:bottom w:val="nil"/>
              <w:right w:val="nil"/>
            </w:tcBorders>
            <w:shd w:val="clear" w:color="auto" w:fill="auto"/>
            <w:vAlign w:val="bottom"/>
          </w:tcPr>
          <w:p w:rsidR="0018024C" w:rsidRDefault="0018024C" w:rsidP="0018024C">
            <w:pPr>
              <w:rPr>
                <w:sz w:val="2"/>
              </w:rPr>
            </w:pPr>
          </w:p>
        </w:tc>
      </w:tr>
      <w:tr w:rsidR="0018024C" w:rsidTr="0018024C">
        <w:trPr>
          <w:trHeight w:hRule="exact" w:val="315"/>
        </w:trPr>
        <w:tc>
          <w:tcPr>
            <w:tcW w:w="2435" w:type="pct"/>
            <w:tcBorders>
              <w:top w:val="nil"/>
              <w:left w:val="nil"/>
              <w:bottom w:val="nil"/>
              <w:right w:val="nil"/>
              <w:tl2br w:val="nil"/>
              <w:tr2bl w:val="nil"/>
            </w:tcBorders>
            <w:shd w:val="clear" w:color="auto" w:fill="auto"/>
            <w:vAlign w:val="bottom"/>
          </w:tcPr>
          <w:p w:rsidR="0018024C" w:rsidRDefault="0018024C" w:rsidP="0018024C">
            <w:pPr>
              <w:rPr>
                <w:i/>
                <w:color w:val="000000"/>
                <w:sz w:val="20"/>
              </w:rPr>
            </w:pPr>
          </w:p>
        </w:tc>
        <w:tc>
          <w:tcPr>
            <w:tcW w:w="1" w:type="pct"/>
            <w:gridSpan w:val="9"/>
            <w:tcBorders>
              <w:top w:val="nil"/>
              <w:left w:val="nil"/>
              <w:bottom w:val="single" w:sz="12" w:space="0" w:color="000000"/>
              <w:right w:val="nil"/>
              <w:tl2br w:val="nil"/>
              <w:tr2bl w:val="nil"/>
            </w:tcBorders>
            <w:shd w:val="clear" w:color="auto" w:fill="auto"/>
            <w:vAlign w:val="bottom"/>
          </w:tcPr>
          <w:p w:rsidR="0018024C" w:rsidRDefault="0018024C" w:rsidP="0018024C">
            <w:pPr>
              <w:jc w:val="center"/>
              <w:rPr>
                <w:b/>
                <w:color w:val="000000"/>
                <w:sz w:val="20"/>
              </w:rPr>
            </w:pPr>
            <w:r>
              <w:rPr>
                <w:b/>
                <w:color w:val="000000"/>
                <w:sz w:val="20"/>
              </w:rPr>
              <w:t>Year Ended December 31,</w:t>
            </w:r>
          </w:p>
        </w:tc>
      </w:tr>
      <w:tr w:rsidR="0018024C" w:rsidTr="0018024C">
        <w:trPr>
          <w:trHeight w:hRule="exact" w:val="315"/>
        </w:trPr>
        <w:tc>
          <w:tcPr>
            <w:tcW w:w="2435" w:type="pct"/>
            <w:tcBorders>
              <w:top w:val="nil"/>
              <w:left w:val="nil"/>
              <w:bottom w:val="nil"/>
              <w:right w:val="nil"/>
              <w:tl2br w:val="nil"/>
              <w:tr2bl w:val="nil"/>
            </w:tcBorders>
            <w:shd w:val="clear" w:color="auto" w:fill="auto"/>
            <w:vAlign w:val="bottom"/>
          </w:tcPr>
          <w:p w:rsidR="0018024C" w:rsidRDefault="0018024C" w:rsidP="0018024C">
            <w:pPr>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color w:val="000000"/>
                <w:sz w:val="20"/>
              </w:rPr>
            </w:pPr>
            <w:r>
              <w:rPr>
                <w:b/>
                <w:color w:val="000000"/>
                <w:sz w:val="20"/>
              </w:rPr>
              <w:t>2019</w:t>
            </w:r>
          </w:p>
        </w:tc>
        <w:tc>
          <w:tcPr>
            <w:tcW w:w="94" w:type="pct"/>
            <w:tcBorders>
              <w:top w:val="single" w:sz="0" w:space="0" w:color="000000"/>
              <w:left w:val="nil"/>
              <w:bottom w:val="nil"/>
              <w:right w:val="nil"/>
              <w:tl2br w:val="nil"/>
              <w:tr2bl w:val="nil"/>
            </w:tcBorders>
            <w:shd w:val="clear" w:color="auto" w:fill="auto"/>
            <w:vAlign w:val="bottom"/>
          </w:tcPr>
          <w:p w:rsidR="0018024C" w:rsidRDefault="0018024C" w:rsidP="0018024C">
            <w:pPr>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color w:val="000000"/>
                <w:sz w:val="20"/>
              </w:rPr>
            </w:pPr>
            <w:r>
              <w:rPr>
                <w:b/>
                <w:color w:val="000000"/>
                <w:sz w:val="20"/>
              </w:rPr>
              <w:t xml:space="preserve"> 2018</w:t>
            </w:r>
          </w:p>
        </w:tc>
        <w:tc>
          <w:tcPr>
            <w:tcW w:w="94" w:type="pct"/>
            <w:tcBorders>
              <w:top w:val="single" w:sz="0" w:space="0" w:color="000000"/>
              <w:left w:val="nil"/>
              <w:bottom w:val="nil"/>
              <w:right w:val="nil"/>
              <w:tl2br w:val="nil"/>
              <w:tr2bl w:val="nil"/>
            </w:tcBorders>
            <w:shd w:val="clear" w:color="auto" w:fill="auto"/>
            <w:vAlign w:val="bottom"/>
          </w:tcPr>
          <w:p w:rsidR="0018024C" w:rsidRDefault="0018024C" w:rsidP="0018024C">
            <w:pPr>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color w:val="000000"/>
                <w:sz w:val="20"/>
              </w:rPr>
            </w:pPr>
            <w:r>
              <w:rPr>
                <w:b/>
                <w:color w:val="000000"/>
                <w:sz w:val="20"/>
              </w:rPr>
              <w:t xml:space="preserve"> 2017</w:t>
            </w:r>
          </w:p>
        </w:tc>
        <w:tc>
          <w:tcPr>
            <w:tcW w:w="94" w:type="pct"/>
            <w:tcBorders>
              <w:top w:val="single" w:sz="0" w:space="0" w:color="000000"/>
              <w:left w:val="nil"/>
              <w:bottom w:val="nil"/>
              <w:right w:val="nil"/>
              <w:tl2br w:val="nil"/>
              <w:tr2bl w:val="nil"/>
            </w:tcBorders>
            <w:shd w:val="clear" w:color="auto" w:fill="auto"/>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Sales</w:t>
            </w:r>
          </w:p>
        </w:tc>
        <w:tc>
          <w:tcPr>
            <w:tcW w:w="138"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r>
              <w:rPr>
                <w:b/>
                <w:color w:val="000000"/>
                <w:sz w:val="20"/>
              </w:rPr>
              <w:t>$</w:t>
            </w:r>
          </w:p>
        </w:tc>
        <w:tc>
          <w:tcPr>
            <w:tcW w:w="623" w:type="pct"/>
            <w:tcBorders>
              <w:top w:val="nil"/>
              <w:left w:val="nil"/>
              <w:bottom w:val="nil"/>
              <w:right w:val="nil"/>
              <w:tl2br w:val="nil"/>
              <w:tr2bl w:val="nil"/>
            </w:tcBorders>
            <w:shd w:val="clear" w:color="auto" w:fill="CCEEFF"/>
            <w:vAlign w:val="bottom"/>
          </w:tcPr>
          <w:p w:rsidR="0018024C" w:rsidRPr="009F12CC" w:rsidRDefault="0018024C" w:rsidP="0018024C">
            <w:pPr>
              <w:ind w:right="63"/>
              <w:jc w:val="right"/>
              <w:rPr>
                <w:b/>
                <w:color w:val="000000"/>
                <w:sz w:val="20"/>
              </w:rPr>
            </w:pPr>
            <w:r w:rsidRPr="009F12CC">
              <w:rPr>
                <w:b/>
                <w:color w:val="000000"/>
                <w:sz w:val="20"/>
              </w:rPr>
              <w:t xml:space="preserve"> 3,662</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w:t>
            </w:r>
          </w:p>
        </w:tc>
        <w:tc>
          <w:tcPr>
            <w:tcW w:w="623" w:type="pct"/>
            <w:tcBorders>
              <w:top w:val="nil"/>
              <w:left w:val="nil"/>
              <w:bottom w:val="nil"/>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4,172</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w:t>
            </w:r>
          </w:p>
        </w:tc>
        <w:tc>
          <w:tcPr>
            <w:tcW w:w="623" w:type="pct"/>
            <w:tcBorders>
              <w:top w:val="nil"/>
              <w:left w:val="nil"/>
              <w:bottom w:val="nil"/>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3,646</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 xml:space="preserve">Cost of sales </w:t>
            </w:r>
          </w:p>
        </w:tc>
        <w:tc>
          <w:tcPr>
            <w:tcW w:w="138" w:type="pct"/>
            <w:tcBorders>
              <w:top w:val="nil"/>
              <w:left w:val="nil"/>
              <w:bottom w:val="single" w:sz="12" w:space="0" w:color="000000"/>
              <w:right w:val="nil"/>
              <w:tl2br w:val="nil"/>
              <w:tr2bl w:val="nil"/>
            </w:tcBorders>
            <w:vAlign w:val="bottom"/>
          </w:tcPr>
          <w:p w:rsidR="0018024C" w:rsidRDefault="0018024C" w:rsidP="0018024C">
            <w:pPr>
              <w:rPr>
                <w:b/>
                <w:color w:val="000000"/>
                <w:sz w:val="20"/>
              </w:rPr>
            </w:pPr>
          </w:p>
        </w:tc>
        <w:tc>
          <w:tcPr>
            <w:tcW w:w="623" w:type="pct"/>
            <w:tcBorders>
              <w:top w:val="nil"/>
              <w:left w:val="nil"/>
              <w:bottom w:val="single" w:sz="12" w:space="0" w:color="000000"/>
              <w:right w:val="nil"/>
              <w:tl2br w:val="nil"/>
              <w:tr2bl w:val="nil"/>
            </w:tcBorders>
            <w:vAlign w:val="bottom"/>
          </w:tcPr>
          <w:p w:rsidR="0018024C" w:rsidRPr="009F12CC" w:rsidRDefault="0018024C" w:rsidP="0018024C">
            <w:pPr>
              <w:ind w:right="63"/>
              <w:jc w:val="right"/>
              <w:rPr>
                <w:b/>
                <w:color w:val="000000"/>
                <w:sz w:val="20"/>
              </w:rPr>
            </w:pPr>
            <w:r w:rsidRPr="009F12CC">
              <w:rPr>
                <w:b/>
                <w:color w:val="000000"/>
                <w:sz w:val="20"/>
              </w:rPr>
              <w:t xml:space="preserve"> 3,009</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single" w:sz="12" w:space="0" w:color="000000"/>
              <w:right w:val="nil"/>
              <w:tl2br w:val="nil"/>
              <w:tr2bl w:val="nil"/>
            </w:tcBorders>
            <w:vAlign w:val="bottom"/>
          </w:tcPr>
          <w:p w:rsidR="0018024C" w:rsidRDefault="0018024C" w:rsidP="0018024C">
            <w:pPr>
              <w:rPr>
                <w:color w:val="000000"/>
                <w:sz w:val="20"/>
              </w:rPr>
            </w:pPr>
          </w:p>
        </w:tc>
        <w:tc>
          <w:tcPr>
            <w:tcW w:w="623" w:type="pct"/>
            <w:tcBorders>
              <w:top w:val="nil"/>
              <w:left w:val="nil"/>
              <w:bottom w:val="single" w:sz="12" w:space="0" w:color="000000"/>
              <w:right w:val="nil"/>
              <w:tl2br w:val="nil"/>
              <w:tr2bl w:val="nil"/>
            </w:tcBorders>
            <w:vAlign w:val="bottom"/>
          </w:tcPr>
          <w:p w:rsidR="0018024C" w:rsidRPr="009F12CC" w:rsidRDefault="0018024C" w:rsidP="0018024C">
            <w:pPr>
              <w:ind w:right="65"/>
              <w:jc w:val="right"/>
              <w:rPr>
                <w:color w:val="000000"/>
                <w:sz w:val="20"/>
              </w:rPr>
            </w:pPr>
            <w:r w:rsidRPr="009F12CC">
              <w:rPr>
                <w:color w:val="000000"/>
                <w:sz w:val="20"/>
              </w:rPr>
              <w:t xml:space="preserve"> 3,483</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single" w:sz="12" w:space="0" w:color="000000"/>
              <w:right w:val="nil"/>
              <w:tl2br w:val="nil"/>
              <w:tr2bl w:val="nil"/>
            </w:tcBorders>
            <w:vAlign w:val="bottom"/>
          </w:tcPr>
          <w:p w:rsidR="0018024C" w:rsidRDefault="0018024C" w:rsidP="0018024C">
            <w:pPr>
              <w:rPr>
                <w:color w:val="000000"/>
                <w:sz w:val="20"/>
              </w:rPr>
            </w:pPr>
          </w:p>
        </w:tc>
        <w:tc>
          <w:tcPr>
            <w:tcW w:w="623" w:type="pct"/>
            <w:tcBorders>
              <w:top w:val="nil"/>
              <w:left w:val="nil"/>
              <w:bottom w:val="single" w:sz="12" w:space="0" w:color="000000"/>
              <w:right w:val="nil"/>
              <w:tl2br w:val="nil"/>
              <w:tr2bl w:val="nil"/>
            </w:tcBorders>
            <w:vAlign w:val="bottom"/>
          </w:tcPr>
          <w:p w:rsidR="0018024C" w:rsidRPr="009F12CC" w:rsidRDefault="0018024C" w:rsidP="0018024C">
            <w:pPr>
              <w:ind w:right="65"/>
              <w:jc w:val="right"/>
              <w:rPr>
                <w:color w:val="000000"/>
                <w:sz w:val="20"/>
              </w:rPr>
            </w:pPr>
            <w:r w:rsidRPr="009F12CC">
              <w:rPr>
                <w:color w:val="000000"/>
                <w:sz w:val="20"/>
              </w:rPr>
              <w:t xml:space="preserve"> 3,064</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Gross profit</w:t>
            </w:r>
          </w:p>
        </w:tc>
        <w:tc>
          <w:tcPr>
            <w:tcW w:w="138" w:type="pct"/>
            <w:tcBorders>
              <w:top w:val="single" w:sz="0" w:space="0" w:color="000000"/>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18024C" w:rsidRPr="009F12CC" w:rsidRDefault="0018024C" w:rsidP="0018024C">
            <w:pPr>
              <w:ind w:right="63"/>
              <w:jc w:val="right"/>
              <w:rPr>
                <w:b/>
                <w:color w:val="000000"/>
                <w:sz w:val="20"/>
              </w:rPr>
            </w:pPr>
            <w:r w:rsidRPr="009F12CC">
              <w:rPr>
                <w:b/>
                <w:color w:val="000000"/>
                <w:sz w:val="20"/>
              </w:rPr>
              <w:t xml:space="preserve"> 653</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single" w:sz="0" w:space="0" w:color="000000"/>
              <w:left w:val="nil"/>
              <w:bottom w:val="nil"/>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689</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single" w:sz="0" w:space="0" w:color="000000"/>
              <w:left w:val="nil"/>
              <w:bottom w:val="nil"/>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582</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nil"/>
              <w:right w:val="nil"/>
              <w:tl2br w:val="nil"/>
              <w:tr2bl w:val="nil"/>
            </w:tcBorders>
            <w:vAlign w:val="bottom"/>
          </w:tcPr>
          <w:p w:rsidR="0018024C" w:rsidRDefault="0018024C" w:rsidP="0018024C">
            <w:pPr>
              <w:rPr>
                <w:b/>
                <w:color w:val="000000"/>
                <w:sz w:val="20"/>
              </w:rPr>
            </w:pPr>
          </w:p>
        </w:tc>
        <w:tc>
          <w:tcPr>
            <w:tcW w:w="623" w:type="pct"/>
            <w:tcBorders>
              <w:top w:val="nil"/>
              <w:left w:val="nil"/>
              <w:bottom w:val="nil"/>
              <w:right w:val="nil"/>
              <w:tl2br w:val="nil"/>
              <w:tr2bl w:val="nil"/>
            </w:tcBorders>
            <w:vAlign w:val="bottom"/>
          </w:tcPr>
          <w:p w:rsidR="0018024C" w:rsidRDefault="0018024C" w:rsidP="0018024C">
            <w:pPr>
              <w:rPr>
                <w:b/>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nil"/>
              <w:right w:val="nil"/>
              <w:tl2br w:val="nil"/>
              <w:tr2bl w:val="nil"/>
            </w:tcBorders>
            <w:vAlign w:val="bottom"/>
          </w:tcPr>
          <w:p w:rsidR="0018024C" w:rsidRDefault="0018024C" w:rsidP="0018024C">
            <w:pPr>
              <w:rPr>
                <w:color w:val="000000"/>
                <w:sz w:val="20"/>
              </w:rPr>
            </w:pPr>
          </w:p>
        </w:tc>
        <w:tc>
          <w:tcPr>
            <w:tcW w:w="623" w:type="pct"/>
            <w:tcBorders>
              <w:top w:val="nil"/>
              <w:left w:val="nil"/>
              <w:bottom w:val="nil"/>
              <w:right w:val="nil"/>
              <w:tl2br w:val="nil"/>
              <w:tr2bl w:val="nil"/>
            </w:tcBorders>
            <w:vAlign w:val="bottom"/>
          </w:tcPr>
          <w:p w:rsidR="0018024C" w:rsidRDefault="0018024C" w:rsidP="0018024C">
            <w:pPr>
              <w:rPr>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nil"/>
              <w:right w:val="nil"/>
              <w:tl2br w:val="nil"/>
              <w:tr2bl w:val="nil"/>
            </w:tcBorders>
            <w:vAlign w:val="bottom"/>
          </w:tcPr>
          <w:p w:rsidR="0018024C" w:rsidRDefault="0018024C" w:rsidP="0018024C">
            <w:pPr>
              <w:rPr>
                <w:color w:val="000000"/>
                <w:sz w:val="20"/>
              </w:rPr>
            </w:pPr>
          </w:p>
        </w:tc>
        <w:tc>
          <w:tcPr>
            <w:tcW w:w="623" w:type="pct"/>
            <w:tcBorders>
              <w:top w:val="nil"/>
              <w:left w:val="nil"/>
              <w:bottom w:val="nil"/>
              <w:right w:val="nil"/>
              <w:tl2br w:val="nil"/>
              <w:tr2bl w:val="nil"/>
            </w:tcBorders>
            <w:vAlign w:val="bottom"/>
          </w:tcPr>
          <w:p w:rsidR="0018024C" w:rsidRDefault="0018024C" w:rsidP="0018024C">
            <w:pPr>
              <w:rPr>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Selling, general and administrative expenses</w:t>
            </w:r>
          </w:p>
        </w:tc>
        <w:tc>
          <w:tcPr>
            <w:tcW w:w="138" w:type="pct"/>
            <w:tcBorders>
              <w:top w:val="nil"/>
              <w:left w:val="nil"/>
              <w:bottom w:val="single" w:sz="12" w:space="0" w:color="000000"/>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18024C" w:rsidRPr="009F12CC" w:rsidRDefault="0018024C" w:rsidP="0018024C">
            <w:pPr>
              <w:ind w:right="63"/>
              <w:jc w:val="right"/>
              <w:rPr>
                <w:b/>
                <w:color w:val="000000"/>
                <w:sz w:val="20"/>
              </w:rPr>
            </w:pPr>
            <w:r w:rsidRPr="009F12CC">
              <w:rPr>
                <w:b/>
                <w:color w:val="000000"/>
                <w:sz w:val="20"/>
              </w:rPr>
              <w:t xml:space="preserve"> 550</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single" w:sz="12" w:space="0" w:color="000000"/>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562</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single" w:sz="12" w:space="0" w:color="000000"/>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536</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 xml:space="preserve">Operating income </w:t>
            </w:r>
          </w:p>
        </w:tc>
        <w:tc>
          <w:tcPr>
            <w:tcW w:w="138" w:type="pct"/>
            <w:tcBorders>
              <w:top w:val="single" w:sz="0" w:space="0" w:color="000000"/>
              <w:left w:val="nil"/>
              <w:bottom w:val="nil"/>
              <w:right w:val="nil"/>
              <w:tl2br w:val="nil"/>
              <w:tr2bl w:val="nil"/>
            </w:tcBorders>
            <w:vAlign w:val="bottom"/>
          </w:tcPr>
          <w:p w:rsidR="0018024C" w:rsidRDefault="0018024C" w:rsidP="0018024C">
            <w:pPr>
              <w:rPr>
                <w:b/>
                <w:color w:val="000000"/>
                <w:sz w:val="20"/>
              </w:rPr>
            </w:pPr>
          </w:p>
        </w:tc>
        <w:tc>
          <w:tcPr>
            <w:tcW w:w="623" w:type="pct"/>
            <w:tcBorders>
              <w:top w:val="single" w:sz="0" w:space="0" w:color="000000"/>
              <w:left w:val="nil"/>
              <w:bottom w:val="nil"/>
              <w:right w:val="nil"/>
              <w:tl2br w:val="nil"/>
              <w:tr2bl w:val="nil"/>
            </w:tcBorders>
            <w:vAlign w:val="bottom"/>
          </w:tcPr>
          <w:p w:rsidR="0018024C" w:rsidRPr="009F12CC" w:rsidRDefault="0018024C" w:rsidP="0018024C">
            <w:pPr>
              <w:ind w:right="63"/>
              <w:jc w:val="right"/>
              <w:rPr>
                <w:b/>
                <w:color w:val="000000"/>
                <w:sz w:val="20"/>
              </w:rPr>
            </w:pPr>
            <w:r w:rsidRPr="009F12CC">
              <w:rPr>
                <w:b/>
                <w:color w:val="000000"/>
                <w:sz w:val="20"/>
              </w:rPr>
              <w:t xml:space="preserve"> 103</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single" w:sz="0" w:space="0" w:color="000000"/>
              <w:left w:val="nil"/>
              <w:bottom w:val="nil"/>
              <w:right w:val="nil"/>
              <w:tl2br w:val="nil"/>
              <w:tr2bl w:val="nil"/>
            </w:tcBorders>
            <w:vAlign w:val="bottom"/>
          </w:tcPr>
          <w:p w:rsidR="0018024C" w:rsidRDefault="0018024C" w:rsidP="0018024C">
            <w:pPr>
              <w:rPr>
                <w:color w:val="000000"/>
                <w:sz w:val="20"/>
              </w:rPr>
            </w:pPr>
          </w:p>
        </w:tc>
        <w:tc>
          <w:tcPr>
            <w:tcW w:w="623" w:type="pct"/>
            <w:tcBorders>
              <w:top w:val="single" w:sz="0" w:space="0" w:color="000000"/>
              <w:left w:val="nil"/>
              <w:bottom w:val="nil"/>
              <w:right w:val="nil"/>
              <w:tl2br w:val="nil"/>
              <w:tr2bl w:val="nil"/>
            </w:tcBorders>
            <w:vAlign w:val="bottom"/>
          </w:tcPr>
          <w:p w:rsidR="0018024C" w:rsidRPr="009F12CC" w:rsidRDefault="0018024C" w:rsidP="0018024C">
            <w:pPr>
              <w:ind w:right="65"/>
              <w:jc w:val="right"/>
              <w:rPr>
                <w:color w:val="000000"/>
                <w:sz w:val="20"/>
              </w:rPr>
            </w:pPr>
            <w:r w:rsidRPr="009F12CC">
              <w:rPr>
                <w:color w:val="000000"/>
                <w:sz w:val="20"/>
              </w:rPr>
              <w:t xml:space="preserve"> 127</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single" w:sz="0" w:space="0" w:color="000000"/>
              <w:left w:val="nil"/>
              <w:bottom w:val="nil"/>
              <w:right w:val="nil"/>
              <w:tl2br w:val="nil"/>
              <w:tr2bl w:val="nil"/>
            </w:tcBorders>
            <w:vAlign w:val="bottom"/>
          </w:tcPr>
          <w:p w:rsidR="0018024C" w:rsidRDefault="0018024C" w:rsidP="0018024C">
            <w:pPr>
              <w:rPr>
                <w:color w:val="000000"/>
                <w:sz w:val="20"/>
              </w:rPr>
            </w:pPr>
          </w:p>
        </w:tc>
        <w:tc>
          <w:tcPr>
            <w:tcW w:w="623" w:type="pct"/>
            <w:tcBorders>
              <w:top w:val="single" w:sz="0" w:space="0" w:color="000000"/>
              <w:left w:val="nil"/>
              <w:bottom w:val="nil"/>
              <w:right w:val="nil"/>
              <w:tl2br w:val="nil"/>
              <w:tr2bl w:val="nil"/>
            </w:tcBorders>
            <w:vAlign w:val="bottom"/>
          </w:tcPr>
          <w:p w:rsidR="0018024C" w:rsidRPr="009F12CC" w:rsidRDefault="0018024C" w:rsidP="0018024C">
            <w:pPr>
              <w:ind w:right="65"/>
              <w:jc w:val="right"/>
              <w:rPr>
                <w:color w:val="000000"/>
                <w:sz w:val="20"/>
              </w:rPr>
            </w:pPr>
            <w:r w:rsidRPr="009F12CC">
              <w:rPr>
                <w:color w:val="000000"/>
                <w:sz w:val="20"/>
              </w:rPr>
              <w:t xml:space="preserve"> 46</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23"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Other (expense) income:</w:t>
            </w:r>
          </w:p>
        </w:tc>
        <w:tc>
          <w:tcPr>
            <w:tcW w:w="138" w:type="pct"/>
            <w:tcBorders>
              <w:top w:val="nil"/>
              <w:left w:val="nil"/>
              <w:bottom w:val="nil"/>
              <w:right w:val="nil"/>
              <w:tl2br w:val="nil"/>
              <w:tr2bl w:val="nil"/>
            </w:tcBorders>
            <w:vAlign w:val="bottom"/>
          </w:tcPr>
          <w:p w:rsidR="0018024C" w:rsidRDefault="0018024C" w:rsidP="0018024C">
            <w:pPr>
              <w:rPr>
                <w:b/>
                <w:color w:val="000000"/>
                <w:sz w:val="20"/>
              </w:rPr>
            </w:pPr>
          </w:p>
        </w:tc>
        <w:tc>
          <w:tcPr>
            <w:tcW w:w="623" w:type="pct"/>
            <w:tcBorders>
              <w:top w:val="nil"/>
              <w:left w:val="nil"/>
              <w:bottom w:val="nil"/>
              <w:right w:val="nil"/>
              <w:tl2br w:val="nil"/>
              <w:tr2bl w:val="nil"/>
            </w:tcBorders>
            <w:vAlign w:val="bottom"/>
          </w:tcPr>
          <w:p w:rsidR="0018024C" w:rsidRDefault="0018024C" w:rsidP="0018024C">
            <w:pPr>
              <w:rPr>
                <w:b/>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nil"/>
              <w:right w:val="nil"/>
              <w:tl2br w:val="nil"/>
              <w:tr2bl w:val="nil"/>
            </w:tcBorders>
            <w:vAlign w:val="bottom"/>
          </w:tcPr>
          <w:p w:rsidR="0018024C" w:rsidRDefault="0018024C" w:rsidP="0018024C">
            <w:pPr>
              <w:rPr>
                <w:color w:val="000000"/>
                <w:sz w:val="20"/>
              </w:rPr>
            </w:pPr>
          </w:p>
        </w:tc>
        <w:tc>
          <w:tcPr>
            <w:tcW w:w="623" w:type="pct"/>
            <w:tcBorders>
              <w:top w:val="nil"/>
              <w:left w:val="nil"/>
              <w:bottom w:val="nil"/>
              <w:right w:val="nil"/>
              <w:tl2br w:val="nil"/>
              <w:tr2bl w:val="nil"/>
            </w:tcBorders>
            <w:vAlign w:val="bottom"/>
          </w:tcPr>
          <w:p w:rsidR="0018024C" w:rsidRDefault="0018024C" w:rsidP="0018024C">
            <w:pPr>
              <w:rPr>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nil"/>
              <w:right w:val="nil"/>
              <w:tl2br w:val="nil"/>
              <w:tr2bl w:val="nil"/>
            </w:tcBorders>
            <w:vAlign w:val="bottom"/>
          </w:tcPr>
          <w:p w:rsidR="0018024C" w:rsidRDefault="0018024C" w:rsidP="0018024C">
            <w:pPr>
              <w:rPr>
                <w:color w:val="000000"/>
                <w:sz w:val="20"/>
              </w:rPr>
            </w:pPr>
          </w:p>
        </w:tc>
        <w:tc>
          <w:tcPr>
            <w:tcW w:w="623" w:type="pct"/>
            <w:tcBorders>
              <w:top w:val="nil"/>
              <w:left w:val="nil"/>
              <w:bottom w:val="nil"/>
              <w:right w:val="nil"/>
              <w:tl2br w:val="nil"/>
              <w:tr2bl w:val="nil"/>
            </w:tcBorders>
            <w:vAlign w:val="bottom"/>
          </w:tcPr>
          <w:p w:rsidR="0018024C" w:rsidRDefault="0018024C" w:rsidP="0018024C">
            <w:pPr>
              <w:rPr>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 xml:space="preserve">   Interest expense</w:t>
            </w:r>
          </w:p>
        </w:tc>
        <w:tc>
          <w:tcPr>
            <w:tcW w:w="138"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23" w:type="pct"/>
            <w:tcBorders>
              <w:top w:val="nil"/>
              <w:left w:val="nil"/>
              <w:bottom w:val="nil"/>
              <w:right w:val="nil"/>
              <w:tl2br w:val="nil"/>
              <w:tr2bl w:val="nil"/>
            </w:tcBorders>
            <w:shd w:val="clear" w:color="auto" w:fill="CCEEFF"/>
            <w:vAlign w:val="bottom"/>
          </w:tcPr>
          <w:p w:rsidR="0018024C" w:rsidRPr="009F12CC" w:rsidRDefault="0018024C" w:rsidP="0018024C">
            <w:pPr>
              <w:jc w:val="right"/>
              <w:rPr>
                <w:b/>
                <w:color w:val="000000"/>
                <w:sz w:val="20"/>
              </w:rPr>
            </w:pPr>
            <w:r w:rsidRPr="009F12CC">
              <w:rPr>
                <w:b/>
                <w:color w:val="000000"/>
                <w:sz w:val="20"/>
              </w:rPr>
              <w:t xml:space="preserve"> (40)</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nil"/>
              <w:right w:val="nil"/>
              <w:tl2br w:val="nil"/>
              <w:tr2bl w:val="nil"/>
            </w:tcBorders>
            <w:shd w:val="clear" w:color="auto" w:fill="CCEEFF"/>
            <w:vAlign w:val="bottom"/>
          </w:tcPr>
          <w:p w:rsidR="0018024C" w:rsidRPr="009F12CC" w:rsidRDefault="0018024C" w:rsidP="0018024C">
            <w:pPr>
              <w:ind w:right="3"/>
              <w:jc w:val="right"/>
              <w:rPr>
                <w:color w:val="000000"/>
                <w:sz w:val="20"/>
              </w:rPr>
            </w:pPr>
            <w:r w:rsidRPr="009F12CC">
              <w:rPr>
                <w:color w:val="000000"/>
                <w:sz w:val="20"/>
              </w:rPr>
              <w:t xml:space="preserve"> (38)</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nil"/>
              <w:right w:val="nil"/>
              <w:tl2br w:val="nil"/>
              <w:tr2bl w:val="nil"/>
            </w:tcBorders>
            <w:shd w:val="clear" w:color="auto" w:fill="CCEEFF"/>
            <w:vAlign w:val="bottom"/>
          </w:tcPr>
          <w:p w:rsidR="0018024C" w:rsidRPr="009F12CC" w:rsidRDefault="0018024C" w:rsidP="0018024C">
            <w:pPr>
              <w:ind w:right="3"/>
              <w:jc w:val="right"/>
              <w:rPr>
                <w:color w:val="000000"/>
                <w:sz w:val="20"/>
              </w:rPr>
            </w:pPr>
            <w:r w:rsidRPr="009F12CC">
              <w:rPr>
                <w:color w:val="000000"/>
                <w:sz w:val="20"/>
              </w:rPr>
              <w:t xml:space="preserve"> (31)</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 xml:space="preserve">   Write off of debt issuance costs</w:t>
            </w:r>
          </w:p>
        </w:tc>
        <w:tc>
          <w:tcPr>
            <w:tcW w:w="138" w:type="pct"/>
            <w:tcBorders>
              <w:top w:val="nil"/>
              <w:left w:val="nil"/>
              <w:bottom w:val="nil"/>
              <w:right w:val="nil"/>
              <w:tl2br w:val="nil"/>
              <w:tr2bl w:val="nil"/>
            </w:tcBorders>
            <w:vAlign w:val="bottom"/>
          </w:tcPr>
          <w:p w:rsidR="0018024C" w:rsidRDefault="0018024C" w:rsidP="0018024C">
            <w:pPr>
              <w:rPr>
                <w:b/>
                <w:color w:val="000000"/>
                <w:sz w:val="20"/>
              </w:rPr>
            </w:pPr>
          </w:p>
        </w:tc>
        <w:tc>
          <w:tcPr>
            <w:tcW w:w="623" w:type="pct"/>
            <w:tcBorders>
              <w:top w:val="nil"/>
              <w:left w:val="nil"/>
              <w:bottom w:val="nil"/>
              <w:right w:val="nil"/>
              <w:tl2br w:val="nil"/>
              <w:tr2bl w:val="nil"/>
            </w:tcBorders>
            <w:vAlign w:val="bottom"/>
          </w:tcPr>
          <w:p w:rsidR="0018024C" w:rsidRPr="009F12CC" w:rsidRDefault="0018024C" w:rsidP="0018024C">
            <w:pPr>
              <w:ind w:right="63"/>
              <w:jc w:val="right"/>
              <w:rPr>
                <w:b/>
                <w:color w:val="000000"/>
                <w:sz w:val="20"/>
              </w:rPr>
            </w:pPr>
            <w:r w:rsidRPr="009F12CC">
              <w:rPr>
                <w:b/>
                <w:color w:val="000000"/>
                <w:sz w:val="20"/>
              </w:rPr>
              <w:t xml:space="preserve"> -</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nil"/>
              <w:right w:val="nil"/>
              <w:tl2br w:val="nil"/>
              <w:tr2bl w:val="nil"/>
            </w:tcBorders>
            <w:vAlign w:val="bottom"/>
          </w:tcPr>
          <w:p w:rsidR="0018024C" w:rsidRDefault="0018024C" w:rsidP="0018024C">
            <w:pPr>
              <w:rPr>
                <w:color w:val="000000"/>
                <w:sz w:val="20"/>
              </w:rPr>
            </w:pPr>
          </w:p>
        </w:tc>
        <w:tc>
          <w:tcPr>
            <w:tcW w:w="623" w:type="pct"/>
            <w:tcBorders>
              <w:top w:val="nil"/>
              <w:left w:val="nil"/>
              <w:bottom w:val="nil"/>
              <w:right w:val="nil"/>
              <w:tl2br w:val="nil"/>
              <w:tr2bl w:val="nil"/>
            </w:tcBorders>
            <w:vAlign w:val="bottom"/>
          </w:tcPr>
          <w:p w:rsidR="0018024C" w:rsidRPr="009F12CC" w:rsidRDefault="0018024C" w:rsidP="0018024C">
            <w:pPr>
              <w:ind w:right="3"/>
              <w:jc w:val="right"/>
              <w:rPr>
                <w:color w:val="000000"/>
                <w:sz w:val="20"/>
              </w:rPr>
            </w:pPr>
            <w:r w:rsidRPr="009F12CC">
              <w:rPr>
                <w:color w:val="000000"/>
                <w:sz w:val="20"/>
              </w:rPr>
              <w:t xml:space="preserve"> (1)</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nil"/>
              <w:right w:val="nil"/>
              <w:tl2br w:val="nil"/>
              <w:tr2bl w:val="nil"/>
            </w:tcBorders>
            <w:vAlign w:val="bottom"/>
          </w:tcPr>
          <w:p w:rsidR="0018024C" w:rsidRDefault="0018024C" w:rsidP="0018024C">
            <w:pPr>
              <w:rPr>
                <w:color w:val="000000"/>
                <w:sz w:val="20"/>
              </w:rPr>
            </w:pPr>
          </w:p>
        </w:tc>
        <w:tc>
          <w:tcPr>
            <w:tcW w:w="623" w:type="pct"/>
            <w:tcBorders>
              <w:top w:val="nil"/>
              <w:left w:val="nil"/>
              <w:bottom w:val="nil"/>
              <w:right w:val="nil"/>
              <w:tl2br w:val="nil"/>
              <w:tr2bl w:val="nil"/>
            </w:tcBorders>
            <w:vAlign w:val="bottom"/>
          </w:tcPr>
          <w:p w:rsidR="0018024C" w:rsidRPr="009F12CC" w:rsidRDefault="0018024C" w:rsidP="0018024C">
            <w:pPr>
              <w:ind w:right="3"/>
              <w:jc w:val="right"/>
              <w:rPr>
                <w:color w:val="000000"/>
                <w:sz w:val="20"/>
              </w:rPr>
            </w:pPr>
            <w:r w:rsidRPr="009F12CC">
              <w:rPr>
                <w:color w:val="000000"/>
                <w:sz w:val="20"/>
              </w:rPr>
              <w:t xml:space="preserve"> (8)</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 xml:space="preserve">   Other, net</w:t>
            </w:r>
          </w:p>
        </w:tc>
        <w:tc>
          <w:tcPr>
            <w:tcW w:w="138" w:type="pct"/>
            <w:tcBorders>
              <w:top w:val="nil"/>
              <w:left w:val="nil"/>
              <w:bottom w:val="single" w:sz="12" w:space="0" w:color="000000"/>
              <w:right w:val="nil"/>
              <w:tl2br w:val="nil"/>
              <w:tr2bl w:val="nil"/>
            </w:tcBorders>
            <w:shd w:val="clear" w:color="auto" w:fill="CCEEFF"/>
            <w:vAlign w:val="bottom"/>
          </w:tcPr>
          <w:p w:rsidR="0018024C" w:rsidRDefault="0018024C" w:rsidP="0018024C">
            <w:pPr>
              <w:rPr>
                <w:b/>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18024C" w:rsidRPr="009F12CC" w:rsidRDefault="0018024C" w:rsidP="0018024C">
            <w:pPr>
              <w:ind w:right="63"/>
              <w:jc w:val="right"/>
              <w:rPr>
                <w:b/>
                <w:color w:val="000000"/>
                <w:sz w:val="20"/>
              </w:rPr>
            </w:pPr>
            <w:r w:rsidRPr="009F12CC">
              <w:rPr>
                <w:b/>
                <w:color w:val="000000"/>
                <w:sz w:val="20"/>
              </w:rPr>
              <w:t xml:space="preserve"> 3</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single" w:sz="12" w:space="0" w:color="000000"/>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7</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single" w:sz="12" w:space="0" w:color="000000"/>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single" w:sz="12" w:space="0" w:color="000000"/>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vAlign w:val="bottom"/>
          </w:tcPr>
          <w:p w:rsidR="0018024C" w:rsidRDefault="0018024C" w:rsidP="0018024C">
            <w:pPr>
              <w:rPr>
                <w:b/>
                <w:color w:val="000000"/>
                <w:sz w:val="20"/>
              </w:rPr>
            </w:pPr>
          </w:p>
        </w:tc>
        <w:tc>
          <w:tcPr>
            <w:tcW w:w="138" w:type="pct"/>
            <w:tcBorders>
              <w:top w:val="single" w:sz="0" w:space="0" w:color="000000"/>
              <w:left w:val="nil"/>
              <w:bottom w:val="nil"/>
              <w:right w:val="nil"/>
              <w:tl2br w:val="nil"/>
              <w:tr2bl w:val="nil"/>
            </w:tcBorders>
            <w:vAlign w:val="bottom"/>
          </w:tcPr>
          <w:p w:rsidR="0018024C" w:rsidRDefault="0018024C" w:rsidP="0018024C">
            <w:pPr>
              <w:rPr>
                <w:b/>
                <w:color w:val="000000"/>
                <w:sz w:val="20"/>
              </w:rPr>
            </w:pPr>
          </w:p>
        </w:tc>
        <w:tc>
          <w:tcPr>
            <w:tcW w:w="623" w:type="pct"/>
            <w:tcBorders>
              <w:top w:val="single" w:sz="0" w:space="0" w:color="000000"/>
              <w:left w:val="nil"/>
              <w:bottom w:val="nil"/>
              <w:right w:val="nil"/>
              <w:tl2br w:val="nil"/>
              <w:tr2bl w:val="nil"/>
            </w:tcBorders>
            <w:vAlign w:val="bottom"/>
          </w:tcPr>
          <w:p w:rsidR="0018024C" w:rsidRDefault="0018024C" w:rsidP="0018024C">
            <w:pPr>
              <w:rPr>
                <w:b/>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single" w:sz="0" w:space="0" w:color="000000"/>
              <w:left w:val="nil"/>
              <w:bottom w:val="nil"/>
              <w:right w:val="nil"/>
              <w:tl2br w:val="nil"/>
              <w:tr2bl w:val="nil"/>
            </w:tcBorders>
            <w:vAlign w:val="bottom"/>
          </w:tcPr>
          <w:p w:rsidR="0018024C" w:rsidRDefault="0018024C" w:rsidP="0018024C">
            <w:pPr>
              <w:rPr>
                <w:b/>
                <w:color w:val="000000"/>
                <w:sz w:val="20"/>
              </w:rPr>
            </w:pPr>
          </w:p>
        </w:tc>
        <w:tc>
          <w:tcPr>
            <w:tcW w:w="623" w:type="pct"/>
            <w:tcBorders>
              <w:top w:val="single" w:sz="0" w:space="0" w:color="000000"/>
              <w:left w:val="nil"/>
              <w:bottom w:val="nil"/>
              <w:right w:val="nil"/>
              <w:tl2br w:val="nil"/>
              <w:tr2bl w:val="nil"/>
            </w:tcBorders>
            <w:vAlign w:val="bottom"/>
          </w:tcPr>
          <w:p w:rsidR="0018024C" w:rsidRDefault="0018024C" w:rsidP="0018024C">
            <w:pPr>
              <w:rPr>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single" w:sz="0" w:space="0" w:color="000000"/>
              <w:left w:val="nil"/>
              <w:bottom w:val="nil"/>
              <w:right w:val="nil"/>
              <w:tl2br w:val="nil"/>
              <w:tr2bl w:val="nil"/>
            </w:tcBorders>
            <w:vAlign w:val="bottom"/>
          </w:tcPr>
          <w:p w:rsidR="0018024C" w:rsidRDefault="0018024C" w:rsidP="0018024C">
            <w:pPr>
              <w:rPr>
                <w:b/>
                <w:color w:val="000000"/>
                <w:sz w:val="20"/>
              </w:rPr>
            </w:pPr>
          </w:p>
        </w:tc>
        <w:tc>
          <w:tcPr>
            <w:tcW w:w="623" w:type="pct"/>
            <w:tcBorders>
              <w:top w:val="single" w:sz="0" w:space="0" w:color="000000"/>
              <w:left w:val="nil"/>
              <w:bottom w:val="nil"/>
              <w:right w:val="nil"/>
              <w:tl2br w:val="nil"/>
              <w:tr2bl w:val="nil"/>
            </w:tcBorders>
            <w:vAlign w:val="bottom"/>
          </w:tcPr>
          <w:p w:rsidR="0018024C" w:rsidRDefault="0018024C" w:rsidP="0018024C">
            <w:pPr>
              <w:rPr>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Income before income taxes</w:t>
            </w:r>
          </w:p>
        </w:tc>
        <w:tc>
          <w:tcPr>
            <w:tcW w:w="138"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23" w:type="pct"/>
            <w:tcBorders>
              <w:top w:val="nil"/>
              <w:left w:val="nil"/>
              <w:bottom w:val="nil"/>
              <w:right w:val="nil"/>
              <w:tl2br w:val="nil"/>
              <w:tr2bl w:val="nil"/>
            </w:tcBorders>
            <w:shd w:val="clear" w:color="auto" w:fill="CCEEFF"/>
            <w:vAlign w:val="bottom"/>
          </w:tcPr>
          <w:p w:rsidR="0018024C" w:rsidRPr="009F12CC" w:rsidRDefault="0018024C" w:rsidP="0018024C">
            <w:pPr>
              <w:ind w:right="63"/>
              <w:jc w:val="right"/>
              <w:rPr>
                <w:b/>
                <w:color w:val="000000"/>
                <w:sz w:val="20"/>
              </w:rPr>
            </w:pPr>
            <w:r w:rsidRPr="009F12CC">
              <w:rPr>
                <w:b/>
                <w:color w:val="000000"/>
                <w:sz w:val="20"/>
              </w:rPr>
              <w:t xml:space="preserve"> 66</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nil"/>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95</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nil"/>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7</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Income tax expense (benefit)</w:t>
            </w:r>
          </w:p>
        </w:tc>
        <w:tc>
          <w:tcPr>
            <w:tcW w:w="138" w:type="pct"/>
            <w:tcBorders>
              <w:top w:val="nil"/>
              <w:left w:val="nil"/>
              <w:bottom w:val="single" w:sz="12" w:space="0" w:color="000000"/>
              <w:right w:val="nil"/>
              <w:tl2br w:val="nil"/>
              <w:tr2bl w:val="nil"/>
            </w:tcBorders>
            <w:vAlign w:val="bottom"/>
          </w:tcPr>
          <w:p w:rsidR="0018024C" w:rsidRDefault="0018024C" w:rsidP="0018024C">
            <w:pPr>
              <w:rPr>
                <w:b/>
                <w:color w:val="000000"/>
                <w:sz w:val="20"/>
              </w:rPr>
            </w:pPr>
          </w:p>
        </w:tc>
        <w:tc>
          <w:tcPr>
            <w:tcW w:w="623" w:type="pct"/>
            <w:tcBorders>
              <w:top w:val="nil"/>
              <w:left w:val="nil"/>
              <w:bottom w:val="single" w:sz="12" w:space="0" w:color="000000"/>
              <w:right w:val="nil"/>
              <w:tl2br w:val="nil"/>
              <w:tr2bl w:val="nil"/>
            </w:tcBorders>
            <w:vAlign w:val="bottom"/>
          </w:tcPr>
          <w:p w:rsidR="0018024C" w:rsidRPr="009F12CC" w:rsidRDefault="0018024C" w:rsidP="0018024C">
            <w:pPr>
              <w:ind w:right="63"/>
              <w:jc w:val="right"/>
              <w:rPr>
                <w:b/>
                <w:color w:val="000000"/>
                <w:sz w:val="20"/>
              </w:rPr>
            </w:pPr>
            <w:r w:rsidRPr="009F12CC">
              <w:rPr>
                <w:b/>
                <w:color w:val="000000"/>
                <w:sz w:val="20"/>
              </w:rPr>
              <w:t xml:space="preserve"> 27</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single" w:sz="12" w:space="0" w:color="000000"/>
              <w:right w:val="nil"/>
              <w:tl2br w:val="nil"/>
              <w:tr2bl w:val="nil"/>
            </w:tcBorders>
            <w:vAlign w:val="bottom"/>
          </w:tcPr>
          <w:p w:rsidR="0018024C" w:rsidRDefault="0018024C" w:rsidP="0018024C">
            <w:pPr>
              <w:rPr>
                <w:color w:val="000000"/>
                <w:sz w:val="20"/>
              </w:rPr>
            </w:pPr>
          </w:p>
        </w:tc>
        <w:tc>
          <w:tcPr>
            <w:tcW w:w="623" w:type="pct"/>
            <w:tcBorders>
              <w:top w:val="nil"/>
              <w:left w:val="nil"/>
              <w:bottom w:val="single" w:sz="12" w:space="0" w:color="000000"/>
              <w:right w:val="nil"/>
              <w:tl2br w:val="nil"/>
              <w:tr2bl w:val="nil"/>
            </w:tcBorders>
            <w:vAlign w:val="bottom"/>
          </w:tcPr>
          <w:p w:rsidR="0018024C" w:rsidRPr="009F12CC" w:rsidRDefault="0018024C" w:rsidP="0018024C">
            <w:pPr>
              <w:ind w:right="65"/>
              <w:jc w:val="right"/>
              <w:rPr>
                <w:color w:val="000000"/>
                <w:sz w:val="20"/>
              </w:rPr>
            </w:pPr>
            <w:r w:rsidRPr="009F12CC">
              <w:rPr>
                <w:color w:val="000000"/>
                <w:sz w:val="20"/>
              </w:rPr>
              <w:t xml:space="preserve"> 21</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single" w:sz="12" w:space="0" w:color="000000"/>
              <w:right w:val="nil"/>
              <w:tl2br w:val="nil"/>
              <w:tr2bl w:val="nil"/>
            </w:tcBorders>
            <w:vAlign w:val="bottom"/>
          </w:tcPr>
          <w:p w:rsidR="0018024C" w:rsidRDefault="0018024C" w:rsidP="0018024C">
            <w:pPr>
              <w:rPr>
                <w:color w:val="000000"/>
                <w:sz w:val="20"/>
              </w:rPr>
            </w:pPr>
          </w:p>
        </w:tc>
        <w:tc>
          <w:tcPr>
            <w:tcW w:w="623" w:type="pct"/>
            <w:tcBorders>
              <w:top w:val="nil"/>
              <w:left w:val="nil"/>
              <w:bottom w:val="single" w:sz="12" w:space="0" w:color="000000"/>
              <w:right w:val="nil"/>
              <w:tl2br w:val="nil"/>
              <w:tr2bl w:val="nil"/>
            </w:tcBorders>
            <w:vAlign w:val="bottom"/>
          </w:tcPr>
          <w:p w:rsidR="0018024C" w:rsidRPr="009F12CC" w:rsidRDefault="0018024C" w:rsidP="0018024C">
            <w:pPr>
              <w:ind w:right="3"/>
              <w:jc w:val="right"/>
              <w:rPr>
                <w:color w:val="000000"/>
                <w:sz w:val="20"/>
              </w:rPr>
            </w:pPr>
            <w:r w:rsidRPr="009F12CC">
              <w:rPr>
                <w:color w:val="000000"/>
                <w:sz w:val="20"/>
              </w:rPr>
              <w:t xml:space="preserve"> (43)</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Net income</w:t>
            </w:r>
          </w:p>
        </w:tc>
        <w:tc>
          <w:tcPr>
            <w:tcW w:w="138" w:type="pct"/>
            <w:tcBorders>
              <w:top w:val="single" w:sz="0" w:space="0" w:color="000000"/>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18024C" w:rsidRPr="009F12CC" w:rsidRDefault="0018024C" w:rsidP="0018024C">
            <w:pPr>
              <w:ind w:right="63"/>
              <w:jc w:val="right"/>
              <w:rPr>
                <w:b/>
                <w:color w:val="000000"/>
                <w:sz w:val="20"/>
              </w:rPr>
            </w:pPr>
            <w:r w:rsidRPr="009F12CC">
              <w:rPr>
                <w:b/>
                <w:color w:val="000000"/>
                <w:sz w:val="20"/>
              </w:rPr>
              <w:t xml:space="preserve"> 39</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single" w:sz="0" w:space="0" w:color="000000"/>
              <w:left w:val="nil"/>
              <w:bottom w:val="nil"/>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74</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single" w:sz="0" w:space="0" w:color="000000"/>
              <w:left w:val="nil"/>
              <w:bottom w:val="nil"/>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single" w:sz="0" w:space="0" w:color="000000"/>
              <w:left w:val="nil"/>
              <w:bottom w:val="nil"/>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50</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Series A preferred stock dividends</w:t>
            </w:r>
          </w:p>
        </w:tc>
        <w:tc>
          <w:tcPr>
            <w:tcW w:w="138" w:type="pct"/>
            <w:tcBorders>
              <w:top w:val="nil"/>
              <w:left w:val="nil"/>
              <w:bottom w:val="single" w:sz="12" w:space="0" w:color="000000"/>
              <w:right w:val="nil"/>
              <w:tl2br w:val="nil"/>
              <w:tr2bl w:val="nil"/>
            </w:tcBorders>
            <w:vAlign w:val="bottom"/>
          </w:tcPr>
          <w:p w:rsidR="0018024C" w:rsidRDefault="0018024C" w:rsidP="0018024C">
            <w:pPr>
              <w:rPr>
                <w:b/>
                <w:color w:val="000000"/>
                <w:sz w:val="20"/>
              </w:rPr>
            </w:pPr>
          </w:p>
        </w:tc>
        <w:tc>
          <w:tcPr>
            <w:tcW w:w="623" w:type="pct"/>
            <w:tcBorders>
              <w:top w:val="nil"/>
              <w:left w:val="nil"/>
              <w:bottom w:val="single" w:sz="12" w:space="0" w:color="000000"/>
              <w:right w:val="nil"/>
              <w:tl2br w:val="nil"/>
              <w:tr2bl w:val="nil"/>
            </w:tcBorders>
            <w:vAlign w:val="bottom"/>
          </w:tcPr>
          <w:p w:rsidR="0018024C" w:rsidRPr="009F12CC" w:rsidRDefault="0018024C" w:rsidP="0018024C">
            <w:pPr>
              <w:ind w:right="63"/>
              <w:jc w:val="right"/>
              <w:rPr>
                <w:b/>
                <w:color w:val="000000"/>
                <w:sz w:val="20"/>
              </w:rPr>
            </w:pPr>
            <w:r w:rsidRPr="009F12CC">
              <w:rPr>
                <w:b/>
                <w:color w:val="000000"/>
                <w:sz w:val="20"/>
              </w:rPr>
              <w:t xml:space="preserve"> 24</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single" w:sz="12" w:space="0" w:color="000000"/>
              <w:right w:val="nil"/>
              <w:tl2br w:val="nil"/>
              <w:tr2bl w:val="nil"/>
            </w:tcBorders>
            <w:vAlign w:val="bottom"/>
          </w:tcPr>
          <w:p w:rsidR="0018024C" w:rsidRDefault="0018024C" w:rsidP="0018024C">
            <w:pPr>
              <w:rPr>
                <w:color w:val="000000"/>
                <w:sz w:val="20"/>
              </w:rPr>
            </w:pPr>
          </w:p>
        </w:tc>
        <w:tc>
          <w:tcPr>
            <w:tcW w:w="623" w:type="pct"/>
            <w:tcBorders>
              <w:top w:val="nil"/>
              <w:left w:val="nil"/>
              <w:bottom w:val="single" w:sz="12" w:space="0" w:color="000000"/>
              <w:right w:val="nil"/>
              <w:tl2br w:val="nil"/>
              <w:tr2bl w:val="nil"/>
            </w:tcBorders>
            <w:vAlign w:val="bottom"/>
          </w:tcPr>
          <w:p w:rsidR="0018024C" w:rsidRPr="009F12CC" w:rsidRDefault="0018024C" w:rsidP="0018024C">
            <w:pPr>
              <w:ind w:right="65"/>
              <w:jc w:val="right"/>
              <w:rPr>
                <w:color w:val="000000"/>
                <w:sz w:val="20"/>
              </w:rPr>
            </w:pPr>
            <w:r w:rsidRPr="009F12CC">
              <w:rPr>
                <w:color w:val="000000"/>
                <w:sz w:val="20"/>
              </w:rPr>
              <w:t xml:space="preserve"> 24</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single" w:sz="12" w:space="0" w:color="000000"/>
              <w:right w:val="nil"/>
              <w:tl2br w:val="nil"/>
              <w:tr2bl w:val="nil"/>
            </w:tcBorders>
            <w:vAlign w:val="bottom"/>
          </w:tcPr>
          <w:p w:rsidR="0018024C" w:rsidRDefault="0018024C" w:rsidP="0018024C">
            <w:pPr>
              <w:rPr>
                <w:color w:val="000000"/>
                <w:sz w:val="20"/>
              </w:rPr>
            </w:pPr>
          </w:p>
        </w:tc>
        <w:tc>
          <w:tcPr>
            <w:tcW w:w="623" w:type="pct"/>
            <w:tcBorders>
              <w:top w:val="nil"/>
              <w:left w:val="nil"/>
              <w:bottom w:val="single" w:sz="12" w:space="0" w:color="000000"/>
              <w:right w:val="nil"/>
              <w:tl2br w:val="nil"/>
              <w:tr2bl w:val="nil"/>
            </w:tcBorders>
            <w:vAlign w:val="bottom"/>
          </w:tcPr>
          <w:p w:rsidR="0018024C" w:rsidRPr="009F12CC" w:rsidRDefault="0018024C" w:rsidP="0018024C">
            <w:pPr>
              <w:ind w:right="65"/>
              <w:jc w:val="right"/>
              <w:rPr>
                <w:color w:val="000000"/>
                <w:sz w:val="20"/>
              </w:rPr>
            </w:pPr>
            <w:r w:rsidRPr="009F12CC">
              <w:rPr>
                <w:color w:val="000000"/>
                <w:sz w:val="20"/>
              </w:rPr>
              <w:t xml:space="preserve"> 24</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300"/>
        </w:trPr>
        <w:tc>
          <w:tcPr>
            <w:tcW w:w="2435"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Net income attributable to common stockholders</w:t>
            </w:r>
          </w:p>
        </w:tc>
        <w:tc>
          <w:tcPr>
            <w:tcW w:w="138"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rPr>
                <w:b/>
                <w:color w:val="000000"/>
                <w:sz w:val="20"/>
              </w:rPr>
            </w:pPr>
            <w:r>
              <w:rPr>
                <w:b/>
                <w:color w:val="000000"/>
                <w:sz w:val="20"/>
              </w:rPr>
              <w:t>$</w:t>
            </w:r>
          </w:p>
        </w:tc>
        <w:tc>
          <w:tcPr>
            <w:tcW w:w="623" w:type="pct"/>
            <w:tcBorders>
              <w:top w:val="single" w:sz="0" w:space="0" w:color="000000"/>
              <w:left w:val="nil"/>
              <w:bottom w:val="double" w:sz="4" w:space="0" w:color="000000"/>
              <w:right w:val="nil"/>
              <w:tl2br w:val="nil"/>
              <w:tr2bl w:val="nil"/>
            </w:tcBorders>
            <w:shd w:val="clear" w:color="auto" w:fill="CCEEFF"/>
            <w:vAlign w:val="bottom"/>
          </w:tcPr>
          <w:p w:rsidR="0018024C" w:rsidRPr="009F12CC" w:rsidRDefault="0018024C" w:rsidP="0018024C">
            <w:pPr>
              <w:ind w:right="63"/>
              <w:jc w:val="right"/>
              <w:rPr>
                <w:b/>
                <w:color w:val="000000"/>
                <w:sz w:val="20"/>
              </w:rPr>
            </w:pPr>
            <w:r w:rsidRPr="009F12CC">
              <w:rPr>
                <w:b/>
                <w:color w:val="000000"/>
                <w:sz w:val="20"/>
              </w:rPr>
              <w:t xml:space="preserve"> 15</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b/>
                <w:sz w:val="22"/>
              </w:rPr>
            </w:pPr>
          </w:p>
        </w:tc>
        <w:tc>
          <w:tcPr>
            <w:tcW w:w="138"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rPr>
                <w:color w:val="000000"/>
                <w:sz w:val="20"/>
              </w:rPr>
            </w:pPr>
            <w:r>
              <w:rPr>
                <w:color w:val="000000"/>
                <w:sz w:val="20"/>
              </w:rPr>
              <w:t>$</w:t>
            </w:r>
          </w:p>
        </w:tc>
        <w:tc>
          <w:tcPr>
            <w:tcW w:w="623" w:type="pct"/>
            <w:tcBorders>
              <w:top w:val="single" w:sz="0" w:space="0" w:color="000000"/>
              <w:left w:val="nil"/>
              <w:bottom w:val="double" w:sz="4" w:space="0" w:color="000000"/>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50</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sz w:val="22"/>
              </w:rPr>
            </w:pPr>
          </w:p>
        </w:tc>
        <w:tc>
          <w:tcPr>
            <w:tcW w:w="138"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rPr>
                <w:color w:val="000000"/>
                <w:sz w:val="20"/>
              </w:rPr>
            </w:pPr>
            <w:r>
              <w:rPr>
                <w:color w:val="000000"/>
                <w:sz w:val="20"/>
              </w:rPr>
              <w:t>$</w:t>
            </w:r>
          </w:p>
        </w:tc>
        <w:tc>
          <w:tcPr>
            <w:tcW w:w="623" w:type="pct"/>
            <w:tcBorders>
              <w:top w:val="single" w:sz="0" w:space="0" w:color="000000"/>
              <w:left w:val="nil"/>
              <w:bottom w:val="double" w:sz="4" w:space="0" w:color="000000"/>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26</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double" w:sz="0" w:space="0" w:color="000000"/>
              <w:left w:val="nil"/>
              <w:bottom w:val="nil"/>
              <w:right w:val="nil"/>
              <w:tl2br w:val="nil"/>
              <w:tr2bl w:val="nil"/>
            </w:tcBorders>
            <w:vAlign w:val="bottom"/>
          </w:tcPr>
          <w:p w:rsidR="0018024C" w:rsidRDefault="0018024C" w:rsidP="0018024C">
            <w:pPr>
              <w:rPr>
                <w:color w:val="000000"/>
                <w:sz w:val="20"/>
              </w:rPr>
            </w:pPr>
          </w:p>
        </w:tc>
        <w:tc>
          <w:tcPr>
            <w:tcW w:w="623" w:type="pct"/>
            <w:tcBorders>
              <w:top w:val="double" w:sz="0" w:space="0" w:color="000000"/>
              <w:left w:val="nil"/>
              <w:bottom w:val="nil"/>
              <w:right w:val="nil"/>
              <w:tl2br w:val="nil"/>
              <w:tr2bl w:val="nil"/>
            </w:tcBorders>
            <w:vAlign w:val="bottom"/>
          </w:tcPr>
          <w:p w:rsidR="0018024C" w:rsidRDefault="0018024C" w:rsidP="0018024C">
            <w:pPr>
              <w:rPr>
                <w:b/>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double" w:sz="0" w:space="0" w:color="000000"/>
              <w:left w:val="nil"/>
              <w:bottom w:val="nil"/>
              <w:right w:val="nil"/>
              <w:tl2br w:val="nil"/>
              <w:tr2bl w:val="nil"/>
            </w:tcBorders>
            <w:vAlign w:val="bottom"/>
          </w:tcPr>
          <w:p w:rsidR="0018024C" w:rsidRDefault="0018024C" w:rsidP="0018024C">
            <w:pPr>
              <w:rPr>
                <w:color w:val="000000"/>
                <w:sz w:val="20"/>
              </w:rPr>
            </w:pPr>
          </w:p>
        </w:tc>
        <w:tc>
          <w:tcPr>
            <w:tcW w:w="623" w:type="pct"/>
            <w:tcBorders>
              <w:top w:val="double" w:sz="0" w:space="0" w:color="000000"/>
              <w:left w:val="nil"/>
              <w:bottom w:val="nil"/>
              <w:right w:val="nil"/>
              <w:tl2br w:val="nil"/>
              <w:tr2bl w:val="nil"/>
            </w:tcBorders>
            <w:vAlign w:val="bottom"/>
          </w:tcPr>
          <w:p w:rsidR="0018024C" w:rsidRDefault="0018024C" w:rsidP="0018024C">
            <w:pPr>
              <w:rPr>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double" w:sz="0" w:space="0" w:color="000000"/>
              <w:left w:val="nil"/>
              <w:bottom w:val="nil"/>
              <w:right w:val="nil"/>
              <w:tl2br w:val="nil"/>
              <w:tr2bl w:val="nil"/>
            </w:tcBorders>
            <w:vAlign w:val="bottom"/>
          </w:tcPr>
          <w:p w:rsidR="0018024C" w:rsidRDefault="0018024C" w:rsidP="0018024C">
            <w:pPr>
              <w:rPr>
                <w:color w:val="000000"/>
                <w:sz w:val="20"/>
              </w:rPr>
            </w:pPr>
          </w:p>
        </w:tc>
        <w:tc>
          <w:tcPr>
            <w:tcW w:w="623" w:type="pct"/>
            <w:tcBorders>
              <w:top w:val="double" w:sz="0" w:space="0" w:color="000000"/>
              <w:left w:val="nil"/>
              <w:bottom w:val="nil"/>
              <w:right w:val="nil"/>
              <w:tl2br w:val="nil"/>
              <w:tr2bl w:val="nil"/>
            </w:tcBorders>
            <w:vAlign w:val="bottom"/>
          </w:tcPr>
          <w:p w:rsidR="0018024C" w:rsidRDefault="0018024C" w:rsidP="0018024C">
            <w:pPr>
              <w:rPr>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Basic earnings per common share</w:t>
            </w:r>
          </w:p>
        </w:tc>
        <w:tc>
          <w:tcPr>
            <w:tcW w:w="138" w:type="pct"/>
            <w:tcBorders>
              <w:top w:val="nil"/>
              <w:left w:val="nil"/>
              <w:bottom w:val="nil"/>
              <w:right w:val="nil"/>
              <w:tl2br w:val="nil"/>
              <w:tr2bl w:val="nil"/>
            </w:tcBorders>
            <w:vAlign w:val="bottom"/>
          </w:tcPr>
          <w:p w:rsidR="0018024C" w:rsidRDefault="0018024C" w:rsidP="0018024C">
            <w:pPr>
              <w:rPr>
                <w:b/>
                <w:color w:val="000000"/>
                <w:sz w:val="20"/>
              </w:rPr>
            </w:pPr>
            <w:r>
              <w:rPr>
                <w:b/>
                <w:color w:val="000000"/>
                <w:sz w:val="20"/>
              </w:rPr>
              <w:t>$</w:t>
            </w:r>
          </w:p>
        </w:tc>
        <w:tc>
          <w:tcPr>
            <w:tcW w:w="623" w:type="pct"/>
            <w:tcBorders>
              <w:top w:val="nil"/>
              <w:left w:val="nil"/>
              <w:bottom w:val="nil"/>
              <w:right w:val="nil"/>
              <w:tl2br w:val="nil"/>
              <w:tr2bl w:val="nil"/>
            </w:tcBorders>
            <w:vAlign w:val="bottom"/>
          </w:tcPr>
          <w:p w:rsidR="0018024C" w:rsidRPr="009F12CC" w:rsidRDefault="0018024C" w:rsidP="0018024C">
            <w:pPr>
              <w:ind w:right="63"/>
              <w:jc w:val="right"/>
              <w:rPr>
                <w:b/>
                <w:color w:val="000000"/>
                <w:sz w:val="20"/>
              </w:rPr>
            </w:pPr>
            <w:r w:rsidRPr="009F12CC">
              <w:rPr>
                <w:b/>
                <w:color w:val="000000"/>
                <w:sz w:val="20"/>
              </w:rPr>
              <w:t xml:space="preserve"> 0.18</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w:t>
            </w:r>
          </w:p>
        </w:tc>
        <w:tc>
          <w:tcPr>
            <w:tcW w:w="623" w:type="pct"/>
            <w:tcBorders>
              <w:top w:val="nil"/>
              <w:left w:val="nil"/>
              <w:bottom w:val="nil"/>
              <w:right w:val="nil"/>
              <w:tl2br w:val="nil"/>
              <w:tr2bl w:val="nil"/>
            </w:tcBorders>
            <w:vAlign w:val="bottom"/>
          </w:tcPr>
          <w:p w:rsidR="0018024C" w:rsidRPr="009F12CC" w:rsidRDefault="0018024C" w:rsidP="0018024C">
            <w:pPr>
              <w:ind w:right="65"/>
              <w:jc w:val="right"/>
              <w:rPr>
                <w:color w:val="000000"/>
                <w:sz w:val="20"/>
              </w:rPr>
            </w:pPr>
            <w:r w:rsidRPr="009F12CC">
              <w:rPr>
                <w:color w:val="000000"/>
                <w:sz w:val="20"/>
              </w:rPr>
              <w:t xml:space="preserve"> 0.55</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w:t>
            </w:r>
          </w:p>
        </w:tc>
        <w:tc>
          <w:tcPr>
            <w:tcW w:w="623" w:type="pct"/>
            <w:tcBorders>
              <w:top w:val="nil"/>
              <w:left w:val="nil"/>
              <w:bottom w:val="nil"/>
              <w:right w:val="nil"/>
              <w:tl2br w:val="nil"/>
              <w:tr2bl w:val="nil"/>
            </w:tcBorders>
            <w:vAlign w:val="bottom"/>
          </w:tcPr>
          <w:p w:rsidR="0018024C" w:rsidRPr="009F12CC" w:rsidRDefault="0018024C" w:rsidP="0018024C">
            <w:pPr>
              <w:ind w:right="65"/>
              <w:jc w:val="right"/>
              <w:rPr>
                <w:color w:val="000000"/>
                <w:sz w:val="20"/>
              </w:rPr>
            </w:pPr>
            <w:r w:rsidRPr="009F12CC">
              <w:rPr>
                <w:color w:val="000000"/>
                <w:sz w:val="20"/>
              </w:rPr>
              <w:t xml:space="preserve"> 0.28</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Diluted earnings per common share</w:t>
            </w:r>
          </w:p>
        </w:tc>
        <w:tc>
          <w:tcPr>
            <w:tcW w:w="138"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r>
              <w:rPr>
                <w:b/>
                <w:color w:val="000000"/>
                <w:sz w:val="20"/>
              </w:rPr>
              <w:t>$</w:t>
            </w:r>
          </w:p>
        </w:tc>
        <w:tc>
          <w:tcPr>
            <w:tcW w:w="623" w:type="pct"/>
            <w:tcBorders>
              <w:top w:val="nil"/>
              <w:left w:val="nil"/>
              <w:bottom w:val="nil"/>
              <w:right w:val="nil"/>
              <w:tl2br w:val="nil"/>
              <w:tr2bl w:val="nil"/>
            </w:tcBorders>
            <w:shd w:val="clear" w:color="auto" w:fill="CCEEFF"/>
            <w:vAlign w:val="bottom"/>
          </w:tcPr>
          <w:p w:rsidR="0018024C" w:rsidRPr="009F12CC" w:rsidRDefault="0018024C" w:rsidP="0018024C">
            <w:pPr>
              <w:ind w:right="63"/>
              <w:jc w:val="right"/>
              <w:rPr>
                <w:b/>
                <w:color w:val="000000"/>
                <w:sz w:val="20"/>
              </w:rPr>
            </w:pPr>
            <w:r w:rsidRPr="009F12CC">
              <w:rPr>
                <w:b/>
                <w:color w:val="000000"/>
                <w:sz w:val="20"/>
              </w:rPr>
              <w:t xml:space="preserve"> 0.18</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w:t>
            </w:r>
          </w:p>
        </w:tc>
        <w:tc>
          <w:tcPr>
            <w:tcW w:w="623" w:type="pct"/>
            <w:tcBorders>
              <w:top w:val="nil"/>
              <w:left w:val="nil"/>
              <w:bottom w:val="nil"/>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0.54</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w:t>
            </w:r>
          </w:p>
        </w:tc>
        <w:tc>
          <w:tcPr>
            <w:tcW w:w="623" w:type="pct"/>
            <w:tcBorders>
              <w:top w:val="nil"/>
              <w:left w:val="nil"/>
              <w:bottom w:val="nil"/>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0.27</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Weighted-average common shares, basic</w:t>
            </w:r>
          </w:p>
        </w:tc>
        <w:tc>
          <w:tcPr>
            <w:tcW w:w="138" w:type="pct"/>
            <w:tcBorders>
              <w:top w:val="nil"/>
              <w:left w:val="nil"/>
              <w:bottom w:val="nil"/>
              <w:right w:val="nil"/>
              <w:tl2br w:val="nil"/>
              <w:tr2bl w:val="nil"/>
            </w:tcBorders>
            <w:vAlign w:val="bottom"/>
          </w:tcPr>
          <w:p w:rsidR="0018024C" w:rsidRDefault="0018024C" w:rsidP="0018024C">
            <w:pPr>
              <w:rPr>
                <w:color w:val="000000"/>
                <w:sz w:val="20"/>
              </w:rPr>
            </w:pPr>
          </w:p>
        </w:tc>
        <w:tc>
          <w:tcPr>
            <w:tcW w:w="623" w:type="pct"/>
            <w:tcBorders>
              <w:top w:val="nil"/>
              <w:left w:val="nil"/>
              <w:bottom w:val="nil"/>
              <w:right w:val="nil"/>
              <w:tl2br w:val="nil"/>
              <w:tr2bl w:val="nil"/>
            </w:tcBorders>
            <w:vAlign w:val="bottom"/>
          </w:tcPr>
          <w:p w:rsidR="0018024C" w:rsidRPr="009F12CC" w:rsidRDefault="0018024C" w:rsidP="0018024C">
            <w:pPr>
              <w:ind w:right="63"/>
              <w:jc w:val="right"/>
              <w:rPr>
                <w:b/>
                <w:color w:val="000000"/>
                <w:sz w:val="20"/>
              </w:rPr>
            </w:pPr>
            <w:r w:rsidRPr="009F12CC">
              <w:rPr>
                <w:b/>
                <w:color w:val="000000"/>
                <w:sz w:val="20"/>
              </w:rPr>
              <w:t xml:space="preserve"> 83.0</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nil"/>
              <w:right w:val="nil"/>
              <w:tl2br w:val="nil"/>
              <w:tr2bl w:val="nil"/>
            </w:tcBorders>
            <w:vAlign w:val="bottom"/>
          </w:tcPr>
          <w:p w:rsidR="0018024C" w:rsidRDefault="0018024C" w:rsidP="0018024C">
            <w:pPr>
              <w:rPr>
                <w:color w:val="000000"/>
                <w:sz w:val="20"/>
              </w:rPr>
            </w:pPr>
          </w:p>
        </w:tc>
        <w:tc>
          <w:tcPr>
            <w:tcW w:w="623" w:type="pct"/>
            <w:tcBorders>
              <w:top w:val="nil"/>
              <w:left w:val="nil"/>
              <w:bottom w:val="nil"/>
              <w:right w:val="nil"/>
              <w:tl2br w:val="nil"/>
              <w:tr2bl w:val="nil"/>
            </w:tcBorders>
            <w:vAlign w:val="bottom"/>
          </w:tcPr>
          <w:p w:rsidR="0018024C" w:rsidRPr="009F12CC" w:rsidRDefault="0018024C" w:rsidP="0018024C">
            <w:pPr>
              <w:ind w:right="65"/>
              <w:jc w:val="right"/>
              <w:rPr>
                <w:color w:val="000000"/>
                <w:sz w:val="20"/>
              </w:rPr>
            </w:pPr>
            <w:r w:rsidRPr="009F12CC">
              <w:rPr>
                <w:color w:val="000000"/>
                <w:sz w:val="20"/>
              </w:rPr>
              <w:t xml:space="preserve"> 90.1</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38" w:type="pct"/>
            <w:tcBorders>
              <w:top w:val="nil"/>
              <w:left w:val="nil"/>
              <w:bottom w:val="nil"/>
              <w:right w:val="nil"/>
              <w:tl2br w:val="nil"/>
              <w:tr2bl w:val="nil"/>
            </w:tcBorders>
            <w:vAlign w:val="bottom"/>
          </w:tcPr>
          <w:p w:rsidR="0018024C" w:rsidRDefault="0018024C" w:rsidP="0018024C">
            <w:pPr>
              <w:rPr>
                <w:color w:val="000000"/>
                <w:sz w:val="20"/>
              </w:rPr>
            </w:pPr>
          </w:p>
        </w:tc>
        <w:tc>
          <w:tcPr>
            <w:tcW w:w="623" w:type="pct"/>
            <w:tcBorders>
              <w:top w:val="nil"/>
              <w:left w:val="nil"/>
              <w:bottom w:val="nil"/>
              <w:right w:val="nil"/>
              <w:tl2br w:val="nil"/>
              <w:tr2bl w:val="nil"/>
            </w:tcBorders>
            <w:vAlign w:val="bottom"/>
          </w:tcPr>
          <w:p w:rsidR="0018024C" w:rsidRPr="009F12CC" w:rsidRDefault="0018024C" w:rsidP="0018024C">
            <w:pPr>
              <w:ind w:right="65"/>
              <w:jc w:val="right"/>
              <w:rPr>
                <w:color w:val="000000"/>
                <w:sz w:val="20"/>
              </w:rPr>
            </w:pPr>
            <w:r w:rsidRPr="009F12CC">
              <w:rPr>
                <w:color w:val="000000"/>
                <w:sz w:val="20"/>
              </w:rPr>
              <w:t xml:space="preserve"> 94.3</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2435"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Weighted-average common shares, diluted</w:t>
            </w:r>
          </w:p>
        </w:tc>
        <w:tc>
          <w:tcPr>
            <w:tcW w:w="13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nil"/>
              <w:right w:val="nil"/>
              <w:tl2br w:val="nil"/>
              <w:tr2bl w:val="nil"/>
            </w:tcBorders>
            <w:shd w:val="clear" w:color="auto" w:fill="CCEEFF"/>
            <w:vAlign w:val="bottom"/>
          </w:tcPr>
          <w:p w:rsidR="0018024C" w:rsidRPr="009F12CC" w:rsidRDefault="0018024C" w:rsidP="0018024C">
            <w:pPr>
              <w:ind w:right="63"/>
              <w:jc w:val="right"/>
              <w:rPr>
                <w:b/>
                <w:color w:val="000000"/>
                <w:sz w:val="20"/>
              </w:rPr>
            </w:pPr>
            <w:r w:rsidRPr="009F12CC">
              <w:rPr>
                <w:b/>
                <w:color w:val="000000"/>
                <w:sz w:val="20"/>
              </w:rPr>
              <w:t xml:space="preserve"> 83.9</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nil"/>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91.8</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3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623" w:type="pct"/>
            <w:tcBorders>
              <w:top w:val="nil"/>
              <w:left w:val="nil"/>
              <w:bottom w:val="nil"/>
              <w:right w:val="nil"/>
              <w:tl2br w:val="nil"/>
              <w:tr2bl w:val="nil"/>
            </w:tcBorders>
            <w:shd w:val="clear" w:color="auto" w:fill="CCEEFF"/>
            <w:vAlign w:val="bottom"/>
          </w:tcPr>
          <w:p w:rsidR="0018024C" w:rsidRPr="009F12CC" w:rsidRDefault="0018024C" w:rsidP="0018024C">
            <w:pPr>
              <w:ind w:right="65"/>
              <w:jc w:val="right"/>
              <w:rPr>
                <w:color w:val="000000"/>
                <w:sz w:val="20"/>
              </w:rPr>
            </w:pPr>
            <w:r w:rsidRPr="009F12CC">
              <w:rPr>
                <w:color w:val="000000"/>
                <w:sz w:val="20"/>
              </w:rPr>
              <w:t xml:space="preserve"> 95.6</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bl>
    <w:p w:rsidR="000121CD" w:rsidRDefault="0008766F" w:rsidP="0008766F">
      <w:pPr>
        <w:pStyle w:val="NormalWeb"/>
        <w:keepNext/>
        <w:spacing w:before="0" w:beforeAutospacing="0" w:after="0" w:afterAutospacing="0"/>
        <w:rPr>
          <w:i/>
          <w:iCs/>
          <w:sz w:val="20"/>
          <w:szCs w:val="20"/>
        </w:rPr>
      </w:pPr>
      <w:r>
        <w:rPr>
          <w:i/>
          <w:iCs/>
          <w:sz w:val="20"/>
          <w:szCs w:val="20"/>
        </w:rPr>
        <w:t>S</w:t>
      </w:r>
      <w:r w:rsidR="00590862">
        <w:rPr>
          <w:i/>
          <w:iCs/>
          <w:sz w:val="20"/>
          <w:szCs w:val="20"/>
        </w:rPr>
        <w:t xml:space="preserve">ee notes to consolidated financial statements. </w:t>
      </w:r>
    </w:p>
    <w:p w:rsidR="000121CD" w:rsidRDefault="00590862">
      <w:pPr>
        <w:pStyle w:val="NormalWeb"/>
        <w:spacing w:before="180" w:beforeAutospacing="0" w:after="0" w:afterAutospacing="0"/>
        <w:rPr>
          <w:sz w:val="2"/>
          <w:szCs w:val="2"/>
        </w:rPr>
      </w:pPr>
      <w:r>
        <w:rPr>
          <w:sz w:val="2"/>
          <w:szCs w:val="2"/>
        </w:rPr>
        <w:t> </w:t>
      </w:r>
    </w:p>
    <w:p w:rsidR="000121CD" w:rsidRDefault="00590862">
      <w:pPr>
        <w:pStyle w:val="NormalWeb"/>
        <w:keepNext/>
        <w:pageBreakBefore/>
        <w:spacing w:before="0" w:beforeAutospacing="0" w:after="0" w:afterAutospacing="0"/>
      </w:pPr>
      <w:r>
        <w:rPr>
          <w:sz w:val="20"/>
          <w:szCs w:val="20"/>
        </w:rPr>
        <w:lastRenderedPageBreak/>
        <w:t xml:space="preserve">CONSOLIDATED STATEMENTS OF COMPREHENSIVE INCOME </w:t>
      </w:r>
    </w:p>
    <w:p w:rsidR="000121CD" w:rsidRDefault="00590862">
      <w:pPr>
        <w:pStyle w:val="NormalWeb"/>
        <w:spacing w:before="0" w:beforeAutospacing="0" w:after="0" w:afterAutospacing="0"/>
      </w:pPr>
      <w:r>
        <w:rPr>
          <w:sz w:val="20"/>
          <w:szCs w:val="20"/>
        </w:rPr>
        <w:t xml:space="preserve">MRC GLOBAL INC. </w:t>
      </w:r>
    </w:p>
    <w:p w:rsidR="000121CD" w:rsidRDefault="00590862">
      <w:pPr>
        <w:pStyle w:val="NormalWeb"/>
        <w:keepNext/>
        <w:spacing w:before="0" w:beforeAutospacing="0" w:after="0" w:afterAutospacing="0"/>
        <w:rPr>
          <w:i/>
          <w:sz w:val="18"/>
          <w:szCs w:val="18"/>
        </w:rPr>
      </w:pPr>
      <w:r>
        <w:rPr>
          <w:i/>
          <w:sz w:val="18"/>
          <w:szCs w:val="18"/>
        </w:rPr>
        <w:t>(in millions) </w:t>
      </w:r>
    </w:p>
    <w:p w:rsidR="000121CD" w:rsidRDefault="000121CD">
      <w:pPr>
        <w:rPr>
          <w:sz w:val="2"/>
        </w:rPr>
      </w:pPr>
    </w:p>
    <w:tbl>
      <w:tblPr>
        <w:tblW w:w="5000" w:type="pct"/>
        <w:tblCellMar>
          <w:left w:w="0" w:type="dxa"/>
          <w:right w:w="0" w:type="dxa"/>
        </w:tblCellMar>
        <w:tblLook w:val="04A0" w:firstRow="1" w:lastRow="0" w:firstColumn="1" w:lastColumn="0" w:noHBand="0" w:noVBand="1"/>
      </w:tblPr>
      <w:tblGrid>
        <w:gridCol w:w="5643"/>
        <w:gridCol w:w="313"/>
        <w:gridCol w:w="1220"/>
        <w:gridCol w:w="264"/>
        <w:gridCol w:w="313"/>
        <w:gridCol w:w="1220"/>
        <w:gridCol w:w="296"/>
        <w:gridCol w:w="313"/>
        <w:gridCol w:w="1218"/>
      </w:tblGrid>
      <w:tr w:rsidR="0018024C" w:rsidTr="0018024C">
        <w:trPr>
          <w:trHeight w:hRule="exact" w:val="20"/>
        </w:trPr>
        <w:tc>
          <w:tcPr>
            <w:tcW w:w="2612"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45"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565"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22"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45"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565"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37"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45"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565" w:type="pct"/>
            <w:tcBorders>
              <w:top w:val="nil"/>
              <w:left w:val="nil"/>
              <w:bottom w:val="nil"/>
              <w:right w:val="nil"/>
            </w:tcBorders>
            <w:shd w:val="clear" w:color="auto" w:fill="auto"/>
            <w:vAlign w:val="bottom"/>
          </w:tcPr>
          <w:p w:rsidR="0018024C" w:rsidRDefault="0018024C" w:rsidP="0018024C">
            <w:pPr>
              <w:spacing w:before="1" w:after="1"/>
              <w:rPr>
                <w:sz w:val="2"/>
              </w:rPr>
            </w:pPr>
          </w:p>
        </w:tc>
      </w:tr>
      <w:tr w:rsidR="0018024C" w:rsidTr="0018024C">
        <w:trPr>
          <w:trHeight w:hRule="exact" w:val="300"/>
        </w:trPr>
        <w:tc>
          <w:tcPr>
            <w:tcW w:w="2612" w:type="pct"/>
            <w:tcBorders>
              <w:top w:val="nil"/>
              <w:left w:val="nil"/>
              <w:bottom w:val="nil"/>
              <w:right w:val="nil"/>
              <w:tl2br w:val="nil"/>
              <w:tr2bl w:val="nil"/>
            </w:tcBorders>
            <w:shd w:val="clear" w:color="auto" w:fill="auto"/>
            <w:vAlign w:val="bottom"/>
          </w:tcPr>
          <w:p w:rsidR="0018024C" w:rsidRDefault="0018024C" w:rsidP="0018024C">
            <w:pPr>
              <w:spacing w:before="1" w:after="1"/>
              <w:rPr>
                <w:i/>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20"/>
              </w:rPr>
            </w:pPr>
            <w:r>
              <w:rPr>
                <w:b/>
                <w:sz w:val="20"/>
              </w:rPr>
              <w:t>Year Ended December 31,</w:t>
            </w:r>
          </w:p>
        </w:tc>
      </w:tr>
      <w:tr w:rsidR="0018024C" w:rsidTr="0018024C">
        <w:trPr>
          <w:trHeight w:hRule="exact" w:val="300"/>
        </w:trPr>
        <w:tc>
          <w:tcPr>
            <w:tcW w:w="2612"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20"/>
              </w:rPr>
            </w:pPr>
            <w:r>
              <w:rPr>
                <w:b/>
                <w:sz w:val="20"/>
              </w:rPr>
              <w:t>2019</w:t>
            </w:r>
          </w:p>
        </w:tc>
        <w:tc>
          <w:tcPr>
            <w:tcW w:w="122"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20"/>
              </w:rPr>
            </w:pPr>
            <w:r>
              <w:rPr>
                <w:b/>
                <w:sz w:val="20"/>
              </w:rPr>
              <w:t xml:space="preserve"> 2018</w:t>
            </w:r>
          </w:p>
        </w:tc>
        <w:tc>
          <w:tcPr>
            <w:tcW w:w="137"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rPr>
                <w:rFonts w:ascii="Calibri" w:eastAsia="Calibri" w:hAnsi="Calibri" w:cs="Calibri"/>
                <w:sz w:val="22"/>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20"/>
              </w:rPr>
            </w:pPr>
            <w:r>
              <w:rPr>
                <w:b/>
                <w:sz w:val="20"/>
              </w:rPr>
              <w:t xml:space="preserve"> 2017</w:t>
            </w:r>
          </w:p>
        </w:tc>
      </w:tr>
      <w:tr w:rsidR="0018024C" w:rsidTr="0018024C">
        <w:trPr>
          <w:trHeight w:hRule="exact" w:val="300"/>
        </w:trPr>
        <w:tc>
          <w:tcPr>
            <w:tcW w:w="2612"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Net income</w:t>
            </w:r>
          </w:p>
        </w:tc>
        <w:tc>
          <w:tcPr>
            <w:tcW w:w="145"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w:t>
            </w:r>
          </w:p>
        </w:tc>
        <w:tc>
          <w:tcPr>
            <w:tcW w:w="565" w:type="pct"/>
            <w:tcBorders>
              <w:top w:val="single" w:sz="0" w:space="0" w:color="000000"/>
              <w:left w:val="nil"/>
              <w:bottom w:val="nil"/>
              <w:right w:val="nil"/>
              <w:tl2br w:val="nil"/>
              <w:tr2bl w:val="nil"/>
            </w:tcBorders>
            <w:shd w:val="clear" w:color="auto" w:fill="CCEEFF"/>
            <w:vAlign w:val="bottom"/>
          </w:tcPr>
          <w:p w:rsidR="0018024C" w:rsidRPr="00477D8F" w:rsidRDefault="0018024C" w:rsidP="0018024C">
            <w:pPr>
              <w:spacing w:before="1" w:after="1"/>
              <w:ind w:right="63"/>
              <w:jc w:val="right"/>
              <w:rPr>
                <w:b/>
                <w:sz w:val="20"/>
              </w:rPr>
            </w:pPr>
            <w:r w:rsidRPr="00477D8F">
              <w:rPr>
                <w:b/>
                <w:sz w:val="20"/>
              </w:rPr>
              <w:t xml:space="preserve"> 39</w:t>
            </w:r>
          </w:p>
        </w:tc>
        <w:tc>
          <w:tcPr>
            <w:tcW w:w="122"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45"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w:t>
            </w:r>
          </w:p>
        </w:tc>
        <w:tc>
          <w:tcPr>
            <w:tcW w:w="565" w:type="pct"/>
            <w:tcBorders>
              <w:top w:val="single" w:sz="0" w:space="0" w:color="000000"/>
              <w:left w:val="nil"/>
              <w:bottom w:val="nil"/>
              <w:right w:val="nil"/>
              <w:tl2br w:val="nil"/>
              <w:tr2bl w:val="nil"/>
            </w:tcBorders>
            <w:shd w:val="clear" w:color="auto" w:fill="CCEEFF"/>
            <w:vAlign w:val="bottom"/>
          </w:tcPr>
          <w:p w:rsidR="0018024C" w:rsidRPr="00477D8F" w:rsidRDefault="0018024C" w:rsidP="0018024C">
            <w:pPr>
              <w:spacing w:before="1" w:after="1"/>
              <w:ind w:right="65"/>
              <w:jc w:val="right"/>
              <w:rPr>
                <w:sz w:val="20"/>
              </w:rPr>
            </w:pPr>
            <w:r w:rsidRPr="00477D8F">
              <w:rPr>
                <w:sz w:val="20"/>
              </w:rPr>
              <w:t xml:space="preserve"> 74</w:t>
            </w:r>
          </w:p>
        </w:tc>
        <w:tc>
          <w:tcPr>
            <w:tcW w:w="137" w:type="pct"/>
            <w:tcBorders>
              <w:top w:val="nil"/>
              <w:left w:val="nil"/>
              <w:bottom w:val="nil"/>
              <w:right w:val="nil"/>
              <w:tl2br w:val="nil"/>
              <w:tr2bl w:val="nil"/>
            </w:tcBorders>
            <w:shd w:val="clear" w:color="auto" w:fill="CCEEFF"/>
            <w:vAlign w:val="bottom"/>
          </w:tcPr>
          <w:p w:rsidR="0018024C" w:rsidRDefault="0018024C" w:rsidP="0018024C">
            <w:pPr>
              <w:spacing w:before="1" w:after="1"/>
              <w:rPr>
                <w:rFonts w:ascii="Calibri" w:eastAsia="Calibri" w:hAnsi="Calibri" w:cs="Calibri"/>
                <w:sz w:val="22"/>
              </w:rPr>
            </w:pPr>
          </w:p>
        </w:tc>
        <w:tc>
          <w:tcPr>
            <w:tcW w:w="145"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w:t>
            </w:r>
          </w:p>
        </w:tc>
        <w:tc>
          <w:tcPr>
            <w:tcW w:w="565" w:type="pct"/>
            <w:tcBorders>
              <w:top w:val="single" w:sz="0" w:space="0" w:color="000000"/>
              <w:left w:val="nil"/>
              <w:bottom w:val="nil"/>
              <w:right w:val="nil"/>
              <w:tl2br w:val="nil"/>
              <w:tr2bl w:val="nil"/>
            </w:tcBorders>
            <w:shd w:val="clear" w:color="auto" w:fill="CCEEFF"/>
            <w:vAlign w:val="bottom"/>
          </w:tcPr>
          <w:p w:rsidR="0018024C" w:rsidRPr="00477D8F" w:rsidRDefault="0018024C" w:rsidP="0018024C">
            <w:pPr>
              <w:spacing w:before="1" w:after="1"/>
              <w:ind w:right="65"/>
              <w:jc w:val="right"/>
              <w:rPr>
                <w:sz w:val="20"/>
              </w:rPr>
            </w:pPr>
            <w:r w:rsidRPr="00477D8F">
              <w:rPr>
                <w:sz w:val="20"/>
              </w:rPr>
              <w:t xml:space="preserve"> 50</w:t>
            </w:r>
          </w:p>
        </w:tc>
      </w:tr>
      <w:tr w:rsidR="0018024C" w:rsidTr="0018024C">
        <w:trPr>
          <w:trHeight w:hRule="exact" w:val="300"/>
        </w:trPr>
        <w:tc>
          <w:tcPr>
            <w:tcW w:w="2612"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45"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565" w:type="pct"/>
            <w:tcBorders>
              <w:top w:val="nil"/>
              <w:left w:val="nil"/>
              <w:bottom w:val="nil"/>
              <w:right w:val="nil"/>
              <w:tl2br w:val="nil"/>
              <w:tr2bl w:val="nil"/>
            </w:tcBorders>
            <w:vAlign w:val="bottom"/>
          </w:tcPr>
          <w:p w:rsidR="0018024C" w:rsidRDefault="0018024C" w:rsidP="0018024C">
            <w:pPr>
              <w:spacing w:before="1" w:after="1"/>
              <w:rPr>
                <w:b/>
                <w:sz w:val="20"/>
              </w:rPr>
            </w:pPr>
          </w:p>
        </w:tc>
        <w:tc>
          <w:tcPr>
            <w:tcW w:w="122"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45"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565"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37" w:type="pct"/>
            <w:tcBorders>
              <w:top w:val="nil"/>
              <w:left w:val="nil"/>
              <w:bottom w:val="nil"/>
              <w:right w:val="nil"/>
              <w:tl2br w:val="nil"/>
              <w:tr2bl w:val="nil"/>
            </w:tcBorders>
            <w:vAlign w:val="bottom"/>
          </w:tcPr>
          <w:p w:rsidR="0018024C" w:rsidRDefault="0018024C" w:rsidP="0018024C">
            <w:pPr>
              <w:spacing w:before="1" w:after="1"/>
              <w:rPr>
                <w:rFonts w:ascii="Calibri" w:eastAsia="Calibri" w:hAnsi="Calibri" w:cs="Calibri"/>
                <w:sz w:val="22"/>
              </w:rPr>
            </w:pPr>
          </w:p>
        </w:tc>
        <w:tc>
          <w:tcPr>
            <w:tcW w:w="145"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565" w:type="pct"/>
            <w:tcBorders>
              <w:top w:val="nil"/>
              <w:left w:val="nil"/>
              <w:bottom w:val="nil"/>
              <w:right w:val="nil"/>
              <w:tl2br w:val="nil"/>
              <w:tr2bl w:val="nil"/>
            </w:tcBorders>
            <w:vAlign w:val="bottom"/>
          </w:tcPr>
          <w:p w:rsidR="0018024C" w:rsidRDefault="0018024C" w:rsidP="0018024C">
            <w:pPr>
              <w:spacing w:before="1" w:after="1"/>
              <w:rPr>
                <w:sz w:val="20"/>
              </w:rPr>
            </w:pPr>
          </w:p>
        </w:tc>
      </w:tr>
      <w:tr w:rsidR="0018024C" w:rsidTr="0018024C">
        <w:trPr>
          <w:trHeight w:hRule="exact" w:val="300"/>
        </w:trPr>
        <w:tc>
          <w:tcPr>
            <w:tcW w:w="2612"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Other comprehensive income (loss):</w:t>
            </w:r>
          </w:p>
        </w:tc>
        <w:tc>
          <w:tcPr>
            <w:tcW w:w="145"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565" w:type="pct"/>
            <w:tcBorders>
              <w:top w:val="nil"/>
              <w:left w:val="nil"/>
              <w:bottom w:val="nil"/>
              <w:right w:val="nil"/>
              <w:tl2br w:val="nil"/>
              <w:tr2bl w:val="nil"/>
            </w:tcBorders>
            <w:shd w:val="clear" w:color="auto" w:fill="CCEEFF"/>
            <w:vAlign w:val="bottom"/>
          </w:tcPr>
          <w:p w:rsidR="0018024C" w:rsidRDefault="0018024C" w:rsidP="0018024C">
            <w:pPr>
              <w:spacing w:before="1" w:after="1"/>
              <w:rPr>
                <w:rFonts w:ascii="Calibri" w:eastAsia="Calibri" w:hAnsi="Calibri" w:cs="Calibri"/>
                <w:sz w:val="22"/>
              </w:rPr>
            </w:pPr>
          </w:p>
        </w:tc>
        <w:tc>
          <w:tcPr>
            <w:tcW w:w="122" w:type="pct"/>
            <w:tcBorders>
              <w:top w:val="nil"/>
              <w:left w:val="nil"/>
              <w:bottom w:val="nil"/>
              <w:right w:val="nil"/>
              <w:tl2br w:val="nil"/>
              <w:tr2bl w:val="nil"/>
            </w:tcBorders>
            <w:shd w:val="clear" w:color="auto" w:fill="CCEEFF"/>
            <w:vAlign w:val="bottom"/>
          </w:tcPr>
          <w:p w:rsidR="0018024C" w:rsidRDefault="0018024C" w:rsidP="0018024C">
            <w:pPr>
              <w:spacing w:before="1" w:after="1"/>
              <w:rPr>
                <w:rFonts w:ascii="Calibri" w:eastAsia="Calibri" w:hAnsi="Calibri" w:cs="Calibri"/>
                <w:sz w:val="22"/>
              </w:rPr>
            </w:pPr>
          </w:p>
        </w:tc>
        <w:tc>
          <w:tcPr>
            <w:tcW w:w="145"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565" w:type="pct"/>
            <w:tcBorders>
              <w:top w:val="nil"/>
              <w:left w:val="nil"/>
              <w:bottom w:val="nil"/>
              <w:right w:val="nil"/>
              <w:tl2br w:val="nil"/>
              <w:tr2bl w:val="nil"/>
            </w:tcBorders>
            <w:shd w:val="clear" w:color="auto" w:fill="CCEEFF"/>
            <w:vAlign w:val="bottom"/>
          </w:tcPr>
          <w:p w:rsidR="0018024C" w:rsidRDefault="0018024C" w:rsidP="0018024C">
            <w:pPr>
              <w:spacing w:before="1" w:after="1"/>
              <w:rPr>
                <w:rFonts w:ascii="Calibri" w:eastAsia="Calibri" w:hAnsi="Calibri" w:cs="Calibri"/>
                <w:sz w:val="22"/>
              </w:rPr>
            </w:pPr>
          </w:p>
        </w:tc>
        <w:tc>
          <w:tcPr>
            <w:tcW w:w="137" w:type="pct"/>
            <w:tcBorders>
              <w:top w:val="nil"/>
              <w:left w:val="nil"/>
              <w:bottom w:val="nil"/>
              <w:right w:val="nil"/>
              <w:tl2br w:val="nil"/>
              <w:tr2bl w:val="nil"/>
            </w:tcBorders>
            <w:shd w:val="clear" w:color="auto" w:fill="CCEEFF"/>
            <w:vAlign w:val="bottom"/>
          </w:tcPr>
          <w:p w:rsidR="0018024C" w:rsidRDefault="0018024C" w:rsidP="0018024C">
            <w:pPr>
              <w:spacing w:before="1" w:after="1"/>
              <w:rPr>
                <w:rFonts w:ascii="Calibri" w:eastAsia="Calibri" w:hAnsi="Calibri" w:cs="Calibri"/>
                <w:sz w:val="22"/>
              </w:rPr>
            </w:pPr>
          </w:p>
        </w:tc>
        <w:tc>
          <w:tcPr>
            <w:tcW w:w="145"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565" w:type="pct"/>
            <w:tcBorders>
              <w:top w:val="nil"/>
              <w:left w:val="nil"/>
              <w:bottom w:val="nil"/>
              <w:right w:val="nil"/>
              <w:tl2br w:val="nil"/>
              <w:tr2bl w:val="nil"/>
            </w:tcBorders>
            <w:shd w:val="clear" w:color="auto" w:fill="CCEEFF"/>
            <w:vAlign w:val="bottom"/>
          </w:tcPr>
          <w:p w:rsidR="0018024C" w:rsidRDefault="0018024C" w:rsidP="0018024C">
            <w:pPr>
              <w:spacing w:before="1" w:after="1"/>
              <w:rPr>
                <w:rFonts w:ascii="Calibri" w:eastAsia="Calibri" w:hAnsi="Calibri" w:cs="Calibri"/>
                <w:sz w:val="22"/>
              </w:rPr>
            </w:pPr>
          </w:p>
        </w:tc>
      </w:tr>
      <w:tr w:rsidR="0018024C" w:rsidTr="0018024C">
        <w:trPr>
          <w:trHeight w:hRule="exact" w:val="300"/>
        </w:trPr>
        <w:tc>
          <w:tcPr>
            <w:tcW w:w="2612" w:type="pct"/>
            <w:tcBorders>
              <w:top w:val="nil"/>
              <w:left w:val="nil"/>
              <w:bottom w:val="nil"/>
              <w:right w:val="nil"/>
              <w:tl2br w:val="nil"/>
              <w:tr2bl w:val="nil"/>
            </w:tcBorders>
            <w:vAlign w:val="bottom"/>
          </w:tcPr>
          <w:p w:rsidR="0018024C" w:rsidRDefault="0018024C" w:rsidP="0018024C">
            <w:pPr>
              <w:spacing w:before="1" w:after="1"/>
              <w:ind w:left="240"/>
              <w:rPr>
                <w:sz w:val="20"/>
              </w:rPr>
            </w:pPr>
            <w:r>
              <w:rPr>
                <w:sz w:val="20"/>
              </w:rPr>
              <w:t>Foreign currency translation adjustments</w:t>
            </w:r>
          </w:p>
        </w:tc>
        <w:tc>
          <w:tcPr>
            <w:tcW w:w="145" w:type="pct"/>
            <w:tcBorders>
              <w:top w:val="nil"/>
              <w:left w:val="nil"/>
              <w:bottom w:val="nil"/>
              <w:right w:val="nil"/>
              <w:tl2br w:val="nil"/>
              <w:tr2bl w:val="nil"/>
            </w:tcBorders>
            <w:vAlign w:val="bottom"/>
          </w:tcPr>
          <w:p w:rsidR="0018024C" w:rsidRDefault="0018024C" w:rsidP="0018024C">
            <w:pPr>
              <w:spacing w:before="1" w:after="1"/>
              <w:ind w:left="240"/>
              <w:rPr>
                <w:sz w:val="20"/>
              </w:rPr>
            </w:pPr>
          </w:p>
        </w:tc>
        <w:tc>
          <w:tcPr>
            <w:tcW w:w="565" w:type="pct"/>
            <w:tcBorders>
              <w:top w:val="nil"/>
              <w:left w:val="nil"/>
              <w:bottom w:val="nil"/>
              <w:right w:val="nil"/>
              <w:tl2br w:val="nil"/>
              <w:tr2bl w:val="nil"/>
            </w:tcBorders>
            <w:vAlign w:val="bottom"/>
          </w:tcPr>
          <w:p w:rsidR="0018024C" w:rsidRPr="00477D8F" w:rsidRDefault="0018024C" w:rsidP="0018024C">
            <w:pPr>
              <w:spacing w:before="1" w:after="1"/>
              <w:ind w:right="63"/>
              <w:jc w:val="right"/>
              <w:rPr>
                <w:b/>
                <w:sz w:val="20"/>
              </w:rPr>
            </w:pPr>
            <w:r w:rsidRPr="00477D8F">
              <w:rPr>
                <w:b/>
                <w:sz w:val="20"/>
              </w:rPr>
              <w:t xml:space="preserve"> 5</w:t>
            </w:r>
          </w:p>
        </w:tc>
        <w:tc>
          <w:tcPr>
            <w:tcW w:w="122"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45" w:type="pct"/>
            <w:tcBorders>
              <w:top w:val="nil"/>
              <w:left w:val="nil"/>
              <w:bottom w:val="nil"/>
              <w:right w:val="nil"/>
              <w:tl2br w:val="nil"/>
              <w:tr2bl w:val="nil"/>
            </w:tcBorders>
            <w:vAlign w:val="bottom"/>
          </w:tcPr>
          <w:p w:rsidR="0018024C" w:rsidRDefault="0018024C" w:rsidP="0018024C">
            <w:pPr>
              <w:spacing w:before="1" w:after="1"/>
              <w:ind w:left="240"/>
              <w:rPr>
                <w:sz w:val="20"/>
              </w:rPr>
            </w:pPr>
          </w:p>
        </w:tc>
        <w:tc>
          <w:tcPr>
            <w:tcW w:w="565" w:type="pct"/>
            <w:tcBorders>
              <w:top w:val="nil"/>
              <w:left w:val="nil"/>
              <w:bottom w:val="nil"/>
              <w:right w:val="nil"/>
              <w:tl2br w:val="nil"/>
              <w:tr2bl w:val="nil"/>
            </w:tcBorders>
            <w:vAlign w:val="bottom"/>
          </w:tcPr>
          <w:p w:rsidR="0018024C" w:rsidRPr="00477D8F" w:rsidRDefault="0018024C" w:rsidP="0018024C">
            <w:pPr>
              <w:spacing w:before="1" w:after="1"/>
              <w:ind w:right="3"/>
              <w:jc w:val="right"/>
              <w:rPr>
                <w:sz w:val="20"/>
              </w:rPr>
            </w:pPr>
            <w:r w:rsidRPr="00477D8F">
              <w:rPr>
                <w:sz w:val="20"/>
              </w:rPr>
              <w:t xml:space="preserve"> (20)</w:t>
            </w:r>
          </w:p>
        </w:tc>
        <w:tc>
          <w:tcPr>
            <w:tcW w:w="137" w:type="pct"/>
            <w:tcBorders>
              <w:top w:val="nil"/>
              <w:left w:val="nil"/>
              <w:bottom w:val="nil"/>
              <w:right w:val="nil"/>
              <w:tl2br w:val="nil"/>
              <w:tr2bl w:val="nil"/>
            </w:tcBorders>
            <w:vAlign w:val="bottom"/>
          </w:tcPr>
          <w:p w:rsidR="0018024C" w:rsidRDefault="0018024C" w:rsidP="0018024C">
            <w:pPr>
              <w:spacing w:before="1" w:after="1"/>
              <w:rPr>
                <w:rFonts w:ascii="Calibri" w:eastAsia="Calibri" w:hAnsi="Calibri" w:cs="Calibri"/>
                <w:sz w:val="22"/>
              </w:rPr>
            </w:pPr>
          </w:p>
        </w:tc>
        <w:tc>
          <w:tcPr>
            <w:tcW w:w="145" w:type="pct"/>
            <w:tcBorders>
              <w:top w:val="nil"/>
              <w:left w:val="nil"/>
              <w:bottom w:val="nil"/>
              <w:right w:val="nil"/>
              <w:tl2br w:val="nil"/>
              <w:tr2bl w:val="nil"/>
            </w:tcBorders>
            <w:vAlign w:val="bottom"/>
          </w:tcPr>
          <w:p w:rsidR="0018024C" w:rsidRDefault="0018024C" w:rsidP="0018024C">
            <w:pPr>
              <w:spacing w:before="1" w:after="1"/>
              <w:ind w:left="240"/>
              <w:rPr>
                <w:sz w:val="20"/>
              </w:rPr>
            </w:pPr>
          </w:p>
        </w:tc>
        <w:tc>
          <w:tcPr>
            <w:tcW w:w="565" w:type="pct"/>
            <w:tcBorders>
              <w:top w:val="nil"/>
              <w:left w:val="nil"/>
              <w:bottom w:val="nil"/>
              <w:right w:val="nil"/>
              <w:tl2br w:val="nil"/>
              <w:tr2bl w:val="nil"/>
            </w:tcBorders>
            <w:vAlign w:val="bottom"/>
          </w:tcPr>
          <w:p w:rsidR="0018024C" w:rsidRPr="00477D8F" w:rsidRDefault="0018024C" w:rsidP="0018024C">
            <w:pPr>
              <w:spacing w:before="1" w:after="1"/>
              <w:ind w:right="65"/>
              <w:jc w:val="right"/>
              <w:rPr>
                <w:sz w:val="20"/>
              </w:rPr>
            </w:pPr>
            <w:r w:rsidRPr="00477D8F">
              <w:rPr>
                <w:sz w:val="20"/>
              </w:rPr>
              <w:t xml:space="preserve"> 24</w:t>
            </w:r>
          </w:p>
        </w:tc>
      </w:tr>
      <w:tr w:rsidR="0018024C" w:rsidTr="0018024C">
        <w:trPr>
          <w:trHeight w:hRule="exact" w:val="300"/>
        </w:trPr>
        <w:tc>
          <w:tcPr>
            <w:tcW w:w="2612" w:type="pct"/>
            <w:tcBorders>
              <w:top w:val="nil"/>
              <w:left w:val="nil"/>
              <w:bottom w:val="nil"/>
              <w:right w:val="nil"/>
              <w:tl2br w:val="nil"/>
              <w:tr2bl w:val="nil"/>
            </w:tcBorders>
            <w:shd w:val="clear" w:color="auto" w:fill="CCEEFF"/>
            <w:vAlign w:val="bottom"/>
          </w:tcPr>
          <w:p w:rsidR="0018024C" w:rsidRDefault="0018024C" w:rsidP="0018024C">
            <w:pPr>
              <w:spacing w:before="1" w:after="1"/>
              <w:ind w:left="240"/>
              <w:rPr>
                <w:sz w:val="20"/>
              </w:rPr>
            </w:pPr>
            <w:r>
              <w:rPr>
                <w:sz w:val="20"/>
              </w:rPr>
              <w:t>Hedge accounting adjustments, net of tax</w:t>
            </w:r>
          </w:p>
        </w:tc>
        <w:tc>
          <w:tcPr>
            <w:tcW w:w="145" w:type="pct"/>
            <w:tcBorders>
              <w:top w:val="nil"/>
              <w:left w:val="nil"/>
              <w:bottom w:val="single" w:sz="12" w:space="0" w:color="000000"/>
              <w:right w:val="nil"/>
              <w:tl2br w:val="nil"/>
              <w:tr2bl w:val="nil"/>
            </w:tcBorders>
            <w:shd w:val="clear" w:color="auto" w:fill="CCEEFF"/>
            <w:vAlign w:val="bottom"/>
          </w:tcPr>
          <w:p w:rsidR="0018024C" w:rsidRDefault="0018024C" w:rsidP="0018024C">
            <w:pPr>
              <w:spacing w:before="1" w:after="1"/>
              <w:ind w:left="240"/>
              <w:rPr>
                <w:sz w:val="20"/>
              </w:rPr>
            </w:pPr>
          </w:p>
        </w:tc>
        <w:tc>
          <w:tcPr>
            <w:tcW w:w="565" w:type="pct"/>
            <w:tcBorders>
              <w:top w:val="nil"/>
              <w:left w:val="nil"/>
              <w:bottom w:val="single" w:sz="12" w:space="0" w:color="000000"/>
              <w:right w:val="nil"/>
              <w:tl2br w:val="nil"/>
              <w:tr2bl w:val="nil"/>
            </w:tcBorders>
            <w:shd w:val="clear" w:color="auto" w:fill="CCEEFF"/>
            <w:vAlign w:val="bottom"/>
          </w:tcPr>
          <w:p w:rsidR="0018024C" w:rsidRPr="00477D8F" w:rsidRDefault="0018024C" w:rsidP="0018024C">
            <w:pPr>
              <w:spacing w:before="1" w:after="1"/>
              <w:jc w:val="right"/>
              <w:rPr>
                <w:b/>
                <w:sz w:val="20"/>
              </w:rPr>
            </w:pPr>
            <w:r w:rsidRPr="00477D8F">
              <w:rPr>
                <w:b/>
                <w:sz w:val="20"/>
              </w:rPr>
              <w:t xml:space="preserve"> (5)</w:t>
            </w:r>
          </w:p>
        </w:tc>
        <w:tc>
          <w:tcPr>
            <w:tcW w:w="122"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45" w:type="pct"/>
            <w:tcBorders>
              <w:top w:val="nil"/>
              <w:left w:val="nil"/>
              <w:bottom w:val="single" w:sz="12" w:space="0" w:color="000000"/>
              <w:right w:val="nil"/>
              <w:tl2br w:val="nil"/>
              <w:tr2bl w:val="nil"/>
            </w:tcBorders>
            <w:shd w:val="clear" w:color="auto" w:fill="CCEEFF"/>
            <w:vAlign w:val="bottom"/>
          </w:tcPr>
          <w:p w:rsidR="0018024C" w:rsidRDefault="0018024C" w:rsidP="0018024C">
            <w:pPr>
              <w:spacing w:before="1" w:after="1"/>
              <w:ind w:left="240"/>
              <w:rPr>
                <w:sz w:val="20"/>
              </w:rPr>
            </w:pPr>
          </w:p>
        </w:tc>
        <w:tc>
          <w:tcPr>
            <w:tcW w:w="565" w:type="pct"/>
            <w:tcBorders>
              <w:top w:val="nil"/>
              <w:left w:val="nil"/>
              <w:bottom w:val="single" w:sz="12" w:space="0" w:color="000000"/>
              <w:right w:val="nil"/>
              <w:tl2br w:val="nil"/>
              <w:tr2bl w:val="nil"/>
            </w:tcBorders>
            <w:shd w:val="clear" w:color="auto" w:fill="CCEEFF"/>
            <w:vAlign w:val="bottom"/>
          </w:tcPr>
          <w:p w:rsidR="0018024C" w:rsidRPr="00477D8F" w:rsidRDefault="0018024C" w:rsidP="0018024C">
            <w:pPr>
              <w:spacing w:before="1" w:after="1"/>
              <w:ind w:right="3"/>
              <w:jc w:val="right"/>
              <w:rPr>
                <w:sz w:val="20"/>
              </w:rPr>
            </w:pPr>
            <w:r w:rsidRPr="00477D8F">
              <w:rPr>
                <w:sz w:val="20"/>
              </w:rPr>
              <w:t xml:space="preserve"> (2)</w:t>
            </w:r>
          </w:p>
        </w:tc>
        <w:tc>
          <w:tcPr>
            <w:tcW w:w="137" w:type="pct"/>
            <w:tcBorders>
              <w:top w:val="nil"/>
              <w:left w:val="nil"/>
              <w:bottom w:val="nil"/>
              <w:right w:val="nil"/>
              <w:tl2br w:val="nil"/>
              <w:tr2bl w:val="nil"/>
            </w:tcBorders>
            <w:shd w:val="clear" w:color="auto" w:fill="CCEEFF"/>
            <w:vAlign w:val="bottom"/>
          </w:tcPr>
          <w:p w:rsidR="0018024C" w:rsidRDefault="0018024C" w:rsidP="0018024C">
            <w:pPr>
              <w:spacing w:before="1" w:after="1"/>
              <w:rPr>
                <w:rFonts w:ascii="Calibri" w:eastAsia="Calibri" w:hAnsi="Calibri" w:cs="Calibri"/>
                <w:sz w:val="22"/>
              </w:rPr>
            </w:pPr>
          </w:p>
        </w:tc>
        <w:tc>
          <w:tcPr>
            <w:tcW w:w="145" w:type="pct"/>
            <w:tcBorders>
              <w:top w:val="nil"/>
              <w:left w:val="nil"/>
              <w:bottom w:val="single" w:sz="12" w:space="0" w:color="000000"/>
              <w:right w:val="nil"/>
              <w:tl2br w:val="nil"/>
              <w:tr2bl w:val="nil"/>
            </w:tcBorders>
            <w:shd w:val="clear" w:color="auto" w:fill="CCEEFF"/>
            <w:vAlign w:val="bottom"/>
          </w:tcPr>
          <w:p w:rsidR="0018024C" w:rsidRDefault="0018024C" w:rsidP="0018024C">
            <w:pPr>
              <w:spacing w:before="1" w:after="1"/>
              <w:ind w:left="240"/>
              <w:rPr>
                <w:sz w:val="20"/>
              </w:rPr>
            </w:pPr>
          </w:p>
        </w:tc>
        <w:tc>
          <w:tcPr>
            <w:tcW w:w="565" w:type="pct"/>
            <w:tcBorders>
              <w:top w:val="nil"/>
              <w:left w:val="nil"/>
              <w:bottom w:val="single" w:sz="12" w:space="0" w:color="000000"/>
              <w:right w:val="nil"/>
              <w:tl2br w:val="nil"/>
              <w:tr2bl w:val="nil"/>
            </w:tcBorders>
            <w:shd w:val="clear" w:color="auto" w:fill="CCEEFF"/>
            <w:vAlign w:val="bottom"/>
          </w:tcPr>
          <w:p w:rsidR="0018024C" w:rsidRPr="00477D8F" w:rsidRDefault="0018024C" w:rsidP="0018024C">
            <w:pPr>
              <w:spacing w:before="1" w:after="1"/>
              <w:ind w:right="65"/>
              <w:jc w:val="right"/>
              <w:rPr>
                <w:sz w:val="20"/>
              </w:rPr>
            </w:pPr>
            <w:r w:rsidRPr="00477D8F">
              <w:rPr>
                <w:sz w:val="20"/>
              </w:rPr>
              <w:t xml:space="preserve"> -</w:t>
            </w:r>
          </w:p>
        </w:tc>
      </w:tr>
      <w:tr w:rsidR="0018024C" w:rsidTr="0018024C">
        <w:trPr>
          <w:trHeight w:hRule="exact" w:val="300"/>
        </w:trPr>
        <w:tc>
          <w:tcPr>
            <w:tcW w:w="2612" w:type="pct"/>
            <w:tcBorders>
              <w:top w:val="nil"/>
              <w:left w:val="nil"/>
              <w:bottom w:val="nil"/>
              <w:right w:val="nil"/>
              <w:tl2br w:val="nil"/>
              <w:tr2bl w:val="nil"/>
            </w:tcBorders>
            <w:vAlign w:val="bottom"/>
          </w:tcPr>
          <w:p w:rsidR="0018024C" w:rsidRDefault="0018024C" w:rsidP="0018024C">
            <w:pPr>
              <w:spacing w:before="1" w:after="1"/>
              <w:rPr>
                <w:sz w:val="20"/>
              </w:rPr>
            </w:pPr>
            <w:r>
              <w:rPr>
                <w:sz w:val="20"/>
              </w:rPr>
              <w:t xml:space="preserve">Total other comprehensive income (loss), net of tax  </w:t>
            </w:r>
          </w:p>
        </w:tc>
        <w:tc>
          <w:tcPr>
            <w:tcW w:w="145" w:type="pct"/>
            <w:tcBorders>
              <w:top w:val="nil"/>
              <w:left w:val="nil"/>
              <w:bottom w:val="single" w:sz="12" w:space="0" w:color="000000"/>
              <w:right w:val="nil"/>
              <w:tl2br w:val="nil"/>
              <w:tr2bl w:val="nil"/>
            </w:tcBorders>
            <w:vAlign w:val="bottom"/>
          </w:tcPr>
          <w:p w:rsidR="0018024C" w:rsidRDefault="0018024C" w:rsidP="0018024C">
            <w:pPr>
              <w:spacing w:before="1" w:after="1"/>
              <w:rPr>
                <w:sz w:val="20"/>
              </w:rPr>
            </w:pPr>
          </w:p>
        </w:tc>
        <w:tc>
          <w:tcPr>
            <w:tcW w:w="565" w:type="pct"/>
            <w:tcBorders>
              <w:top w:val="single" w:sz="0" w:space="0" w:color="000000"/>
              <w:left w:val="nil"/>
              <w:bottom w:val="single" w:sz="12" w:space="0" w:color="000000"/>
              <w:right w:val="nil"/>
              <w:tl2br w:val="nil"/>
              <w:tr2bl w:val="nil"/>
            </w:tcBorders>
            <w:vAlign w:val="bottom"/>
          </w:tcPr>
          <w:p w:rsidR="0018024C" w:rsidRPr="00477D8F" w:rsidRDefault="0018024C" w:rsidP="0018024C">
            <w:pPr>
              <w:spacing w:before="1" w:after="1"/>
              <w:ind w:right="63"/>
              <w:jc w:val="right"/>
              <w:rPr>
                <w:b/>
                <w:sz w:val="20"/>
              </w:rPr>
            </w:pPr>
            <w:r w:rsidRPr="00477D8F">
              <w:rPr>
                <w:b/>
                <w:sz w:val="20"/>
              </w:rPr>
              <w:t xml:space="preserve"> -</w:t>
            </w:r>
          </w:p>
        </w:tc>
        <w:tc>
          <w:tcPr>
            <w:tcW w:w="122" w:type="pct"/>
            <w:tcBorders>
              <w:top w:val="nil"/>
              <w:left w:val="nil"/>
              <w:bottom w:val="nil"/>
              <w:right w:val="nil"/>
              <w:tl2br w:val="nil"/>
              <w:tr2bl w:val="nil"/>
            </w:tcBorders>
            <w:vAlign w:val="bottom"/>
          </w:tcPr>
          <w:p w:rsidR="0018024C" w:rsidRDefault="0018024C" w:rsidP="0018024C">
            <w:pPr>
              <w:spacing w:before="1" w:after="1"/>
              <w:rPr>
                <w:sz w:val="20"/>
              </w:rPr>
            </w:pPr>
          </w:p>
        </w:tc>
        <w:tc>
          <w:tcPr>
            <w:tcW w:w="145" w:type="pct"/>
            <w:tcBorders>
              <w:top w:val="nil"/>
              <w:left w:val="nil"/>
              <w:bottom w:val="single" w:sz="12" w:space="0" w:color="000000"/>
              <w:right w:val="nil"/>
              <w:tl2br w:val="nil"/>
              <w:tr2bl w:val="nil"/>
            </w:tcBorders>
            <w:vAlign w:val="bottom"/>
          </w:tcPr>
          <w:p w:rsidR="0018024C" w:rsidRDefault="0018024C" w:rsidP="0018024C">
            <w:pPr>
              <w:spacing w:before="1" w:after="1"/>
              <w:rPr>
                <w:sz w:val="20"/>
              </w:rPr>
            </w:pPr>
          </w:p>
        </w:tc>
        <w:tc>
          <w:tcPr>
            <w:tcW w:w="565" w:type="pct"/>
            <w:tcBorders>
              <w:top w:val="single" w:sz="0" w:space="0" w:color="000000"/>
              <w:left w:val="nil"/>
              <w:bottom w:val="single" w:sz="12" w:space="0" w:color="000000"/>
              <w:right w:val="nil"/>
              <w:tl2br w:val="nil"/>
              <w:tr2bl w:val="nil"/>
            </w:tcBorders>
            <w:vAlign w:val="bottom"/>
          </w:tcPr>
          <w:p w:rsidR="0018024C" w:rsidRPr="00477D8F" w:rsidRDefault="0018024C" w:rsidP="0018024C">
            <w:pPr>
              <w:spacing w:before="1" w:after="1"/>
              <w:ind w:right="3"/>
              <w:jc w:val="right"/>
              <w:rPr>
                <w:sz w:val="20"/>
              </w:rPr>
            </w:pPr>
            <w:r w:rsidRPr="00477D8F">
              <w:rPr>
                <w:sz w:val="20"/>
              </w:rPr>
              <w:t xml:space="preserve"> (22)</w:t>
            </w:r>
          </w:p>
        </w:tc>
        <w:tc>
          <w:tcPr>
            <w:tcW w:w="137" w:type="pct"/>
            <w:tcBorders>
              <w:top w:val="nil"/>
              <w:left w:val="nil"/>
              <w:bottom w:val="nil"/>
              <w:right w:val="nil"/>
              <w:tl2br w:val="nil"/>
              <w:tr2bl w:val="nil"/>
            </w:tcBorders>
            <w:vAlign w:val="bottom"/>
          </w:tcPr>
          <w:p w:rsidR="0018024C" w:rsidRDefault="0018024C" w:rsidP="0018024C">
            <w:pPr>
              <w:spacing w:before="1" w:after="1"/>
              <w:rPr>
                <w:rFonts w:ascii="Calibri" w:eastAsia="Calibri" w:hAnsi="Calibri" w:cs="Calibri"/>
                <w:sz w:val="22"/>
              </w:rPr>
            </w:pPr>
          </w:p>
        </w:tc>
        <w:tc>
          <w:tcPr>
            <w:tcW w:w="145" w:type="pct"/>
            <w:tcBorders>
              <w:top w:val="nil"/>
              <w:left w:val="nil"/>
              <w:bottom w:val="single" w:sz="12" w:space="0" w:color="000000"/>
              <w:right w:val="nil"/>
              <w:tl2br w:val="nil"/>
              <w:tr2bl w:val="nil"/>
            </w:tcBorders>
            <w:vAlign w:val="bottom"/>
          </w:tcPr>
          <w:p w:rsidR="0018024C" w:rsidRDefault="0018024C" w:rsidP="0018024C">
            <w:pPr>
              <w:spacing w:before="1" w:after="1"/>
              <w:rPr>
                <w:sz w:val="20"/>
              </w:rPr>
            </w:pPr>
          </w:p>
        </w:tc>
        <w:tc>
          <w:tcPr>
            <w:tcW w:w="565" w:type="pct"/>
            <w:tcBorders>
              <w:top w:val="single" w:sz="0" w:space="0" w:color="000000"/>
              <w:left w:val="nil"/>
              <w:bottom w:val="single" w:sz="12" w:space="0" w:color="000000"/>
              <w:right w:val="nil"/>
              <w:tl2br w:val="nil"/>
              <w:tr2bl w:val="nil"/>
            </w:tcBorders>
            <w:vAlign w:val="bottom"/>
          </w:tcPr>
          <w:p w:rsidR="0018024C" w:rsidRPr="00477D8F" w:rsidRDefault="0018024C" w:rsidP="0018024C">
            <w:pPr>
              <w:spacing w:before="1" w:after="1"/>
              <w:ind w:right="65"/>
              <w:jc w:val="right"/>
              <w:rPr>
                <w:sz w:val="20"/>
              </w:rPr>
            </w:pPr>
            <w:r w:rsidRPr="00477D8F">
              <w:rPr>
                <w:sz w:val="20"/>
              </w:rPr>
              <w:t xml:space="preserve"> 24</w:t>
            </w:r>
          </w:p>
        </w:tc>
      </w:tr>
      <w:tr w:rsidR="0018024C" w:rsidTr="0018024C">
        <w:trPr>
          <w:trHeight w:hRule="exact" w:val="300"/>
        </w:trPr>
        <w:tc>
          <w:tcPr>
            <w:tcW w:w="2612"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r>
              <w:rPr>
                <w:sz w:val="20"/>
              </w:rPr>
              <w:t xml:space="preserve">Comprehensive income </w:t>
            </w:r>
          </w:p>
        </w:tc>
        <w:tc>
          <w:tcPr>
            <w:tcW w:w="145"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spacing w:before="1" w:after="1"/>
              <w:rPr>
                <w:sz w:val="20"/>
              </w:rPr>
            </w:pPr>
            <w:r>
              <w:rPr>
                <w:sz w:val="20"/>
              </w:rPr>
              <w:t>$</w:t>
            </w:r>
          </w:p>
        </w:tc>
        <w:tc>
          <w:tcPr>
            <w:tcW w:w="565" w:type="pct"/>
            <w:tcBorders>
              <w:top w:val="single" w:sz="0" w:space="0" w:color="000000"/>
              <w:left w:val="nil"/>
              <w:bottom w:val="double" w:sz="4" w:space="0" w:color="000000"/>
              <w:right w:val="nil"/>
              <w:tl2br w:val="nil"/>
              <w:tr2bl w:val="nil"/>
            </w:tcBorders>
            <w:shd w:val="clear" w:color="auto" w:fill="CCEEFF"/>
            <w:vAlign w:val="bottom"/>
          </w:tcPr>
          <w:p w:rsidR="0018024C" w:rsidRPr="00477D8F" w:rsidRDefault="0018024C" w:rsidP="0018024C">
            <w:pPr>
              <w:spacing w:before="1" w:after="1"/>
              <w:ind w:right="63"/>
              <w:jc w:val="right"/>
              <w:rPr>
                <w:b/>
                <w:sz w:val="20"/>
              </w:rPr>
            </w:pPr>
            <w:r w:rsidRPr="00477D8F">
              <w:rPr>
                <w:b/>
                <w:sz w:val="20"/>
              </w:rPr>
              <w:t xml:space="preserve"> 39</w:t>
            </w:r>
          </w:p>
        </w:tc>
        <w:tc>
          <w:tcPr>
            <w:tcW w:w="122"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20"/>
              </w:rPr>
            </w:pPr>
          </w:p>
        </w:tc>
        <w:tc>
          <w:tcPr>
            <w:tcW w:w="145"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spacing w:before="1" w:after="1"/>
              <w:rPr>
                <w:sz w:val="20"/>
              </w:rPr>
            </w:pPr>
            <w:r>
              <w:rPr>
                <w:sz w:val="20"/>
              </w:rPr>
              <w:t>$</w:t>
            </w:r>
          </w:p>
        </w:tc>
        <w:tc>
          <w:tcPr>
            <w:tcW w:w="565" w:type="pct"/>
            <w:tcBorders>
              <w:top w:val="single" w:sz="0" w:space="0" w:color="000000"/>
              <w:left w:val="nil"/>
              <w:bottom w:val="double" w:sz="4" w:space="0" w:color="000000"/>
              <w:right w:val="nil"/>
              <w:tl2br w:val="nil"/>
              <w:tr2bl w:val="nil"/>
            </w:tcBorders>
            <w:shd w:val="clear" w:color="auto" w:fill="CCEEFF"/>
            <w:vAlign w:val="bottom"/>
          </w:tcPr>
          <w:p w:rsidR="0018024C" w:rsidRPr="00477D8F" w:rsidRDefault="0018024C" w:rsidP="0018024C">
            <w:pPr>
              <w:spacing w:before="1" w:after="1"/>
              <w:ind w:right="65"/>
              <w:jc w:val="right"/>
              <w:rPr>
                <w:sz w:val="20"/>
              </w:rPr>
            </w:pPr>
            <w:r w:rsidRPr="00477D8F">
              <w:rPr>
                <w:sz w:val="20"/>
              </w:rPr>
              <w:t xml:space="preserve"> 52</w:t>
            </w:r>
          </w:p>
        </w:tc>
        <w:tc>
          <w:tcPr>
            <w:tcW w:w="137" w:type="pct"/>
            <w:tcBorders>
              <w:top w:val="nil"/>
              <w:left w:val="nil"/>
              <w:bottom w:val="nil"/>
              <w:right w:val="nil"/>
              <w:tl2br w:val="nil"/>
              <w:tr2bl w:val="nil"/>
            </w:tcBorders>
            <w:shd w:val="clear" w:color="auto" w:fill="CCEEFF"/>
            <w:vAlign w:val="bottom"/>
          </w:tcPr>
          <w:p w:rsidR="0018024C" w:rsidRDefault="0018024C" w:rsidP="0018024C">
            <w:pPr>
              <w:spacing w:before="1" w:after="1"/>
              <w:rPr>
                <w:rFonts w:ascii="Calibri" w:eastAsia="Calibri" w:hAnsi="Calibri" w:cs="Calibri"/>
                <w:sz w:val="22"/>
              </w:rPr>
            </w:pPr>
          </w:p>
        </w:tc>
        <w:tc>
          <w:tcPr>
            <w:tcW w:w="145" w:type="pct"/>
            <w:tcBorders>
              <w:top w:val="single" w:sz="0" w:space="0" w:color="000000"/>
              <w:left w:val="nil"/>
              <w:bottom w:val="double" w:sz="4" w:space="0" w:color="000000"/>
              <w:right w:val="nil"/>
              <w:tl2br w:val="nil"/>
              <w:tr2bl w:val="nil"/>
            </w:tcBorders>
            <w:shd w:val="clear" w:color="auto" w:fill="CCEEFF"/>
            <w:vAlign w:val="bottom"/>
          </w:tcPr>
          <w:p w:rsidR="0018024C" w:rsidRDefault="0018024C" w:rsidP="0018024C">
            <w:pPr>
              <w:spacing w:before="1" w:after="1"/>
              <w:rPr>
                <w:sz w:val="20"/>
              </w:rPr>
            </w:pPr>
            <w:r>
              <w:rPr>
                <w:sz w:val="20"/>
              </w:rPr>
              <w:t>$</w:t>
            </w:r>
          </w:p>
        </w:tc>
        <w:tc>
          <w:tcPr>
            <w:tcW w:w="565" w:type="pct"/>
            <w:tcBorders>
              <w:top w:val="single" w:sz="0" w:space="0" w:color="000000"/>
              <w:left w:val="nil"/>
              <w:bottom w:val="double" w:sz="4" w:space="0" w:color="000000"/>
              <w:right w:val="nil"/>
              <w:tl2br w:val="nil"/>
              <w:tr2bl w:val="nil"/>
            </w:tcBorders>
            <w:shd w:val="clear" w:color="auto" w:fill="CCEEFF"/>
            <w:vAlign w:val="bottom"/>
          </w:tcPr>
          <w:p w:rsidR="0018024C" w:rsidRPr="00477D8F" w:rsidRDefault="0018024C" w:rsidP="0018024C">
            <w:pPr>
              <w:spacing w:before="1" w:after="1"/>
              <w:ind w:right="65"/>
              <w:jc w:val="right"/>
              <w:rPr>
                <w:sz w:val="20"/>
              </w:rPr>
            </w:pPr>
            <w:r w:rsidRPr="00477D8F">
              <w:rPr>
                <w:sz w:val="20"/>
              </w:rPr>
              <w:t xml:space="preserve"> 74</w:t>
            </w:r>
          </w:p>
        </w:tc>
      </w:tr>
    </w:tbl>
    <w:p w:rsidR="000121CD" w:rsidRDefault="00590862" w:rsidP="00FE1A74">
      <w:pPr>
        <w:pStyle w:val="NormalWeb"/>
        <w:keepNext/>
        <w:spacing w:before="0" w:beforeAutospacing="0" w:after="0" w:afterAutospacing="0"/>
        <w:rPr>
          <w:i/>
          <w:iCs/>
          <w:sz w:val="20"/>
          <w:szCs w:val="20"/>
        </w:rPr>
      </w:pPr>
      <w:r>
        <w:rPr>
          <w:i/>
          <w:iCs/>
          <w:sz w:val="20"/>
          <w:szCs w:val="20"/>
        </w:rPr>
        <w:t xml:space="preserve">See notes to consolidated financial statements. </w:t>
      </w:r>
    </w:p>
    <w:p w:rsidR="000121CD" w:rsidRDefault="00590862">
      <w:pPr>
        <w:pStyle w:val="NormalWeb"/>
        <w:spacing w:before="180" w:beforeAutospacing="0" w:after="0" w:afterAutospacing="0"/>
        <w:rPr>
          <w:sz w:val="2"/>
          <w:szCs w:val="2"/>
        </w:rPr>
      </w:pPr>
      <w:r>
        <w:rPr>
          <w:sz w:val="2"/>
          <w:szCs w:val="2"/>
        </w:rPr>
        <w:t> </w:t>
      </w:r>
    </w:p>
    <w:p w:rsidR="000121CD" w:rsidRDefault="00590862">
      <w:pPr>
        <w:pStyle w:val="NormalWeb"/>
        <w:keepNext/>
        <w:pageBreakBefore/>
        <w:spacing w:before="0" w:beforeAutospacing="0" w:after="0" w:afterAutospacing="0"/>
        <w:rPr>
          <w:sz w:val="20"/>
          <w:szCs w:val="20"/>
        </w:rPr>
      </w:pPr>
      <w:r>
        <w:rPr>
          <w:sz w:val="20"/>
          <w:szCs w:val="20"/>
        </w:rPr>
        <w:lastRenderedPageBreak/>
        <w:t xml:space="preserve">CONSOLIDATED STATEMENTS OF STOCKHOLDERS’ EQUITY </w:t>
      </w:r>
    </w:p>
    <w:p w:rsidR="000121CD" w:rsidRDefault="00590862">
      <w:pPr>
        <w:pStyle w:val="NormalWeb"/>
        <w:spacing w:before="0" w:beforeAutospacing="0" w:after="0" w:afterAutospacing="0"/>
        <w:rPr>
          <w:sz w:val="20"/>
          <w:szCs w:val="20"/>
        </w:rPr>
      </w:pPr>
      <w:r>
        <w:rPr>
          <w:sz w:val="20"/>
          <w:szCs w:val="20"/>
        </w:rPr>
        <w:t xml:space="preserve">MRC GLOBAL INC. </w:t>
      </w:r>
    </w:p>
    <w:p w:rsidR="000121CD" w:rsidRDefault="00590862">
      <w:pPr>
        <w:pStyle w:val="NormalWeb"/>
        <w:keepNext/>
        <w:spacing w:before="0" w:beforeAutospacing="0" w:after="0" w:afterAutospacing="0"/>
        <w:rPr>
          <w:i/>
          <w:sz w:val="18"/>
          <w:szCs w:val="18"/>
        </w:rPr>
      </w:pPr>
      <w:r>
        <w:rPr>
          <w:i/>
          <w:sz w:val="18"/>
          <w:szCs w:val="18"/>
        </w:rPr>
        <w:t>(in millions)</w:t>
      </w:r>
    </w:p>
    <w:p w:rsidR="000121CD" w:rsidRDefault="000121CD">
      <w:pPr>
        <w:pStyle w:val="NormalWeb"/>
        <w:keepNext/>
        <w:spacing w:before="0" w:beforeAutospacing="0" w:after="0" w:afterAutospacing="0"/>
        <w:rPr>
          <w:i/>
          <w:sz w:val="18"/>
          <w:szCs w:val="18"/>
        </w:rPr>
      </w:pPr>
    </w:p>
    <w:tbl>
      <w:tblPr>
        <w:tblW w:w="5000" w:type="pct"/>
        <w:tblCellMar>
          <w:left w:w="0" w:type="dxa"/>
          <w:right w:w="0" w:type="dxa"/>
        </w:tblCellMar>
        <w:tblLook w:val="04A0" w:firstRow="1" w:lastRow="0" w:firstColumn="1" w:lastColumn="0" w:noHBand="0" w:noVBand="1"/>
      </w:tblPr>
      <w:tblGrid>
        <w:gridCol w:w="3179"/>
        <w:gridCol w:w="779"/>
        <w:gridCol w:w="116"/>
        <w:gridCol w:w="194"/>
        <w:gridCol w:w="577"/>
        <w:gridCol w:w="117"/>
        <w:gridCol w:w="203"/>
        <w:gridCol w:w="622"/>
        <w:gridCol w:w="117"/>
        <w:gridCol w:w="194"/>
        <w:gridCol w:w="611"/>
        <w:gridCol w:w="117"/>
        <w:gridCol w:w="521"/>
        <w:gridCol w:w="117"/>
        <w:gridCol w:w="194"/>
        <w:gridCol w:w="544"/>
        <w:gridCol w:w="229"/>
        <w:gridCol w:w="272"/>
        <w:gridCol w:w="929"/>
        <w:gridCol w:w="117"/>
        <w:gridCol w:w="223"/>
        <w:gridCol w:w="828"/>
      </w:tblGrid>
      <w:tr w:rsidR="0018024C" w:rsidTr="0018024C">
        <w:trPr>
          <w:trHeight w:hRule="exact" w:val="20"/>
        </w:trPr>
        <w:tc>
          <w:tcPr>
            <w:tcW w:w="1472"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361"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54"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90"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267"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54"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94"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288"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54"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90"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283"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54"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241"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54"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90"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252"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06"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26"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430"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54"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103" w:type="pct"/>
            <w:tcBorders>
              <w:top w:val="nil"/>
              <w:left w:val="nil"/>
              <w:bottom w:val="nil"/>
              <w:right w:val="nil"/>
            </w:tcBorders>
            <w:shd w:val="clear" w:color="auto" w:fill="auto"/>
            <w:vAlign w:val="bottom"/>
          </w:tcPr>
          <w:p w:rsidR="0018024C" w:rsidRDefault="0018024C" w:rsidP="0018024C">
            <w:pPr>
              <w:spacing w:before="1" w:after="1"/>
              <w:rPr>
                <w:sz w:val="2"/>
              </w:rPr>
            </w:pPr>
          </w:p>
        </w:tc>
        <w:tc>
          <w:tcPr>
            <w:tcW w:w="384" w:type="pct"/>
            <w:tcBorders>
              <w:top w:val="nil"/>
              <w:left w:val="nil"/>
              <w:bottom w:val="nil"/>
              <w:right w:val="nil"/>
            </w:tcBorders>
            <w:shd w:val="clear" w:color="auto" w:fill="auto"/>
            <w:vAlign w:val="bottom"/>
          </w:tcPr>
          <w:p w:rsidR="0018024C" w:rsidRDefault="0018024C" w:rsidP="0018024C">
            <w:pPr>
              <w:spacing w:before="1" w:after="1"/>
              <w:rPr>
                <w:sz w:val="2"/>
              </w:rPr>
            </w:pPr>
          </w:p>
        </w:tc>
      </w:tr>
      <w:tr w:rsidR="0018024C" w:rsidTr="0018024C">
        <w:trPr>
          <w:trHeight w:hRule="exact" w:val="240"/>
        </w:trPr>
        <w:tc>
          <w:tcPr>
            <w:tcW w:w="1472"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361"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267"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9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288"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283"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241"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252"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106"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1" w:type="pct"/>
            <w:gridSpan w:val="2"/>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18"/>
              </w:rPr>
            </w:pPr>
            <w:r>
              <w:rPr>
                <w:b/>
                <w:sz w:val="18"/>
              </w:rPr>
              <w:t>Accumulated</w:t>
            </w: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103"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38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r>
      <w:tr w:rsidR="0018024C" w:rsidTr="0018024C">
        <w:trPr>
          <w:trHeight w:hRule="exact" w:val="240"/>
        </w:trPr>
        <w:tc>
          <w:tcPr>
            <w:tcW w:w="1472"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361"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267"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1" w:type="pct"/>
            <w:gridSpan w:val="2"/>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18"/>
              </w:rPr>
            </w:pPr>
            <w:r>
              <w:rPr>
                <w:b/>
                <w:sz w:val="18"/>
              </w:rPr>
              <w:t>Additional</w:t>
            </w: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283"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241"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252"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106"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1" w:type="pct"/>
            <w:gridSpan w:val="2"/>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18"/>
              </w:rPr>
            </w:pPr>
            <w:r>
              <w:rPr>
                <w:b/>
                <w:sz w:val="18"/>
              </w:rPr>
              <w:t>Other</w:t>
            </w: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1" w:type="pct"/>
            <w:gridSpan w:val="2"/>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18"/>
              </w:rPr>
            </w:pPr>
            <w:r>
              <w:rPr>
                <w:b/>
                <w:sz w:val="18"/>
              </w:rPr>
              <w:t>Total</w:t>
            </w:r>
          </w:p>
        </w:tc>
      </w:tr>
      <w:tr w:rsidR="0018024C" w:rsidTr="0018024C">
        <w:trPr>
          <w:trHeight w:hRule="exact" w:val="240"/>
        </w:trPr>
        <w:tc>
          <w:tcPr>
            <w:tcW w:w="1472"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18"/>
              </w:rPr>
            </w:pPr>
            <w:r>
              <w:rPr>
                <w:b/>
                <w:sz w:val="18"/>
              </w:rPr>
              <w:t>Common Stock</w:t>
            </w: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1" w:type="pct"/>
            <w:gridSpan w:val="2"/>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18"/>
              </w:rPr>
            </w:pPr>
            <w:r>
              <w:rPr>
                <w:b/>
                <w:sz w:val="18"/>
              </w:rPr>
              <w:t>Paid-in</w:t>
            </w: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1" w:type="pct"/>
            <w:gridSpan w:val="2"/>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18"/>
              </w:rPr>
            </w:pPr>
            <w:r>
              <w:rPr>
                <w:b/>
                <w:sz w:val="18"/>
              </w:rPr>
              <w:t>Retained</w:t>
            </w: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18"/>
              </w:rPr>
            </w:pPr>
            <w:r>
              <w:rPr>
                <w:b/>
                <w:sz w:val="18"/>
              </w:rPr>
              <w:t>Treasury Stock</w:t>
            </w:r>
          </w:p>
        </w:tc>
        <w:tc>
          <w:tcPr>
            <w:tcW w:w="106" w:type="pct"/>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1" w:type="pct"/>
            <w:gridSpan w:val="2"/>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18"/>
              </w:rPr>
            </w:pPr>
            <w:r>
              <w:rPr>
                <w:b/>
                <w:sz w:val="18"/>
              </w:rPr>
              <w:t>Comprehensive</w:t>
            </w: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1" w:type="pct"/>
            <w:gridSpan w:val="2"/>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18"/>
              </w:rPr>
            </w:pPr>
            <w:r>
              <w:rPr>
                <w:b/>
                <w:sz w:val="18"/>
              </w:rPr>
              <w:t>Stockholders'</w:t>
            </w:r>
          </w:p>
        </w:tc>
      </w:tr>
      <w:tr w:rsidR="0018024C" w:rsidTr="0018024C">
        <w:trPr>
          <w:trHeight w:hRule="exact" w:val="240"/>
        </w:trPr>
        <w:tc>
          <w:tcPr>
            <w:tcW w:w="1472"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361"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18"/>
              </w:rPr>
            </w:pPr>
            <w:r>
              <w:rPr>
                <w:b/>
                <w:sz w:val="18"/>
              </w:rPr>
              <w:t>Shares</w:t>
            </w:r>
          </w:p>
        </w:tc>
        <w:tc>
          <w:tcPr>
            <w:tcW w:w="54"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18"/>
              </w:rPr>
            </w:pPr>
            <w:r>
              <w:rPr>
                <w:b/>
                <w:sz w:val="18"/>
              </w:rPr>
              <w:t>Amount</w:t>
            </w: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18"/>
              </w:rPr>
            </w:pPr>
            <w:r>
              <w:rPr>
                <w:b/>
                <w:sz w:val="18"/>
              </w:rPr>
              <w:t>Capital</w:t>
            </w: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18"/>
              </w:rPr>
            </w:pPr>
            <w:r>
              <w:rPr>
                <w:b/>
                <w:sz w:val="18"/>
              </w:rPr>
              <w:t>(Deficit)</w:t>
            </w: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241" w:type="pct"/>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18"/>
              </w:rPr>
            </w:pPr>
            <w:r>
              <w:rPr>
                <w:b/>
                <w:sz w:val="18"/>
              </w:rPr>
              <w:t>Shares</w:t>
            </w:r>
          </w:p>
        </w:tc>
        <w:tc>
          <w:tcPr>
            <w:tcW w:w="54"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18"/>
              </w:rPr>
            </w:pPr>
            <w:r>
              <w:rPr>
                <w:b/>
                <w:sz w:val="18"/>
              </w:rPr>
              <w:t>Amount</w:t>
            </w:r>
          </w:p>
        </w:tc>
        <w:tc>
          <w:tcPr>
            <w:tcW w:w="106" w:type="pct"/>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18"/>
              </w:rPr>
            </w:pPr>
            <w:r>
              <w:rPr>
                <w:b/>
                <w:sz w:val="18"/>
              </w:rPr>
              <w:t>(Loss)</w:t>
            </w: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Default="0018024C" w:rsidP="0018024C">
            <w:pPr>
              <w:spacing w:before="1" w:after="1"/>
              <w:jc w:val="center"/>
              <w:rPr>
                <w:b/>
                <w:sz w:val="18"/>
              </w:rPr>
            </w:pPr>
            <w:r>
              <w:rPr>
                <w:b/>
                <w:sz w:val="18"/>
              </w:rPr>
              <w:t>Equity</w:t>
            </w:r>
          </w:p>
        </w:tc>
      </w:tr>
      <w:tr w:rsidR="0018024C" w:rsidTr="0018024C">
        <w:trPr>
          <w:trHeight w:hRule="exact" w:val="240"/>
        </w:trPr>
        <w:tc>
          <w:tcPr>
            <w:tcW w:w="1472"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361"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90"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267"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94"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288"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90"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283"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rPr>
                <w:sz w:val="18"/>
              </w:rPr>
            </w:pPr>
          </w:p>
        </w:tc>
        <w:tc>
          <w:tcPr>
            <w:tcW w:w="241"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90"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252"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106" w:type="pct"/>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126"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430"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54" w:type="pct"/>
            <w:tcBorders>
              <w:top w:val="nil"/>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103"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c>
          <w:tcPr>
            <w:tcW w:w="384" w:type="pct"/>
            <w:tcBorders>
              <w:top w:val="single" w:sz="0" w:space="0" w:color="000000"/>
              <w:left w:val="nil"/>
              <w:bottom w:val="nil"/>
              <w:right w:val="nil"/>
              <w:tl2br w:val="nil"/>
              <w:tr2bl w:val="nil"/>
            </w:tcBorders>
            <w:shd w:val="clear" w:color="auto" w:fill="auto"/>
            <w:vAlign w:val="bottom"/>
          </w:tcPr>
          <w:p w:rsidR="0018024C" w:rsidRDefault="0018024C" w:rsidP="0018024C">
            <w:pPr>
              <w:spacing w:before="1" w:after="1"/>
              <w:jc w:val="center"/>
              <w:rPr>
                <w:b/>
                <w:sz w:val="18"/>
              </w:rPr>
            </w:pPr>
          </w:p>
        </w:tc>
      </w:tr>
      <w:tr w:rsidR="0018024C" w:rsidTr="0018024C">
        <w:trPr>
          <w:trHeight w:hRule="exact" w:val="240"/>
        </w:trPr>
        <w:tc>
          <w:tcPr>
            <w:tcW w:w="1472"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r>
              <w:rPr>
                <w:sz w:val="18"/>
              </w:rPr>
              <w:t>Balance at December 31, 2016</w:t>
            </w:r>
          </w:p>
        </w:tc>
        <w:tc>
          <w:tcPr>
            <w:tcW w:w="361"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102 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r>
              <w:rPr>
                <w:sz w:val="18"/>
              </w:rPr>
              <w:t>$</w:t>
            </w:r>
          </w:p>
        </w:tc>
        <w:tc>
          <w:tcPr>
            <w:tcW w:w="267"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1 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r>
              <w:rPr>
                <w:sz w:val="18"/>
              </w:rPr>
              <w:t>$</w:t>
            </w:r>
          </w:p>
        </w:tc>
        <w:tc>
          <w:tcPr>
            <w:tcW w:w="288"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1,677 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r>
              <w:rPr>
                <w:sz w:val="18"/>
              </w:rPr>
              <w:t>$</w:t>
            </w:r>
          </w:p>
        </w:tc>
        <w:tc>
          <w:tcPr>
            <w:tcW w:w="283"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(574)</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41"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(8)</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r>
              <w:rPr>
                <w:sz w:val="18"/>
              </w:rPr>
              <w:t>$</w:t>
            </w:r>
          </w:p>
        </w:tc>
        <w:tc>
          <w:tcPr>
            <w:tcW w:w="252"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(107)</w:t>
            </w:r>
          </w:p>
        </w:tc>
        <w:tc>
          <w:tcPr>
            <w:tcW w:w="10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12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r>
              <w:rPr>
                <w:sz w:val="18"/>
              </w:rPr>
              <w:t>$</w:t>
            </w:r>
          </w:p>
        </w:tc>
        <w:tc>
          <w:tcPr>
            <w:tcW w:w="430"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(234)</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103"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r>
              <w:rPr>
                <w:sz w:val="18"/>
              </w:rPr>
              <w:t>$</w:t>
            </w:r>
          </w:p>
        </w:tc>
        <w:tc>
          <w:tcPr>
            <w:tcW w:w="384"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763 </w:t>
            </w:r>
          </w:p>
        </w:tc>
      </w:tr>
      <w:tr w:rsidR="0018024C" w:rsidTr="0018024C">
        <w:trPr>
          <w:trHeight w:hRule="exact" w:val="240"/>
        </w:trPr>
        <w:tc>
          <w:tcPr>
            <w:tcW w:w="1472" w:type="pct"/>
            <w:tcBorders>
              <w:top w:val="nil"/>
              <w:left w:val="nil"/>
              <w:bottom w:val="nil"/>
              <w:right w:val="nil"/>
              <w:tl2br w:val="nil"/>
              <w:tr2bl w:val="nil"/>
            </w:tcBorders>
            <w:vAlign w:val="bottom"/>
          </w:tcPr>
          <w:p w:rsidR="0018024C" w:rsidRDefault="0018024C" w:rsidP="0018024C">
            <w:pPr>
              <w:spacing w:before="1" w:after="1"/>
              <w:ind w:left="240"/>
              <w:rPr>
                <w:sz w:val="18"/>
              </w:rPr>
            </w:pPr>
            <w:r>
              <w:rPr>
                <w:sz w:val="18"/>
              </w:rPr>
              <w:t>Net income</w:t>
            </w:r>
          </w:p>
        </w:tc>
        <w:tc>
          <w:tcPr>
            <w:tcW w:w="36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67"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88"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83"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50 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4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52"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106"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26"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430"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03"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384"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50 </w:t>
            </w:r>
          </w:p>
        </w:tc>
      </w:tr>
      <w:tr w:rsidR="0018024C" w:rsidTr="0018024C">
        <w:trPr>
          <w:trHeight w:hRule="exact" w:val="240"/>
        </w:trPr>
        <w:tc>
          <w:tcPr>
            <w:tcW w:w="1472" w:type="pct"/>
            <w:tcBorders>
              <w:top w:val="nil"/>
              <w:left w:val="nil"/>
              <w:bottom w:val="nil"/>
              <w:right w:val="nil"/>
              <w:tl2br w:val="nil"/>
              <w:tr2bl w:val="nil"/>
            </w:tcBorders>
            <w:shd w:val="clear" w:color="auto" w:fill="CCEEFF"/>
            <w:vAlign w:val="bottom"/>
          </w:tcPr>
          <w:p w:rsidR="0018024C" w:rsidRDefault="0018024C" w:rsidP="0018024C">
            <w:pPr>
              <w:spacing w:before="1" w:after="1"/>
              <w:ind w:left="240"/>
              <w:rPr>
                <w:sz w:val="18"/>
              </w:rPr>
            </w:pPr>
            <w:r>
              <w:rPr>
                <w:sz w:val="18"/>
              </w:rPr>
              <w:t>Foreign currency translation</w:t>
            </w:r>
          </w:p>
        </w:tc>
        <w:tc>
          <w:tcPr>
            <w:tcW w:w="361"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67"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88"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83"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41"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52"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10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12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430"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24 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103"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384"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24 </w:t>
            </w:r>
          </w:p>
        </w:tc>
      </w:tr>
      <w:tr w:rsidR="0018024C" w:rsidTr="0018024C">
        <w:trPr>
          <w:trHeight w:hRule="exact" w:val="240"/>
        </w:trPr>
        <w:tc>
          <w:tcPr>
            <w:tcW w:w="1472" w:type="pct"/>
            <w:tcBorders>
              <w:top w:val="nil"/>
              <w:left w:val="nil"/>
              <w:bottom w:val="nil"/>
              <w:right w:val="nil"/>
              <w:tl2br w:val="nil"/>
              <w:tr2bl w:val="nil"/>
            </w:tcBorders>
            <w:vAlign w:val="bottom"/>
          </w:tcPr>
          <w:p w:rsidR="0018024C" w:rsidRDefault="0018024C" w:rsidP="0018024C">
            <w:pPr>
              <w:spacing w:before="1" w:after="1"/>
              <w:ind w:left="240"/>
              <w:rPr>
                <w:sz w:val="18"/>
              </w:rPr>
            </w:pPr>
            <w:r>
              <w:rPr>
                <w:sz w:val="18"/>
              </w:rPr>
              <w:t>Shares withheld for taxes</w:t>
            </w:r>
          </w:p>
        </w:tc>
        <w:tc>
          <w:tcPr>
            <w:tcW w:w="36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67"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88"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(3)</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83"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4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52"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106"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26"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430"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03"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384"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(3)</w:t>
            </w:r>
          </w:p>
        </w:tc>
      </w:tr>
      <w:tr w:rsidR="0018024C" w:rsidRPr="00BF754C" w:rsidTr="0018024C">
        <w:trPr>
          <w:trHeight w:hRule="exact" w:val="240"/>
        </w:trPr>
        <w:tc>
          <w:tcPr>
            <w:tcW w:w="1472"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ind w:left="240"/>
              <w:rPr>
                <w:sz w:val="18"/>
              </w:rPr>
            </w:pPr>
            <w:r w:rsidRPr="00BF754C">
              <w:rPr>
                <w:sz w:val="18"/>
              </w:rPr>
              <w:t>Equity-based compensation expense</w:t>
            </w:r>
          </w:p>
        </w:tc>
        <w:tc>
          <w:tcPr>
            <w:tcW w:w="361"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267"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9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288"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16 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283"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241"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252"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106"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126"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430"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103"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38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16 </w:t>
            </w:r>
          </w:p>
        </w:tc>
      </w:tr>
      <w:tr w:rsidR="0018024C" w:rsidRPr="00B94B3A" w:rsidTr="0018024C">
        <w:trPr>
          <w:trHeight w:hRule="exact" w:val="240"/>
        </w:trPr>
        <w:tc>
          <w:tcPr>
            <w:tcW w:w="1472" w:type="pct"/>
            <w:tcBorders>
              <w:top w:val="nil"/>
              <w:left w:val="nil"/>
              <w:bottom w:val="nil"/>
              <w:right w:val="nil"/>
              <w:tl2br w:val="nil"/>
              <w:tr2bl w:val="nil"/>
            </w:tcBorders>
            <w:vAlign w:val="bottom"/>
          </w:tcPr>
          <w:p w:rsidR="0018024C" w:rsidRPr="00B94B3A" w:rsidRDefault="0018024C" w:rsidP="0018024C">
            <w:pPr>
              <w:spacing w:before="1" w:after="1"/>
              <w:ind w:left="240"/>
              <w:rPr>
                <w:sz w:val="18"/>
              </w:rPr>
            </w:pPr>
            <w:r w:rsidRPr="00B94B3A">
              <w:rPr>
                <w:sz w:val="18"/>
              </w:rPr>
              <w:t>Exercise of stock options</w:t>
            </w:r>
          </w:p>
        </w:tc>
        <w:tc>
          <w:tcPr>
            <w:tcW w:w="36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1 </w:t>
            </w:r>
          </w:p>
        </w:tc>
        <w:tc>
          <w:tcPr>
            <w:tcW w:w="54"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267"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94"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288"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1 </w:t>
            </w:r>
          </w:p>
        </w:tc>
        <w:tc>
          <w:tcPr>
            <w:tcW w:w="54"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283"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24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252"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106"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126"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430"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103"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384"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1 </w:t>
            </w:r>
          </w:p>
        </w:tc>
      </w:tr>
      <w:tr w:rsidR="0018024C" w:rsidTr="0018024C">
        <w:trPr>
          <w:trHeight w:hRule="exact" w:val="240"/>
        </w:trPr>
        <w:tc>
          <w:tcPr>
            <w:tcW w:w="1472" w:type="pct"/>
            <w:tcBorders>
              <w:top w:val="nil"/>
              <w:left w:val="nil"/>
              <w:bottom w:val="nil"/>
              <w:right w:val="nil"/>
              <w:tl2br w:val="nil"/>
              <w:tr2bl w:val="nil"/>
            </w:tcBorders>
            <w:shd w:val="clear" w:color="auto" w:fill="CCEEFF"/>
            <w:vAlign w:val="bottom"/>
          </w:tcPr>
          <w:p w:rsidR="0018024C" w:rsidRDefault="0018024C" w:rsidP="0018024C">
            <w:pPr>
              <w:spacing w:before="1" w:after="1"/>
              <w:ind w:left="240"/>
              <w:rPr>
                <w:sz w:val="18"/>
              </w:rPr>
            </w:pPr>
            <w:r>
              <w:rPr>
                <w:sz w:val="18"/>
              </w:rPr>
              <w:t>Dividends declared on preferred stock</w:t>
            </w:r>
          </w:p>
        </w:tc>
        <w:tc>
          <w:tcPr>
            <w:tcW w:w="361"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67"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88"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83"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(24)</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41"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52"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10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12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430"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103"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384"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(24)</w:t>
            </w:r>
          </w:p>
        </w:tc>
      </w:tr>
      <w:tr w:rsidR="0018024C" w:rsidTr="0018024C">
        <w:trPr>
          <w:trHeight w:hRule="exact" w:val="240"/>
        </w:trPr>
        <w:tc>
          <w:tcPr>
            <w:tcW w:w="1472" w:type="pct"/>
            <w:tcBorders>
              <w:top w:val="nil"/>
              <w:left w:val="nil"/>
              <w:bottom w:val="nil"/>
              <w:right w:val="nil"/>
              <w:tl2br w:val="nil"/>
              <w:tr2bl w:val="nil"/>
            </w:tcBorders>
            <w:vAlign w:val="bottom"/>
          </w:tcPr>
          <w:p w:rsidR="0018024C" w:rsidRDefault="0018024C" w:rsidP="0018024C">
            <w:pPr>
              <w:spacing w:before="1" w:after="1"/>
              <w:ind w:left="240"/>
              <w:rPr>
                <w:sz w:val="18"/>
              </w:rPr>
            </w:pPr>
            <w:r>
              <w:rPr>
                <w:sz w:val="18"/>
              </w:rPr>
              <w:t>Purchase of common stock</w:t>
            </w:r>
          </w:p>
        </w:tc>
        <w:tc>
          <w:tcPr>
            <w:tcW w:w="361" w:type="pct"/>
            <w:tcBorders>
              <w:top w:val="nil"/>
              <w:left w:val="nil"/>
              <w:bottom w:val="single" w:sz="12" w:space="0" w:color="000000"/>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single" w:sz="12" w:space="0" w:color="000000"/>
              <w:right w:val="nil"/>
              <w:tl2br w:val="nil"/>
              <w:tr2bl w:val="nil"/>
            </w:tcBorders>
            <w:vAlign w:val="bottom"/>
          </w:tcPr>
          <w:p w:rsidR="0018024C" w:rsidRDefault="0018024C" w:rsidP="0018024C">
            <w:pPr>
              <w:spacing w:before="1" w:after="1"/>
              <w:rPr>
                <w:sz w:val="18"/>
              </w:rPr>
            </w:pPr>
          </w:p>
        </w:tc>
        <w:tc>
          <w:tcPr>
            <w:tcW w:w="267" w:type="pct"/>
            <w:tcBorders>
              <w:top w:val="nil"/>
              <w:left w:val="nil"/>
              <w:bottom w:val="single" w:sz="12" w:space="0" w:color="000000"/>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4" w:type="pct"/>
            <w:tcBorders>
              <w:top w:val="nil"/>
              <w:left w:val="nil"/>
              <w:bottom w:val="single" w:sz="12" w:space="0" w:color="000000"/>
              <w:right w:val="nil"/>
              <w:tl2br w:val="nil"/>
              <w:tr2bl w:val="nil"/>
            </w:tcBorders>
            <w:vAlign w:val="bottom"/>
          </w:tcPr>
          <w:p w:rsidR="0018024C" w:rsidRDefault="0018024C" w:rsidP="0018024C">
            <w:pPr>
              <w:spacing w:before="1" w:after="1"/>
              <w:rPr>
                <w:sz w:val="18"/>
              </w:rPr>
            </w:pPr>
          </w:p>
        </w:tc>
        <w:tc>
          <w:tcPr>
            <w:tcW w:w="288" w:type="pct"/>
            <w:tcBorders>
              <w:top w:val="nil"/>
              <w:left w:val="nil"/>
              <w:bottom w:val="single" w:sz="12" w:space="0" w:color="000000"/>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single" w:sz="12" w:space="0" w:color="000000"/>
              <w:right w:val="nil"/>
              <w:tl2br w:val="nil"/>
              <w:tr2bl w:val="nil"/>
            </w:tcBorders>
            <w:vAlign w:val="bottom"/>
          </w:tcPr>
          <w:p w:rsidR="0018024C" w:rsidRDefault="0018024C" w:rsidP="0018024C">
            <w:pPr>
              <w:spacing w:before="1" w:after="1"/>
              <w:rPr>
                <w:sz w:val="18"/>
              </w:rPr>
            </w:pPr>
          </w:p>
        </w:tc>
        <w:tc>
          <w:tcPr>
            <w:tcW w:w="283" w:type="pct"/>
            <w:tcBorders>
              <w:top w:val="nil"/>
              <w:left w:val="nil"/>
              <w:bottom w:val="single" w:sz="12" w:space="0" w:color="000000"/>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41" w:type="pct"/>
            <w:tcBorders>
              <w:top w:val="nil"/>
              <w:left w:val="nil"/>
              <w:bottom w:val="single" w:sz="12" w:space="0" w:color="000000"/>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(4)</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single" w:sz="12" w:space="0" w:color="000000"/>
              <w:right w:val="nil"/>
              <w:tl2br w:val="nil"/>
              <w:tr2bl w:val="nil"/>
            </w:tcBorders>
            <w:vAlign w:val="bottom"/>
          </w:tcPr>
          <w:p w:rsidR="0018024C" w:rsidRDefault="0018024C" w:rsidP="0018024C">
            <w:pPr>
              <w:spacing w:before="1" w:after="1"/>
              <w:rPr>
                <w:sz w:val="18"/>
              </w:rPr>
            </w:pPr>
          </w:p>
        </w:tc>
        <w:tc>
          <w:tcPr>
            <w:tcW w:w="252" w:type="pct"/>
            <w:tcBorders>
              <w:top w:val="nil"/>
              <w:left w:val="nil"/>
              <w:bottom w:val="single" w:sz="12" w:space="0" w:color="000000"/>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(68)</w:t>
            </w:r>
          </w:p>
        </w:tc>
        <w:tc>
          <w:tcPr>
            <w:tcW w:w="106"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26" w:type="pct"/>
            <w:tcBorders>
              <w:top w:val="nil"/>
              <w:left w:val="nil"/>
              <w:bottom w:val="single" w:sz="12" w:space="0" w:color="000000"/>
              <w:right w:val="nil"/>
              <w:tl2br w:val="nil"/>
              <w:tr2bl w:val="nil"/>
            </w:tcBorders>
            <w:vAlign w:val="bottom"/>
          </w:tcPr>
          <w:p w:rsidR="0018024C" w:rsidRDefault="0018024C" w:rsidP="0018024C">
            <w:pPr>
              <w:spacing w:before="1" w:after="1"/>
              <w:rPr>
                <w:sz w:val="18"/>
              </w:rPr>
            </w:pPr>
          </w:p>
        </w:tc>
        <w:tc>
          <w:tcPr>
            <w:tcW w:w="430" w:type="pct"/>
            <w:tcBorders>
              <w:top w:val="nil"/>
              <w:left w:val="nil"/>
              <w:bottom w:val="single" w:sz="12" w:space="0" w:color="000000"/>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03" w:type="pct"/>
            <w:tcBorders>
              <w:top w:val="nil"/>
              <w:left w:val="nil"/>
              <w:bottom w:val="single" w:sz="12" w:space="0" w:color="000000"/>
              <w:right w:val="nil"/>
              <w:tl2br w:val="nil"/>
              <w:tr2bl w:val="nil"/>
            </w:tcBorders>
            <w:vAlign w:val="bottom"/>
          </w:tcPr>
          <w:p w:rsidR="0018024C" w:rsidRDefault="0018024C" w:rsidP="0018024C">
            <w:pPr>
              <w:spacing w:before="1" w:after="1"/>
              <w:rPr>
                <w:sz w:val="18"/>
              </w:rPr>
            </w:pPr>
          </w:p>
        </w:tc>
        <w:tc>
          <w:tcPr>
            <w:tcW w:w="384" w:type="pct"/>
            <w:tcBorders>
              <w:top w:val="nil"/>
              <w:left w:val="nil"/>
              <w:bottom w:val="single" w:sz="12" w:space="0" w:color="000000"/>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(68)</w:t>
            </w:r>
          </w:p>
        </w:tc>
      </w:tr>
      <w:tr w:rsidR="0018024C" w:rsidTr="0018024C">
        <w:trPr>
          <w:trHeight w:hRule="exact" w:val="240"/>
        </w:trPr>
        <w:tc>
          <w:tcPr>
            <w:tcW w:w="1472"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361"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67"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88"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83"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41"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52"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12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430"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103"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384"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r>
      <w:tr w:rsidR="0018024C" w:rsidTr="0018024C">
        <w:trPr>
          <w:trHeight w:hRule="exact" w:val="225"/>
        </w:trPr>
        <w:tc>
          <w:tcPr>
            <w:tcW w:w="1472" w:type="pct"/>
            <w:tcBorders>
              <w:top w:val="nil"/>
              <w:left w:val="nil"/>
              <w:bottom w:val="nil"/>
              <w:right w:val="nil"/>
              <w:tl2br w:val="nil"/>
              <w:tr2bl w:val="nil"/>
            </w:tcBorders>
            <w:vAlign w:val="bottom"/>
          </w:tcPr>
          <w:p w:rsidR="0018024C" w:rsidRDefault="0018024C" w:rsidP="0018024C">
            <w:pPr>
              <w:spacing w:before="1" w:after="1"/>
              <w:rPr>
                <w:sz w:val="18"/>
              </w:rPr>
            </w:pPr>
            <w:r>
              <w:rPr>
                <w:sz w:val="18"/>
              </w:rPr>
              <w:t>Balance at December 31, 2017</w:t>
            </w:r>
          </w:p>
        </w:tc>
        <w:tc>
          <w:tcPr>
            <w:tcW w:w="36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103 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67"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1 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88"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1,691 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83"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(548)</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4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(12)</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52"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(175)</w:t>
            </w:r>
          </w:p>
        </w:tc>
        <w:tc>
          <w:tcPr>
            <w:tcW w:w="106"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26"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430"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(210)</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03"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384"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759 </w:t>
            </w:r>
          </w:p>
        </w:tc>
      </w:tr>
      <w:tr w:rsidR="0018024C" w:rsidTr="0018024C">
        <w:trPr>
          <w:trHeight w:hRule="exact" w:val="240"/>
        </w:trPr>
        <w:tc>
          <w:tcPr>
            <w:tcW w:w="1472" w:type="pct"/>
            <w:tcBorders>
              <w:top w:val="nil"/>
              <w:left w:val="nil"/>
              <w:bottom w:val="nil"/>
              <w:right w:val="nil"/>
              <w:tl2br w:val="nil"/>
              <w:tr2bl w:val="nil"/>
            </w:tcBorders>
            <w:shd w:val="clear" w:color="auto" w:fill="CCEEFF"/>
            <w:vAlign w:val="bottom"/>
          </w:tcPr>
          <w:p w:rsidR="0018024C" w:rsidRDefault="0018024C" w:rsidP="0018024C">
            <w:pPr>
              <w:spacing w:before="1" w:after="1"/>
              <w:ind w:left="240"/>
              <w:rPr>
                <w:sz w:val="18"/>
              </w:rPr>
            </w:pPr>
            <w:r>
              <w:rPr>
                <w:sz w:val="18"/>
              </w:rPr>
              <w:t>Net income</w:t>
            </w:r>
          </w:p>
        </w:tc>
        <w:tc>
          <w:tcPr>
            <w:tcW w:w="361"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67"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88"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83"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74 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41"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52"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10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12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430"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103"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384"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74 </w:t>
            </w:r>
          </w:p>
        </w:tc>
      </w:tr>
      <w:tr w:rsidR="0018024C" w:rsidTr="0018024C">
        <w:trPr>
          <w:trHeight w:hRule="exact" w:val="240"/>
        </w:trPr>
        <w:tc>
          <w:tcPr>
            <w:tcW w:w="1472" w:type="pct"/>
            <w:tcBorders>
              <w:top w:val="nil"/>
              <w:left w:val="nil"/>
              <w:bottom w:val="nil"/>
              <w:right w:val="nil"/>
              <w:tl2br w:val="nil"/>
              <w:tr2bl w:val="nil"/>
            </w:tcBorders>
            <w:vAlign w:val="bottom"/>
          </w:tcPr>
          <w:p w:rsidR="0018024C" w:rsidRDefault="0018024C" w:rsidP="0018024C">
            <w:pPr>
              <w:spacing w:before="1" w:after="1"/>
              <w:ind w:left="240"/>
              <w:rPr>
                <w:sz w:val="18"/>
              </w:rPr>
            </w:pPr>
            <w:r>
              <w:rPr>
                <w:sz w:val="18"/>
              </w:rPr>
              <w:t>Foreign currency translation</w:t>
            </w:r>
          </w:p>
        </w:tc>
        <w:tc>
          <w:tcPr>
            <w:tcW w:w="36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67"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88"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83"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4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52"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106"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26"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430"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(20)</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03"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384"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(20)</w:t>
            </w:r>
          </w:p>
        </w:tc>
      </w:tr>
      <w:tr w:rsidR="0018024C" w:rsidTr="0018024C">
        <w:trPr>
          <w:trHeight w:hRule="exact" w:val="240"/>
        </w:trPr>
        <w:tc>
          <w:tcPr>
            <w:tcW w:w="1472" w:type="pct"/>
            <w:tcBorders>
              <w:top w:val="nil"/>
              <w:left w:val="nil"/>
              <w:bottom w:val="nil"/>
              <w:right w:val="nil"/>
              <w:tl2br w:val="nil"/>
              <w:tr2bl w:val="nil"/>
            </w:tcBorders>
            <w:shd w:val="clear" w:color="auto" w:fill="CCEEFF"/>
            <w:vAlign w:val="bottom"/>
          </w:tcPr>
          <w:p w:rsidR="0018024C" w:rsidRDefault="0018024C" w:rsidP="0018024C">
            <w:pPr>
              <w:spacing w:before="1" w:after="1"/>
              <w:ind w:left="240"/>
              <w:rPr>
                <w:sz w:val="18"/>
              </w:rPr>
            </w:pPr>
            <w:r>
              <w:rPr>
                <w:sz w:val="18"/>
              </w:rPr>
              <w:t>Hedge accounting adjustments</w:t>
            </w:r>
          </w:p>
        </w:tc>
        <w:tc>
          <w:tcPr>
            <w:tcW w:w="361"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67"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88"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83"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41"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52"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10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12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430"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(2)</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103"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384"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(2)</w:t>
            </w:r>
          </w:p>
        </w:tc>
      </w:tr>
      <w:tr w:rsidR="0018024C" w:rsidTr="0018024C">
        <w:trPr>
          <w:trHeight w:hRule="exact" w:val="240"/>
        </w:trPr>
        <w:tc>
          <w:tcPr>
            <w:tcW w:w="1472" w:type="pct"/>
            <w:tcBorders>
              <w:top w:val="nil"/>
              <w:left w:val="nil"/>
              <w:bottom w:val="nil"/>
              <w:right w:val="nil"/>
              <w:tl2br w:val="nil"/>
              <w:tr2bl w:val="nil"/>
            </w:tcBorders>
            <w:vAlign w:val="bottom"/>
          </w:tcPr>
          <w:p w:rsidR="0018024C" w:rsidRDefault="0018024C" w:rsidP="0018024C">
            <w:pPr>
              <w:spacing w:before="1" w:after="1"/>
              <w:ind w:left="240"/>
              <w:rPr>
                <w:sz w:val="18"/>
              </w:rPr>
            </w:pPr>
            <w:r>
              <w:rPr>
                <w:sz w:val="18"/>
              </w:rPr>
              <w:t>Shares withheld for taxes</w:t>
            </w:r>
          </w:p>
        </w:tc>
        <w:tc>
          <w:tcPr>
            <w:tcW w:w="36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67"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88"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(5)</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83"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4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52"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106"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26"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430"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03"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384"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(5)</w:t>
            </w:r>
          </w:p>
        </w:tc>
      </w:tr>
      <w:tr w:rsidR="0018024C" w:rsidRPr="00BF754C" w:rsidTr="0018024C">
        <w:trPr>
          <w:trHeight w:hRule="exact" w:val="240"/>
        </w:trPr>
        <w:tc>
          <w:tcPr>
            <w:tcW w:w="1472"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ind w:left="240"/>
              <w:rPr>
                <w:sz w:val="18"/>
              </w:rPr>
            </w:pPr>
            <w:r w:rsidRPr="00BF754C">
              <w:rPr>
                <w:sz w:val="18"/>
              </w:rPr>
              <w:t>Equity-based compensation expense</w:t>
            </w:r>
          </w:p>
        </w:tc>
        <w:tc>
          <w:tcPr>
            <w:tcW w:w="361"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267"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9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288"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14 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283"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241"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90"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252"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106"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126"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430"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103"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sz w:val="18"/>
              </w:rPr>
            </w:pPr>
          </w:p>
        </w:tc>
        <w:tc>
          <w:tcPr>
            <w:tcW w:w="38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14 </w:t>
            </w:r>
          </w:p>
        </w:tc>
      </w:tr>
      <w:tr w:rsidR="0018024C" w:rsidRPr="00B94B3A" w:rsidTr="0018024C">
        <w:trPr>
          <w:trHeight w:hRule="exact" w:val="240"/>
        </w:trPr>
        <w:tc>
          <w:tcPr>
            <w:tcW w:w="1472" w:type="pct"/>
            <w:tcBorders>
              <w:top w:val="nil"/>
              <w:left w:val="nil"/>
              <w:bottom w:val="nil"/>
              <w:right w:val="nil"/>
              <w:tl2br w:val="nil"/>
              <w:tr2bl w:val="nil"/>
            </w:tcBorders>
            <w:vAlign w:val="bottom"/>
          </w:tcPr>
          <w:p w:rsidR="0018024C" w:rsidRPr="00B94B3A" w:rsidRDefault="0018024C" w:rsidP="0018024C">
            <w:pPr>
              <w:spacing w:before="1" w:after="1"/>
              <w:ind w:left="240"/>
              <w:rPr>
                <w:sz w:val="18"/>
              </w:rPr>
            </w:pPr>
            <w:r w:rsidRPr="00B94B3A">
              <w:rPr>
                <w:sz w:val="18"/>
              </w:rPr>
              <w:t>Exercise and vesting of stock awards</w:t>
            </w:r>
          </w:p>
        </w:tc>
        <w:tc>
          <w:tcPr>
            <w:tcW w:w="36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2 </w:t>
            </w:r>
          </w:p>
        </w:tc>
        <w:tc>
          <w:tcPr>
            <w:tcW w:w="54"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267"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94"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288"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21 </w:t>
            </w:r>
          </w:p>
        </w:tc>
        <w:tc>
          <w:tcPr>
            <w:tcW w:w="54"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283"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24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252"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106"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126"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430"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103" w:type="pct"/>
            <w:tcBorders>
              <w:top w:val="nil"/>
              <w:left w:val="nil"/>
              <w:bottom w:val="nil"/>
              <w:right w:val="nil"/>
              <w:tl2br w:val="nil"/>
              <w:tr2bl w:val="nil"/>
            </w:tcBorders>
            <w:vAlign w:val="bottom"/>
          </w:tcPr>
          <w:p w:rsidR="0018024C" w:rsidRPr="00B94B3A" w:rsidRDefault="0018024C" w:rsidP="0018024C">
            <w:pPr>
              <w:spacing w:before="1" w:after="1"/>
              <w:rPr>
                <w:sz w:val="18"/>
              </w:rPr>
            </w:pPr>
          </w:p>
        </w:tc>
        <w:tc>
          <w:tcPr>
            <w:tcW w:w="384"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21 </w:t>
            </w:r>
          </w:p>
        </w:tc>
      </w:tr>
      <w:tr w:rsidR="0018024C" w:rsidTr="0018024C">
        <w:trPr>
          <w:trHeight w:hRule="exact" w:val="225"/>
        </w:trPr>
        <w:tc>
          <w:tcPr>
            <w:tcW w:w="1472" w:type="pct"/>
            <w:tcBorders>
              <w:top w:val="nil"/>
              <w:left w:val="nil"/>
              <w:bottom w:val="nil"/>
              <w:right w:val="nil"/>
              <w:tl2br w:val="nil"/>
              <w:tr2bl w:val="nil"/>
            </w:tcBorders>
            <w:shd w:val="clear" w:color="auto" w:fill="CCEEFF"/>
            <w:vAlign w:val="bottom"/>
          </w:tcPr>
          <w:p w:rsidR="0018024C" w:rsidRDefault="0018024C" w:rsidP="0018024C">
            <w:pPr>
              <w:spacing w:before="1" w:after="1"/>
              <w:ind w:left="240"/>
              <w:rPr>
                <w:sz w:val="18"/>
              </w:rPr>
            </w:pPr>
            <w:r>
              <w:rPr>
                <w:sz w:val="18"/>
              </w:rPr>
              <w:t>Dividends declared on preferred stock</w:t>
            </w:r>
          </w:p>
        </w:tc>
        <w:tc>
          <w:tcPr>
            <w:tcW w:w="361"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67"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83"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(24)</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41"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52"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w:t>
            </w:r>
          </w:p>
        </w:tc>
        <w:tc>
          <w:tcPr>
            <w:tcW w:w="106"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126"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430"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103"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384"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(24)</w:t>
            </w:r>
          </w:p>
        </w:tc>
      </w:tr>
      <w:tr w:rsidR="0018024C" w:rsidTr="0018024C">
        <w:trPr>
          <w:trHeight w:hRule="exact" w:val="240"/>
        </w:trPr>
        <w:tc>
          <w:tcPr>
            <w:tcW w:w="1472" w:type="pct"/>
            <w:tcBorders>
              <w:top w:val="nil"/>
              <w:left w:val="nil"/>
              <w:bottom w:val="nil"/>
              <w:right w:val="nil"/>
              <w:tl2br w:val="nil"/>
              <w:tr2bl w:val="nil"/>
            </w:tcBorders>
            <w:vAlign w:val="bottom"/>
          </w:tcPr>
          <w:p w:rsidR="0018024C" w:rsidRDefault="0018024C" w:rsidP="0018024C">
            <w:pPr>
              <w:spacing w:before="1" w:after="1"/>
              <w:ind w:left="240"/>
              <w:rPr>
                <w:sz w:val="18"/>
              </w:rPr>
            </w:pPr>
            <w:r>
              <w:rPr>
                <w:sz w:val="18"/>
              </w:rPr>
              <w:t>Purchase of common stock</w:t>
            </w:r>
          </w:p>
        </w:tc>
        <w:tc>
          <w:tcPr>
            <w:tcW w:w="361" w:type="pct"/>
            <w:tcBorders>
              <w:top w:val="nil"/>
              <w:left w:val="nil"/>
              <w:bottom w:val="single" w:sz="12" w:space="0" w:color="000000"/>
              <w:right w:val="nil"/>
              <w:tl2br w:val="nil"/>
              <w:tr2bl w:val="nil"/>
            </w:tcBorders>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90" w:type="pct"/>
            <w:tcBorders>
              <w:top w:val="nil"/>
              <w:left w:val="nil"/>
              <w:bottom w:val="single" w:sz="12" w:space="0" w:color="000000"/>
              <w:right w:val="nil"/>
              <w:tl2br w:val="nil"/>
              <w:tr2bl w:val="nil"/>
            </w:tcBorders>
            <w:vAlign w:val="bottom"/>
          </w:tcPr>
          <w:p w:rsidR="0018024C" w:rsidRDefault="0018024C" w:rsidP="0018024C">
            <w:pPr>
              <w:spacing w:before="1" w:after="1"/>
              <w:rPr>
                <w:b/>
                <w:sz w:val="18"/>
              </w:rPr>
            </w:pPr>
          </w:p>
        </w:tc>
        <w:tc>
          <w:tcPr>
            <w:tcW w:w="267" w:type="pct"/>
            <w:tcBorders>
              <w:top w:val="nil"/>
              <w:left w:val="nil"/>
              <w:bottom w:val="single" w:sz="12" w:space="0" w:color="000000"/>
              <w:right w:val="nil"/>
              <w:tl2br w:val="nil"/>
              <w:tr2bl w:val="nil"/>
            </w:tcBorders>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94" w:type="pct"/>
            <w:tcBorders>
              <w:top w:val="nil"/>
              <w:left w:val="nil"/>
              <w:bottom w:val="single" w:sz="12" w:space="0" w:color="000000"/>
              <w:right w:val="nil"/>
              <w:tl2br w:val="nil"/>
              <w:tr2bl w:val="nil"/>
            </w:tcBorders>
            <w:vAlign w:val="bottom"/>
          </w:tcPr>
          <w:p w:rsidR="0018024C" w:rsidRDefault="0018024C" w:rsidP="0018024C">
            <w:pPr>
              <w:spacing w:before="1" w:after="1"/>
              <w:rPr>
                <w:b/>
                <w:sz w:val="18"/>
              </w:rPr>
            </w:pPr>
          </w:p>
        </w:tc>
        <w:tc>
          <w:tcPr>
            <w:tcW w:w="288" w:type="pct"/>
            <w:tcBorders>
              <w:top w:val="nil"/>
              <w:left w:val="nil"/>
              <w:bottom w:val="single" w:sz="12" w:space="0" w:color="000000"/>
              <w:right w:val="nil"/>
              <w:tl2br w:val="nil"/>
              <w:tr2bl w:val="nil"/>
            </w:tcBorders>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90" w:type="pct"/>
            <w:tcBorders>
              <w:top w:val="nil"/>
              <w:left w:val="nil"/>
              <w:bottom w:val="single" w:sz="12" w:space="0" w:color="000000"/>
              <w:right w:val="nil"/>
              <w:tl2br w:val="nil"/>
              <w:tr2bl w:val="nil"/>
            </w:tcBorders>
            <w:vAlign w:val="bottom"/>
          </w:tcPr>
          <w:p w:rsidR="0018024C" w:rsidRDefault="0018024C" w:rsidP="0018024C">
            <w:pPr>
              <w:spacing w:before="1" w:after="1"/>
              <w:rPr>
                <w:b/>
                <w:sz w:val="18"/>
              </w:rPr>
            </w:pPr>
          </w:p>
        </w:tc>
        <w:tc>
          <w:tcPr>
            <w:tcW w:w="283" w:type="pct"/>
            <w:tcBorders>
              <w:top w:val="nil"/>
              <w:left w:val="nil"/>
              <w:bottom w:val="single" w:sz="12" w:space="0" w:color="000000"/>
              <w:right w:val="nil"/>
              <w:tl2br w:val="nil"/>
              <w:tr2bl w:val="nil"/>
            </w:tcBorders>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241" w:type="pct"/>
            <w:tcBorders>
              <w:top w:val="nil"/>
              <w:left w:val="nil"/>
              <w:bottom w:val="single" w:sz="12" w:space="0" w:color="000000"/>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(7)</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single" w:sz="12" w:space="0" w:color="000000"/>
              <w:right w:val="nil"/>
              <w:tl2br w:val="nil"/>
              <w:tr2bl w:val="nil"/>
            </w:tcBorders>
            <w:vAlign w:val="bottom"/>
          </w:tcPr>
          <w:p w:rsidR="0018024C" w:rsidRDefault="0018024C" w:rsidP="0018024C">
            <w:pPr>
              <w:spacing w:before="1" w:after="1"/>
              <w:rPr>
                <w:b/>
                <w:sz w:val="18"/>
              </w:rPr>
            </w:pPr>
          </w:p>
        </w:tc>
        <w:tc>
          <w:tcPr>
            <w:tcW w:w="252" w:type="pct"/>
            <w:tcBorders>
              <w:top w:val="nil"/>
              <w:left w:val="nil"/>
              <w:bottom w:val="single" w:sz="12" w:space="0" w:color="000000"/>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(125)</w:t>
            </w:r>
          </w:p>
        </w:tc>
        <w:tc>
          <w:tcPr>
            <w:tcW w:w="106"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26" w:type="pct"/>
            <w:tcBorders>
              <w:top w:val="nil"/>
              <w:left w:val="nil"/>
              <w:bottom w:val="single" w:sz="12" w:space="0" w:color="000000"/>
              <w:right w:val="nil"/>
              <w:tl2br w:val="nil"/>
              <w:tr2bl w:val="nil"/>
            </w:tcBorders>
            <w:vAlign w:val="bottom"/>
          </w:tcPr>
          <w:p w:rsidR="0018024C" w:rsidRDefault="0018024C" w:rsidP="0018024C">
            <w:pPr>
              <w:spacing w:before="1" w:after="1"/>
              <w:rPr>
                <w:b/>
                <w:sz w:val="18"/>
              </w:rPr>
            </w:pPr>
          </w:p>
        </w:tc>
        <w:tc>
          <w:tcPr>
            <w:tcW w:w="430" w:type="pct"/>
            <w:tcBorders>
              <w:top w:val="nil"/>
              <w:left w:val="nil"/>
              <w:bottom w:val="single" w:sz="12" w:space="0" w:color="000000"/>
              <w:right w:val="nil"/>
              <w:tl2br w:val="nil"/>
              <w:tr2bl w:val="nil"/>
            </w:tcBorders>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03" w:type="pct"/>
            <w:tcBorders>
              <w:top w:val="nil"/>
              <w:left w:val="nil"/>
              <w:bottom w:val="single" w:sz="12" w:space="0" w:color="000000"/>
              <w:right w:val="nil"/>
              <w:tl2br w:val="nil"/>
              <w:tr2bl w:val="nil"/>
            </w:tcBorders>
            <w:vAlign w:val="bottom"/>
          </w:tcPr>
          <w:p w:rsidR="0018024C" w:rsidRDefault="0018024C" w:rsidP="0018024C">
            <w:pPr>
              <w:spacing w:before="1" w:after="1"/>
              <w:rPr>
                <w:b/>
                <w:sz w:val="18"/>
              </w:rPr>
            </w:pPr>
          </w:p>
        </w:tc>
        <w:tc>
          <w:tcPr>
            <w:tcW w:w="384" w:type="pct"/>
            <w:tcBorders>
              <w:top w:val="nil"/>
              <w:left w:val="nil"/>
              <w:bottom w:val="single" w:sz="12" w:space="0" w:color="000000"/>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(125)</w:t>
            </w:r>
          </w:p>
        </w:tc>
      </w:tr>
      <w:tr w:rsidR="0018024C" w:rsidTr="0018024C">
        <w:trPr>
          <w:trHeight w:hRule="exact" w:val="225"/>
        </w:trPr>
        <w:tc>
          <w:tcPr>
            <w:tcW w:w="1472" w:type="pct"/>
            <w:tcBorders>
              <w:top w:val="nil"/>
              <w:left w:val="nil"/>
              <w:bottom w:val="nil"/>
              <w:right w:val="nil"/>
              <w:tl2br w:val="nil"/>
              <w:tr2bl w:val="nil"/>
            </w:tcBorders>
            <w:shd w:val="clear" w:color="auto" w:fill="CCEEFF"/>
            <w:vAlign w:val="bottom"/>
          </w:tcPr>
          <w:p w:rsidR="0018024C" w:rsidRDefault="0018024C" w:rsidP="0018024C">
            <w:pPr>
              <w:spacing w:before="1" w:after="1"/>
              <w:ind w:left="240"/>
              <w:rPr>
                <w:sz w:val="18"/>
              </w:rPr>
            </w:pPr>
          </w:p>
        </w:tc>
        <w:tc>
          <w:tcPr>
            <w:tcW w:w="361"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67"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4"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88"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83"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41"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90"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252"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126"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430"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103"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c>
          <w:tcPr>
            <w:tcW w:w="384" w:type="pct"/>
            <w:tcBorders>
              <w:top w:val="single" w:sz="0" w:space="0" w:color="000000"/>
              <w:left w:val="nil"/>
              <w:bottom w:val="nil"/>
              <w:right w:val="nil"/>
              <w:tl2br w:val="nil"/>
              <w:tr2bl w:val="nil"/>
            </w:tcBorders>
            <w:shd w:val="clear" w:color="auto" w:fill="CCEEFF"/>
            <w:vAlign w:val="bottom"/>
          </w:tcPr>
          <w:p w:rsidR="0018024C" w:rsidRDefault="0018024C" w:rsidP="0018024C">
            <w:pPr>
              <w:spacing w:before="1" w:after="1"/>
              <w:rPr>
                <w:sz w:val="18"/>
              </w:rPr>
            </w:pPr>
          </w:p>
        </w:tc>
      </w:tr>
      <w:tr w:rsidR="0018024C" w:rsidTr="0018024C">
        <w:trPr>
          <w:trHeight w:hRule="exact" w:val="225"/>
        </w:trPr>
        <w:tc>
          <w:tcPr>
            <w:tcW w:w="1472" w:type="pct"/>
            <w:tcBorders>
              <w:top w:val="nil"/>
              <w:left w:val="nil"/>
              <w:bottom w:val="nil"/>
              <w:right w:val="nil"/>
              <w:tl2br w:val="nil"/>
              <w:tr2bl w:val="nil"/>
            </w:tcBorders>
            <w:vAlign w:val="bottom"/>
          </w:tcPr>
          <w:p w:rsidR="0018024C" w:rsidRDefault="0018024C" w:rsidP="0018024C">
            <w:pPr>
              <w:spacing w:before="1" w:after="1"/>
              <w:rPr>
                <w:sz w:val="18"/>
              </w:rPr>
            </w:pPr>
            <w:r>
              <w:rPr>
                <w:sz w:val="18"/>
              </w:rPr>
              <w:t>Balance at December 31, 2018</w:t>
            </w:r>
          </w:p>
        </w:tc>
        <w:tc>
          <w:tcPr>
            <w:tcW w:w="36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105 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67"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1 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88"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1,721 </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83"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(498)</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4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(19)</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52"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(300)</w:t>
            </w:r>
          </w:p>
        </w:tc>
        <w:tc>
          <w:tcPr>
            <w:tcW w:w="106"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26"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430"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(232)</w:t>
            </w: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03"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384"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692 </w:t>
            </w:r>
          </w:p>
        </w:tc>
      </w:tr>
      <w:tr w:rsidR="0018024C" w:rsidTr="0018024C">
        <w:trPr>
          <w:trHeight w:hRule="exact" w:val="240"/>
        </w:trPr>
        <w:tc>
          <w:tcPr>
            <w:tcW w:w="1472" w:type="pct"/>
            <w:tcBorders>
              <w:top w:val="nil"/>
              <w:left w:val="nil"/>
              <w:bottom w:val="nil"/>
              <w:right w:val="nil"/>
              <w:tl2br w:val="nil"/>
              <w:tr2bl w:val="nil"/>
            </w:tcBorders>
            <w:shd w:val="clear" w:color="auto" w:fill="CCEEFF"/>
            <w:vAlign w:val="bottom"/>
          </w:tcPr>
          <w:p w:rsidR="0018024C" w:rsidRDefault="0018024C" w:rsidP="0018024C">
            <w:pPr>
              <w:spacing w:before="1" w:after="1"/>
              <w:ind w:left="240"/>
              <w:rPr>
                <w:sz w:val="18"/>
              </w:rPr>
            </w:pPr>
            <w:r>
              <w:rPr>
                <w:sz w:val="18"/>
              </w:rPr>
              <w:t>Net income</w:t>
            </w:r>
          </w:p>
        </w:tc>
        <w:tc>
          <w:tcPr>
            <w:tcW w:w="361"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67"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83"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39 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41"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rPr>
                <w:b/>
                <w:sz w:val="18"/>
              </w:rPr>
            </w:pP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52"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rPr>
                <w:b/>
                <w:sz w:val="18"/>
              </w:rPr>
            </w:pPr>
          </w:p>
        </w:tc>
        <w:tc>
          <w:tcPr>
            <w:tcW w:w="106"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126"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430"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rPr>
                <w:b/>
                <w:sz w:val="18"/>
              </w:rPr>
            </w:pP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103"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384"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39 </w:t>
            </w:r>
          </w:p>
        </w:tc>
      </w:tr>
      <w:tr w:rsidR="0018024C" w:rsidTr="0018024C">
        <w:trPr>
          <w:trHeight w:hRule="exact" w:val="240"/>
        </w:trPr>
        <w:tc>
          <w:tcPr>
            <w:tcW w:w="1472" w:type="pct"/>
            <w:tcBorders>
              <w:top w:val="nil"/>
              <w:left w:val="nil"/>
              <w:bottom w:val="nil"/>
              <w:right w:val="nil"/>
              <w:tl2br w:val="nil"/>
              <w:tr2bl w:val="nil"/>
            </w:tcBorders>
            <w:vAlign w:val="bottom"/>
          </w:tcPr>
          <w:p w:rsidR="0018024C" w:rsidRDefault="0018024C" w:rsidP="0018024C">
            <w:pPr>
              <w:spacing w:before="1" w:after="1"/>
              <w:ind w:left="240"/>
              <w:rPr>
                <w:sz w:val="18"/>
              </w:rPr>
            </w:pPr>
            <w:r>
              <w:rPr>
                <w:sz w:val="18"/>
              </w:rPr>
              <w:t>Foreign currency translation</w:t>
            </w:r>
          </w:p>
        </w:tc>
        <w:tc>
          <w:tcPr>
            <w:tcW w:w="361" w:type="pct"/>
            <w:tcBorders>
              <w:top w:val="nil"/>
              <w:left w:val="nil"/>
              <w:bottom w:val="nil"/>
              <w:right w:val="nil"/>
              <w:tl2br w:val="nil"/>
              <w:tr2bl w:val="nil"/>
            </w:tcBorders>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267"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9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288" w:type="pct"/>
            <w:tcBorders>
              <w:top w:val="nil"/>
              <w:left w:val="nil"/>
              <w:bottom w:val="nil"/>
              <w:right w:val="nil"/>
              <w:tl2br w:val="nil"/>
              <w:tr2bl w:val="nil"/>
            </w:tcBorders>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283"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24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252"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106"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126"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430" w:type="pct"/>
            <w:tcBorders>
              <w:top w:val="nil"/>
              <w:left w:val="nil"/>
              <w:bottom w:val="nil"/>
              <w:right w:val="nil"/>
              <w:tl2br w:val="nil"/>
              <w:tr2bl w:val="nil"/>
            </w:tcBorders>
            <w:vAlign w:val="bottom"/>
          </w:tcPr>
          <w:p w:rsidR="0018024C" w:rsidRPr="00D44F9E" w:rsidRDefault="0018024C" w:rsidP="0018024C">
            <w:pPr>
              <w:spacing w:before="1" w:after="1"/>
              <w:jc w:val="right"/>
              <w:rPr>
                <w:b/>
                <w:sz w:val="18"/>
              </w:rPr>
            </w:pPr>
            <w:r w:rsidRPr="00D44F9E">
              <w:rPr>
                <w:b/>
                <w:sz w:val="18"/>
              </w:rPr>
              <w:t xml:space="preserve"> 5 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103"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384" w:type="pct"/>
            <w:tcBorders>
              <w:top w:val="nil"/>
              <w:left w:val="nil"/>
              <w:bottom w:val="nil"/>
              <w:right w:val="nil"/>
              <w:tl2br w:val="nil"/>
              <w:tr2bl w:val="nil"/>
            </w:tcBorders>
            <w:vAlign w:val="bottom"/>
          </w:tcPr>
          <w:p w:rsidR="0018024C" w:rsidRPr="00D44F9E" w:rsidRDefault="0018024C" w:rsidP="0018024C">
            <w:pPr>
              <w:spacing w:before="1" w:after="1"/>
              <w:jc w:val="right"/>
              <w:rPr>
                <w:b/>
                <w:sz w:val="18"/>
              </w:rPr>
            </w:pPr>
            <w:r w:rsidRPr="00D44F9E">
              <w:rPr>
                <w:b/>
                <w:sz w:val="18"/>
              </w:rPr>
              <w:t xml:space="preserve"> 5 </w:t>
            </w:r>
          </w:p>
        </w:tc>
      </w:tr>
      <w:tr w:rsidR="0018024C" w:rsidTr="0018024C">
        <w:trPr>
          <w:trHeight w:hRule="exact" w:val="240"/>
        </w:trPr>
        <w:tc>
          <w:tcPr>
            <w:tcW w:w="1472" w:type="pct"/>
            <w:tcBorders>
              <w:top w:val="nil"/>
              <w:left w:val="nil"/>
              <w:bottom w:val="nil"/>
              <w:right w:val="nil"/>
              <w:tl2br w:val="nil"/>
              <w:tr2bl w:val="nil"/>
            </w:tcBorders>
            <w:shd w:val="clear" w:color="auto" w:fill="CCEEFF"/>
            <w:vAlign w:val="bottom"/>
          </w:tcPr>
          <w:p w:rsidR="0018024C" w:rsidRDefault="0018024C" w:rsidP="0018024C">
            <w:pPr>
              <w:spacing w:before="1" w:after="1"/>
              <w:ind w:left="240"/>
              <w:rPr>
                <w:sz w:val="18"/>
              </w:rPr>
            </w:pPr>
            <w:r>
              <w:rPr>
                <w:sz w:val="18"/>
              </w:rPr>
              <w:t>Hedge accounting adjustments</w:t>
            </w:r>
          </w:p>
        </w:tc>
        <w:tc>
          <w:tcPr>
            <w:tcW w:w="361"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67"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83"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41"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52"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sz w:val="18"/>
              </w:rPr>
            </w:pPr>
            <w:r w:rsidRPr="00D44F9E">
              <w:rPr>
                <w:sz w:val="18"/>
              </w:rPr>
              <w:t xml:space="preserve"> -</w:t>
            </w:r>
          </w:p>
        </w:tc>
        <w:tc>
          <w:tcPr>
            <w:tcW w:w="106"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126"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430"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(5)</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103"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384" w:type="pct"/>
            <w:tcBorders>
              <w:top w:val="nil"/>
              <w:left w:val="nil"/>
              <w:bottom w:val="nil"/>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(5)</w:t>
            </w:r>
          </w:p>
        </w:tc>
      </w:tr>
      <w:tr w:rsidR="0018024C" w:rsidTr="0018024C">
        <w:trPr>
          <w:trHeight w:hRule="exact" w:val="240"/>
        </w:trPr>
        <w:tc>
          <w:tcPr>
            <w:tcW w:w="1472" w:type="pct"/>
            <w:tcBorders>
              <w:top w:val="nil"/>
              <w:left w:val="nil"/>
              <w:bottom w:val="nil"/>
              <w:right w:val="nil"/>
              <w:tl2br w:val="nil"/>
              <w:tr2bl w:val="nil"/>
            </w:tcBorders>
            <w:vAlign w:val="bottom"/>
          </w:tcPr>
          <w:p w:rsidR="0018024C" w:rsidRDefault="0018024C" w:rsidP="0018024C">
            <w:pPr>
              <w:spacing w:before="1" w:after="1"/>
              <w:ind w:left="240"/>
              <w:rPr>
                <w:sz w:val="18"/>
              </w:rPr>
            </w:pPr>
            <w:r>
              <w:rPr>
                <w:sz w:val="18"/>
              </w:rPr>
              <w:t>Shares withheld for taxes</w:t>
            </w:r>
          </w:p>
        </w:tc>
        <w:tc>
          <w:tcPr>
            <w:tcW w:w="361" w:type="pct"/>
            <w:tcBorders>
              <w:top w:val="nil"/>
              <w:left w:val="nil"/>
              <w:bottom w:val="nil"/>
              <w:right w:val="nil"/>
              <w:tl2br w:val="nil"/>
              <w:tr2bl w:val="nil"/>
            </w:tcBorders>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267"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9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288" w:type="pct"/>
            <w:tcBorders>
              <w:top w:val="nil"/>
              <w:left w:val="nil"/>
              <w:bottom w:val="nil"/>
              <w:right w:val="nil"/>
              <w:tl2br w:val="nil"/>
              <w:tr2bl w:val="nil"/>
            </w:tcBorders>
            <w:vAlign w:val="bottom"/>
          </w:tcPr>
          <w:p w:rsidR="0018024C" w:rsidRPr="00D44F9E" w:rsidRDefault="0018024C" w:rsidP="0018024C">
            <w:pPr>
              <w:spacing w:before="1" w:after="1"/>
              <w:jc w:val="right"/>
              <w:rPr>
                <w:b/>
                <w:sz w:val="18"/>
              </w:rPr>
            </w:pPr>
            <w:r w:rsidRPr="00D44F9E">
              <w:rPr>
                <w:b/>
                <w:sz w:val="18"/>
              </w:rPr>
              <w:t xml:space="preserve"> (6)</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283"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24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252"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106"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126"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430"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103"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384" w:type="pct"/>
            <w:tcBorders>
              <w:top w:val="nil"/>
              <w:left w:val="nil"/>
              <w:bottom w:val="nil"/>
              <w:right w:val="nil"/>
              <w:tl2br w:val="nil"/>
              <w:tr2bl w:val="nil"/>
            </w:tcBorders>
            <w:vAlign w:val="bottom"/>
          </w:tcPr>
          <w:p w:rsidR="0018024C" w:rsidRPr="00D44F9E" w:rsidRDefault="0018024C" w:rsidP="0018024C">
            <w:pPr>
              <w:spacing w:before="1" w:after="1"/>
              <w:jc w:val="right"/>
              <w:rPr>
                <w:b/>
                <w:sz w:val="18"/>
              </w:rPr>
            </w:pPr>
            <w:r w:rsidRPr="00D44F9E">
              <w:rPr>
                <w:b/>
                <w:sz w:val="18"/>
              </w:rPr>
              <w:t xml:space="preserve"> (6)</w:t>
            </w:r>
          </w:p>
        </w:tc>
      </w:tr>
      <w:tr w:rsidR="0018024C" w:rsidRPr="00BF754C" w:rsidTr="0018024C">
        <w:trPr>
          <w:trHeight w:hRule="exact" w:val="240"/>
        </w:trPr>
        <w:tc>
          <w:tcPr>
            <w:tcW w:w="1472"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ind w:left="240"/>
              <w:rPr>
                <w:sz w:val="18"/>
              </w:rPr>
            </w:pPr>
            <w:r w:rsidRPr="00BF754C">
              <w:rPr>
                <w:sz w:val="18"/>
              </w:rPr>
              <w:t>Equity-based compensation expense</w:t>
            </w:r>
          </w:p>
        </w:tc>
        <w:tc>
          <w:tcPr>
            <w:tcW w:w="361"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b/>
                <w:sz w:val="18"/>
              </w:rPr>
            </w:pPr>
            <w:r w:rsidRPr="00BF754C">
              <w:rPr>
                <w:b/>
                <w:sz w:val="18"/>
              </w:rPr>
              <w:t xml:space="preserve"> 1</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b/>
                <w:sz w:val="18"/>
              </w:rPr>
            </w:pPr>
          </w:p>
        </w:tc>
        <w:tc>
          <w:tcPr>
            <w:tcW w:w="267"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b/>
                <w:sz w:val="18"/>
              </w:rPr>
            </w:pPr>
          </w:p>
        </w:tc>
        <w:tc>
          <w:tcPr>
            <w:tcW w:w="9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b/>
                <w:sz w:val="18"/>
              </w:rPr>
            </w:pPr>
          </w:p>
        </w:tc>
        <w:tc>
          <w:tcPr>
            <w:tcW w:w="288"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b/>
                <w:sz w:val="18"/>
              </w:rPr>
            </w:pPr>
            <w:r w:rsidRPr="00BF754C">
              <w:rPr>
                <w:b/>
                <w:sz w:val="18"/>
              </w:rPr>
              <w:t xml:space="preserve"> 16 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b/>
                <w:sz w:val="18"/>
              </w:rPr>
            </w:pPr>
          </w:p>
        </w:tc>
        <w:tc>
          <w:tcPr>
            <w:tcW w:w="283"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b/>
                <w:sz w:val="18"/>
              </w:rPr>
            </w:pPr>
          </w:p>
        </w:tc>
        <w:tc>
          <w:tcPr>
            <w:tcW w:w="241"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b/>
                <w:sz w:val="18"/>
              </w:rPr>
            </w:pPr>
          </w:p>
        </w:tc>
        <w:tc>
          <w:tcPr>
            <w:tcW w:w="90"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b/>
                <w:sz w:val="18"/>
              </w:rPr>
            </w:pPr>
          </w:p>
        </w:tc>
        <w:tc>
          <w:tcPr>
            <w:tcW w:w="252"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106"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b/>
                <w:sz w:val="18"/>
              </w:rPr>
            </w:pPr>
          </w:p>
        </w:tc>
        <w:tc>
          <w:tcPr>
            <w:tcW w:w="126"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b/>
                <w:sz w:val="18"/>
              </w:rPr>
            </w:pPr>
          </w:p>
        </w:tc>
        <w:tc>
          <w:tcPr>
            <w:tcW w:w="430"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sz w:val="18"/>
              </w:rPr>
            </w:pPr>
            <w:r w:rsidRPr="00BF754C">
              <w:rPr>
                <w:sz w:val="18"/>
              </w:rPr>
              <w:t xml:space="preserve"> -</w:t>
            </w:r>
          </w:p>
        </w:tc>
        <w:tc>
          <w:tcPr>
            <w:tcW w:w="5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b/>
                <w:sz w:val="18"/>
              </w:rPr>
            </w:pPr>
          </w:p>
        </w:tc>
        <w:tc>
          <w:tcPr>
            <w:tcW w:w="103"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rPr>
                <w:b/>
                <w:sz w:val="18"/>
              </w:rPr>
            </w:pPr>
          </w:p>
        </w:tc>
        <w:tc>
          <w:tcPr>
            <w:tcW w:w="384" w:type="pct"/>
            <w:tcBorders>
              <w:top w:val="nil"/>
              <w:left w:val="nil"/>
              <w:bottom w:val="nil"/>
              <w:right w:val="nil"/>
              <w:tl2br w:val="nil"/>
              <w:tr2bl w:val="nil"/>
            </w:tcBorders>
            <w:shd w:val="clear" w:color="auto" w:fill="CCEEFF"/>
            <w:vAlign w:val="bottom"/>
          </w:tcPr>
          <w:p w:rsidR="0018024C" w:rsidRPr="00BF754C" w:rsidRDefault="0018024C" w:rsidP="0018024C">
            <w:pPr>
              <w:spacing w:before="1" w:after="1"/>
              <w:jc w:val="right"/>
              <w:rPr>
                <w:b/>
                <w:sz w:val="18"/>
              </w:rPr>
            </w:pPr>
            <w:r w:rsidRPr="00BF754C">
              <w:rPr>
                <w:b/>
                <w:sz w:val="18"/>
              </w:rPr>
              <w:t xml:space="preserve"> 16 </w:t>
            </w:r>
          </w:p>
        </w:tc>
      </w:tr>
      <w:tr w:rsidR="0018024C" w:rsidTr="0018024C">
        <w:trPr>
          <w:trHeight w:hRule="exact" w:val="225"/>
        </w:trPr>
        <w:tc>
          <w:tcPr>
            <w:tcW w:w="1472" w:type="pct"/>
            <w:tcBorders>
              <w:top w:val="nil"/>
              <w:left w:val="nil"/>
              <w:bottom w:val="nil"/>
              <w:right w:val="nil"/>
              <w:tl2br w:val="nil"/>
              <w:tr2bl w:val="nil"/>
            </w:tcBorders>
            <w:vAlign w:val="bottom"/>
          </w:tcPr>
          <w:p w:rsidR="0018024C" w:rsidRDefault="0018024C" w:rsidP="0018024C">
            <w:pPr>
              <w:spacing w:before="1" w:after="1"/>
              <w:ind w:left="240"/>
              <w:rPr>
                <w:sz w:val="18"/>
              </w:rPr>
            </w:pPr>
            <w:r>
              <w:rPr>
                <w:sz w:val="18"/>
              </w:rPr>
              <w:t>Dividends declared on preferred stock</w:t>
            </w:r>
          </w:p>
        </w:tc>
        <w:tc>
          <w:tcPr>
            <w:tcW w:w="361" w:type="pct"/>
            <w:tcBorders>
              <w:top w:val="nil"/>
              <w:left w:val="nil"/>
              <w:bottom w:val="nil"/>
              <w:right w:val="nil"/>
              <w:tl2br w:val="nil"/>
              <w:tr2bl w:val="nil"/>
            </w:tcBorders>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267"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9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288" w:type="pct"/>
            <w:tcBorders>
              <w:top w:val="nil"/>
              <w:left w:val="nil"/>
              <w:bottom w:val="nil"/>
              <w:right w:val="nil"/>
              <w:tl2br w:val="nil"/>
              <w:tr2bl w:val="nil"/>
            </w:tcBorders>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283" w:type="pct"/>
            <w:tcBorders>
              <w:top w:val="nil"/>
              <w:left w:val="nil"/>
              <w:bottom w:val="nil"/>
              <w:right w:val="nil"/>
              <w:tl2br w:val="nil"/>
              <w:tr2bl w:val="nil"/>
            </w:tcBorders>
            <w:vAlign w:val="bottom"/>
          </w:tcPr>
          <w:p w:rsidR="0018024C" w:rsidRPr="00D44F9E" w:rsidRDefault="0018024C" w:rsidP="0018024C">
            <w:pPr>
              <w:spacing w:before="1" w:after="1"/>
              <w:jc w:val="right"/>
              <w:rPr>
                <w:b/>
                <w:sz w:val="18"/>
              </w:rPr>
            </w:pPr>
            <w:r w:rsidRPr="00D44F9E">
              <w:rPr>
                <w:b/>
                <w:sz w:val="18"/>
              </w:rPr>
              <w:t xml:space="preserve"> (24)</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241"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252"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106"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126"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430" w:type="pct"/>
            <w:tcBorders>
              <w:top w:val="nil"/>
              <w:left w:val="nil"/>
              <w:bottom w:val="nil"/>
              <w:right w:val="nil"/>
              <w:tl2br w:val="nil"/>
              <w:tr2bl w:val="nil"/>
            </w:tcBorders>
            <w:vAlign w:val="bottom"/>
          </w:tcPr>
          <w:p w:rsidR="0018024C" w:rsidRPr="00D44F9E" w:rsidRDefault="0018024C" w:rsidP="0018024C">
            <w:pPr>
              <w:spacing w:before="1" w:after="1"/>
              <w:jc w:val="right"/>
              <w:rPr>
                <w:sz w:val="18"/>
              </w:rPr>
            </w:pPr>
            <w:r w:rsidRPr="00D44F9E">
              <w:rPr>
                <w:sz w:val="18"/>
              </w:rPr>
              <w:t xml:space="preserve"> -</w:t>
            </w:r>
          </w:p>
        </w:tc>
        <w:tc>
          <w:tcPr>
            <w:tcW w:w="54"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103" w:type="pct"/>
            <w:tcBorders>
              <w:top w:val="nil"/>
              <w:left w:val="nil"/>
              <w:bottom w:val="nil"/>
              <w:right w:val="nil"/>
              <w:tl2br w:val="nil"/>
              <w:tr2bl w:val="nil"/>
            </w:tcBorders>
            <w:vAlign w:val="bottom"/>
          </w:tcPr>
          <w:p w:rsidR="0018024C" w:rsidRDefault="0018024C" w:rsidP="0018024C">
            <w:pPr>
              <w:spacing w:before="1" w:after="1"/>
              <w:rPr>
                <w:b/>
                <w:sz w:val="18"/>
              </w:rPr>
            </w:pPr>
          </w:p>
        </w:tc>
        <w:tc>
          <w:tcPr>
            <w:tcW w:w="384" w:type="pct"/>
            <w:tcBorders>
              <w:top w:val="nil"/>
              <w:left w:val="nil"/>
              <w:bottom w:val="nil"/>
              <w:right w:val="nil"/>
              <w:tl2br w:val="nil"/>
              <w:tr2bl w:val="nil"/>
            </w:tcBorders>
            <w:vAlign w:val="bottom"/>
          </w:tcPr>
          <w:p w:rsidR="0018024C" w:rsidRPr="00D44F9E" w:rsidRDefault="0018024C" w:rsidP="0018024C">
            <w:pPr>
              <w:spacing w:before="1" w:after="1"/>
              <w:jc w:val="right"/>
              <w:rPr>
                <w:b/>
                <w:sz w:val="18"/>
              </w:rPr>
            </w:pPr>
            <w:r w:rsidRPr="00D44F9E">
              <w:rPr>
                <w:b/>
                <w:sz w:val="18"/>
              </w:rPr>
              <w:t xml:space="preserve"> (24)</w:t>
            </w:r>
          </w:p>
        </w:tc>
      </w:tr>
      <w:tr w:rsidR="0018024C" w:rsidTr="0018024C">
        <w:trPr>
          <w:trHeight w:hRule="exact" w:val="240"/>
        </w:trPr>
        <w:tc>
          <w:tcPr>
            <w:tcW w:w="1472" w:type="pct"/>
            <w:tcBorders>
              <w:top w:val="nil"/>
              <w:left w:val="nil"/>
              <w:bottom w:val="nil"/>
              <w:right w:val="nil"/>
              <w:tl2br w:val="nil"/>
              <w:tr2bl w:val="nil"/>
            </w:tcBorders>
            <w:shd w:val="clear" w:color="auto" w:fill="CCEEFF"/>
            <w:vAlign w:val="bottom"/>
          </w:tcPr>
          <w:p w:rsidR="0018024C" w:rsidRDefault="0018024C" w:rsidP="0018024C">
            <w:pPr>
              <w:spacing w:before="1" w:after="1"/>
              <w:ind w:left="240"/>
              <w:rPr>
                <w:sz w:val="18"/>
              </w:rPr>
            </w:pPr>
            <w:r>
              <w:rPr>
                <w:sz w:val="18"/>
              </w:rPr>
              <w:t>Purchase of common stock</w:t>
            </w:r>
          </w:p>
        </w:tc>
        <w:tc>
          <w:tcPr>
            <w:tcW w:w="361" w:type="pct"/>
            <w:tcBorders>
              <w:top w:val="nil"/>
              <w:left w:val="nil"/>
              <w:bottom w:val="single" w:sz="12" w:space="0" w:color="000000"/>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0" w:type="pct"/>
            <w:tcBorders>
              <w:top w:val="nil"/>
              <w:left w:val="nil"/>
              <w:bottom w:val="single" w:sz="12" w:space="0" w:color="000000"/>
              <w:right w:val="nil"/>
              <w:tl2br w:val="nil"/>
              <w:tr2bl w:val="nil"/>
            </w:tcBorders>
            <w:shd w:val="clear" w:color="auto" w:fill="CCEEFF"/>
            <w:vAlign w:val="bottom"/>
          </w:tcPr>
          <w:p w:rsidR="0018024C" w:rsidRDefault="0018024C" w:rsidP="0018024C">
            <w:pPr>
              <w:spacing w:before="1" w:after="1"/>
              <w:rPr>
                <w:b/>
                <w:sz w:val="18"/>
              </w:rPr>
            </w:pPr>
          </w:p>
        </w:tc>
        <w:tc>
          <w:tcPr>
            <w:tcW w:w="267" w:type="pct"/>
            <w:tcBorders>
              <w:top w:val="nil"/>
              <w:left w:val="nil"/>
              <w:bottom w:val="single" w:sz="12" w:space="0" w:color="000000"/>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4" w:type="pct"/>
            <w:tcBorders>
              <w:top w:val="nil"/>
              <w:left w:val="nil"/>
              <w:bottom w:val="single" w:sz="12" w:space="0" w:color="000000"/>
              <w:right w:val="nil"/>
              <w:tl2br w:val="nil"/>
              <w:tr2bl w:val="nil"/>
            </w:tcBorders>
            <w:shd w:val="clear" w:color="auto" w:fill="CCEEFF"/>
            <w:vAlign w:val="bottom"/>
          </w:tcPr>
          <w:p w:rsidR="0018024C" w:rsidRDefault="0018024C" w:rsidP="0018024C">
            <w:pPr>
              <w:spacing w:before="1" w:after="1"/>
              <w:rPr>
                <w:b/>
                <w:sz w:val="18"/>
              </w:rPr>
            </w:pPr>
          </w:p>
        </w:tc>
        <w:tc>
          <w:tcPr>
            <w:tcW w:w="288" w:type="pct"/>
            <w:tcBorders>
              <w:top w:val="nil"/>
              <w:left w:val="nil"/>
              <w:bottom w:val="single" w:sz="12" w:space="0" w:color="000000"/>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0" w:type="pct"/>
            <w:tcBorders>
              <w:top w:val="nil"/>
              <w:left w:val="nil"/>
              <w:bottom w:val="single" w:sz="12" w:space="0" w:color="000000"/>
              <w:right w:val="nil"/>
              <w:tl2br w:val="nil"/>
              <w:tr2bl w:val="nil"/>
            </w:tcBorders>
            <w:shd w:val="clear" w:color="auto" w:fill="CCEEFF"/>
            <w:vAlign w:val="bottom"/>
          </w:tcPr>
          <w:p w:rsidR="0018024C" w:rsidRDefault="0018024C" w:rsidP="0018024C">
            <w:pPr>
              <w:spacing w:before="1" w:after="1"/>
              <w:rPr>
                <w:b/>
                <w:sz w:val="18"/>
              </w:rPr>
            </w:pPr>
          </w:p>
        </w:tc>
        <w:tc>
          <w:tcPr>
            <w:tcW w:w="283" w:type="pct"/>
            <w:tcBorders>
              <w:top w:val="nil"/>
              <w:left w:val="nil"/>
              <w:bottom w:val="single" w:sz="12" w:space="0" w:color="000000"/>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41" w:type="pct"/>
            <w:tcBorders>
              <w:top w:val="nil"/>
              <w:left w:val="nil"/>
              <w:bottom w:val="single" w:sz="12" w:space="0" w:color="000000"/>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(5)</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0" w:type="pct"/>
            <w:tcBorders>
              <w:top w:val="nil"/>
              <w:left w:val="nil"/>
              <w:bottom w:val="single" w:sz="12" w:space="0" w:color="000000"/>
              <w:right w:val="nil"/>
              <w:tl2br w:val="nil"/>
              <w:tr2bl w:val="nil"/>
            </w:tcBorders>
            <w:shd w:val="clear" w:color="auto" w:fill="CCEEFF"/>
            <w:vAlign w:val="bottom"/>
          </w:tcPr>
          <w:p w:rsidR="0018024C" w:rsidRDefault="0018024C" w:rsidP="0018024C">
            <w:pPr>
              <w:spacing w:before="1" w:after="1"/>
              <w:rPr>
                <w:b/>
                <w:sz w:val="18"/>
              </w:rPr>
            </w:pPr>
          </w:p>
        </w:tc>
        <w:tc>
          <w:tcPr>
            <w:tcW w:w="252" w:type="pct"/>
            <w:tcBorders>
              <w:top w:val="nil"/>
              <w:left w:val="nil"/>
              <w:bottom w:val="single" w:sz="12" w:space="0" w:color="000000"/>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(75)</w:t>
            </w:r>
          </w:p>
        </w:tc>
        <w:tc>
          <w:tcPr>
            <w:tcW w:w="106"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126" w:type="pct"/>
            <w:tcBorders>
              <w:top w:val="nil"/>
              <w:left w:val="nil"/>
              <w:bottom w:val="single" w:sz="12" w:space="0" w:color="000000"/>
              <w:right w:val="nil"/>
              <w:tl2br w:val="nil"/>
              <w:tr2bl w:val="nil"/>
            </w:tcBorders>
            <w:shd w:val="clear" w:color="auto" w:fill="CCEEFF"/>
            <w:vAlign w:val="bottom"/>
          </w:tcPr>
          <w:p w:rsidR="0018024C" w:rsidRDefault="0018024C" w:rsidP="0018024C">
            <w:pPr>
              <w:spacing w:before="1" w:after="1"/>
              <w:rPr>
                <w:b/>
                <w:sz w:val="18"/>
              </w:rPr>
            </w:pPr>
          </w:p>
        </w:tc>
        <w:tc>
          <w:tcPr>
            <w:tcW w:w="430" w:type="pct"/>
            <w:tcBorders>
              <w:top w:val="nil"/>
              <w:left w:val="nil"/>
              <w:bottom w:val="single" w:sz="12" w:space="0" w:color="000000"/>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103" w:type="pct"/>
            <w:tcBorders>
              <w:top w:val="nil"/>
              <w:left w:val="nil"/>
              <w:bottom w:val="single" w:sz="12" w:space="0" w:color="000000"/>
              <w:right w:val="nil"/>
              <w:tl2br w:val="nil"/>
              <w:tr2bl w:val="nil"/>
            </w:tcBorders>
            <w:shd w:val="clear" w:color="auto" w:fill="CCEEFF"/>
            <w:vAlign w:val="bottom"/>
          </w:tcPr>
          <w:p w:rsidR="0018024C" w:rsidRDefault="0018024C" w:rsidP="0018024C">
            <w:pPr>
              <w:spacing w:before="1" w:after="1"/>
              <w:rPr>
                <w:b/>
                <w:sz w:val="18"/>
              </w:rPr>
            </w:pPr>
          </w:p>
        </w:tc>
        <w:tc>
          <w:tcPr>
            <w:tcW w:w="384" w:type="pct"/>
            <w:tcBorders>
              <w:top w:val="nil"/>
              <w:left w:val="nil"/>
              <w:bottom w:val="single" w:sz="12" w:space="0" w:color="000000"/>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(75)</w:t>
            </w:r>
          </w:p>
        </w:tc>
      </w:tr>
      <w:tr w:rsidR="0018024C" w:rsidTr="0018024C">
        <w:trPr>
          <w:trHeight w:hRule="exact" w:val="240"/>
        </w:trPr>
        <w:tc>
          <w:tcPr>
            <w:tcW w:w="1472"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361" w:type="pct"/>
            <w:tcBorders>
              <w:top w:val="single" w:sz="0" w:space="0" w:color="000000"/>
              <w:left w:val="nil"/>
              <w:bottom w:val="nil"/>
              <w:right w:val="nil"/>
              <w:tl2br w:val="nil"/>
              <w:tr2bl w:val="nil"/>
            </w:tcBorders>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67"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88" w:type="pct"/>
            <w:tcBorders>
              <w:top w:val="single" w:sz="0" w:space="0" w:color="000000"/>
              <w:left w:val="nil"/>
              <w:bottom w:val="nil"/>
              <w:right w:val="nil"/>
              <w:tl2br w:val="nil"/>
              <w:tr2bl w:val="nil"/>
            </w:tcBorders>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83" w:type="pct"/>
            <w:tcBorders>
              <w:top w:val="single" w:sz="0" w:space="0" w:color="000000"/>
              <w:left w:val="nil"/>
              <w:bottom w:val="nil"/>
              <w:right w:val="nil"/>
              <w:tl2br w:val="nil"/>
              <w:tr2bl w:val="nil"/>
            </w:tcBorders>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41" w:type="pct"/>
            <w:tcBorders>
              <w:top w:val="single" w:sz="0" w:space="0" w:color="000000"/>
              <w:left w:val="nil"/>
              <w:bottom w:val="nil"/>
              <w:right w:val="nil"/>
              <w:tl2br w:val="nil"/>
              <w:tr2bl w:val="nil"/>
            </w:tcBorders>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90"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252" w:type="pct"/>
            <w:tcBorders>
              <w:top w:val="single" w:sz="0" w:space="0" w:color="000000"/>
              <w:left w:val="nil"/>
              <w:bottom w:val="nil"/>
              <w:right w:val="nil"/>
              <w:tl2br w:val="nil"/>
              <w:tr2bl w:val="nil"/>
            </w:tcBorders>
            <w:vAlign w:val="bottom"/>
          </w:tcPr>
          <w:p w:rsidR="0018024C" w:rsidRDefault="0018024C" w:rsidP="0018024C">
            <w:pPr>
              <w:spacing w:before="1" w:after="1"/>
              <w:rPr>
                <w:sz w:val="18"/>
              </w:rPr>
            </w:pPr>
          </w:p>
        </w:tc>
        <w:tc>
          <w:tcPr>
            <w:tcW w:w="106"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26"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430" w:type="pct"/>
            <w:tcBorders>
              <w:top w:val="single" w:sz="0" w:space="0" w:color="000000"/>
              <w:left w:val="nil"/>
              <w:bottom w:val="nil"/>
              <w:right w:val="nil"/>
              <w:tl2br w:val="nil"/>
              <w:tr2bl w:val="nil"/>
            </w:tcBorders>
            <w:vAlign w:val="bottom"/>
          </w:tcPr>
          <w:p w:rsidR="0018024C" w:rsidRDefault="0018024C" w:rsidP="0018024C">
            <w:pPr>
              <w:spacing w:before="1" w:after="1"/>
              <w:rPr>
                <w:sz w:val="18"/>
              </w:rPr>
            </w:pPr>
          </w:p>
        </w:tc>
        <w:tc>
          <w:tcPr>
            <w:tcW w:w="54"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103" w:type="pct"/>
            <w:tcBorders>
              <w:top w:val="nil"/>
              <w:left w:val="nil"/>
              <w:bottom w:val="nil"/>
              <w:right w:val="nil"/>
              <w:tl2br w:val="nil"/>
              <w:tr2bl w:val="nil"/>
            </w:tcBorders>
            <w:vAlign w:val="bottom"/>
          </w:tcPr>
          <w:p w:rsidR="0018024C" w:rsidRDefault="0018024C" w:rsidP="0018024C">
            <w:pPr>
              <w:spacing w:before="1" w:after="1"/>
              <w:rPr>
                <w:sz w:val="18"/>
              </w:rPr>
            </w:pPr>
          </w:p>
        </w:tc>
        <w:tc>
          <w:tcPr>
            <w:tcW w:w="384" w:type="pct"/>
            <w:tcBorders>
              <w:top w:val="nil"/>
              <w:left w:val="nil"/>
              <w:bottom w:val="nil"/>
              <w:right w:val="nil"/>
              <w:tl2br w:val="nil"/>
              <w:tr2bl w:val="nil"/>
            </w:tcBorders>
            <w:vAlign w:val="bottom"/>
          </w:tcPr>
          <w:p w:rsidR="0018024C" w:rsidRDefault="0018024C" w:rsidP="0018024C">
            <w:pPr>
              <w:spacing w:before="1" w:after="1"/>
              <w:rPr>
                <w:sz w:val="18"/>
              </w:rPr>
            </w:pPr>
          </w:p>
        </w:tc>
      </w:tr>
      <w:tr w:rsidR="0018024C" w:rsidTr="0018024C">
        <w:trPr>
          <w:trHeight w:hRule="exact" w:val="240"/>
        </w:trPr>
        <w:tc>
          <w:tcPr>
            <w:tcW w:w="1472" w:type="pct"/>
            <w:tcBorders>
              <w:top w:val="nil"/>
              <w:left w:val="nil"/>
              <w:bottom w:val="nil"/>
              <w:right w:val="nil"/>
              <w:tl2br w:val="nil"/>
              <w:tr2bl w:val="nil"/>
            </w:tcBorders>
            <w:shd w:val="clear" w:color="auto" w:fill="CCEEFF"/>
            <w:vAlign w:val="bottom"/>
          </w:tcPr>
          <w:p w:rsidR="0018024C" w:rsidRDefault="0018024C" w:rsidP="0018024C">
            <w:pPr>
              <w:spacing w:before="1" w:after="1"/>
              <w:rPr>
                <w:sz w:val="18"/>
              </w:rPr>
            </w:pPr>
            <w:r>
              <w:rPr>
                <w:sz w:val="18"/>
              </w:rPr>
              <w:t>Balance at December 31, 2019</w:t>
            </w:r>
          </w:p>
        </w:tc>
        <w:tc>
          <w:tcPr>
            <w:tcW w:w="361" w:type="pct"/>
            <w:tcBorders>
              <w:top w:val="nil"/>
              <w:left w:val="nil"/>
              <w:bottom w:val="double" w:sz="4" w:space="0" w:color="000000"/>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106 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0" w:type="pct"/>
            <w:tcBorders>
              <w:top w:val="nil"/>
              <w:left w:val="nil"/>
              <w:bottom w:val="double" w:sz="4" w:space="0" w:color="000000"/>
              <w:right w:val="nil"/>
              <w:tl2br w:val="nil"/>
              <w:tr2bl w:val="nil"/>
            </w:tcBorders>
            <w:shd w:val="clear" w:color="auto" w:fill="CCEEFF"/>
            <w:vAlign w:val="bottom"/>
          </w:tcPr>
          <w:p w:rsidR="0018024C" w:rsidRDefault="0018024C" w:rsidP="0018024C">
            <w:pPr>
              <w:spacing w:before="1" w:after="1"/>
              <w:rPr>
                <w:b/>
                <w:sz w:val="18"/>
              </w:rPr>
            </w:pPr>
            <w:r>
              <w:rPr>
                <w:b/>
                <w:sz w:val="18"/>
              </w:rPr>
              <w:t>$</w:t>
            </w:r>
          </w:p>
        </w:tc>
        <w:tc>
          <w:tcPr>
            <w:tcW w:w="267" w:type="pct"/>
            <w:tcBorders>
              <w:top w:val="nil"/>
              <w:left w:val="nil"/>
              <w:bottom w:val="double" w:sz="4" w:space="0" w:color="000000"/>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1 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4" w:type="pct"/>
            <w:tcBorders>
              <w:top w:val="nil"/>
              <w:left w:val="nil"/>
              <w:bottom w:val="double" w:sz="4" w:space="0" w:color="000000"/>
              <w:right w:val="nil"/>
              <w:tl2br w:val="nil"/>
              <w:tr2bl w:val="nil"/>
            </w:tcBorders>
            <w:shd w:val="clear" w:color="auto" w:fill="CCEEFF"/>
            <w:vAlign w:val="bottom"/>
          </w:tcPr>
          <w:p w:rsidR="0018024C" w:rsidRDefault="0018024C" w:rsidP="0018024C">
            <w:pPr>
              <w:spacing w:before="1" w:after="1"/>
              <w:rPr>
                <w:b/>
                <w:sz w:val="18"/>
              </w:rPr>
            </w:pPr>
            <w:r>
              <w:rPr>
                <w:b/>
                <w:sz w:val="18"/>
              </w:rPr>
              <w:t>$</w:t>
            </w:r>
          </w:p>
        </w:tc>
        <w:tc>
          <w:tcPr>
            <w:tcW w:w="288" w:type="pct"/>
            <w:tcBorders>
              <w:top w:val="nil"/>
              <w:left w:val="nil"/>
              <w:bottom w:val="double" w:sz="4" w:space="0" w:color="000000"/>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1,731 </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0" w:type="pct"/>
            <w:tcBorders>
              <w:top w:val="nil"/>
              <w:left w:val="nil"/>
              <w:bottom w:val="double" w:sz="4" w:space="0" w:color="000000"/>
              <w:right w:val="nil"/>
              <w:tl2br w:val="nil"/>
              <w:tr2bl w:val="nil"/>
            </w:tcBorders>
            <w:shd w:val="clear" w:color="auto" w:fill="CCEEFF"/>
            <w:vAlign w:val="bottom"/>
          </w:tcPr>
          <w:p w:rsidR="0018024C" w:rsidRDefault="0018024C" w:rsidP="0018024C">
            <w:pPr>
              <w:spacing w:before="1" w:after="1"/>
              <w:rPr>
                <w:b/>
                <w:sz w:val="18"/>
              </w:rPr>
            </w:pPr>
            <w:r>
              <w:rPr>
                <w:b/>
                <w:sz w:val="18"/>
              </w:rPr>
              <w:t>$</w:t>
            </w:r>
          </w:p>
        </w:tc>
        <w:tc>
          <w:tcPr>
            <w:tcW w:w="283" w:type="pct"/>
            <w:tcBorders>
              <w:top w:val="nil"/>
              <w:left w:val="nil"/>
              <w:bottom w:val="double" w:sz="4" w:space="0" w:color="000000"/>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(483)</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241" w:type="pct"/>
            <w:tcBorders>
              <w:top w:val="nil"/>
              <w:left w:val="nil"/>
              <w:bottom w:val="double" w:sz="4" w:space="0" w:color="000000"/>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(24)</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90" w:type="pct"/>
            <w:tcBorders>
              <w:top w:val="nil"/>
              <w:left w:val="nil"/>
              <w:bottom w:val="double" w:sz="4" w:space="0" w:color="000000"/>
              <w:right w:val="nil"/>
              <w:tl2br w:val="nil"/>
              <w:tr2bl w:val="nil"/>
            </w:tcBorders>
            <w:shd w:val="clear" w:color="auto" w:fill="CCEEFF"/>
            <w:vAlign w:val="bottom"/>
          </w:tcPr>
          <w:p w:rsidR="0018024C" w:rsidRDefault="0018024C" w:rsidP="0018024C">
            <w:pPr>
              <w:spacing w:before="1" w:after="1"/>
              <w:rPr>
                <w:b/>
                <w:sz w:val="18"/>
              </w:rPr>
            </w:pPr>
            <w:r>
              <w:rPr>
                <w:b/>
                <w:sz w:val="18"/>
              </w:rPr>
              <w:t>$</w:t>
            </w:r>
          </w:p>
        </w:tc>
        <w:tc>
          <w:tcPr>
            <w:tcW w:w="252" w:type="pct"/>
            <w:tcBorders>
              <w:top w:val="nil"/>
              <w:left w:val="nil"/>
              <w:bottom w:val="double" w:sz="4" w:space="0" w:color="000000"/>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(375)</w:t>
            </w:r>
          </w:p>
        </w:tc>
        <w:tc>
          <w:tcPr>
            <w:tcW w:w="106"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126" w:type="pct"/>
            <w:tcBorders>
              <w:top w:val="nil"/>
              <w:left w:val="nil"/>
              <w:bottom w:val="double" w:sz="4" w:space="0" w:color="000000"/>
              <w:right w:val="nil"/>
              <w:tl2br w:val="nil"/>
              <w:tr2bl w:val="nil"/>
            </w:tcBorders>
            <w:shd w:val="clear" w:color="auto" w:fill="CCEEFF"/>
            <w:vAlign w:val="bottom"/>
          </w:tcPr>
          <w:p w:rsidR="0018024C" w:rsidRDefault="0018024C" w:rsidP="0018024C">
            <w:pPr>
              <w:spacing w:before="1" w:after="1"/>
              <w:rPr>
                <w:b/>
                <w:sz w:val="18"/>
              </w:rPr>
            </w:pPr>
            <w:r>
              <w:rPr>
                <w:b/>
                <w:sz w:val="18"/>
              </w:rPr>
              <w:t>$</w:t>
            </w:r>
          </w:p>
        </w:tc>
        <w:tc>
          <w:tcPr>
            <w:tcW w:w="430" w:type="pct"/>
            <w:tcBorders>
              <w:top w:val="nil"/>
              <w:left w:val="nil"/>
              <w:bottom w:val="double" w:sz="4" w:space="0" w:color="000000"/>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(232)</w:t>
            </w:r>
          </w:p>
        </w:tc>
        <w:tc>
          <w:tcPr>
            <w:tcW w:w="54" w:type="pct"/>
            <w:tcBorders>
              <w:top w:val="nil"/>
              <w:left w:val="nil"/>
              <w:bottom w:val="nil"/>
              <w:right w:val="nil"/>
              <w:tl2br w:val="nil"/>
              <w:tr2bl w:val="nil"/>
            </w:tcBorders>
            <w:shd w:val="clear" w:color="auto" w:fill="CCEEFF"/>
            <w:vAlign w:val="bottom"/>
          </w:tcPr>
          <w:p w:rsidR="0018024C" w:rsidRDefault="0018024C" w:rsidP="0018024C">
            <w:pPr>
              <w:spacing w:before="1" w:after="1"/>
              <w:rPr>
                <w:b/>
                <w:sz w:val="18"/>
              </w:rPr>
            </w:pPr>
          </w:p>
        </w:tc>
        <w:tc>
          <w:tcPr>
            <w:tcW w:w="103" w:type="pct"/>
            <w:tcBorders>
              <w:top w:val="nil"/>
              <w:left w:val="nil"/>
              <w:bottom w:val="double" w:sz="4" w:space="0" w:color="000000"/>
              <w:right w:val="nil"/>
              <w:tl2br w:val="nil"/>
              <w:tr2bl w:val="nil"/>
            </w:tcBorders>
            <w:shd w:val="clear" w:color="auto" w:fill="CCEEFF"/>
            <w:vAlign w:val="bottom"/>
          </w:tcPr>
          <w:p w:rsidR="0018024C" w:rsidRDefault="0018024C" w:rsidP="0018024C">
            <w:pPr>
              <w:spacing w:before="1" w:after="1"/>
              <w:rPr>
                <w:b/>
                <w:sz w:val="18"/>
              </w:rPr>
            </w:pPr>
            <w:r>
              <w:rPr>
                <w:b/>
                <w:sz w:val="18"/>
              </w:rPr>
              <w:t>$</w:t>
            </w:r>
          </w:p>
        </w:tc>
        <w:tc>
          <w:tcPr>
            <w:tcW w:w="384" w:type="pct"/>
            <w:tcBorders>
              <w:top w:val="nil"/>
              <w:left w:val="nil"/>
              <w:bottom w:val="double" w:sz="4" w:space="0" w:color="000000"/>
              <w:right w:val="nil"/>
              <w:tl2br w:val="nil"/>
              <w:tr2bl w:val="nil"/>
            </w:tcBorders>
            <w:shd w:val="clear" w:color="auto" w:fill="CCEEFF"/>
            <w:vAlign w:val="bottom"/>
          </w:tcPr>
          <w:p w:rsidR="0018024C" w:rsidRPr="00D44F9E" w:rsidRDefault="0018024C" w:rsidP="0018024C">
            <w:pPr>
              <w:spacing w:before="1" w:after="1"/>
              <w:jc w:val="right"/>
              <w:rPr>
                <w:b/>
                <w:sz w:val="18"/>
              </w:rPr>
            </w:pPr>
            <w:r w:rsidRPr="00D44F9E">
              <w:rPr>
                <w:b/>
                <w:sz w:val="18"/>
              </w:rPr>
              <w:t xml:space="preserve"> 642 </w:t>
            </w:r>
          </w:p>
        </w:tc>
      </w:tr>
    </w:tbl>
    <w:p w:rsidR="000121CD" w:rsidRDefault="00590862" w:rsidP="0018024C">
      <w:pPr>
        <w:pStyle w:val="NormalWeb"/>
        <w:keepNext/>
        <w:spacing w:before="0" w:beforeAutospacing="0" w:after="0" w:afterAutospacing="0"/>
        <w:rPr>
          <w:i/>
          <w:iCs/>
          <w:sz w:val="20"/>
          <w:szCs w:val="20"/>
        </w:rPr>
      </w:pPr>
      <w:r>
        <w:rPr>
          <w:i/>
          <w:iCs/>
          <w:sz w:val="20"/>
          <w:szCs w:val="20"/>
        </w:rPr>
        <w:t xml:space="preserve">See notes to consolidated financial statements. </w:t>
      </w:r>
    </w:p>
    <w:p w:rsidR="000121CD" w:rsidRDefault="00590862">
      <w:pPr>
        <w:pStyle w:val="NormalWeb"/>
        <w:spacing w:before="180" w:beforeAutospacing="0" w:after="0" w:afterAutospacing="0"/>
        <w:rPr>
          <w:sz w:val="2"/>
          <w:szCs w:val="2"/>
        </w:rPr>
      </w:pPr>
      <w:r>
        <w:rPr>
          <w:sz w:val="2"/>
          <w:szCs w:val="2"/>
        </w:rPr>
        <w:t> </w:t>
      </w:r>
    </w:p>
    <w:p w:rsidR="000121CD" w:rsidRDefault="000121CD"/>
    <w:p w:rsidR="000121CD" w:rsidRDefault="00590862">
      <w:pPr>
        <w:tabs>
          <w:tab w:val="left" w:pos="3570"/>
        </w:tabs>
      </w:pPr>
      <w:r>
        <w:tab/>
      </w:r>
    </w:p>
    <w:p w:rsidR="00BF29DD" w:rsidRDefault="00BF29DD" w:rsidP="00BF29DD">
      <w:pPr>
        <w:pStyle w:val="NormalWeb"/>
        <w:pageBreakBefore/>
        <w:widowControl w:val="0"/>
        <w:spacing w:before="0" w:beforeAutospacing="0" w:after="0" w:afterAutospacing="0"/>
      </w:pPr>
      <w:r>
        <w:rPr>
          <w:sz w:val="20"/>
          <w:szCs w:val="20"/>
        </w:rPr>
        <w:lastRenderedPageBreak/>
        <w:t>CONSOLIDATED STATEMENTS OF</w:t>
      </w:r>
      <w:r w:rsidR="00B94B3A">
        <w:rPr>
          <w:sz w:val="20"/>
          <w:szCs w:val="20"/>
        </w:rPr>
        <w:t xml:space="preserve"> </w:t>
      </w:r>
      <w:r>
        <w:rPr>
          <w:sz w:val="20"/>
          <w:szCs w:val="20"/>
        </w:rPr>
        <w:t xml:space="preserve">CASH FLOWS </w:t>
      </w:r>
    </w:p>
    <w:p w:rsidR="00BF29DD" w:rsidRDefault="00BF29DD" w:rsidP="00BF29DD">
      <w:pPr>
        <w:pStyle w:val="NormalWeb"/>
        <w:widowControl w:val="0"/>
        <w:spacing w:before="0" w:beforeAutospacing="0" w:after="0" w:afterAutospacing="0"/>
        <w:rPr>
          <w:sz w:val="8"/>
          <w:szCs w:val="8"/>
        </w:rPr>
      </w:pPr>
      <w:r>
        <w:rPr>
          <w:sz w:val="20"/>
          <w:szCs w:val="20"/>
        </w:rPr>
        <w:t xml:space="preserve">MRC GLOBAL INC. </w:t>
      </w:r>
      <w:r>
        <w:rPr>
          <w:sz w:val="8"/>
          <w:szCs w:val="8"/>
        </w:rPr>
        <w:t> </w:t>
      </w:r>
    </w:p>
    <w:tbl>
      <w:tblPr>
        <w:tblW w:w="5000" w:type="pct"/>
        <w:tblCellMar>
          <w:left w:w="0" w:type="dxa"/>
          <w:right w:w="0" w:type="dxa"/>
        </w:tblCellMar>
        <w:tblLook w:val="04A0" w:firstRow="1" w:lastRow="0" w:firstColumn="1" w:lastColumn="0" w:noHBand="0" w:noVBand="1"/>
      </w:tblPr>
      <w:tblGrid>
        <w:gridCol w:w="5849"/>
        <w:gridCol w:w="259"/>
        <w:gridCol w:w="1251"/>
        <w:gridCol w:w="218"/>
        <w:gridCol w:w="259"/>
        <w:gridCol w:w="1251"/>
        <w:gridCol w:w="203"/>
        <w:gridCol w:w="259"/>
        <w:gridCol w:w="1251"/>
      </w:tblGrid>
      <w:tr w:rsidR="0018024C" w:rsidTr="0018024C">
        <w:trPr>
          <w:trHeight w:hRule="exact" w:val="20"/>
        </w:trPr>
        <w:tc>
          <w:tcPr>
            <w:tcW w:w="2708" w:type="pct"/>
            <w:tcBorders>
              <w:top w:val="nil"/>
              <w:left w:val="nil"/>
              <w:bottom w:val="nil"/>
              <w:right w:val="nil"/>
            </w:tcBorders>
            <w:shd w:val="clear" w:color="auto" w:fill="auto"/>
            <w:vAlign w:val="bottom"/>
          </w:tcPr>
          <w:p w:rsidR="0018024C" w:rsidRDefault="0018024C" w:rsidP="0018024C">
            <w:pPr>
              <w:rPr>
                <w:sz w:val="2"/>
              </w:rPr>
            </w:pPr>
          </w:p>
        </w:tc>
        <w:tc>
          <w:tcPr>
            <w:tcW w:w="120" w:type="pct"/>
            <w:tcBorders>
              <w:top w:val="nil"/>
              <w:left w:val="nil"/>
              <w:bottom w:val="nil"/>
              <w:right w:val="nil"/>
            </w:tcBorders>
            <w:shd w:val="clear" w:color="auto" w:fill="auto"/>
            <w:vAlign w:val="bottom"/>
          </w:tcPr>
          <w:p w:rsidR="0018024C" w:rsidRDefault="0018024C" w:rsidP="0018024C">
            <w:pPr>
              <w:rPr>
                <w:sz w:val="2"/>
              </w:rPr>
            </w:pPr>
          </w:p>
        </w:tc>
        <w:tc>
          <w:tcPr>
            <w:tcW w:w="579" w:type="pct"/>
            <w:tcBorders>
              <w:top w:val="nil"/>
              <w:left w:val="nil"/>
              <w:bottom w:val="nil"/>
              <w:right w:val="nil"/>
            </w:tcBorders>
            <w:shd w:val="clear" w:color="auto" w:fill="auto"/>
            <w:vAlign w:val="bottom"/>
          </w:tcPr>
          <w:p w:rsidR="0018024C" w:rsidRDefault="0018024C" w:rsidP="0018024C">
            <w:pPr>
              <w:rPr>
                <w:sz w:val="2"/>
              </w:rPr>
            </w:pPr>
          </w:p>
        </w:tc>
        <w:tc>
          <w:tcPr>
            <w:tcW w:w="101" w:type="pct"/>
            <w:tcBorders>
              <w:top w:val="nil"/>
              <w:left w:val="nil"/>
              <w:bottom w:val="nil"/>
              <w:right w:val="nil"/>
            </w:tcBorders>
            <w:shd w:val="clear" w:color="auto" w:fill="auto"/>
            <w:vAlign w:val="bottom"/>
          </w:tcPr>
          <w:p w:rsidR="0018024C" w:rsidRDefault="0018024C" w:rsidP="0018024C">
            <w:pPr>
              <w:rPr>
                <w:sz w:val="2"/>
              </w:rPr>
            </w:pPr>
          </w:p>
        </w:tc>
        <w:tc>
          <w:tcPr>
            <w:tcW w:w="120" w:type="pct"/>
            <w:tcBorders>
              <w:top w:val="nil"/>
              <w:left w:val="nil"/>
              <w:bottom w:val="nil"/>
              <w:right w:val="nil"/>
            </w:tcBorders>
            <w:shd w:val="clear" w:color="auto" w:fill="auto"/>
            <w:vAlign w:val="bottom"/>
          </w:tcPr>
          <w:p w:rsidR="0018024C" w:rsidRDefault="0018024C" w:rsidP="0018024C">
            <w:pPr>
              <w:rPr>
                <w:sz w:val="2"/>
              </w:rPr>
            </w:pPr>
          </w:p>
        </w:tc>
        <w:tc>
          <w:tcPr>
            <w:tcW w:w="579" w:type="pct"/>
            <w:tcBorders>
              <w:top w:val="nil"/>
              <w:left w:val="nil"/>
              <w:bottom w:val="nil"/>
              <w:right w:val="nil"/>
            </w:tcBorders>
            <w:shd w:val="clear" w:color="auto" w:fill="auto"/>
            <w:vAlign w:val="bottom"/>
          </w:tcPr>
          <w:p w:rsidR="0018024C" w:rsidRDefault="0018024C" w:rsidP="0018024C">
            <w:pPr>
              <w:rPr>
                <w:sz w:val="2"/>
              </w:rPr>
            </w:pPr>
          </w:p>
        </w:tc>
        <w:tc>
          <w:tcPr>
            <w:tcW w:w="94" w:type="pct"/>
            <w:tcBorders>
              <w:top w:val="nil"/>
              <w:left w:val="nil"/>
              <w:bottom w:val="nil"/>
              <w:right w:val="nil"/>
            </w:tcBorders>
            <w:shd w:val="clear" w:color="auto" w:fill="auto"/>
            <w:vAlign w:val="bottom"/>
          </w:tcPr>
          <w:p w:rsidR="0018024C" w:rsidRDefault="0018024C" w:rsidP="0018024C">
            <w:pPr>
              <w:rPr>
                <w:sz w:val="2"/>
              </w:rPr>
            </w:pPr>
          </w:p>
        </w:tc>
        <w:tc>
          <w:tcPr>
            <w:tcW w:w="120" w:type="pct"/>
            <w:tcBorders>
              <w:top w:val="nil"/>
              <w:left w:val="nil"/>
              <w:bottom w:val="nil"/>
              <w:right w:val="nil"/>
            </w:tcBorders>
            <w:shd w:val="clear" w:color="auto" w:fill="auto"/>
            <w:vAlign w:val="bottom"/>
          </w:tcPr>
          <w:p w:rsidR="0018024C" w:rsidRDefault="0018024C" w:rsidP="0018024C">
            <w:pPr>
              <w:rPr>
                <w:sz w:val="2"/>
              </w:rPr>
            </w:pPr>
          </w:p>
        </w:tc>
        <w:tc>
          <w:tcPr>
            <w:tcW w:w="579" w:type="pct"/>
            <w:tcBorders>
              <w:top w:val="nil"/>
              <w:left w:val="nil"/>
              <w:bottom w:val="nil"/>
              <w:right w:val="nil"/>
            </w:tcBorders>
            <w:shd w:val="clear" w:color="auto" w:fill="auto"/>
            <w:vAlign w:val="bottom"/>
          </w:tcPr>
          <w:p w:rsidR="0018024C" w:rsidRDefault="0018024C" w:rsidP="0018024C">
            <w:pPr>
              <w:rPr>
                <w:sz w:val="2"/>
              </w:rPr>
            </w:pPr>
          </w:p>
        </w:tc>
      </w:tr>
      <w:tr w:rsidR="0018024C" w:rsidTr="0018024C">
        <w:trPr>
          <w:trHeight w:hRule="exact" w:val="255"/>
        </w:trPr>
        <w:tc>
          <w:tcPr>
            <w:tcW w:w="2708" w:type="pct"/>
            <w:tcBorders>
              <w:top w:val="nil"/>
              <w:left w:val="nil"/>
              <w:bottom w:val="nil"/>
              <w:right w:val="nil"/>
              <w:tl2br w:val="nil"/>
              <w:tr2bl w:val="nil"/>
            </w:tcBorders>
            <w:shd w:val="clear" w:color="auto" w:fill="auto"/>
            <w:vAlign w:val="bottom"/>
          </w:tcPr>
          <w:p w:rsidR="0018024C" w:rsidRDefault="0018024C" w:rsidP="0018024C">
            <w:pPr>
              <w:rPr>
                <w:i/>
                <w:color w:val="000000"/>
                <w:sz w:val="20"/>
              </w:rPr>
            </w:pPr>
            <w:r>
              <w:rPr>
                <w:i/>
                <w:color w:val="000000"/>
                <w:sz w:val="20"/>
              </w:rPr>
              <w:t>(in millions)</w:t>
            </w:r>
          </w:p>
        </w:tc>
        <w:tc>
          <w:tcPr>
            <w:tcW w:w="1" w:type="pct"/>
            <w:gridSpan w:val="8"/>
            <w:tcBorders>
              <w:top w:val="nil"/>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Year Ended December 31,</w:t>
            </w:r>
          </w:p>
        </w:tc>
      </w:tr>
      <w:tr w:rsidR="0018024C" w:rsidTr="0018024C">
        <w:trPr>
          <w:trHeight w:hRule="exact" w:val="255"/>
        </w:trPr>
        <w:tc>
          <w:tcPr>
            <w:tcW w:w="2708" w:type="pct"/>
            <w:tcBorders>
              <w:top w:val="nil"/>
              <w:left w:val="nil"/>
              <w:bottom w:val="nil"/>
              <w:right w:val="nil"/>
              <w:tl2br w:val="nil"/>
              <w:tr2bl w:val="nil"/>
            </w:tcBorders>
            <w:shd w:val="clear" w:color="auto" w:fill="auto"/>
            <w:vAlign w:val="bottom"/>
          </w:tcPr>
          <w:p w:rsidR="0018024C" w:rsidRDefault="0018024C" w:rsidP="0018024C">
            <w:pPr>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2019</w:t>
            </w:r>
          </w:p>
        </w:tc>
        <w:tc>
          <w:tcPr>
            <w:tcW w:w="101" w:type="pct"/>
            <w:tcBorders>
              <w:top w:val="single" w:sz="0" w:space="0" w:color="000000"/>
              <w:left w:val="nil"/>
              <w:bottom w:val="nil"/>
              <w:right w:val="nil"/>
              <w:tl2br w:val="nil"/>
              <w:tr2bl w:val="nil"/>
            </w:tcBorders>
            <w:shd w:val="clear" w:color="auto" w:fill="auto"/>
            <w:vAlign w:val="bottom"/>
          </w:tcPr>
          <w:p w:rsidR="0018024C" w:rsidRDefault="0018024C" w:rsidP="0018024C">
            <w:pPr>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 xml:space="preserve"> 2018</w:t>
            </w:r>
          </w:p>
        </w:tc>
        <w:tc>
          <w:tcPr>
            <w:tcW w:w="94" w:type="pct"/>
            <w:tcBorders>
              <w:top w:val="single" w:sz="0" w:space="0" w:color="000000"/>
              <w:left w:val="nil"/>
              <w:bottom w:val="nil"/>
              <w:right w:val="nil"/>
              <w:tl2br w:val="nil"/>
              <w:tr2bl w:val="nil"/>
            </w:tcBorders>
            <w:shd w:val="clear" w:color="auto" w:fill="auto"/>
            <w:vAlign w:val="bottom"/>
          </w:tcPr>
          <w:p w:rsidR="0018024C" w:rsidRDefault="0018024C" w:rsidP="0018024C">
            <w:pPr>
              <w:rPr>
                <w:rFonts w:ascii="Calibri" w:eastAsia="Calibri" w:hAnsi="Calibri" w:cs="Calibri"/>
                <w:sz w:val="22"/>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Default="0018024C" w:rsidP="0018024C">
            <w:pPr>
              <w:jc w:val="center"/>
              <w:rPr>
                <w:b/>
                <w:sz w:val="20"/>
              </w:rPr>
            </w:pPr>
            <w:r>
              <w:rPr>
                <w:b/>
                <w:sz w:val="20"/>
              </w:rPr>
              <w:t xml:space="preserve"> 2017</w:t>
            </w: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r>
              <w:rPr>
                <w:b/>
                <w:color w:val="000000"/>
                <w:sz w:val="20"/>
              </w:rPr>
              <w:t>Operating activities</w:t>
            </w:r>
          </w:p>
        </w:tc>
        <w:tc>
          <w:tcPr>
            <w:tcW w:w="120" w:type="pct"/>
            <w:tcBorders>
              <w:top w:val="single" w:sz="0" w:space="0" w:color="000000"/>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single" w:sz="0" w:space="0" w:color="000000"/>
              <w:left w:val="nil"/>
              <w:bottom w:val="nil"/>
              <w:right w:val="nil"/>
              <w:tl2br w:val="nil"/>
              <w:tr2bl w:val="nil"/>
            </w:tcBorders>
            <w:shd w:val="clear" w:color="auto" w:fill="CCEEFF"/>
            <w:vAlign w:val="bottom"/>
          </w:tcPr>
          <w:p w:rsidR="0018024C" w:rsidRDefault="0018024C" w:rsidP="0018024C">
            <w:pPr>
              <w:rPr>
                <w:i/>
                <w:color w:val="000000"/>
                <w:sz w:val="20"/>
              </w:rPr>
            </w:pPr>
          </w:p>
        </w:tc>
        <w:tc>
          <w:tcPr>
            <w:tcW w:w="101" w:type="pct"/>
            <w:tcBorders>
              <w:top w:val="nil"/>
              <w:left w:val="nil"/>
              <w:bottom w:val="nil"/>
              <w:right w:val="nil"/>
              <w:tl2br w:val="nil"/>
              <w:tr2bl w:val="nil"/>
            </w:tcBorders>
            <w:shd w:val="clear" w:color="auto" w:fill="CCEEFF"/>
            <w:vAlign w:val="bottom"/>
          </w:tcPr>
          <w:p w:rsidR="0018024C" w:rsidRDefault="0018024C" w:rsidP="0018024C">
            <w:pPr>
              <w:rPr>
                <w:i/>
                <w:color w:val="000000"/>
                <w:sz w:val="20"/>
              </w:rPr>
            </w:pPr>
          </w:p>
        </w:tc>
        <w:tc>
          <w:tcPr>
            <w:tcW w:w="120" w:type="pct"/>
            <w:tcBorders>
              <w:top w:val="single" w:sz="0" w:space="0" w:color="000000"/>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single" w:sz="0" w:space="0" w:color="000000"/>
              <w:left w:val="nil"/>
              <w:bottom w:val="nil"/>
              <w:right w:val="nil"/>
              <w:tl2br w:val="nil"/>
              <w:tr2bl w:val="nil"/>
            </w:tcBorders>
            <w:shd w:val="clear" w:color="auto" w:fill="CCEEFF"/>
            <w:vAlign w:val="bottom"/>
          </w:tcPr>
          <w:p w:rsidR="0018024C" w:rsidRDefault="0018024C" w:rsidP="0018024C">
            <w:pPr>
              <w:rPr>
                <w:i/>
                <w:color w:val="000000"/>
                <w:sz w:val="20"/>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rPr>
                <w:i/>
                <w:color w:val="000000"/>
                <w:sz w:val="20"/>
              </w:rPr>
            </w:pPr>
          </w:p>
        </w:tc>
        <w:tc>
          <w:tcPr>
            <w:tcW w:w="120" w:type="pct"/>
            <w:tcBorders>
              <w:top w:val="single" w:sz="0" w:space="0" w:color="000000"/>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single" w:sz="0" w:space="0" w:color="000000"/>
              <w:left w:val="nil"/>
              <w:bottom w:val="nil"/>
              <w:right w:val="nil"/>
              <w:tl2br w:val="nil"/>
              <w:tr2bl w:val="nil"/>
            </w:tcBorders>
            <w:shd w:val="clear" w:color="auto" w:fill="CCEEFF"/>
            <w:vAlign w:val="bottom"/>
          </w:tcPr>
          <w:p w:rsidR="0018024C" w:rsidRDefault="0018024C" w:rsidP="0018024C">
            <w:pPr>
              <w:rPr>
                <w:i/>
                <w:color w:val="000000"/>
                <w:sz w:val="20"/>
              </w:rPr>
            </w:pPr>
          </w:p>
        </w:tc>
      </w:tr>
      <w:tr w:rsidR="0018024C" w:rsidTr="0018024C">
        <w:trPr>
          <w:trHeight w:hRule="exact" w:val="255"/>
        </w:trPr>
        <w:tc>
          <w:tcPr>
            <w:tcW w:w="2708"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 xml:space="preserve">Net income </w:t>
            </w:r>
          </w:p>
        </w:tc>
        <w:tc>
          <w:tcPr>
            <w:tcW w:w="120" w:type="pct"/>
            <w:tcBorders>
              <w:top w:val="nil"/>
              <w:left w:val="nil"/>
              <w:bottom w:val="nil"/>
              <w:right w:val="nil"/>
              <w:tl2br w:val="nil"/>
              <w:tr2bl w:val="nil"/>
            </w:tcBorders>
            <w:vAlign w:val="bottom"/>
          </w:tcPr>
          <w:p w:rsidR="0018024C" w:rsidRDefault="0018024C" w:rsidP="0018024C">
            <w:pPr>
              <w:rPr>
                <w:b/>
                <w:color w:val="000000"/>
                <w:sz w:val="20"/>
              </w:rPr>
            </w:pPr>
            <w:r>
              <w:rPr>
                <w:b/>
                <w:color w:val="000000"/>
                <w:sz w:val="20"/>
              </w:rPr>
              <w:t>$</w:t>
            </w:r>
          </w:p>
        </w:tc>
        <w:tc>
          <w:tcPr>
            <w:tcW w:w="579"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39</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w:t>
            </w: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74</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w:t>
            </w: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50</w:t>
            </w:r>
          </w:p>
        </w:tc>
      </w:tr>
      <w:tr w:rsidR="0018024C" w:rsidTr="0018024C">
        <w:trPr>
          <w:trHeight w:hRule="exact" w:val="510"/>
        </w:trPr>
        <w:tc>
          <w:tcPr>
            <w:tcW w:w="270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Adjustments to reconcile net income to net cash provided by (used in)  operations:</w:t>
            </w:r>
          </w:p>
        </w:tc>
        <w:tc>
          <w:tcPr>
            <w:tcW w:w="120"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ind w:left="240"/>
              <w:rPr>
                <w:color w:val="000000"/>
                <w:sz w:val="20"/>
              </w:rPr>
            </w:pPr>
            <w:r>
              <w:rPr>
                <w:color w:val="000000"/>
                <w:sz w:val="20"/>
              </w:rPr>
              <w:t>Depreciation and amortization</w:t>
            </w:r>
          </w:p>
        </w:tc>
        <w:tc>
          <w:tcPr>
            <w:tcW w:w="120" w:type="pct"/>
            <w:tcBorders>
              <w:top w:val="nil"/>
              <w:left w:val="nil"/>
              <w:bottom w:val="nil"/>
              <w:right w:val="nil"/>
              <w:tl2br w:val="nil"/>
              <w:tr2bl w:val="nil"/>
            </w:tcBorders>
            <w:vAlign w:val="bottom"/>
          </w:tcPr>
          <w:p w:rsidR="0018024C" w:rsidRDefault="0018024C" w:rsidP="0018024C">
            <w:pPr>
              <w:ind w:left="240"/>
              <w:rPr>
                <w:b/>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21</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23</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22</w:t>
            </w: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r>
              <w:rPr>
                <w:color w:val="000000"/>
                <w:sz w:val="20"/>
              </w:rPr>
              <w:t>Amortization of intangibles</w:t>
            </w: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42</w:t>
            </w: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45</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45</w:t>
            </w: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ind w:left="240"/>
              <w:rPr>
                <w:color w:val="000000"/>
                <w:sz w:val="20"/>
              </w:rPr>
            </w:pPr>
            <w:r>
              <w:rPr>
                <w:color w:val="000000"/>
                <w:sz w:val="20"/>
              </w:rPr>
              <w:t>Equity-based compensation expense</w:t>
            </w:r>
          </w:p>
        </w:tc>
        <w:tc>
          <w:tcPr>
            <w:tcW w:w="120" w:type="pct"/>
            <w:tcBorders>
              <w:top w:val="nil"/>
              <w:left w:val="nil"/>
              <w:bottom w:val="nil"/>
              <w:right w:val="nil"/>
              <w:tl2br w:val="nil"/>
              <w:tr2bl w:val="nil"/>
            </w:tcBorders>
            <w:vAlign w:val="bottom"/>
          </w:tcPr>
          <w:p w:rsidR="0018024C" w:rsidRDefault="0018024C" w:rsidP="0018024C">
            <w:pPr>
              <w:ind w:left="240"/>
              <w:rPr>
                <w:b/>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16</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14</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16</w:t>
            </w: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r>
              <w:rPr>
                <w:color w:val="000000"/>
                <w:sz w:val="20"/>
              </w:rPr>
              <w:t>Deferred income tax benefit</w:t>
            </w: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jc w:val="right"/>
              <w:rPr>
                <w:b/>
                <w:color w:val="000000"/>
                <w:sz w:val="20"/>
              </w:rPr>
            </w:pPr>
            <w:r w:rsidRPr="00D44F9E">
              <w:rPr>
                <w:b/>
                <w:color w:val="000000"/>
                <w:sz w:val="20"/>
              </w:rPr>
              <w:t xml:space="preserve"> (5)</w:t>
            </w: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(9)</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(78)</w:t>
            </w: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ind w:left="240"/>
              <w:rPr>
                <w:color w:val="000000"/>
                <w:sz w:val="20"/>
              </w:rPr>
            </w:pPr>
            <w:r>
              <w:rPr>
                <w:color w:val="000000"/>
                <w:sz w:val="20"/>
              </w:rPr>
              <w:t>Amortization of debt issuance costs</w:t>
            </w:r>
          </w:p>
        </w:tc>
        <w:tc>
          <w:tcPr>
            <w:tcW w:w="120" w:type="pct"/>
            <w:tcBorders>
              <w:top w:val="nil"/>
              <w:left w:val="nil"/>
              <w:bottom w:val="nil"/>
              <w:right w:val="nil"/>
              <w:tl2br w:val="nil"/>
              <w:tr2bl w:val="nil"/>
            </w:tcBorders>
            <w:vAlign w:val="bottom"/>
          </w:tcPr>
          <w:p w:rsidR="0018024C" w:rsidRDefault="0018024C" w:rsidP="0018024C">
            <w:pPr>
              <w:ind w:left="240"/>
              <w:rPr>
                <w:b/>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1</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1</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3</w:t>
            </w: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r>
              <w:rPr>
                <w:color w:val="000000"/>
                <w:sz w:val="20"/>
              </w:rPr>
              <w:t xml:space="preserve">Inventory-related charges </w:t>
            </w: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5</w:t>
            </w: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6</w:t>
            </w:r>
          </w:p>
        </w:tc>
      </w:tr>
      <w:tr w:rsidR="0018024C" w:rsidRPr="00B94B3A" w:rsidTr="0018024C">
        <w:trPr>
          <w:trHeight w:hRule="exact" w:val="240"/>
        </w:trPr>
        <w:tc>
          <w:tcPr>
            <w:tcW w:w="2708" w:type="pct"/>
            <w:tcBorders>
              <w:top w:val="nil"/>
              <w:left w:val="nil"/>
              <w:bottom w:val="nil"/>
              <w:right w:val="nil"/>
              <w:tl2br w:val="nil"/>
              <w:tr2bl w:val="nil"/>
            </w:tcBorders>
            <w:vAlign w:val="bottom"/>
          </w:tcPr>
          <w:p w:rsidR="0018024C" w:rsidRPr="00B94B3A" w:rsidRDefault="0018024C" w:rsidP="0018024C">
            <w:pPr>
              <w:ind w:left="240"/>
              <w:rPr>
                <w:color w:val="000000"/>
                <w:sz w:val="20"/>
              </w:rPr>
            </w:pPr>
            <w:r w:rsidRPr="00B94B3A">
              <w:rPr>
                <w:color w:val="000000"/>
                <w:sz w:val="20"/>
              </w:rPr>
              <w:t>Write off of debt issuance costs</w:t>
            </w:r>
          </w:p>
        </w:tc>
        <w:tc>
          <w:tcPr>
            <w:tcW w:w="120" w:type="pct"/>
            <w:tcBorders>
              <w:top w:val="nil"/>
              <w:left w:val="nil"/>
              <w:bottom w:val="nil"/>
              <w:right w:val="nil"/>
              <w:tl2br w:val="nil"/>
              <w:tr2bl w:val="nil"/>
            </w:tcBorders>
            <w:vAlign w:val="bottom"/>
          </w:tcPr>
          <w:p w:rsidR="0018024C" w:rsidRPr="00B94B3A" w:rsidRDefault="0018024C" w:rsidP="0018024C">
            <w:pPr>
              <w:ind w:left="240"/>
              <w:rPr>
                <w:b/>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w:t>
            </w:r>
          </w:p>
        </w:tc>
        <w:tc>
          <w:tcPr>
            <w:tcW w:w="101" w:type="pct"/>
            <w:tcBorders>
              <w:top w:val="nil"/>
              <w:left w:val="nil"/>
              <w:bottom w:val="nil"/>
              <w:right w:val="nil"/>
              <w:tl2br w:val="nil"/>
              <w:tr2bl w:val="nil"/>
            </w:tcBorders>
            <w:vAlign w:val="bottom"/>
          </w:tcPr>
          <w:p w:rsidR="0018024C" w:rsidRPr="00B94B3A"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Pr="00B94B3A" w:rsidRDefault="0018024C" w:rsidP="0018024C">
            <w:pPr>
              <w:ind w:left="24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1</w:t>
            </w:r>
          </w:p>
        </w:tc>
        <w:tc>
          <w:tcPr>
            <w:tcW w:w="94" w:type="pct"/>
            <w:tcBorders>
              <w:top w:val="nil"/>
              <w:left w:val="nil"/>
              <w:bottom w:val="nil"/>
              <w:right w:val="nil"/>
              <w:tl2br w:val="nil"/>
              <w:tr2bl w:val="nil"/>
            </w:tcBorders>
            <w:vAlign w:val="bottom"/>
          </w:tcPr>
          <w:p w:rsidR="0018024C" w:rsidRPr="00B94B3A"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Pr="00B94B3A" w:rsidRDefault="0018024C" w:rsidP="0018024C">
            <w:pPr>
              <w:ind w:left="24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8</w:t>
            </w: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r>
              <w:rPr>
                <w:color w:val="000000"/>
                <w:sz w:val="20"/>
              </w:rPr>
              <w:t>(Decrease) increase in LIFO reserve</w:t>
            </w: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jc w:val="right"/>
              <w:rPr>
                <w:b/>
                <w:color w:val="000000"/>
                <w:sz w:val="20"/>
              </w:rPr>
            </w:pPr>
            <w:r w:rsidRPr="00D44F9E">
              <w:rPr>
                <w:b/>
                <w:color w:val="000000"/>
                <w:sz w:val="20"/>
              </w:rPr>
              <w:t xml:space="preserve"> (2)</w:t>
            </w: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62</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28</w:t>
            </w: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ind w:left="240"/>
              <w:rPr>
                <w:color w:val="000000"/>
                <w:sz w:val="20"/>
              </w:rPr>
            </w:pPr>
            <w:r>
              <w:rPr>
                <w:color w:val="000000"/>
                <w:sz w:val="20"/>
              </w:rPr>
              <w:t>Change in fair value of derivative instruments</w:t>
            </w:r>
          </w:p>
        </w:tc>
        <w:tc>
          <w:tcPr>
            <w:tcW w:w="120" w:type="pct"/>
            <w:tcBorders>
              <w:top w:val="nil"/>
              <w:left w:val="nil"/>
              <w:bottom w:val="nil"/>
              <w:right w:val="nil"/>
              <w:tl2br w:val="nil"/>
              <w:tr2bl w:val="nil"/>
            </w:tcBorders>
            <w:vAlign w:val="bottom"/>
          </w:tcPr>
          <w:p w:rsidR="0018024C" w:rsidRDefault="0018024C" w:rsidP="0018024C">
            <w:pPr>
              <w:ind w:left="240"/>
              <w:rPr>
                <w:b/>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3"/>
              <w:jc w:val="right"/>
              <w:rPr>
                <w:color w:val="000000"/>
                <w:sz w:val="20"/>
              </w:rPr>
            </w:pPr>
            <w:r w:rsidRPr="00D44F9E">
              <w:rPr>
                <w:color w:val="000000"/>
                <w:sz w:val="20"/>
              </w:rPr>
              <w:t xml:space="preserve"> (1)</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1</w:t>
            </w: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r>
              <w:rPr>
                <w:color w:val="000000"/>
                <w:sz w:val="20"/>
              </w:rPr>
              <w:t>Provision for uncollectible accounts</w:t>
            </w: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2</w:t>
            </w: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1</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1</w:t>
            </w: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ind w:left="240"/>
              <w:rPr>
                <w:color w:val="000000"/>
                <w:sz w:val="20"/>
              </w:rPr>
            </w:pPr>
            <w:r>
              <w:rPr>
                <w:color w:val="000000"/>
                <w:sz w:val="20"/>
              </w:rPr>
              <w:t>Other non-cash items</w:t>
            </w:r>
          </w:p>
        </w:tc>
        <w:tc>
          <w:tcPr>
            <w:tcW w:w="120" w:type="pct"/>
            <w:tcBorders>
              <w:top w:val="nil"/>
              <w:left w:val="nil"/>
              <w:bottom w:val="nil"/>
              <w:right w:val="nil"/>
              <w:tl2br w:val="nil"/>
              <w:tr2bl w:val="nil"/>
            </w:tcBorders>
            <w:vAlign w:val="bottom"/>
          </w:tcPr>
          <w:p w:rsidR="0018024C" w:rsidRDefault="0018024C" w:rsidP="0018024C">
            <w:pPr>
              <w:ind w:left="240"/>
              <w:rPr>
                <w:b/>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5</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9</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2</w:t>
            </w: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r>
              <w:rPr>
                <w:color w:val="000000"/>
                <w:sz w:val="20"/>
              </w:rPr>
              <w:t>Changes in operating assets and liabilities:</w:t>
            </w: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240"/>
              <w:rPr>
                <w:color w:val="000000"/>
                <w:sz w:val="20"/>
              </w:rPr>
            </w:pPr>
          </w:p>
        </w:tc>
        <w:tc>
          <w:tcPr>
            <w:tcW w:w="579"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ind w:left="480"/>
              <w:rPr>
                <w:color w:val="000000"/>
                <w:sz w:val="20"/>
              </w:rPr>
            </w:pPr>
            <w:r>
              <w:rPr>
                <w:color w:val="000000"/>
                <w:sz w:val="20"/>
              </w:rPr>
              <w:t>Accounts receivable</w:t>
            </w:r>
          </w:p>
        </w:tc>
        <w:tc>
          <w:tcPr>
            <w:tcW w:w="120" w:type="pct"/>
            <w:tcBorders>
              <w:top w:val="nil"/>
              <w:left w:val="nil"/>
              <w:bottom w:val="nil"/>
              <w:right w:val="nil"/>
              <w:tl2br w:val="nil"/>
              <w:tr2bl w:val="nil"/>
            </w:tcBorders>
            <w:vAlign w:val="bottom"/>
          </w:tcPr>
          <w:p w:rsidR="0018024C" w:rsidRDefault="0018024C" w:rsidP="0018024C">
            <w:pPr>
              <w:ind w:left="480"/>
              <w:rPr>
                <w:b/>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127</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ind w:left="48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3"/>
              <w:jc w:val="right"/>
              <w:rPr>
                <w:color w:val="000000"/>
                <w:sz w:val="20"/>
              </w:rPr>
            </w:pPr>
            <w:r w:rsidRPr="00D44F9E">
              <w:rPr>
                <w:color w:val="000000"/>
                <w:sz w:val="20"/>
              </w:rPr>
              <w:t xml:space="preserve"> (74)</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ind w:left="48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3"/>
              <w:jc w:val="right"/>
              <w:rPr>
                <w:color w:val="000000"/>
                <w:sz w:val="20"/>
              </w:rPr>
            </w:pPr>
            <w:r w:rsidRPr="00D44F9E">
              <w:rPr>
                <w:color w:val="000000"/>
                <w:sz w:val="20"/>
              </w:rPr>
              <w:t xml:space="preserve"> (118)</w:t>
            </w: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ind w:left="480"/>
              <w:rPr>
                <w:color w:val="000000"/>
                <w:sz w:val="20"/>
              </w:rPr>
            </w:pPr>
            <w:r>
              <w:rPr>
                <w:color w:val="000000"/>
                <w:sz w:val="20"/>
              </w:rPr>
              <w:t>Inventories</w:t>
            </w: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480"/>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95</w:t>
            </w: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480"/>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(175)</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480"/>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(168)</w:t>
            </w: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ind w:left="480"/>
              <w:rPr>
                <w:color w:val="000000"/>
                <w:sz w:val="20"/>
              </w:rPr>
            </w:pPr>
            <w:r>
              <w:rPr>
                <w:color w:val="000000"/>
                <w:sz w:val="20"/>
              </w:rPr>
              <w:t>Other current assets</w:t>
            </w:r>
          </w:p>
        </w:tc>
        <w:tc>
          <w:tcPr>
            <w:tcW w:w="120" w:type="pct"/>
            <w:tcBorders>
              <w:top w:val="nil"/>
              <w:left w:val="nil"/>
              <w:bottom w:val="nil"/>
              <w:right w:val="nil"/>
              <w:tl2br w:val="nil"/>
              <w:tr2bl w:val="nil"/>
            </w:tcBorders>
            <w:vAlign w:val="bottom"/>
          </w:tcPr>
          <w:p w:rsidR="0018024C" w:rsidRDefault="0018024C" w:rsidP="0018024C">
            <w:pPr>
              <w:ind w:left="480"/>
              <w:rPr>
                <w:b/>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10</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ind w:left="48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8</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ind w:left="48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8</w:t>
            </w: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ind w:left="480"/>
              <w:rPr>
                <w:color w:val="000000"/>
                <w:sz w:val="20"/>
              </w:rPr>
            </w:pPr>
            <w:r>
              <w:rPr>
                <w:color w:val="000000"/>
                <w:sz w:val="20"/>
              </w:rPr>
              <w:t>Accounts payable</w:t>
            </w: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480"/>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jc w:val="right"/>
              <w:rPr>
                <w:b/>
                <w:color w:val="000000"/>
                <w:sz w:val="20"/>
              </w:rPr>
            </w:pPr>
            <w:r w:rsidRPr="00D44F9E">
              <w:rPr>
                <w:b/>
                <w:color w:val="000000"/>
                <w:sz w:val="20"/>
              </w:rPr>
              <w:t xml:space="preserve"> (79)</w:t>
            </w: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480"/>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27</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ind w:left="480"/>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93</w:t>
            </w: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ind w:left="480"/>
              <w:rPr>
                <w:color w:val="000000"/>
                <w:sz w:val="20"/>
              </w:rPr>
            </w:pPr>
            <w:r>
              <w:rPr>
                <w:color w:val="000000"/>
                <w:sz w:val="20"/>
              </w:rPr>
              <w:t>Accrued expenses and other current liabilities</w:t>
            </w:r>
          </w:p>
        </w:tc>
        <w:tc>
          <w:tcPr>
            <w:tcW w:w="120" w:type="pct"/>
            <w:tcBorders>
              <w:top w:val="nil"/>
              <w:left w:val="nil"/>
              <w:bottom w:val="single" w:sz="12" w:space="0" w:color="000000"/>
              <w:right w:val="nil"/>
              <w:tl2br w:val="nil"/>
              <w:tr2bl w:val="nil"/>
            </w:tcBorders>
            <w:vAlign w:val="bottom"/>
          </w:tcPr>
          <w:p w:rsidR="0018024C" w:rsidRDefault="0018024C" w:rsidP="0018024C">
            <w:pPr>
              <w:ind w:left="480"/>
              <w:rPr>
                <w:b/>
                <w:color w:val="000000"/>
                <w:sz w:val="20"/>
              </w:rPr>
            </w:pPr>
          </w:p>
        </w:tc>
        <w:tc>
          <w:tcPr>
            <w:tcW w:w="579" w:type="pct"/>
            <w:tcBorders>
              <w:top w:val="nil"/>
              <w:left w:val="nil"/>
              <w:bottom w:val="single" w:sz="12" w:space="0" w:color="000000"/>
              <w:right w:val="nil"/>
              <w:tl2br w:val="nil"/>
              <w:tr2bl w:val="nil"/>
            </w:tcBorders>
            <w:vAlign w:val="bottom"/>
          </w:tcPr>
          <w:p w:rsidR="0018024C" w:rsidRPr="00D44F9E" w:rsidRDefault="0018024C" w:rsidP="0018024C">
            <w:pPr>
              <w:jc w:val="right"/>
              <w:rPr>
                <w:b/>
                <w:color w:val="000000"/>
                <w:sz w:val="20"/>
              </w:rPr>
            </w:pPr>
            <w:r w:rsidRPr="00D44F9E">
              <w:rPr>
                <w:b/>
                <w:color w:val="000000"/>
                <w:sz w:val="20"/>
              </w:rPr>
              <w:t xml:space="preserve"> (35)</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single" w:sz="12" w:space="0" w:color="000000"/>
              <w:right w:val="nil"/>
              <w:tl2br w:val="nil"/>
              <w:tr2bl w:val="nil"/>
            </w:tcBorders>
            <w:vAlign w:val="bottom"/>
          </w:tcPr>
          <w:p w:rsidR="0018024C" w:rsidRDefault="0018024C" w:rsidP="0018024C">
            <w:pPr>
              <w:ind w:left="480"/>
              <w:rPr>
                <w:color w:val="000000"/>
                <w:sz w:val="20"/>
              </w:rPr>
            </w:pPr>
          </w:p>
        </w:tc>
        <w:tc>
          <w:tcPr>
            <w:tcW w:w="579" w:type="pct"/>
            <w:tcBorders>
              <w:top w:val="nil"/>
              <w:left w:val="nil"/>
              <w:bottom w:val="single" w:sz="12" w:space="0" w:color="000000"/>
              <w:right w:val="nil"/>
              <w:tl2br w:val="nil"/>
              <w:tr2bl w:val="nil"/>
            </w:tcBorders>
            <w:vAlign w:val="bottom"/>
          </w:tcPr>
          <w:p w:rsidR="0018024C" w:rsidRPr="00D44F9E" w:rsidRDefault="0018024C" w:rsidP="0018024C">
            <w:pPr>
              <w:ind w:right="3"/>
              <w:jc w:val="right"/>
              <w:rPr>
                <w:color w:val="000000"/>
                <w:sz w:val="20"/>
              </w:rPr>
            </w:pPr>
            <w:r w:rsidRPr="00D44F9E">
              <w:rPr>
                <w:color w:val="000000"/>
                <w:sz w:val="20"/>
              </w:rPr>
              <w:t xml:space="preserve"> (17)</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single" w:sz="12" w:space="0" w:color="000000"/>
              <w:right w:val="nil"/>
              <w:tl2br w:val="nil"/>
              <w:tr2bl w:val="nil"/>
            </w:tcBorders>
            <w:vAlign w:val="bottom"/>
          </w:tcPr>
          <w:p w:rsidR="0018024C" w:rsidRDefault="0018024C" w:rsidP="0018024C">
            <w:pPr>
              <w:ind w:left="480"/>
              <w:rPr>
                <w:color w:val="000000"/>
                <w:sz w:val="20"/>
              </w:rPr>
            </w:pPr>
          </w:p>
        </w:tc>
        <w:tc>
          <w:tcPr>
            <w:tcW w:w="579" w:type="pct"/>
            <w:tcBorders>
              <w:top w:val="nil"/>
              <w:left w:val="nil"/>
              <w:bottom w:val="single" w:sz="12" w:space="0" w:color="000000"/>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33</w:t>
            </w: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Net cash provided by (used in) operations</w:t>
            </w:r>
          </w:p>
        </w:tc>
        <w:tc>
          <w:tcPr>
            <w:tcW w:w="120" w:type="pct"/>
            <w:tcBorders>
              <w:top w:val="single" w:sz="0" w:space="0" w:color="000000"/>
              <w:left w:val="nil"/>
              <w:bottom w:val="single" w:sz="12" w:space="0" w:color="000000"/>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single" w:sz="0" w:space="0" w:color="000000"/>
              <w:left w:val="nil"/>
              <w:bottom w:val="single" w:sz="12" w:space="0" w:color="000000"/>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242</w:t>
            </w: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single" w:sz="0" w:space="0" w:color="000000"/>
              <w:left w:val="nil"/>
              <w:bottom w:val="single" w:sz="12" w:space="0" w:color="000000"/>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single" w:sz="0" w:space="0" w:color="000000"/>
              <w:left w:val="nil"/>
              <w:bottom w:val="single" w:sz="12" w:space="0" w:color="000000"/>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(11)</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single" w:sz="0" w:space="0" w:color="000000"/>
              <w:left w:val="nil"/>
              <w:bottom w:val="single" w:sz="12" w:space="0" w:color="000000"/>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single" w:sz="0" w:space="0" w:color="000000"/>
              <w:left w:val="nil"/>
              <w:bottom w:val="single" w:sz="12" w:space="0" w:color="000000"/>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(48)</w:t>
            </w:r>
          </w:p>
        </w:tc>
      </w:tr>
      <w:tr w:rsidR="0018024C" w:rsidTr="0018024C">
        <w:trPr>
          <w:trHeight w:hRule="exact" w:val="105"/>
        </w:trPr>
        <w:tc>
          <w:tcPr>
            <w:tcW w:w="2708"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single" w:sz="0" w:space="0" w:color="000000"/>
              <w:left w:val="nil"/>
              <w:bottom w:val="nil"/>
              <w:right w:val="nil"/>
              <w:tl2br w:val="nil"/>
              <w:tr2bl w:val="nil"/>
            </w:tcBorders>
            <w:vAlign w:val="bottom"/>
          </w:tcPr>
          <w:p w:rsidR="0018024C" w:rsidRDefault="0018024C" w:rsidP="0018024C">
            <w:pPr>
              <w:rPr>
                <w:b/>
                <w:color w:val="000000"/>
                <w:sz w:val="20"/>
              </w:rPr>
            </w:pPr>
          </w:p>
        </w:tc>
        <w:tc>
          <w:tcPr>
            <w:tcW w:w="579" w:type="pct"/>
            <w:tcBorders>
              <w:top w:val="single" w:sz="0" w:space="0" w:color="000000"/>
              <w:left w:val="nil"/>
              <w:bottom w:val="nil"/>
              <w:right w:val="nil"/>
              <w:tl2br w:val="nil"/>
              <w:tr2bl w:val="nil"/>
            </w:tcBorders>
            <w:vAlign w:val="bottom"/>
          </w:tcPr>
          <w:p w:rsidR="0018024C" w:rsidRDefault="0018024C" w:rsidP="0018024C">
            <w:pPr>
              <w:rPr>
                <w:b/>
                <w:color w:val="000000"/>
                <w:sz w:val="20"/>
              </w:rPr>
            </w:pP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single" w:sz="0" w:space="0" w:color="000000"/>
              <w:left w:val="nil"/>
              <w:bottom w:val="nil"/>
              <w:right w:val="nil"/>
              <w:tl2br w:val="nil"/>
              <w:tr2bl w:val="nil"/>
            </w:tcBorders>
            <w:vAlign w:val="bottom"/>
          </w:tcPr>
          <w:p w:rsidR="0018024C" w:rsidRDefault="0018024C" w:rsidP="0018024C">
            <w:pPr>
              <w:rPr>
                <w:color w:val="000000"/>
                <w:sz w:val="20"/>
              </w:rPr>
            </w:pPr>
          </w:p>
        </w:tc>
        <w:tc>
          <w:tcPr>
            <w:tcW w:w="579" w:type="pct"/>
            <w:tcBorders>
              <w:top w:val="single" w:sz="0" w:space="0" w:color="000000"/>
              <w:left w:val="nil"/>
              <w:bottom w:val="nil"/>
              <w:right w:val="nil"/>
              <w:tl2br w:val="nil"/>
              <w:tr2bl w:val="nil"/>
            </w:tcBorders>
            <w:vAlign w:val="bottom"/>
          </w:tcPr>
          <w:p w:rsidR="0018024C" w:rsidRDefault="0018024C" w:rsidP="0018024C">
            <w:pPr>
              <w:rPr>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single" w:sz="0" w:space="0" w:color="000000"/>
              <w:left w:val="nil"/>
              <w:bottom w:val="nil"/>
              <w:right w:val="nil"/>
              <w:tl2br w:val="nil"/>
              <w:tr2bl w:val="nil"/>
            </w:tcBorders>
            <w:vAlign w:val="bottom"/>
          </w:tcPr>
          <w:p w:rsidR="0018024C" w:rsidRDefault="0018024C" w:rsidP="0018024C">
            <w:pPr>
              <w:rPr>
                <w:color w:val="000000"/>
                <w:sz w:val="20"/>
              </w:rPr>
            </w:pPr>
          </w:p>
        </w:tc>
        <w:tc>
          <w:tcPr>
            <w:tcW w:w="579" w:type="pct"/>
            <w:tcBorders>
              <w:top w:val="single" w:sz="0" w:space="0" w:color="000000"/>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r>
              <w:rPr>
                <w:b/>
                <w:color w:val="000000"/>
                <w:sz w:val="20"/>
              </w:rPr>
              <w:t>Investing activities</w:t>
            </w:r>
          </w:p>
        </w:tc>
        <w:tc>
          <w:tcPr>
            <w:tcW w:w="120"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Purchases of property, plant and equipment</w:t>
            </w:r>
          </w:p>
        </w:tc>
        <w:tc>
          <w:tcPr>
            <w:tcW w:w="120" w:type="pct"/>
            <w:tcBorders>
              <w:top w:val="nil"/>
              <w:left w:val="nil"/>
              <w:bottom w:val="nil"/>
              <w:right w:val="nil"/>
              <w:tl2br w:val="nil"/>
              <w:tr2bl w:val="nil"/>
            </w:tcBorders>
            <w:vAlign w:val="bottom"/>
          </w:tcPr>
          <w:p w:rsidR="0018024C" w:rsidRDefault="0018024C" w:rsidP="0018024C">
            <w:pPr>
              <w:rPr>
                <w:b/>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jc w:val="right"/>
              <w:rPr>
                <w:b/>
                <w:color w:val="000000"/>
                <w:sz w:val="20"/>
              </w:rPr>
            </w:pPr>
            <w:r w:rsidRPr="00D44F9E">
              <w:rPr>
                <w:b/>
                <w:color w:val="000000"/>
                <w:sz w:val="20"/>
              </w:rPr>
              <w:t xml:space="preserve"> (18)</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3"/>
              <w:jc w:val="right"/>
              <w:rPr>
                <w:color w:val="000000"/>
                <w:sz w:val="20"/>
              </w:rPr>
            </w:pPr>
            <w:r w:rsidRPr="00D44F9E">
              <w:rPr>
                <w:color w:val="000000"/>
                <w:sz w:val="20"/>
              </w:rPr>
              <w:t xml:space="preserve"> (20)</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3"/>
              <w:jc w:val="right"/>
              <w:rPr>
                <w:color w:val="000000"/>
                <w:sz w:val="20"/>
              </w:rPr>
            </w:pPr>
            <w:r w:rsidRPr="00D44F9E">
              <w:rPr>
                <w:color w:val="000000"/>
                <w:sz w:val="20"/>
              </w:rPr>
              <w:t xml:space="preserve"> (30)</w:t>
            </w: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Proceeds from the disposition of property, plant and equipment</w:t>
            </w:r>
          </w:p>
        </w:tc>
        <w:tc>
          <w:tcPr>
            <w:tcW w:w="120"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1</w:t>
            </w: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6</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3</w:t>
            </w: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Other investing activities</w:t>
            </w:r>
          </w:p>
        </w:tc>
        <w:tc>
          <w:tcPr>
            <w:tcW w:w="120" w:type="pct"/>
            <w:tcBorders>
              <w:top w:val="nil"/>
              <w:left w:val="nil"/>
              <w:bottom w:val="single" w:sz="12" w:space="0" w:color="000000"/>
              <w:right w:val="nil"/>
              <w:tl2br w:val="nil"/>
              <w:tr2bl w:val="nil"/>
            </w:tcBorders>
            <w:vAlign w:val="bottom"/>
          </w:tcPr>
          <w:p w:rsidR="0018024C" w:rsidRDefault="0018024C" w:rsidP="0018024C">
            <w:pPr>
              <w:ind w:left="480"/>
              <w:rPr>
                <w:b/>
                <w:color w:val="000000"/>
                <w:sz w:val="20"/>
              </w:rPr>
            </w:pPr>
          </w:p>
        </w:tc>
        <w:tc>
          <w:tcPr>
            <w:tcW w:w="579" w:type="pct"/>
            <w:tcBorders>
              <w:top w:val="nil"/>
              <w:left w:val="nil"/>
              <w:bottom w:val="single" w:sz="12" w:space="0" w:color="000000"/>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1</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single" w:sz="12" w:space="0" w:color="000000"/>
              <w:right w:val="nil"/>
              <w:tl2br w:val="nil"/>
              <w:tr2bl w:val="nil"/>
            </w:tcBorders>
            <w:vAlign w:val="bottom"/>
          </w:tcPr>
          <w:p w:rsidR="0018024C" w:rsidRDefault="0018024C" w:rsidP="0018024C">
            <w:pPr>
              <w:ind w:left="480"/>
              <w:rPr>
                <w:color w:val="000000"/>
                <w:sz w:val="20"/>
              </w:rPr>
            </w:pPr>
          </w:p>
        </w:tc>
        <w:tc>
          <w:tcPr>
            <w:tcW w:w="579" w:type="pct"/>
            <w:tcBorders>
              <w:top w:val="nil"/>
              <w:left w:val="nil"/>
              <w:bottom w:val="single" w:sz="12" w:space="0" w:color="000000"/>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single" w:sz="12" w:space="0" w:color="000000"/>
              <w:right w:val="nil"/>
              <w:tl2br w:val="nil"/>
              <w:tr2bl w:val="nil"/>
            </w:tcBorders>
            <w:vAlign w:val="bottom"/>
          </w:tcPr>
          <w:p w:rsidR="0018024C" w:rsidRDefault="0018024C" w:rsidP="0018024C">
            <w:pPr>
              <w:ind w:left="480"/>
              <w:rPr>
                <w:color w:val="000000"/>
                <w:sz w:val="20"/>
              </w:rPr>
            </w:pPr>
          </w:p>
        </w:tc>
        <w:tc>
          <w:tcPr>
            <w:tcW w:w="579" w:type="pct"/>
            <w:tcBorders>
              <w:top w:val="nil"/>
              <w:left w:val="nil"/>
              <w:bottom w:val="single" w:sz="12" w:space="0" w:color="000000"/>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w:t>
            </w:r>
          </w:p>
        </w:tc>
      </w:tr>
      <w:tr w:rsidR="0018024C" w:rsidTr="0018024C">
        <w:trPr>
          <w:trHeight w:hRule="exact" w:val="255"/>
        </w:trPr>
        <w:tc>
          <w:tcPr>
            <w:tcW w:w="270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Net cash used in investing activities</w:t>
            </w:r>
          </w:p>
        </w:tc>
        <w:tc>
          <w:tcPr>
            <w:tcW w:w="120" w:type="pct"/>
            <w:tcBorders>
              <w:top w:val="single" w:sz="0" w:space="0" w:color="000000"/>
              <w:left w:val="nil"/>
              <w:bottom w:val="single" w:sz="12" w:space="0" w:color="000000"/>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single" w:sz="0" w:space="0" w:color="000000"/>
              <w:left w:val="nil"/>
              <w:bottom w:val="single" w:sz="12" w:space="0" w:color="000000"/>
              <w:right w:val="nil"/>
              <w:tl2br w:val="nil"/>
              <w:tr2bl w:val="nil"/>
            </w:tcBorders>
            <w:shd w:val="clear" w:color="auto" w:fill="CCEEFF"/>
            <w:vAlign w:val="bottom"/>
          </w:tcPr>
          <w:p w:rsidR="0018024C" w:rsidRPr="00D44F9E" w:rsidRDefault="0018024C" w:rsidP="0018024C">
            <w:pPr>
              <w:jc w:val="right"/>
              <w:rPr>
                <w:b/>
                <w:color w:val="000000"/>
                <w:sz w:val="20"/>
              </w:rPr>
            </w:pPr>
            <w:r w:rsidRPr="00D44F9E">
              <w:rPr>
                <w:b/>
                <w:color w:val="000000"/>
                <w:sz w:val="20"/>
              </w:rPr>
              <w:t xml:space="preserve"> (16)</w:t>
            </w: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single" w:sz="0" w:space="0" w:color="000000"/>
              <w:left w:val="nil"/>
              <w:bottom w:val="single" w:sz="12" w:space="0" w:color="000000"/>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single" w:sz="0" w:space="0" w:color="000000"/>
              <w:left w:val="nil"/>
              <w:bottom w:val="single" w:sz="12" w:space="0" w:color="000000"/>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(14)</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single" w:sz="0" w:space="0" w:color="000000"/>
              <w:left w:val="nil"/>
              <w:bottom w:val="single" w:sz="12" w:space="0" w:color="000000"/>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single" w:sz="0" w:space="0" w:color="000000"/>
              <w:left w:val="nil"/>
              <w:bottom w:val="single" w:sz="12" w:space="0" w:color="000000"/>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(27)</w:t>
            </w:r>
          </w:p>
        </w:tc>
      </w:tr>
      <w:tr w:rsidR="0018024C" w:rsidTr="0018024C">
        <w:trPr>
          <w:trHeight w:hRule="exact" w:val="105"/>
        </w:trPr>
        <w:tc>
          <w:tcPr>
            <w:tcW w:w="2708"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single" w:sz="0" w:space="0" w:color="000000"/>
              <w:left w:val="nil"/>
              <w:bottom w:val="nil"/>
              <w:right w:val="nil"/>
              <w:tl2br w:val="nil"/>
              <w:tr2bl w:val="nil"/>
            </w:tcBorders>
            <w:vAlign w:val="bottom"/>
          </w:tcPr>
          <w:p w:rsidR="0018024C" w:rsidRDefault="0018024C" w:rsidP="0018024C">
            <w:pPr>
              <w:rPr>
                <w:b/>
                <w:color w:val="000000"/>
                <w:sz w:val="20"/>
              </w:rPr>
            </w:pPr>
          </w:p>
        </w:tc>
        <w:tc>
          <w:tcPr>
            <w:tcW w:w="579" w:type="pct"/>
            <w:tcBorders>
              <w:top w:val="single" w:sz="0" w:space="0" w:color="000000"/>
              <w:left w:val="nil"/>
              <w:bottom w:val="nil"/>
              <w:right w:val="nil"/>
              <w:tl2br w:val="nil"/>
              <w:tr2bl w:val="nil"/>
            </w:tcBorders>
            <w:vAlign w:val="bottom"/>
          </w:tcPr>
          <w:p w:rsidR="0018024C" w:rsidRDefault="0018024C" w:rsidP="0018024C">
            <w:pPr>
              <w:rPr>
                <w:b/>
                <w:color w:val="000000"/>
                <w:sz w:val="20"/>
              </w:rPr>
            </w:pP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single" w:sz="0" w:space="0" w:color="000000"/>
              <w:left w:val="nil"/>
              <w:bottom w:val="nil"/>
              <w:right w:val="nil"/>
              <w:tl2br w:val="nil"/>
              <w:tr2bl w:val="nil"/>
            </w:tcBorders>
            <w:vAlign w:val="bottom"/>
          </w:tcPr>
          <w:p w:rsidR="0018024C" w:rsidRDefault="0018024C" w:rsidP="0018024C">
            <w:pPr>
              <w:rPr>
                <w:color w:val="000000"/>
                <w:sz w:val="20"/>
              </w:rPr>
            </w:pPr>
          </w:p>
        </w:tc>
        <w:tc>
          <w:tcPr>
            <w:tcW w:w="579" w:type="pct"/>
            <w:tcBorders>
              <w:top w:val="single" w:sz="0" w:space="0" w:color="000000"/>
              <w:left w:val="nil"/>
              <w:bottom w:val="nil"/>
              <w:right w:val="nil"/>
              <w:tl2br w:val="nil"/>
              <w:tr2bl w:val="nil"/>
            </w:tcBorders>
            <w:vAlign w:val="bottom"/>
          </w:tcPr>
          <w:p w:rsidR="0018024C" w:rsidRDefault="0018024C" w:rsidP="0018024C">
            <w:pPr>
              <w:rPr>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single" w:sz="0" w:space="0" w:color="000000"/>
              <w:left w:val="nil"/>
              <w:bottom w:val="nil"/>
              <w:right w:val="nil"/>
              <w:tl2br w:val="nil"/>
              <w:tr2bl w:val="nil"/>
            </w:tcBorders>
            <w:vAlign w:val="bottom"/>
          </w:tcPr>
          <w:p w:rsidR="0018024C" w:rsidRDefault="0018024C" w:rsidP="0018024C">
            <w:pPr>
              <w:rPr>
                <w:color w:val="000000"/>
                <w:sz w:val="20"/>
              </w:rPr>
            </w:pPr>
          </w:p>
        </w:tc>
        <w:tc>
          <w:tcPr>
            <w:tcW w:w="579" w:type="pct"/>
            <w:tcBorders>
              <w:top w:val="single" w:sz="0" w:space="0" w:color="000000"/>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r>
              <w:rPr>
                <w:b/>
                <w:color w:val="000000"/>
                <w:sz w:val="20"/>
              </w:rPr>
              <w:t>Financing activities</w:t>
            </w:r>
          </w:p>
        </w:tc>
        <w:tc>
          <w:tcPr>
            <w:tcW w:w="120"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Payments on revolving credit facilities</w:t>
            </w:r>
          </w:p>
        </w:tc>
        <w:tc>
          <w:tcPr>
            <w:tcW w:w="120" w:type="pct"/>
            <w:tcBorders>
              <w:top w:val="nil"/>
              <w:left w:val="nil"/>
              <w:bottom w:val="nil"/>
              <w:right w:val="nil"/>
              <w:tl2br w:val="nil"/>
              <w:tr2bl w:val="nil"/>
            </w:tcBorders>
            <w:vAlign w:val="bottom"/>
          </w:tcPr>
          <w:p w:rsidR="0018024C" w:rsidRDefault="0018024C" w:rsidP="0018024C">
            <w:pPr>
              <w:rPr>
                <w:b/>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jc w:val="right"/>
              <w:rPr>
                <w:b/>
                <w:color w:val="000000"/>
                <w:sz w:val="20"/>
              </w:rPr>
            </w:pPr>
            <w:r w:rsidRPr="00D44F9E">
              <w:rPr>
                <w:b/>
                <w:color w:val="000000"/>
                <w:sz w:val="20"/>
              </w:rPr>
              <w:t xml:space="preserve"> (1,145)</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3"/>
              <w:jc w:val="right"/>
              <w:rPr>
                <w:color w:val="000000"/>
                <w:sz w:val="20"/>
              </w:rPr>
            </w:pPr>
            <w:r w:rsidRPr="00D44F9E">
              <w:rPr>
                <w:color w:val="000000"/>
                <w:sz w:val="20"/>
              </w:rPr>
              <w:t xml:space="preserve"> (1,118)</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3"/>
              <w:jc w:val="right"/>
              <w:rPr>
                <w:color w:val="000000"/>
                <w:sz w:val="20"/>
              </w:rPr>
            </w:pPr>
            <w:r w:rsidRPr="00D44F9E">
              <w:rPr>
                <w:color w:val="000000"/>
                <w:sz w:val="20"/>
              </w:rPr>
              <w:t xml:space="preserve"> (696)</w:t>
            </w:r>
          </w:p>
        </w:tc>
      </w:tr>
      <w:tr w:rsidR="0018024C" w:rsidRPr="00B94B3A"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Pr="00B94B3A" w:rsidRDefault="0018024C" w:rsidP="0018024C">
            <w:pPr>
              <w:rPr>
                <w:color w:val="000000"/>
                <w:sz w:val="20"/>
              </w:rPr>
            </w:pPr>
            <w:r w:rsidRPr="00B94B3A">
              <w:rPr>
                <w:color w:val="000000"/>
                <w:sz w:val="20"/>
              </w:rPr>
              <w:t>Proceeds from revolving credit facilities</w:t>
            </w:r>
          </w:p>
        </w:tc>
        <w:tc>
          <w:tcPr>
            <w:tcW w:w="120" w:type="pct"/>
            <w:tcBorders>
              <w:top w:val="nil"/>
              <w:left w:val="nil"/>
              <w:bottom w:val="nil"/>
              <w:right w:val="nil"/>
              <w:tl2br w:val="nil"/>
              <w:tr2bl w:val="nil"/>
            </w:tcBorders>
            <w:shd w:val="clear" w:color="auto" w:fill="CCEEFF"/>
            <w:vAlign w:val="bottom"/>
          </w:tcPr>
          <w:p w:rsidR="0018024C" w:rsidRPr="00B94B3A" w:rsidRDefault="0018024C" w:rsidP="0018024C">
            <w:pPr>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1,016</w:t>
            </w:r>
          </w:p>
        </w:tc>
        <w:tc>
          <w:tcPr>
            <w:tcW w:w="101" w:type="pct"/>
            <w:tcBorders>
              <w:top w:val="nil"/>
              <w:left w:val="nil"/>
              <w:bottom w:val="nil"/>
              <w:right w:val="nil"/>
              <w:tl2br w:val="nil"/>
              <w:tr2bl w:val="nil"/>
            </w:tcBorders>
            <w:shd w:val="clear" w:color="auto" w:fill="CCEEFF"/>
            <w:vAlign w:val="bottom"/>
          </w:tcPr>
          <w:p w:rsidR="0018024C" w:rsidRPr="00B94B3A"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Pr="00B94B3A" w:rsidRDefault="0018024C" w:rsidP="0018024C">
            <w:pPr>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1,280</w:t>
            </w:r>
          </w:p>
        </w:tc>
        <w:tc>
          <w:tcPr>
            <w:tcW w:w="94" w:type="pct"/>
            <w:tcBorders>
              <w:top w:val="nil"/>
              <w:left w:val="nil"/>
              <w:bottom w:val="nil"/>
              <w:right w:val="nil"/>
              <w:tl2br w:val="nil"/>
              <w:tr2bl w:val="nil"/>
            </w:tcBorders>
            <w:shd w:val="clear" w:color="auto" w:fill="CCEEFF"/>
            <w:vAlign w:val="bottom"/>
          </w:tcPr>
          <w:p w:rsidR="0018024C" w:rsidRPr="00B94B3A"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Pr="00B94B3A" w:rsidRDefault="0018024C" w:rsidP="0018024C">
            <w:pPr>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825</w:t>
            </w: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Payments on long-term obligations</w:t>
            </w:r>
          </w:p>
        </w:tc>
        <w:tc>
          <w:tcPr>
            <w:tcW w:w="120" w:type="pct"/>
            <w:tcBorders>
              <w:top w:val="nil"/>
              <w:left w:val="nil"/>
              <w:bottom w:val="nil"/>
              <w:right w:val="nil"/>
              <w:tl2br w:val="nil"/>
              <w:tr2bl w:val="nil"/>
            </w:tcBorders>
            <w:vAlign w:val="bottom"/>
          </w:tcPr>
          <w:p w:rsidR="0018024C" w:rsidRDefault="0018024C" w:rsidP="0018024C">
            <w:pPr>
              <w:rPr>
                <w:b/>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jc w:val="right"/>
              <w:rPr>
                <w:b/>
                <w:color w:val="000000"/>
                <w:sz w:val="20"/>
              </w:rPr>
            </w:pPr>
            <w:r w:rsidRPr="00D44F9E">
              <w:rPr>
                <w:b/>
                <w:color w:val="000000"/>
                <w:sz w:val="20"/>
              </w:rPr>
              <w:t xml:space="preserve"> (4)</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3"/>
              <w:jc w:val="right"/>
              <w:rPr>
                <w:color w:val="000000"/>
                <w:sz w:val="20"/>
              </w:rPr>
            </w:pPr>
            <w:r w:rsidRPr="00D44F9E">
              <w:rPr>
                <w:color w:val="000000"/>
                <w:sz w:val="20"/>
              </w:rPr>
              <w:t xml:space="preserve"> (4)</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3"/>
              <w:jc w:val="right"/>
              <w:rPr>
                <w:color w:val="000000"/>
                <w:sz w:val="20"/>
              </w:rPr>
            </w:pPr>
            <w:r w:rsidRPr="00D44F9E">
              <w:rPr>
                <w:color w:val="000000"/>
                <w:sz w:val="20"/>
              </w:rPr>
              <w:t xml:space="preserve"> (18)</w:t>
            </w: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Debt issuance costs paid</w:t>
            </w:r>
          </w:p>
        </w:tc>
        <w:tc>
          <w:tcPr>
            <w:tcW w:w="120"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w:t>
            </w: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(1)</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(8)</w:t>
            </w: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Purchases of common stock</w:t>
            </w:r>
          </w:p>
        </w:tc>
        <w:tc>
          <w:tcPr>
            <w:tcW w:w="120" w:type="pct"/>
            <w:tcBorders>
              <w:top w:val="nil"/>
              <w:left w:val="nil"/>
              <w:bottom w:val="nil"/>
              <w:right w:val="nil"/>
              <w:tl2br w:val="nil"/>
              <w:tr2bl w:val="nil"/>
            </w:tcBorders>
            <w:vAlign w:val="bottom"/>
          </w:tcPr>
          <w:p w:rsidR="0018024C" w:rsidRDefault="0018024C" w:rsidP="0018024C">
            <w:pPr>
              <w:rPr>
                <w:b/>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jc w:val="right"/>
              <w:rPr>
                <w:b/>
                <w:color w:val="000000"/>
                <w:sz w:val="20"/>
              </w:rPr>
            </w:pPr>
            <w:r w:rsidRPr="00D44F9E">
              <w:rPr>
                <w:b/>
                <w:color w:val="000000"/>
                <w:sz w:val="20"/>
              </w:rPr>
              <w:t xml:space="preserve"> (75)</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3"/>
              <w:jc w:val="right"/>
              <w:rPr>
                <w:color w:val="000000"/>
                <w:sz w:val="20"/>
              </w:rPr>
            </w:pPr>
            <w:r w:rsidRPr="00D44F9E">
              <w:rPr>
                <w:color w:val="000000"/>
                <w:sz w:val="20"/>
              </w:rPr>
              <w:t xml:space="preserve"> (125)</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3"/>
              <w:jc w:val="right"/>
              <w:rPr>
                <w:color w:val="000000"/>
                <w:sz w:val="20"/>
              </w:rPr>
            </w:pPr>
            <w:r w:rsidRPr="00D44F9E">
              <w:rPr>
                <w:color w:val="000000"/>
                <w:sz w:val="20"/>
              </w:rPr>
              <w:t xml:space="preserve"> (68)</w:t>
            </w: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Dividends paid on preferred stock</w:t>
            </w:r>
          </w:p>
        </w:tc>
        <w:tc>
          <w:tcPr>
            <w:tcW w:w="120"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jc w:val="right"/>
              <w:rPr>
                <w:b/>
                <w:color w:val="000000"/>
                <w:sz w:val="20"/>
              </w:rPr>
            </w:pPr>
            <w:r w:rsidRPr="00D44F9E">
              <w:rPr>
                <w:b/>
                <w:color w:val="000000"/>
                <w:sz w:val="20"/>
              </w:rPr>
              <w:t xml:space="preserve"> (24)</w:t>
            </w: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(24)</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(24)</w:t>
            </w: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Proceeds from exercise of stock options</w:t>
            </w:r>
          </w:p>
        </w:tc>
        <w:tc>
          <w:tcPr>
            <w:tcW w:w="120" w:type="pct"/>
            <w:tcBorders>
              <w:top w:val="nil"/>
              <w:left w:val="nil"/>
              <w:bottom w:val="nil"/>
              <w:right w:val="nil"/>
              <w:tl2br w:val="nil"/>
              <w:tr2bl w:val="nil"/>
            </w:tcBorders>
            <w:vAlign w:val="bottom"/>
          </w:tcPr>
          <w:p w:rsidR="0018024C" w:rsidRDefault="0018024C" w:rsidP="0018024C">
            <w:pPr>
              <w:ind w:left="480"/>
              <w:rPr>
                <w:b/>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ind w:left="48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21</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ind w:left="480"/>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1</w:t>
            </w: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Repurchases of shares to satisfy tax withholdings</w:t>
            </w:r>
          </w:p>
        </w:tc>
        <w:tc>
          <w:tcPr>
            <w:tcW w:w="120" w:type="pct"/>
            <w:tcBorders>
              <w:top w:val="nil"/>
              <w:left w:val="nil"/>
              <w:bottom w:val="single" w:sz="12" w:space="0" w:color="000000"/>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18024C" w:rsidRPr="00D44F9E" w:rsidRDefault="0018024C" w:rsidP="0018024C">
            <w:pPr>
              <w:jc w:val="right"/>
              <w:rPr>
                <w:b/>
                <w:color w:val="000000"/>
                <w:sz w:val="20"/>
              </w:rPr>
            </w:pPr>
            <w:r w:rsidRPr="00D44F9E">
              <w:rPr>
                <w:b/>
                <w:color w:val="000000"/>
                <w:sz w:val="20"/>
              </w:rPr>
              <w:t xml:space="preserve"> (6)</w:t>
            </w: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single" w:sz="12" w:space="0" w:color="000000"/>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(5)</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single" w:sz="12" w:space="0" w:color="000000"/>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(3)</w:t>
            </w:r>
          </w:p>
        </w:tc>
      </w:tr>
      <w:tr w:rsidR="0018024C" w:rsidTr="0018024C">
        <w:trPr>
          <w:trHeight w:hRule="exact" w:val="255"/>
        </w:trPr>
        <w:tc>
          <w:tcPr>
            <w:tcW w:w="2708"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Net cash (used in) provided by financing activities</w:t>
            </w:r>
          </w:p>
        </w:tc>
        <w:tc>
          <w:tcPr>
            <w:tcW w:w="120" w:type="pct"/>
            <w:tcBorders>
              <w:top w:val="single" w:sz="0" w:space="0" w:color="000000"/>
              <w:left w:val="nil"/>
              <w:bottom w:val="single" w:sz="12" w:space="0" w:color="000000"/>
              <w:right w:val="nil"/>
              <w:tl2br w:val="nil"/>
              <w:tr2bl w:val="nil"/>
            </w:tcBorders>
            <w:vAlign w:val="bottom"/>
          </w:tcPr>
          <w:p w:rsidR="0018024C" w:rsidRDefault="0018024C" w:rsidP="0018024C">
            <w:pPr>
              <w:rPr>
                <w:b/>
                <w:color w:val="000000"/>
                <w:sz w:val="20"/>
              </w:rPr>
            </w:pPr>
          </w:p>
        </w:tc>
        <w:tc>
          <w:tcPr>
            <w:tcW w:w="579" w:type="pct"/>
            <w:tcBorders>
              <w:top w:val="single" w:sz="0" w:space="0" w:color="000000"/>
              <w:left w:val="nil"/>
              <w:bottom w:val="single" w:sz="12" w:space="0" w:color="000000"/>
              <w:right w:val="nil"/>
              <w:tl2br w:val="nil"/>
              <w:tr2bl w:val="nil"/>
            </w:tcBorders>
            <w:vAlign w:val="bottom"/>
          </w:tcPr>
          <w:p w:rsidR="0018024C" w:rsidRPr="00D44F9E" w:rsidRDefault="0018024C" w:rsidP="0018024C">
            <w:pPr>
              <w:jc w:val="right"/>
              <w:rPr>
                <w:b/>
                <w:color w:val="000000"/>
                <w:sz w:val="20"/>
              </w:rPr>
            </w:pPr>
            <w:r w:rsidRPr="00D44F9E">
              <w:rPr>
                <w:b/>
                <w:color w:val="000000"/>
                <w:sz w:val="20"/>
              </w:rPr>
              <w:t xml:space="preserve"> (238)</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single" w:sz="0" w:space="0" w:color="000000"/>
              <w:left w:val="nil"/>
              <w:bottom w:val="single" w:sz="12" w:space="0" w:color="000000"/>
              <w:right w:val="nil"/>
              <w:tl2br w:val="nil"/>
              <w:tr2bl w:val="nil"/>
            </w:tcBorders>
            <w:vAlign w:val="bottom"/>
          </w:tcPr>
          <w:p w:rsidR="0018024C" w:rsidRDefault="0018024C" w:rsidP="0018024C">
            <w:pPr>
              <w:rPr>
                <w:color w:val="000000"/>
                <w:sz w:val="20"/>
              </w:rPr>
            </w:pPr>
          </w:p>
        </w:tc>
        <w:tc>
          <w:tcPr>
            <w:tcW w:w="579" w:type="pct"/>
            <w:tcBorders>
              <w:top w:val="single" w:sz="0" w:space="0" w:color="000000"/>
              <w:left w:val="nil"/>
              <w:bottom w:val="single" w:sz="12" w:space="0" w:color="000000"/>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24</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single" w:sz="0" w:space="0" w:color="000000"/>
              <w:left w:val="nil"/>
              <w:bottom w:val="single" w:sz="12" w:space="0" w:color="000000"/>
              <w:right w:val="nil"/>
              <w:tl2br w:val="nil"/>
              <w:tr2bl w:val="nil"/>
            </w:tcBorders>
            <w:vAlign w:val="bottom"/>
          </w:tcPr>
          <w:p w:rsidR="0018024C" w:rsidRDefault="0018024C" w:rsidP="0018024C">
            <w:pPr>
              <w:rPr>
                <w:color w:val="000000"/>
                <w:sz w:val="20"/>
              </w:rPr>
            </w:pPr>
          </w:p>
        </w:tc>
        <w:tc>
          <w:tcPr>
            <w:tcW w:w="579" w:type="pct"/>
            <w:tcBorders>
              <w:top w:val="single" w:sz="0" w:space="0" w:color="000000"/>
              <w:left w:val="nil"/>
              <w:bottom w:val="single" w:sz="12" w:space="0" w:color="000000"/>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9</w:t>
            </w:r>
          </w:p>
        </w:tc>
      </w:tr>
      <w:tr w:rsidR="0018024C" w:rsidTr="0018024C">
        <w:trPr>
          <w:trHeight w:hRule="exact" w:val="135"/>
        </w:trPr>
        <w:tc>
          <w:tcPr>
            <w:tcW w:w="2708"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single" w:sz="0" w:space="0" w:color="000000"/>
              <w:left w:val="nil"/>
              <w:bottom w:val="nil"/>
              <w:right w:val="nil"/>
              <w:tl2br w:val="nil"/>
              <w:tr2bl w:val="nil"/>
            </w:tcBorders>
            <w:vAlign w:val="bottom"/>
          </w:tcPr>
          <w:p w:rsidR="0018024C" w:rsidRDefault="0018024C" w:rsidP="0018024C">
            <w:pPr>
              <w:rPr>
                <w:b/>
                <w:color w:val="000000"/>
                <w:sz w:val="20"/>
              </w:rPr>
            </w:pPr>
          </w:p>
        </w:tc>
        <w:tc>
          <w:tcPr>
            <w:tcW w:w="579" w:type="pct"/>
            <w:tcBorders>
              <w:top w:val="single" w:sz="0" w:space="0" w:color="000000"/>
              <w:left w:val="nil"/>
              <w:bottom w:val="nil"/>
              <w:right w:val="nil"/>
              <w:tl2br w:val="nil"/>
              <w:tr2bl w:val="nil"/>
            </w:tcBorders>
            <w:vAlign w:val="bottom"/>
          </w:tcPr>
          <w:p w:rsidR="0018024C" w:rsidRDefault="0018024C" w:rsidP="0018024C">
            <w:pPr>
              <w:rPr>
                <w:b/>
                <w:color w:val="000000"/>
                <w:sz w:val="20"/>
              </w:rPr>
            </w:pP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single" w:sz="0" w:space="0" w:color="000000"/>
              <w:left w:val="nil"/>
              <w:bottom w:val="nil"/>
              <w:right w:val="nil"/>
              <w:tl2br w:val="nil"/>
              <w:tr2bl w:val="nil"/>
            </w:tcBorders>
            <w:vAlign w:val="bottom"/>
          </w:tcPr>
          <w:p w:rsidR="0018024C" w:rsidRDefault="0018024C" w:rsidP="0018024C">
            <w:pPr>
              <w:rPr>
                <w:color w:val="000000"/>
                <w:sz w:val="20"/>
              </w:rPr>
            </w:pPr>
          </w:p>
        </w:tc>
        <w:tc>
          <w:tcPr>
            <w:tcW w:w="579" w:type="pct"/>
            <w:tcBorders>
              <w:top w:val="single" w:sz="0" w:space="0" w:color="000000"/>
              <w:left w:val="nil"/>
              <w:bottom w:val="nil"/>
              <w:right w:val="nil"/>
              <w:tl2br w:val="nil"/>
              <w:tr2bl w:val="nil"/>
            </w:tcBorders>
            <w:vAlign w:val="bottom"/>
          </w:tcPr>
          <w:p w:rsidR="0018024C" w:rsidRDefault="0018024C" w:rsidP="0018024C">
            <w:pPr>
              <w:rPr>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single" w:sz="0" w:space="0" w:color="000000"/>
              <w:left w:val="nil"/>
              <w:bottom w:val="nil"/>
              <w:right w:val="nil"/>
              <w:tl2br w:val="nil"/>
              <w:tr2bl w:val="nil"/>
            </w:tcBorders>
            <w:vAlign w:val="bottom"/>
          </w:tcPr>
          <w:p w:rsidR="0018024C" w:rsidRDefault="0018024C" w:rsidP="0018024C">
            <w:pPr>
              <w:rPr>
                <w:color w:val="000000"/>
                <w:sz w:val="20"/>
              </w:rPr>
            </w:pPr>
          </w:p>
        </w:tc>
        <w:tc>
          <w:tcPr>
            <w:tcW w:w="579" w:type="pct"/>
            <w:tcBorders>
              <w:top w:val="single" w:sz="0" w:space="0" w:color="000000"/>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Decrease in cash</w:t>
            </w:r>
          </w:p>
        </w:tc>
        <w:tc>
          <w:tcPr>
            <w:tcW w:w="120"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jc w:val="right"/>
              <w:rPr>
                <w:b/>
                <w:color w:val="000000"/>
                <w:sz w:val="20"/>
              </w:rPr>
            </w:pPr>
            <w:r w:rsidRPr="00D44F9E">
              <w:rPr>
                <w:b/>
                <w:color w:val="000000"/>
                <w:sz w:val="20"/>
              </w:rPr>
              <w:t xml:space="preserve"> (12)</w:t>
            </w: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(1)</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3"/>
              <w:jc w:val="right"/>
              <w:rPr>
                <w:color w:val="000000"/>
                <w:sz w:val="20"/>
              </w:rPr>
            </w:pPr>
            <w:r w:rsidRPr="00D44F9E">
              <w:rPr>
                <w:color w:val="000000"/>
                <w:sz w:val="20"/>
              </w:rPr>
              <w:t xml:space="preserve"> (66)</w:t>
            </w: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Effect of foreign exchange rate on cash</w:t>
            </w:r>
          </w:p>
        </w:tc>
        <w:tc>
          <w:tcPr>
            <w:tcW w:w="120" w:type="pct"/>
            <w:tcBorders>
              <w:top w:val="nil"/>
              <w:left w:val="nil"/>
              <w:bottom w:val="nil"/>
              <w:right w:val="nil"/>
              <w:tl2br w:val="nil"/>
              <w:tr2bl w:val="nil"/>
            </w:tcBorders>
            <w:vAlign w:val="bottom"/>
          </w:tcPr>
          <w:p w:rsidR="0018024C" w:rsidRDefault="0018024C" w:rsidP="0018024C">
            <w:pPr>
              <w:rPr>
                <w:b/>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1</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3"/>
              <w:jc w:val="right"/>
              <w:rPr>
                <w:color w:val="000000"/>
                <w:sz w:val="20"/>
              </w:rPr>
            </w:pPr>
            <w:r w:rsidRPr="00D44F9E">
              <w:rPr>
                <w:color w:val="000000"/>
                <w:sz w:val="20"/>
              </w:rPr>
              <w:t xml:space="preserve"> (4)</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rPr>
                <w:color w:val="000000"/>
                <w:sz w:val="20"/>
              </w:rPr>
            </w:pP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5</w:t>
            </w: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Cash beginning of year</w:t>
            </w:r>
          </w:p>
        </w:tc>
        <w:tc>
          <w:tcPr>
            <w:tcW w:w="120" w:type="pct"/>
            <w:tcBorders>
              <w:top w:val="nil"/>
              <w:left w:val="nil"/>
              <w:bottom w:val="single" w:sz="12" w:space="0" w:color="000000"/>
              <w:right w:val="nil"/>
              <w:tl2br w:val="nil"/>
              <w:tr2bl w:val="nil"/>
            </w:tcBorders>
            <w:shd w:val="clear" w:color="auto" w:fill="CCEEFF"/>
            <w:vAlign w:val="bottom"/>
          </w:tcPr>
          <w:p w:rsidR="0018024C" w:rsidRDefault="0018024C" w:rsidP="0018024C">
            <w:pPr>
              <w:rPr>
                <w:b/>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18024C" w:rsidRPr="00D44F9E" w:rsidRDefault="0018024C" w:rsidP="0018024C">
            <w:pPr>
              <w:ind w:right="63"/>
              <w:jc w:val="right"/>
              <w:rPr>
                <w:b/>
                <w:color w:val="000000"/>
                <w:sz w:val="20"/>
              </w:rPr>
            </w:pPr>
            <w:r w:rsidRPr="00D44F9E">
              <w:rPr>
                <w:b/>
                <w:color w:val="000000"/>
                <w:sz w:val="20"/>
              </w:rPr>
              <w:t xml:space="preserve"> 43</w:t>
            </w: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single" w:sz="12" w:space="0" w:color="000000"/>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48</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single" w:sz="12" w:space="0" w:color="000000"/>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single" w:sz="12" w:space="0" w:color="000000"/>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109</w:t>
            </w: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Cash end of year</w:t>
            </w:r>
          </w:p>
        </w:tc>
        <w:tc>
          <w:tcPr>
            <w:tcW w:w="120" w:type="pct"/>
            <w:tcBorders>
              <w:top w:val="single" w:sz="0" w:space="0" w:color="000000"/>
              <w:left w:val="nil"/>
              <w:bottom w:val="double" w:sz="4" w:space="0" w:color="000000"/>
              <w:right w:val="nil"/>
              <w:tl2br w:val="nil"/>
              <w:tr2bl w:val="nil"/>
            </w:tcBorders>
            <w:vAlign w:val="bottom"/>
          </w:tcPr>
          <w:p w:rsidR="0018024C" w:rsidRDefault="0018024C" w:rsidP="0018024C">
            <w:pPr>
              <w:rPr>
                <w:b/>
                <w:color w:val="000000"/>
                <w:sz w:val="20"/>
              </w:rPr>
            </w:pPr>
            <w:r>
              <w:rPr>
                <w:b/>
                <w:color w:val="000000"/>
                <w:sz w:val="20"/>
              </w:rPr>
              <w:t>$</w:t>
            </w:r>
          </w:p>
        </w:tc>
        <w:tc>
          <w:tcPr>
            <w:tcW w:w="579" w:type="pct"/>
            <w:tcBorders>
              <w:top w:val="single" w:sz="0" w:space="0" w:color="000000"/>
              <w:left w:val="nil"/>
              <w:bottom w:val="double" w:sz="4" w:space="0" w:color="000000"/>
              <w:right w:val="nil"/>
              <w:tl2br w:val="nil"/>
              <w:tr2bl w:val="nil"/>
            </w:tcBorders>
            <w:vAlign w:val="bottom"/>
          </w:tcPr>
          <w:p w:rsidR="0018024C" w:rsidRPr="00D44F9E" w:rsidRDefault="0018024C" w:rsidP="0018024C">
            <w:pPr>
              <w:ind w:right="63"/>
              <w:jc w:val="right"/>
              <w:rPr>
                <w:b/>
                <w:color w:val="000000"/>
                <w:sz w:val="20"/>
              </w:rPr>
            </w:pPr>
            <w:r w:rsidRPr="00D44F9E">
              <w:rPr>
                <w:b/>
                <w:color w:val="000000"/>
                <w:sz w:val="20"/>
              </w:rPr>
              <w:t xml:space="preserve"> 32</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single" w:sz="0" w:space="0" w:color="000000"/>
              <w:left w:val="nil"/>
              <w:bottom w:val="double" w:sz="4" w:space="0" w:color="000000"/>
              <w:right w:val="nil"/>
              <w:tl2br w:val="nil"/>
              <w:tr2bl w:val="nil"/>
            </w:tcBorders>
            <w:vAlign w:val="bottom"/>
          </w:tcPr>
          <w:p w:rsidR="0018024C" w:rsidRDefault="0018024C" w:rsidP="0018024C">
            <w:pPr>
              <w:rPr>
                <w:color w:val="000000"/>
                <w:sz w:val="20"/>
              </w:rPr>
            </w:pPr>
            <w:r>
              <w:rPr>
                <w:color w:val="000000"/>
                <w:sz w:val="20"/>
              </w:rPr>
              <w:t>$</w:t>
            </w:r>
          </w:p>
        </w:tc>
        <w:tc>
          <w:tcPr>
            <w:tcW w:w="579" w:type="pct"/>
            <w:tcBorders>
              <w:top w:val="single" w:sz="0" w:space="0" w:color="000000"/>
              <w:left w:val="nil"/>
              <w:bottom w:val="double" w:sz="4" w:space="0" w:color="000000"/>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43</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single" w:sz="0" w:space="0" w:color="000000"/>
              <w:left w:val="nil"/>
              <w:bottom w:val="double" w:sz="4" w:space="0" w:color="000000"/>
              <w:right w:val="nil"/>
              <w:tl2br w:val="nil"/>
              <w:tr2bl w:val="nil"/>
            </w:tcBorders>
            <w:vAlign w:val="bottom"/>
          </w:tcPr>
          <w:p w:rsidR="0018024C" w:rsidRDefault="0018024C" w:rsidP="0018024C">
            <w:pPr>
              <w:rPr>
                <w:color w:val="000000"/>
                <w:sz w:val="20"/>
              </w:rPr>
            </w:pPr>
            <w:r>
              <w:rPr>
                <w:color w:val="000000"/>
                <w:sz w:val="20"/>
              </w:rPr>
              <w:t>$</w:t>
            </w:r>
          </w:p>
        </w:tc>
        <w:tc>
          <w:tcPr>
            <w:tcW w:w="579" w:type="pct"/>
            <w:tcBorders>
              <w:top w:val="single" w:sz="0" w:space="0" w:color="000000"/>
              <w:left w:val="nil"/>
              <w:bottom w:val="double" w:sz="4" w:space="0" w:color="000000"/>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48</w:t>
            </w:r>
          </w:p>
        </w:tc>
      </w:tr>
      <w:tr w:rsidR="0018024C" w:rsidTr="0018024C">
        <w:trPr>
          <w:trHeight w:hRule="exact" w:val="90"/>
        </w:trPr>
        <w:tc>
          <w:tcPr>
            <w:tcW w:w="2708"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 xml:space="preserve"> </w:t>
            </w:r>
          </w:p>
        </w:tc>
        <w:tc>
          <w:tcPr>
            <w:tcW w:w="120" w:type="pct"/>
            <w:tcBorders>
              <w:top w:val="double" w:sz="0" w:space="0" w:color="000000"/>
              <w:left w:val="nil"/>
              <w:bottom w:val="nil"/>
              <w:right w:val="nil"/>
              <w:tl2br w:val="nil"/>
              <w:tr2bl w:val="nil"/>
            </w:tcBorders>
            <w:vAlign w:val="bottom"/>
          </w:tcPr>
          <w:p w:rsidR="0018024C" w:rsidRDefault="0018024C" w:rsidP="0018024C">
            <w:pPr>
              <w:rPr>
                <w:color w:val="000000"/>
                <w:sz w:val="20"/>
              </w:rPr>
            </w:pPr>
          </w:p>
        </w:tc>
        <w:tc>
          <w:tcPr>
            <w:tcW w:w="579" w:type="pct"/>
            <w:tcBorders>
              <w:top w:val="double" w:sz="0" w:space="0" w:color="000000"/>
              <w:left w:val="nil"/>
              <w:bottom w:val="nil"/>
              <w:right w:val="nil"/>
              <w:tl2br w:val="nil"/>
              <w:tr2bl w:val="nil"/>
            </w:tcBorders>
            <w:vAlign w:val="bottom"/>
          </w:tcPr>
          <w:p w:rsidR="0018024C" w:rsidRDefault="0018024C" w:rsidP="0018024C">
            <w:pPr>
              <w:rPr>
                <w:b/>
                <w:color w:val="000000"/>
                <w:sz w:val="20"/>
              </w:rPr>
            </w:pP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double" w:sz="0" w:space="0" w:color="000000"/>
              <w:left w:val="nil"/>
              <w:bottom w:val="nil"/>
              <w:right w:val="nil"/>
              <w:tl2br w:val="nil"/>
              <w:tr2bl w:val="nil"/>
            </w:tcBorders>
            <w:vAlign w:val="bottom"/>
          </w:tcPr>
          <w:p w:rsidR="0018024C" w:rsidRDefault="0018024C" w:rsidP="0018024C">
            <w:pPr>
              <w:rPr>
                <w:color w:val="000000"/>
                <w:sz w:val="20"/>
              </w:rPr>
            </w:pPr>
          </w:p>
        </w:tc>
        <w:tc>
          <w:tcPr>
            <w:tcW w:w="579" w:type="pct"/>
            <w:tcBorders>
              <w:top w:val="double" w:sz="0" w:space="0" w:color="000000"/>
              <w:left w:val="nil"/>
              <w:bottom w:val="nil"/>
              <w:right w:val="nil"/>
              <w:tl2br w:val="nil"/>
              <w:tr2bl w:val="nil"/>
            </w:tcBorders>
            <w:vAlign w:val="bottom"/>
          </w:tcPr>
          <w:p w:rsidR="0018024C" w:rsidRDefault="0018024C" w:rsidP="0018024C">
            <w:pPr>
              <w:rPr>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double" w:sz="0" w:space="0" w:color="000000"/>
              <w:left w:val="nil"/>
              <w:bottom w:val="nil"/>
              <w:right w:val="nil"/>
              <w:tl2br w:val="nil"/>
              <w:tr2bl w:val="nil"/>
            </w:tcBorders>
            <w:vAlign w:val="bottom"/>
          </w:tcPr>
          <w:p w:rsidR="0018024C" w:rsidRDefault="0018024C" w:rsidP="0018024C">
            <w:pPr>
              <w:rPr>
                <w:color w:val="000000"/>
                <w:sz w:val="20"/>
              </w:rPr>
            </w:pPr>
          </w:p>
        </w:tc>
        <w:tc>
          <w:tcPr>
            <w:tcW w:w="579" w:type="pct"/>
            <w:tcBorders>
              <w:top w:val="double" w:sz="0" w:space="0" w:color="000000"/>
              <w:left w:val="nil"/>
              <w:bottom w:val="nil"/>
              <w:right w:val="nil"/>
              <w:tl2br w:val="nil"/>
              <w:tr2bl w:val="nil"/>
            </w:tcBorders>
            <w:vAlign w:val="bottom"/>
          </w:tcPr>
          <w:p w:rsidR="0018024C" w:rsidRDefault="0018024C" w:rsidP="0018024C">
            <w:pPr>
              <w:rPr>
                <w:color w:val="000000"/>
                <w:sz w:val="20"/>
              </w:rPr>
            </w:pPr>
          </w:p>
        </w:tc>
      </w:tr>
      <w:tr w:rsidR="0018024C" w:rsidTr="0018024C">
        <w:trPr>
          <w:trHeight w:hRule="exact" w:val="255"/>
        </w:trPr>
        <w:tc>
          <w:tcPr>
            <w:tcW w:w="2708"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Supplemental disclosures of cash flow information:</w:t>
            </w:r>
          </w:p>
        </w:tc>
        <w:tc>
          <w:tcPr>
            <w:tcW w:w="12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579"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ind w:left="120"/>
              <w:rPr>
                <w:color w:val="000000"/>
                <w:sz w:val="20"/>
              </w:rPr>
            </w:pPr>
            <w:r>
              <w:rPr>
                <w:color w:val="000000"/>
                <w:sz w:val="20"/>
              </w:rPr>
              <w:t>Cash paid for interest</w:t>
            </w:r>
          </w:p>
        </w:tc>
        <w:tc>
          <w:tcPr>
            <w:tcW w:w="120" w:type="pct"/>
            <w:tcBorders>
              <w:top w:val="nil"/>
              <w:left w:val="nil"/>
              <w:bottom w:val="nil"/>
              <w:right w:val="nil"/>
              <w:tl2br w:val="nil"/>
              <w:tr2bl w:val="nil"/>
            </w:tcBorders>
            <w:vAlign w:val="bottom"/>
          </w:tcPr>
          <w:p w:rsidR="0018024C" w:rsidRDefault="0018024C" w:rsidP="0018024C">
            <w:pPr>
              <w:rPr>
                <w:b/>
                <w:color w:val="000000"/>
                <w:sz w:val="20"/>
              </w:rPr>
            </w:pPr>
            <w:r>
              <w:rPr>
                <w:b/>
                <w:color w:val="000000"/>
                <w:sz w:val="20"/>
              </w:rPr>
              <w:t>$</w:t>
            </w:r>
          </w:p>
        </w:tc>
        <w:tc>
          <w:tcPr>
            <w:tcW w:w="579" w:type="pct"/>
            <w:tcBorders>
              <w:top w:val="nil"/>
              <w:left w:val="nil"/>
              <w:bottom w:val="nil"/>
              <w:right w:val="nil"/>
              <w:tl2br w:val="nil"/>
              <w:tr2bl w:val="nil"/>
            </w:tcBorders>
            <w:vAlign w:val="bottom"/>
          </w:tcPr>
          <w:p w:rsidR="0018024C" w:rsidRPr="00D44F9E" w:rsidRDefault="0018024C" w:rsidP="0018024C">
            <w:pPr>
              <w:ind w:right="63"/>
              <w:jc w:val="right"/>
              <w:rPr>
                <w:b/>
                <w:sz w:val="20"/>
              </w:rPr>
            </w:pPr>
            <w:r w:rsidRPr="00D44F9E">
              <w:rPr>
                <w:b/>
                <w:sz w:val="20"/>
              </w:rPr>
              <w:t xml:space="preserve"> 39</w:t>
            </w: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w:t>
            </w: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37</w:t>
            </w: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rPr>
                <w:color w:val="000000"/>
                <w:sz w:val="20"/>
              </w:rPr>
            </w:pPr>
            <w:r>
              <w:rPr>
                <w:color w:val="000000"/>
                <w:sz w:val="20"/>
              </w:rPr>
              <w:t>$</w:t>
            </w:r>
          </w:p>
        </w:tc>
        <w:tc>
          <w:tcPr>
            <w:tcW w:w="579" w:type="pct"/>
            <w:tcBorders>
              <w:top w:val="nil"/>
              <w:left w:val="nil"/>
              <w:bottom w:val="nil"/>
              <w:right w:val="nil"/>
              <w:tl2br w:val="nil"/>
              <w:tr2bl w:val="nil"/>
            </w:tcBorders>
            <w:vAlign w:val="bottom"/>
          </w:tcPr>
          <w:p w:rsidR="0018024C" w:rsidRPr="00D44F9E" w:rsidRDefault="0018024C" w:rsidP="0018024C">
            <w:pPr>
              <w:ind w:right="65"/>
              <w:jc w:val="right"/>
              <w:rPr>
                <w:color w:val="000000"/>
                <w:sz w:val="20"/>
              </w:rPr>
            </w:pPr>
            <w:r w:rsidRPr="00D44F9E">
              <w:rPr>
                <w:color w:val="000000"/>
                <w:sz w:val="20"/>
              </w:rPr>
              <w:t xml:space="preserve"> 27</w:t>
            </w:r>
          </w:p>
        </w:tc>
      </w:tr>
      <w:tr w:rsidR="0018024C" w:rsidTr="0018024C">
        <w:trPr>
          <w:trHeight w:hRule="exact" w:val="240"/>
        </w:trPr>
        <w:tc>
          <w:tcPr>
            <w:tcW w:w="2708" w:type="pct"/>
            <w:tcBorders>
              <w:top w:val="nil"/>
              <w:left w:val="nil"/>
              <w:bottom w:val="nil"/>
              <w:right w:val="nil"/>
              <w:tl2br w:val="nil"/>
              <w:tr2bl w:val="nil"/>
            </w:tcBorders>
            <w:shd w:val="clear" w:color="auto" w:fill="CCEEFF"/>
            <w:vAlign w:val="bottom"/>
          </w:tcPr>
          <w:p w:rsidR="0018024C" w:rsidRDefault="0018024C" w:rsidP="0018024C">
            <w:pPr>
              <w:ind w:left="120"/>
              <w:rPr>
                <w:color w:val="000000"/>
                <w:sz w:val="20"/>
              </w:rPr>
            </w:pPr>
            <w:r>
              <w:rPr>
                <w:color w:val="000000"/>
                <w:sz w:val="20"/>
              </w:rPr>
              <w:t>Cash paid for income taxes</w:t>
            </w:r>
          </w:p>
        </w:tc>
        <w:tc>
          <w:tcPr>
            <w:tcW w:w="120" w:type="pct"/>
            <w:tcBorders>
              <w:top w:val="nil"/>
              <w:left w:val="nil"/>
              <w:bottom w:val="nil"/>
              <w:right w:val="nil"/>
              <w:tl2br w:val="nil"/>
              <w:tr2bl w:val="nil"/>
            </w:tcBorders>
            <w:shd w:val="clear" w:color="auto" w:fill="CCEEFF"/>
            <w:vAlign w:val="bottom"/>
          </w:tcPr>
          <w:p w:rsidR="0018024C" w:rsidRDefault="0018024C" w:rsidP="0018024C">
            <w:pPr>
              <w:rPr>
                <w:b/>
                <w:color w:val="000000"/>
                <w:sz w:val="20"/>
              </w:rPr>
            </w:pPr>
            <w:r>
              <w:rPr>
                <w:b/>
                <w:color w:val="000000"/>
                <w:sz w:val="20"/>
              </w:rPr>
              <w:t>$</w:t>
            </w: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3"/>
              <w:jc w:val="right"/>
              <w:rPr>
                <w:b/>
                <w:sz w:val="20"/>
              </w:rPr>
            </w:pPr>
            <w:r w:rsidRPr="00D44F9E">
              <w:rPr>
                <w:b/>
                <w:sz w:val="20"/>
              </w:rPr>
              <w:t xml:space="preserve"> 34</w:t>
            </w:r>
          </w:p>
        </w:tc>
        <w:tc>
          <w:tcPr>
            <w:tcW w:w="101"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w:t>
            </w: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39</w:t>
            </w:r>
          </w:p>
        </w:tc>
        <w:tc>
          <w:tcPr>
            <w:tcW w:w="94"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p>
        </w:tc>
        <w:tc>
          <w:tcPr>
            <w:tcW w:w="120" w:type="pct"/>
            <w:tcBorders>
              <w:top w:val="nil"/>
              <w:left w:val="nil"/>
              <w:bottom w:val="nil"/>
              <w:right w:val="nil"/>
              <w:tl2br w:val="nil"/>
              <w:tr2bl w:val="nil"/>
            </w:tcBorders>
            <w:shd w:val="clear" w:color="auto" w:fill="CCEEFF"/>
            <w:vAlign w:val="bottom"/>
          </w:tcPr>
          <w:p w:rsidR="0018024C" w:rsidRDefault="0018024C" w:rsidP="0018024C">
            <w:pPr>
              <w:rPr>
                <w:color w:val="000000"/>
                <w:sz w:val="20"/>
              </w:rPr>
            </w:pPr>
            <w:r>
              <w:rPr>
                <w:color w:val="000000"/>
                <w:sz w:val="20"/>
              </w:rPr>
              <w:t>$</w:t>
            </w:r>
          </w:p>
        </w:tc>
        <w:tc>
          <w:tcPr>
            <w:tcW w:w="579" w:type="pct"/>
            <w:tcBorders>
              <w:top w:val="nil"/>
              <w:left w:val="nil"/>
              <w:bottom w:val="nil"/>
              <w:right w:val="nil"/>
              <w:tl2br w:val="nil"/>
              <w:tr2bl w:val="nil"/>
            </w:tcBorders>
            <w:shd w:val="clear" w:color="auto" w:fill="CCEEFF"/>
            <w:vAlign w:val="bottom"/>
          </w:tcPr>
          <w:p w:rsidR="0018024C" w:rsidRPr="00D44F9E" w:rsidRDefault="0018024C" w:rsidP="0018024C">
            <w:pPr>
              <w:ind w:right="65"/>
              <w:jc w:val="right"/>
              <w:rPr>
                <w:color w:val="000000"/>
                <w:sz w:val="20"/>
              </w:rPr>
            </w:pPr>
            <w:r w:rsidRPr="00D44F9E">
              <w:rPr>
                <w:color w:val="000000"/>
                <w:sz w:val="20"/>
              </w:rPr>
              <w:t xml:space="preserve"> 35</w:t>
            </w:r>
          </w:p>
        </w:tc>
      </w:tr>
      <w:tr w:rsidR="0018024C" w:rsidTr="0018024C">
        <w:trPr>
          <w:trHeight w:hRule="exact" w:val="240"/>
        </w:trPr>
        <w:tc>
          <w:tcPr>
            <w:tcW w:w="2708" w:type="pct"/>
            <w:tcBorders>
              <w:top w:val="nil"/>
              <w:left w:val="nil"/>
              <w:bottom w:val="nil"/>
              <w:right w:val="nil"/>
              <w:tl2br w:val="nil"/>
              <w:tr2bl w:val="nil"/>
            </w:tcBorders>
            <w:vAlign w:val="bottom"/>
          </w:tcPr>
          <w:p w:rsidR="0018024C" w:rsidRDefault="0018024C" w:rsidP="0018024C">
            <w:pPr>
              <w:rPr>
                <w:i/>
                <w:sz w:val="20"/>
              </w:rPr>
            </w:pPr>
            <w:r>
              <w:rPr>
                <w:i/>
                <w:sz w:val="20"/>
              </w:rPr>
              <w:t>See notes to consolidated financial statements.</w:t>
            </w:r>
          </w:p>
        </w:tc>
        <w:tc>
          <w:tcPr>
            <w:tcW w:w="120" w:type="pct"/>
            <w:tcBorders>
              <w:top w:val="nil"/>
              <w:left w:val="nil"/>
              <w:bottom w:val="nil"/>
              <w:right w:val="nil"/>
              <w:tl2br w:val="nil"/>
              <w:tr2bl w:val="nil"/>
            </w:tcBorders>
            <w:vAlign w:val="bottom"/>
          </w:tcPr>
          <w:p w:rsidR="0018024C" w:rsidRDefault="0018024C" w:rsidP="0018024C">
            <w:pPr>
              <w:rPr>
                <w:i/>
                <w:sz w:val="20"/>
              </w:rPr>
            </w:pPr>
          </w:p>
        </w:tc>
        <w:tc>
          <w:tcPr>
            <w:tcW w:w="579" w:type="pct"/>
            <w:tcBorders>
              <w:top w:val="nil"/>
              <w:left w:val="nil"/>
              <w:bottom w:val="nil"/>
              <w:right w:val="nil"/>
              <w:tl2br w:val="nil"/>
              <w:tr2bl w:val="nil"/>
            </w:tcBorders>
            <w:vAlign w:val="bottom"/>
          </w:tcPr>
          <w:p w:rsidR="0018024C" w:rsidRDefault="0018024C" w:rsidP="0018024C">
            <w:pPr>
              <w:rPr>
                <w:b/>
                <w:color w:val="000000"/>
                <w:sz w:val="20"/>
              </w:rPr>
            </w:pPr>
          </w:p>
        </w:tc>
        <w:tc>
          <w:tcPr>
            <w:tcW w:w="101"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rPr>
                <w:color w:val="000000"/>
                <w:sz w:val="20"/>
              </w:rPr>
            </w:pPr>
          </w:p>
        </w:tc>
        <w:tc>
          <w:tcPr>
            <w:tcW w:w="579" w:type="pct"/>
            <w:tcBorders>
              <w:top w:val="nil"/>
              <w:left w:val="nil"/>
              <w:bottom w:val="nil"/>
              <w:right w:val="nil"/>
              <w:tl2br w:val="nil"/>
              <w:tr2bl w:val="nil"/>
            </w:tcBorders>
            <w:vAlign w:val="bottom"/>
          </w:tcPr>
          <w:p w:rsidR="0018024C" w:rsidRDefault="0018024C" w:rsidP="0018024C">
            <w:pPr>
              <w:rPr>
                <w:color w:val="000000"/>
                <w:sz w:val="20"/>
              </w:rPr>
            </w:pPr>
          </w:p>
        </w:tc>
        <w:tc>
          <w:tcPr>
            <w:tcW w:w="94" w:type="pct"/>
            <w:tcBorders>
              <w:top w:val="nil"/>
              <w:left w:val="nil"/>
              <w:bottom w:val="nil"/>
              <w:right w:val="nil"/>
              <w:tl2br w:val="nil"/>
              <w:tr2bl w:val="nil"/>
            </w:tcBorders>
            <w:vAlign w:val="bottom"/>
          </w:tcPr>
          <w:p w:rsidR="0018024C" w:rsidRDefault="0018024C" w:rsidP="0018024C">
            <w:pPr>
              <w:rPr>
                <w:color w:val="000000"/>
                <w:sz w:val="20"/>
              </w:rPr>
            </w:pPr>
          </w:p>
        </w:tc>
        <w:tc>
          <w:tcPr>
            <w:tcW w:w="120" w:type="pct"/>
            <w:tcBorders>
              <w:top w:val="nil"/>
              <w:left w:val="nil"/>
              <w:bottom w:val="nil"/>
              <w:right w:val="nil"/>
              <w:tl2br w:val="nil"/>
              <w:tr2bl w:val="nil"/>
            </w:tcBorders>
            <w:vAlign w:val="bottom"/>
          </w:tcPr>
          <w:p w:rsidR="0018024C" w:rsidRDefault="0018024C" w:rsidP="0018024C">
            <w:pPr>
              <w:rPr>
                <w:color w:val="000000"/>
                <w:sz w:val="20"/>
              </w:rPr>
            </w:pPr>
          </w:p>
        </w:tc>
        <w:tc>
          <w:tcPr>
            <w:tcW w:w="579" w:type="pct"/>
            <w:tcBorders>
              <w:top w:val="nil"/>
              <w:left w:val="nil"/>
              <w:bottom w:val="nil"/>
              <w:right w:val="nil"/>
              <w:tl2br w:val="nil"/>
              <w:tr2bl w:val="nil"/>
            </w:tcBorders>
            <w:vAlign w:val="bottom"/>
          </w:tcPr>
          <w:p w:rsidR="0018024C" w:rsidRDefault="0018024C" w:rsidP="0018024C">
            <w:pPr>
              <w:rPr>
                <w:color w:val="000000"/>
                <w:sz w:val="20"/>
              </w:rPr>
            </w:pPr>
          </w:p>
        </w:tc>
      </w:tr>
    </w:tbl>
    <w:p w:rsidR="00FC1460" w:rsidRDefault="00FC1460"/>
    <w:p w:rsidR="00BF29DD" w:rsidRPr="00256137" w:rsidRDefault="00BF29DD">
      <w:pPr>
        <w:rPr>
          <w:sz w:val="2"/>
        </w:rPr>
      </w:pPr>
    </w:p>
    <w:p w:rsidR="000121CD" w:rsidRDefault="000121CD">
      <w:pPr>
        <w:rPr>
          <w:sz w:val="2"/>
        </w:rPr>
      </w:pPr>
    </w:p>
    <w:p w:rsidR="000121CD" w:rsidRDefault="00590862">
      <w:pPr>
        <w:pStyle w:val="NormalWeb"/>
        <w:keepNext/>
        <w:pageBreakBefore/>
        <w:spacing w:before="0" w:beforeAutospacing="0" w:after="0" w:afterAutospacing="0"/>
      </w:pPr>
      <w:r>
        <w:rPr>
          <w:sz w:val="20"/>
          <w:szCs w:val="20"/>
        </w:rPr>
        <w:t xml:space="preserve">NOTES TO CONSOLIDATED FINANCIAL STATEMENTS </w:t>
      </w:r>
    </w:p>
    <w:p w:rsidR="000121CD" w:rsidRDefault="00590862">
      <w:pPr>
        <w:pStyle w:val="NormalWeb"/>
        <w:spacing w:before="0" w:beforeAutospacing="0" w:after="0" w:afterAutospacing="0"/>
      </w:pPr>
      <w:r>
        <w:rPr>
          <w:sz w:val="20"/>
          <w:szCs w:val="20"/>
        </w:rPr>
        <w:t xml:space="preserve">MRC GLOBAL INC. </w:t>
      </w:r>
    </w:p>
    <w:p w:rsidR="000121CD" w:rsidRDefault="00590862">
      <w:pPr>
        <w:pStyle w:val="NormalWeb"/>
        <w:spacing w:before="0" w:beforeAutospacing="0" w:after="0" w:afterAutospacing="0"/>
      </w:pPr>
      <w:r>
        <w:rPr>
          <w:sz w:val="20"/>
          <w:szCs w:val="20"/>
        </w:rPr>
        <w:t>December 31, 201</w:t>
      </w:r>
      <w:r w:rsidR="00011CD0">
        <w:rPr>
          <w:sz w:val="20"/>
          <w:szCs w:val="20"/>
        </w:rPr>
        <w:t>9</w:t>
      </w:r>
    </w:p>
    <w:p w:rsidR="000121CD" w:rsidRPr="00C6642F" w:rsidRDefault="00590862" w:rsidP="00A5510F">
      <w:pPr>
        <w:pStyle w:val="NormalWeb"/>
        <w:keepNext/>
        <w:spacing w:before="180" w:beforeAutospacing="0" w:after="0" w:afterAutospacing="0"/>
      </w:pPr>
      <w:r w:rsidRPr="00C6642F">
        <w:rPr>
          <w:b/>
          <w:bCs/>
          <w:sz w:val="20"/>
          <w:szCs w:val="20"/>
          <w:u w:val="single"/>
        </w:rPr>
        <w:t xml:space="preserve">NOTE 1—SIGNIFICANT ACCOUNTING POLICIES </w:t>
      </w:r>
    </w:p>
    <w:p w:rsidR="000121CD" w:rsidRPr="00C6642F" w:rsidRDefault="00590862" w:rsidP="00A5510F">
      <w:pPr>
        <w:pStyle w:val="NormalWeb"/>
        <w:spacing w:before="180" w:beforeAutospacing="0" w:after="0" w:afterAutospacing="0"/>
      </w:pPr>
      <w:r w:rsidRPr="00C6642F">
        <w:rPr>
          <w:b/>
          <w:bCs/>
          <w:sz w:val="20"/>
          <w:szCs w:val="20"/>
          <w:u w:val="single"/>
        </w:rPr>
        <w:t>Business Operations</w:t>
      </w:r>
      <w:r w:rsidRPr="00C6642F">
        <w:rPr>
          <w:b/>
          <w:bCs/>
          <w:sz w:val="20"/>
          <w:szCs w:val="20"/>
        </w:rPr>
        <w:t xml:space="preserve">: </w:t>
      </w:r>
      <w:r w:rsidRPr="00C6642F">
        <w:rPr>
          <w:sz w:val="20"/>
          <w:szCs w:val="20"/>
        </w:rPr>
        <w:t xml:space="preserve">MRC Global Inc. is a holding company headquartered in Houston, Texas. Our wholly owned subsidiaries are global distributors of pipe, valves, fittings (“PVF”) and other infrastructure products and services across each of the upstream (exploration, production and extraction of underground oil and gas), midstream (gathering and transmission of oil and gas, gas utilities, and the storage and distribution of oil and gas) and downstream (crude oil refining and petrochemical processing) sectors. We have branches in principal industrial, hydrocarbon producing and refining areas throughout the United States, Canada, Europe, Asia, Australasia, the Middle East and Caspian. Our products are obtained from a broad range of suppliers. </w:t>
      </w:r>
    </w:p>
    <w:p w:rsidR="000121CD" w:rsidRPr="00C6642F" w:rsidRDefault="00590862" w:rsidP="00A5510F">
      <w:pPr>
        <w:pStyle w:val="NormalWeb"/>
        <w:spacing w:before="180" w:beforeAutospacing="0" w:after="0" w:afterAutospacing="0"/>
        <w:rPr>
          <w:sz w:val="20"/>
          <w:szCs w:val="20"/>
        </w:rPr>
      </w:pPr>
      <w:r w:rsidRPr="00C6642F">
        <w:rPr>
          <w:b/>
          <w:bCs/>
          <w:sz w:val="20"/>
          <w:szCs w:val="20"/>
          <w:u w:val="single"/>
        </w:rPr>
        <w:t>Basis of Presentation</w:t>
      </w:r>
      <w:r w:rsidRPr="00C6642F">
        <w:rPr>
          <w:b/>
          <w:bCs/>
          <w:sz w:val="20"/>
          <w:szCs w:val="20"/>
        </w:rPr>
        <w:t xml:space="preserve">: </w:t>
      </w:r>
      <w:r w:rsidRPr="00C6642F">
        <w:rPr>
          <w:sz w:val="20"/>
          <w:szCs w:val="20"/>
        </w:rPr>
        <w:t xml:space="preserve">The accompanying consolidated financial statements include the accounts of MRC Global Inc. and its wholly owned and majority owned subsidiaries (collectively referred to as the </w:t>
      </w:r>
      <w:r w:rsidR="00D470DC" w:rsidRPr="00C6642F">
        <w:rPr>
          <w:sz w:val="20"/>
          <w:szCs w:val="20"/>
        </w:rPr>
        <w:t>“</w:t>
      </w:r>
      <w:r w:rsidRPr="00C6642F">
        <w:rPr>
          <w:sz w:val="20"/>
          <w:szCs w:val="20"/>
        </w:rPr>
        <w:t xml:space="preserve">Company” or by such terms as “we,” “our” or “us”). All material intercompany balances and transactions have been eliminated in consolidation. </w:t>
      </w:r>
    </w:p>
    <w:p w:rsidR="000121CD" w:rsidRPr="00C6642F" w:rsidRDefault="00590862" w:rsidP="00A5510F">
      <w:pPr>
        <w:pStyle w:val="NormalWeb"/>
        <w:spacing w:before="180" w:beforeAutospacing="0" w:after="0" w:afterAutospacing="0"/>
      </w:pPr>
      <w:r w:rsidRPr="00C6642F">
        <w:rPr>
          <w:b/>
          <w:bCs/>
          <w:sz w:val="20"/>
          <w:szCs w:val="20"/>
          <w:u w:val="single"/>
        </w:rPr>
        <w:t>Use of Estimates</w:t>
      </w:r>
      <w:r w:rsidRPr="00C6642F">
        <w:rPr>
          <w:b/>
          <w:bCs/>
          <w:sz w:val="20"/>
          <w:szCs w:val="20"/>
        </w:rPr>
        <w:t>:</w:t>
      </w:r>
      <w:r w:rsidRPr="00C6642F">
        <w:rPr>
          <w:sz w:val="20"/>
          <w:szCs w:val="20"/>
        </w:rPr>
        <w:t xml:space="preserve"> The preparation of financial statements in conformity with the accounting principles generally accepted in the United States</w:t>
      </w:r>
      <w:r w:rsidR="00B541F7" w:rsidRPr="00C6642F">
        <w:rPr>
          <w:sz w:val="20"/>
          <w:szCs w:val="20"/>
        </w:rPr>
        <w:t xml:space="preserve"> of America</w:t>
      </w:r>
      <w:r w:rsidRPr="00C6642F">
        <w:rPr>
          <w:sz w:val="20"/>
          <w:szCs w:val="20"/>
        </w:rPr>
        <w:t xml:space="preserve"> requires us to make estimates and assumptions that affect the reported amounts of assets and liabilities and disclosure of contingent assets and liabilities at the date of the financial statements and the reported amounts of revenue and expenses during the reported period. We believe that our most significant estimates and assumptions are related to estimated losses on accounts receivable, the last-in, first-out (“LIFO”) inventory costing methodology, estimated net realizable value on excess and obsolete inventories, goodwill, intangible assets, deferred taxes and self-insurance programs. Actual results could differ materially from those estimates. </w:t>
      </w:r>
    </w:p>
    <w:p w:rsidR="000121CD" w:rsidRPr="00C6642F" w:rsidRDefault="00590862" w:rsidP="00A5510F">
      <w:pPr>
        <w:pStyle w:val="NormalWeb"/>
        <w:spacing w:before="180" w:beforeAutospacing="0" w:after="0" w:afterAutospacing="0"/>
      </w:pPr>
      <w:r w:rsidRPr="00C6642F">
        <w:rPr>
          <w:b/>
          <w:bCs/>
          <w:sz w:val="20"/>
          <w:szCs w:val="20"/>
          <w:u w:val="single"/>
        </w:rPr>
        <w:t>Cash Equivalents</w:t>
      </w:r>
      <w:r w:rsidRPr="00C6642F">
        <w:rPr>
          <w:b/>
          <w:bCs/>
          <w:sz w:val="20"/>
          <w:szCs w:val="20"/>
        </w:rPr>
        <w:t>:</w:t>
      </w:r>
      <w:r w:rsidRPr="00C6642F">
        <w:rPr>
          <w:sz w:val="20"/>
          <w:szCs w:val="20"/>
        </w:rPr>
        <w:t xml:space="preserve"> We consider all highly liquid investments with maturities of three months or less at the date of purchase to be cash equivalents. </w:t>
      </w:r>
    </w:p>
    <w:p w:rsidR="000121CD" w:rsidRPr="00C6642F" w:rsidRDefault="00590862" w:rsidP="00A5510F">
      <w:pPr>
        <w:pStyle w:val="NormalWeb"/>
        <w:spacing w:before="180" w:beforeAutospacing="0" w:after="0" w:afterAutospacing="0"/>
      </w:pPr>
      <w:r w:rsidRPr="00C6642F">
        <w:rPr>
          <w:b/>
          <w:bCs/>
          <w:sz w:val="20"/>
          <w:szCs w:val="20"/>
          <w:u w:val="single"/>
        </w:rPr>
        <w:t>Allowance for Doubtful Accounts</w:t>
      </w:r>
      <w:r w:rsidRPr="00C6642F">
        <w:rPr>
          <w:b/>
          <w:bCs/>
          <w:sz w:val="20"/>
          <w:szCs w:val="20"/>
        </w:rPr>
        <w:t>:</w:t>
      </w:r>
      <w:r w:rsidRPr="00C6642F">
        <w:rPr>
          <w:sz w:val="20"/>
          <w:szCs w:val="20"/>
        </w:rPr>
        <w:t xml:space="preserve"> We evaluate the adequacy of the allowance for losses on receivables based upon periodic evaluation of accounts that may have a higher credit risk using information available about the customer and other relevant data. This formal analysis is inherently subjective and requires us to make significant estimates of factors affecting doubtful accounts including customer specific information, current economic conditions, volume, growth and composition of the account, and other factors such as financial statements, news reports and published credit ratings. The amount of the allowance for the remainder of the trade balance is not evaluated individually but is based upon historical loss experience. Because this process is subjective and based on estimates, ultimate losses may differ from those estimates. Receivable balances are written off when we determine that the balance is uncollectible. Subsequent recoveries, if any, are credited to the allowance when received. The provision for losses on receivables is included in selling, general and administrative expenses in the accompanying consolidated statements of operations. </w:t>
      </w:r>
    </w:p>
    <w:p w:rsidR="000121CD" w:rsidRPr="00C6642F" w:rsidRDefault="00590862" w:rsidP="00A5510F">
      <w:pPr>
        <w:pStyle w:val="NormalWeb"/>
        <w:spacing w:before="180" w:beforeAutospacing="0" w:after="0" w:afterAutospacing="0"/>
        <w:rPr>
          <w:sz w:val="20"/>
          <w:szCs w:val="20"/>
        </w:rPr>
      </w:pPr>
      <w:r w:rsidRPr="00C6642F">
        <w:rPr>
          <w:b/>
          <w:bCs/>
          <w:sz w:val="20"/>
          <w:szCs w:val="20"/>
          <w:u w:val="single"/>
        </w:rPr>
        <w:t>Inventories</w:t>
      </w:r>
      <w:r w:rsidRPr="00C6642F">
        <w:rPr>
          <w:b/>
          <w:bCs/>
          <w:sz w:val="20"/>
          <w:szCs w:val="20"/>
        </w:rPr>
        <w:t>:</w:t>
      </w:r>
      <w:r w:rsidRPr="00C6642F">
        <w:rPr>
          <w:sz w:val="20"/>
          <w:szCs w:val="20"/>
        </w:rPr>
        <w:t xml:space="preserve"> Our inventories are valued at the lower of cost, principally LIFO, or market. We believe that the use of LIFO results in a better matching of costs and revenue. This practice excludes certain inventories, which are held outside of the United States, approximating $1</w:t>
      </w:r>
      <w:r w:rsidR="00B541F7" w:rsidRPr="00C6642F">
        <w:rPr>
          <w:sz w:val="20"/>
          <w:szCs w:val="20"/>
        </w:rPr>
        <w:t>81</w:t>
      </w:r>
      <w:r w:rsidRPr="00C6642F">
        <w:rPr>
          <w:sz w:val="20"/>
          <w:szCs w:val="20"/>
        </w:rPr>
        <w:t xml:space="preserve"> million and $1</w:t>
      </w:r>
      <w:r w:rsidR="00746982" w:rsidRPr="00C6642F">
        <w:rPr>
          <w:sz w:val="20"/>
          <w:szCs w:val="20"/>
        </w:rPr>
        <w:t>87</w:t>
      </w:r>
      <w:r w:rsidRPr="00C6642F">
        <w:rPr>
          <w:sz w:val="20"/>
          <w:szCs w:val="20"/>
        </w:rPr>
        <w:t xml:space="preserve"> million at </w:t>
      </w:r>
      <w:r w:rsidR="003627E3" w:rsidRPr="00C6642F">
        <w:rPr>
          <w:sz w:val="20"/>
          <w:szCs w:val="20"/>
        </w:rPr>
        <w:t>December 31, 2019 and 2018</w:t>
      </w:r>
      <w:r w:rsidRPr="00C6642F">
        <w:rPr>
          <w:sz w:val="20"/>
          <w:szCs w:val="20"/>
        </w:rPr>
        <w:t xml:space="preserve">, respectively, which are valued at the lower of weighted-average cost or net realizable value. Our inventory is substantially comprised of finished goods. </w:t>
      </w:r>
    </w:p>
    <w:p w:rsidR="000121CD" w:rsidRPr="00C6642F" w:rsidRDefault="00590862" w:rsidP="00A5510F">
      <w:pPr>
        <w:pStyle w:val="NormalWeb"/>
        <w:spacing w:before="180" w:beforeAutospacing="0" w:after="0" w:afterAutospacing="0"/>
      </w:pPr>
      <w:r w:rsidRPr="00C6642F">
        <w:rPr>
          <w:sz w:val="20"/>
          <w:szCs w:val="20"/>
        </w:rPr>
        <w:t>Reserves for excess and obsolete inventories are determined based on analyses comparing inventories on hand to sales activity over time. The reserve, which totaled $</w:t>
      </w:r>
      <w:r w:rsidR="008530C0" w:rsidRPr="00C6642F">
        <w:rPr>
          <w:sz w:val="20"/>
          <w:szCs w:val="20"/>
        </w:rPr>
        <w:t>35</w:t>
      </w:r>
      <w:r w:rsidRPr="00C6642F">
        <w:rPr>
          <w:sz w:val="20"/>
          <w:szCs w:val="20"/>
        </w:rPr>
        <w:t xml:space="preserve"> million and $</w:t>
      </w:r>
      <w:r w:rsidR="00746982" w:rsidRPr="00C6642F">
        <w:rPr>
          <w:sz w:val="20"/>
          <w:szCs w:val="20"/>
        </w:rPr>
        <w:t>40</w:t>
      </w:r>
      <w:r w:rsidRPr="00C6642F">
        <w:rPr>
          <w:sz w:val="20"/>
          <w:szCs w:val="20"/>
        </w:rPr>
        <w:t xml:space="preserve"> million at </w:t>
      </w:r>
      <w:r w:rsidR="003627E3" w:rsidRPr="00C6642F">
        <w:rPr>
          <w:sz w:val="20"/>
          <w:szCs w:val="20"/>
        </w:rPr>
        <w:t>December 31, 2019 and 2018</w:t>
      </w:r>
      <w:r w:rsidRPr="00C6642F">
        <w:rPr>
          <w:sz w:val="20"/>
          <w:szCs w:val="20"/>
        </w:rPr>
        <w:t xml:space="preserve">, respectively, is the amount deemed necessary to reduce the cost of the inventory to its estimated net realizable value. </w:t>
      </w:r>
    </w:p>
    <w:p w:rsidR="000121CD" w:rsidRPr="00C6642F" w:rsidRDefault="00590862" w:rsidP="00A5510F">
      <w:pPr>
        <w:pStyle w:val="NormalWeb"/>
        <w:spacing w:before="180" w:beforeAutospacing="0" w:after="0" w:afterAutospacing="0"/>
        <w:rPr>
          <w:sz w:val="20"/>
          <w:szCs w:val="20"/>
        </w:rPr>
      </w:pPr>
      <w:r w:rsidRPr="00C6642F">
        <w:rPr>
          <w:b/>
          <w:bCs/>
          <w:sz w:val="20"/>
          <w:szCs w:val="20"/>
          <w:u w:val="single"/>
        </w:rPr>
        <w:t>Debt Issuance Costs</w:t>
      </w:r>
      <w:r w:rsidRPr="00C6642F">
        <w:rPr>
          <w:b/>
          <w:bCs/>
          <w:sz w:val="20"/>
          <w:szCs w:val="20"/>
        </w:rPr>
        <w:t>:</w:t>
      </w:r>
      <w:r w:rsidRPr="00C6642F">
        <w:rPr>
          <w:sz w:val="20"/>
          <w:szCs w:val="20"/>
        </w:rPr>
        <w:t xml:space="preserve"> We defer costs directly related to obtaining financing and amortize them over the term of the indebtedness on a straight-line basis. The use of the straight-line method does not produce results that are materially different from those which would result from the use of the effective interest method. These amounts are reflected in the consolidated statement of operations as a component of interest expense. Debt issuance costs associated with our Global ABL Facility are presented in other assets and totaled $</w:t>
      </w:r>
      <w:r w:rsidR="00ED78F8" w:rsidRPr="00C6642F">
        <w:rPr>
          <w:sz w:val="20"/>
          <w:szCs w:val="20"/>
        </w:rPr>
        <w:t>2</w:t>
      </w:r>
      <w:r w:rsidRPr="00C6642F">
        <w:rPr>
          <w:sz w:val="20"/>
          <w:szCs w:val="20"/>
        </w:rPr>
        <w:t xml:space="preserve"> million</w:t>
      </w:r>
      <w:r w:rsidR="00B46C21" w:rsidRPr="00C6642F">
        <w:rPr>
          <w:sz w:val="20"/>
          <w:szCs w:val="20"/>
        </w:rPr>
        <w:t xml:space="preserve"> and $3 million</w:t>
      </w:r>
      <w:r w:rsidRPr="00C6642F">
        <w:rPr>
          <w:sz w:val="20"/>
          <w:szCs w:val="20"/>
        </w:rPr>
        <w:t xml:space="preserve"> at December 31, 201</w:t>
      </w:r>
      <w:r w:rsidR="00746982" w:rsidRPr="00C6642F">
        <w:rPr>
          <w:sz w:val="20"/>
          <w:szCs w:val="20"/>
        </w:rPr>
        <w:t>9</w:t>
      </w:r>
      <w:r w:rsidRPr="00C6642F">
        <w:rPr>
          <w:sz w:val="20"/>
          <w:szCs w:val="20"/>
        </w:rPr>
        <w:t xml:space="preserve"> and 201</w:t>
      </w:r>
      <w:r w:rsidR="00746982" w:rsidRPr="00C6642F">
        <w:rPr>
          <w:sz w:val="20"/>
          <w:szCs w:val="20"/>
        </w:rPr>
        <w:t>8</w:t>
      </w:r>
      <w:r w:rsidR="00B46C21" w:rsidRPr="00C6642F">
        <w:rPr>
          <w:sz w:val="20"/>
          <w:szCs w:val="20"/>
        </w:rPr>
        <w:t>, respectively</w:t>
      </w:r>
      <w:r w:rsidRPr="00C6642F">
        <w:rPr>
          <w:sz w:val="20"/>
          <w:szCs w:val="20"/>
        </w:rPr>
        <w:t>. Debt issuance costs associated with our Term Loan are presented as a reduction of the carrying amount of the debt liability and totaled $2 million at December 31, 201</w:t>
      </w:r>
      <w:r w:rsidR="00746982" w:rsidRPr="00C6642F">
        <w:rPr>
          <w:sz w:val="20"/>
          <w:szCs w:val="20"/>
        </w:rPr>
        <w:t>9</w:t>
      </w:r>
      <w:r w:rsidRPr="00C6642F">
        <w:rPr>
          <w:sz w:val="20"/>
          <w:szCs w:val="20"/>
        </w:rPr>
        <w:t xml:space="preserve"> and 201</w:t>
      </w:r>
      <w:r w:rsidR="00746982" w:rsidRPr="00C6642F">
        <w:rPr>
          <w:sz w:val="20"/>
          <w:szCs w:val="20"/>
        </w:rPr>
        <w:t>8</w:t>
      </w:r>
      <w:r w:rsidRPr="00C6642F">
        <w:rPr>
          <w:sz w:val="20"/>
          <w:szCs w:val="20"/>
        </w:rPr>
        <w:t>.</w:t>
      </w:r>
    </w:p>
    <w:p w:rsidR="000121CD" w:rsidRPr="00C6642F" w:rsidRDefault="00590862" w:rsidP="00A5510F">
      <w:pPr>
        <w:pStyle w:val="NormalWeb"/>
        <w:spacing w:before="180" w:beforeAutospacing="0" w:after="0" w:afterAutospacing="0"/>
        <w:rPr>
          <w:sz w:val="20"/>
          <w:szCs w:val="20"/>
        </w:rPr>
      </w:pPr>
      <w:r w:rsidRPr="00C6642F">
        <w:rPr>
          <w:b/>
          <w:bCs/>
          <w:sz w:val="20"/>
          <w:szCs w:val="20"/>
          <w:u w:val="single"/>
        </w:rPr>
        <w:t>Property, Plant and Equipment</w:t>
      </w:r>
      <w:r w:rsidRPr="00C6642F">
        <w:rPr>
          <w:b/>
          <w:bCs/>
          <w:sz w:val="20"/>
          <w:szCs w:val="20"/>
        </w:rPr>
        <w:t>:</w:t>
      </w:r>
      <w:r w:rsidRPr="00C6642F">
        <w:rPr>
          <w:sz w:val="20"/>
          <w:szCs w:val="20"/>
        </w:rPr>
        <w:t xml:space="preserve"> Land, buildings and equipment are stated on the basis of cost. For financial statement purposes, depreciation is computed over the estimated useful lives of such assets principally by the straight-line method; accelerated depreciation and cost recovery methods are used for income tax purposes. Leasehold improvements are amortized using the straight-line method over the shorter of the remaining lease term or the estimated useful life of the improvements. When assets are retired or otherwise disposed of, the cost and related accumulated depreciation are removed from the accounts and any gain or loss is reflected in income for the period. Maintenance and repairs are charged to expense as incurred. </w:t>
      </w:r>
    </w:p>
    <w:p w:rsidR="000121CD" w:rsidRPr="00C6642F" w:rsidRDefault="00590862" w:rsidP="00A5510F">
      <w:pPr>
        <w:pStyle w:val="NormalWeb"/>
        <w:spacing w:before="180" w:beforeAutospacing="0" w:after="0" w:afterAutospacing="0"/>
        <w:rPr>
          <w:b/>
          <w:bCs/>
          <w:sz w:val="20"/>
          <w:szCs w:val="20"/>
          <w:u w:val="single"/>
        </w:rPr>
      </w:pPr>
      <w:r w:rsidRPr="00C6642F">
        <w:rPr>
          <w:sz w:val="20"/>
          <w:szCs w:val="20"/>
        </w:rPr>
        <w:t>Certain systems development costs related to the purchase, development and installation of computer software are capitalized and amortized over the estimated useful life of the related asset. Costs incurred prior to the development stage, as well as maintenance, training costs and general and administrative expenses are expensed as incurred.</w:t>
      </w:r>
    </w:p>
    <w:p w:rsidR="000121CD" w:rsidRPr="00C6642F" w:rsidRDefault="00590862" w:rsidP="00A5510F">
      <w:pPr>
        <w:pStyle w:val="NormalWeb"/>
        <w:spacing w:before="180" w:beforeAutospacing="0" w:after="0" w:afterAutospacing="0"/>
        <w:rPr>
          <w:sz w:val="20"/>
          <w:szCs w:val="20"/>
        </w:rPr>
      </w:pPr>
      <w:r w:rsidRPr="00C6642F">
        <w:rPr>
          <w:b/>
          <w:bCs/>
          <w:sz w:val="20"/>
          <w:szCs w:val="20"/>
          <w:u w:val="single"/>
        </w:rPr>
        <w:t>Goodwill and Other Intangible Assets</w:t>
      </w:r>
      <w:r w:rsidRPr="00C6642F">
        <w:rPr>
          <w:b/>
          <w:bCs/>
          <w:sz w:val="20"/>
          <w:szCs w:val="20"/>
        </w:rPr>
        <w:t>:</w:t>
      </w:r>
      <w:r w:rsidRPr="00C6642F">
        <w:rPr>
          <w:sz w:val="20"/>
          <w:szCs w:val="20"/>
        </w:rPr>
        <w:t xml:space="preserve"> Goodwill represents the excess of acquisition cost over the fair value of net assets acquired. Goodwill and intangible assets with indefinite useful lives are tested for impairment annually, or more frequently if circumstances indicate that impairment may exist. We evaluate goodwill for impairment at</w:t>
      </w:r>
      <w:r w:rsidR="00264EC4" w:rsidRPr="00C6642F">
        <w:rPr>
          <w:sz w:val="20"/>
          <w:szCs w:val="20"/>
        </w:rPr>
        <w:t xml:space="preserve"> the reporting unit level</w:t>
      </w:r>
      <w:r w:rsidRPr="00C6642F">
        <w:rPr>
          <w:sz w:val="20"/>
          <w:szCs w:val="20"/>
        </w:rPr>
        <w:t>. Within each reporting unit, we have elected to aggregate the component countries and regions into a single reporting unit based on their similar economic characteristics, products, customers, suppliers, methods of distribution and the manner in which we operate each reporting unit. We perform our annual tests for goodwill impairment as of October 1</w:t>
      </w:r>
      <w:r w:rsidRPr="00C6642F">
        <w:rPr>
          <w:sz w:val="20"/>
          <w:szCs w:val="20"/>
          <w:vertAlign w:val="superscript"/>
        </w:rPr>
        <w:t>st</w:t>
      </w:r>
      <w:r w:rsidRPr="00C6642F">
        <w:rPr>
          <w:sz w:val="20"/>
          <w:szCs w:val="20"/>
        </w:rPr>
        <w:t xml:space="preserve"> of each year, updating on an interim basis should indications of impairment exist. </w:t>
      </w:r>
    </w:p>
    <w:p w:rsidR="000121CD" w:rsidRPr="00C6642F" w:rsidRDefault="00590862" w:rsidP="00A5510F">
      <w:pPr>
        <w:pStyle w:val="NormalWeb"/>
        <w:spacing w:before="180" w:beforeAutospacing="0" w:after="0" w:afterAutospacing="0"/>
        <w:rPr>
          <w:sz w:val="20"/>
          <w:szCs w:val="20"/>
        </w:rPr>
      </w:pPr>
      <w:r w:rsidRPr="00C6642F">
        <w:rPr>
          <w:sz w:val="20"/>
          <w:szCs w:val="20"/>
        </w:rPr>
        <w:t xml:space="preserve">The goodwill impairment test compares the carrying value of the reporting unit that has the goodwill with the estimated fair value of that reporting unit. </w:t>
      </w:r>
      <w:r w:rsidR="00CF6705" w:rsidRPr="00C6642F">
        <w:rPr>
          <w:sz w:val="20"/>
          <w:szCs w:val="20"/>
        </w:rPr>
        <w:t>To the extent</w:t>
      </w:r>
      <w:r w:rsidR="00264EC4" w:rsidRPr="00C6642F">
        <w:rPr>
          <w:sz w:val="20"/>
          <w:szCs w:val="20"/>
        </w:rPr>
        <w:t xml:space="preserve"> the carrying value of a reporting unit is greater than its estimated fair value</w:t>
      </w:r>
      <w:r w:rsidR="009F575D" w:rsidRPr="00C6642F">
        <w:rPr>
          <w:sz w:val="20"/>
          <w:szCs w:val="20"/>
        </w:rPr>
        <w:t>,</w:t>
      </w:r>
      <w:r w:rsidR="00264EC4" w:rsidRPr="00C6642F">
        <w:rPr>
          <w:sz w:val="20"/>
          <w:szCs w:val="20"/>
        </w:rPr>
        <w:t xml:space="preserve"> a goodwill impairment charge </w:t>
      </w:r>
      <w:r w:rsidR="00CF6705" w:rsidRPr="00C6642F">
        <w:rPr>
          <w:sz w:val="20"/>
          <w:szCs w:val="20"/>
        </w:rPr>
        <w:t>is recorded</w:t>
      </w:r>
      <w:r w:rsidR="009F575D" w:rsidRPr="00C6642F">
        <w:rPr>
          <w:sz w:val="20"/>
          <w:szCs w:val="20"/>
        </w:rPr>
        <w:t xml:space="preserve"> for the difference</w:t>
      </w:r>
      <w:r w:rsidR="00264EC4" w:rsidRPr="00C6642F">
        <w:rPr>
          <w:sz w:val="20"/>
          <w:szCs w:val="20"/>
        </w:rPr>
        <w:t xml:space="preserve">, up to the carrying value of goodwill. </w:t>
      </w:r>
      <w:r w:rsidRPr="00C6642F">
        <w:rPr>
          <w:sz w:val="20"/>
          <w:szCs w:val="20"/>
        </w:rPr>
        <w:t>Our impairment methodology uses discounted cash flow and multiples of cash earnings valuation techniques, acquisition control premium and valuation comparisons to similar businesses. Each of these methods involves Level 3 unobservable market inputs and require us to make certain assumptions and estimates regarding future operating results, the extent and timing of future cash flows, working capital, sales prices, profitability, discount rates and growth trends. While we believe that such assumptions and estimates are reasonable, the actual results may differ materially from the projected results.</w:t>
      </w:r>
    </w:p>
    <w:p w:rsidR="000121CD" w:rsidRPr="00C6642F" w:rsidRDefault="00590862" w:rsidP="00A5510F">
      <w:pPr>
        <w:pStyle w:val="NormalWeb"/>
        <w:spacing w:before="180" w:beforeAutospacing="0" w:after="0" w:afterAutospacing="0"/>
        <w:rPr>
          <w:sz w:val="20"/>
          <w:szCs w:val="20"/>
        </w:rPr>
      </w:pPr>
      <w:r w:rsidRPr="00C6642F">
        <w:rPr>
          <w:sz w:val="20"/>
          <w:szCs w:val="20"/>
        </w:rPr>
        <w:t>Intangible assets with indefinite useful lives are tested for impairment annually or more frequently if circumstances indicate that impairment may exist. This test compares the carrying value of the indefinite-lived intangible assets with their estimated fair value. If the carrying value is more than the estimated fair value, impairment losses are recognized in an amount equal to the excess of the carrying value over the estimated fair value. Our impairment methodology uses discounted cash flow and estimated royalty rate valuation techniques. Each of these methods involves Level 3 unobservable market inputs and requires us to make certain assumptions and estimates regarding future operating results, sales prices, discount rates and growth trends. While we believe that such assumptions and estimates are reasonable, the actual results may differ materially from the projected results.</w:t>
      </w:r>
    </w:p>
    <w:p w:rsidR="000121CD" w:rsidRPr="00C6642F" w:rsidRDefault="00590862" w:rsidP="00A5510F">
      <w:pPr>
        <w:pStyle w:val="NormalWeb"/>
        <w:spacing w:before="180" w:beforeAutospacing="0" w:after="0" w:afterAutospacing="0"/>
        <w:rPr>
          <w:sz w:val="20"/>
          <w:szCs w:val="20"/>
        </w:rPr>
      </w:pPr>
      <w:r w:rsidRPr="00C6642F">
        <w:rPr>
          <w:sz w:val="20"/>
          <w:szCs w:val="20"/>
        </w:rPr>
        <w:t>Other intangible assets primarily include trade names, customer bases and noncompetition agreements resulting from business acquisitions. Other intangible assets are recorded at fair value at the date of acquisition. Amortization is provided using the straight-line method over their estimated useful lives, ranging from two</w:t>
      </w:r>
      <w:r w:rsidR="005B0DD6" w:rsidRPr="00C6642F">
        <w:rPr>
          <w:sz w:val="20"/>
          <w:szCs w:val="20"/>
        </w:rPr>
        <w:t xml:space="preserve"> years</w:t>
      </w:r>
      <w:r w:rsidRPr="00C6642F">
        <w:rPr>
          <w:sz w:val="20"/>
          <w:szCs w:val="20"/>
        </w:rPr>
        <w:t xml:space="preserve"> to twenty years. </w:t>
      </w:r>
    </w:p>
    <w:p w:rsidR="000121CD" w:rsidRPr="00C6642F" w:rsidRDefault="00590862" w:rsidP="00A5510F">
      <w:pPr>
        <w:pStyle w:val="NormalWeb"/>
        <w:spacing w:before="180" w:beforeAutospacing="0" w:after="0" w:afterAutospacing="0"/>
      </w:pPr>
      <w:r w:rsidRPr="00C6642F">
        <w:rPr>
          <w:sz w:val="20"/>
          <w:szCs w:val="20"/>
        </w:rPr>
        <w:t xml:space="preserve">The carrying value of amortizable intangible assets is subject to an impairment test when events or circumstances indicate a possible impairment. When events or circumstances indicate a possible impairment, we assess recoverability from future operations using undiscounted cash flows derived from the lowest appropriate asset group. If the carrying value exceeds the undiscounted cash flows, an impairment charge would be recognized to the extent that the carrying value exceeds the fair value, which is determined based on a discounted cash flow analysis. While we believe that assumptions and estimates utilized in the impairment analysis are reasonable, the actual results may differ materially from the projected results. These impairments are determined prior to performing our goodwill impairment test. </w:t>
      </w:r>
    </w:p>
    <w:p w:rsidR="000121CD" w:rsidRPr="00C6642F" w:rsidRDefault="00590862" w:rsidP="00A5510F">
      <w:pPr>
        <w:pStyle w:val="NormalWeb"/>
        <w:spacing w:before="180" w:beforeAutospacing="0" w:after="0" w:afterAutospacing="0"/>
        <w:rPr>
          <w:sz w:val="20"/>
          <w:szCs w:val="20"/>
        </w:rPr>
      </w:pPr>
      <w:r w:rsidRPr="00C6642F">
        <w:rPr>
          <w:b/>
          <w:bCs/>
          <w:sz w:val="20"/>
          <w:szCs w:val="20"/>
          <w:u w:val="single"/>
        </w:rPr>
        <w:t>Derivatives and Hedging</w:t>
      </w:r>
      <w:r w:rsidRPr="00C6642F">
        <w:rPr>
          <w:b/>
          <w:bCs/>
          <w:sz w:val="20"/>
          <w:szCs w:val="20"/>
        </w:rPr>
        <w:t>:</w:t>
      </w:r>
      <w:r w:rsidRPr="00C6642F">
        <w:rPr>
          <w:sz w:val="20"/>
          <w:szCs w:val="20"/>
        </w:rPr>
        <w:t xml:space="preserve"> From time to time, we utilize interest rate swaps to reduce our exposure to potential interest rate increases. We have designated our interest rate swap as an effective cash flow hedge utilizing the guidance under ASU 2017-12. </w:t>
      </w:r>
      <w:r w:rsidRPr="00C6642F">
        <w:rPr>
          <w:sz w:val="20"/>
        </w:rPr>
        <w:t>As such, the valuation of the interest rate swap is recorded as an asset or liability, and the gain or loss on the derivative is recorded as a component of other comprehensive income. Interest rate swap agreements are reported on the accompanying balance sheets at fair value utilizing observable Level 2 inputs such as yield curves and other market-based factors. We obtain dealer quotations to value our interest rate swap agreements. The fair value of our interest rate swap is estimated based on the present value of the difference between expected cash flows calculated at the contracted interest rates and the expected cash flows at current market interest rates.</w:t>
      </w:r>
    </w:p>
    <w:p w:rsidR="000121CD" w:rsidRPr="00C6642F" w:rsidRDefault="00590862" w:rsidP="00A5510F">
      <w:pPr>
        <w:pStyle w:val="NormalWeb"/>
        <w:spacing w:before="180" w:beforeAutospacing="0" w:after="0" w:afterAutospacing="0"/>
      </w:pPr>
      <w:r w:rsidRPr="00C6642F">
        <w:rPr>
          <w:sz w:val="20"/>
          <w:szCs w:val="20"/>
        </w:rPr>
        <w:t xml:space="preserve">We utilize foreign exchange forward contracts (exchange contracts) and options to manage our foreign exchange rate risks resulting from purchase commitments and sales orders. Changes in the fair values of our exchange contracts are based upon independent market quotes. We do not designate our exchange contracts as hedging instruments; therefore, we record our exchange contracts on the consolidated balance sheets at fair value, with the gains and losses recognized in earnings in the period of change. </w:t>
      </w:r>
    </w:p>
    <w:p w:rsidR="000121CD" w:rsidRPr="00C6642F" w:rsidRDefault="00590862" w:rsidP="00A5510F">
      <w:pPr>
        <w:pStyle w:val="NormalWeb"/>
        <w:keepNext/>
        <w:spacing w:before="180" w:beforeAutospacing="0" w:after="0" w:afterAutospacing="0"/>
      </w:pPr>
      <w:r w:rsidRPr="00C6642F">
        <w:rPr>
          <w:b/>
          <w:bCs/>
          <w:sz w:val="20"/>
          <w:szCs w:val="20"/>
          <w:u w:val="single"/>
        </w:rPr>
        <w:t>Fair Value</w:t>
      </w:r>
      <w:r w:rsidRPr="00C6642F">
        <w:rPr>
          <w:b/>
          <w:bCs/>
          <w:sz w:val="20"/>
          <w:szCs w:val="20"/>
        </w:rPr>
        <w:t>:</w:t>
      </w:r>
      <w:r w:rsidRPr="00C6642F">
        <w:rPr>
          <w:sz w:val="20"/>
          <w:szCs w:val="20"/>
        </w:rPr>
        <w:t xml:space="preserve"> We measure certain of our assets and liabilities at fair value on a recurring basis. Fair value is an exit price, representing the amount that would be received to sell an asset or be paid to transfer a liability in an orderly transaction between market participants. As such, fair value is a market-based measurement that is determined based on assumptions that market participants would use in pricing an asset or a liability. A three-tier fair value hierarchy is established as a basis for considering such assumptions for inputs used in the valuation methodologies to measuring fair value: </w:t>
      </w:r>
    </w:p>
    <w:p w:rsidR="000121CD" w:rsidRPr="00C6642F" w:rsidRDefault="00590862" w:rsidP="00A5510F">
      <w:pPr>
        <w:pStyle w:val="NormalWeb"/>
        <w:spacing w:before="180" w:beforeAutospacing="0" w:after="0" w:afterAutospacing="0"/>
        <w:ind w:left="489"/>
      </w:pPr>
      <w:r w:rsidRPr="00C6642F">
        <w:rPr>
          <w:b/>
          <w:bCs/>
          <w:sz w:val="20"/>
          <w:szCs w:val="20"/>
        </w:rPr>
        <w:t>Level 1</w:t>
      </w:r>
      <w:r w:rsidRPr="00C6642F">
        <w:rPr>
          <w:sz w:val="20"/>
          <w:szCs w:val="20"/>
        </w:rPr>
        <w:t xml:space="preserve">: Quoted prices (unadjusted) in active markets for identical assets or liabilities that the entity has the ability to access at the measurement date. </w:t>
      </w:r>
    </w:p>
    <w:p w:rsidR="000121CD" w:rsidRPr="00C6642F" w:rsidRDefault="00590862" w:rsidP="00A5510F">
      <w:pPr>
        <w:pStyle w:val="NormalWeb"/>
        <w:spacing w:before="180" w:beforeAutospacing="0" w:after="0" w:afterAutospacing="0"/>
        <w:ind w:left="489"/>
      </w:pPr>
      <w:r w:rsidRPr="00C6642F">
        <w:rPr>
          <w:b/>
          <w:bCs/>
          <w:sz w:val="20"/>
          <w:szCs w:val="20"/>
        </w:rPr>
        <w:t>Level 2</w:t>
      </w:r>
      <w:r w:rsidRPr="00C6642F">
        <w:rPr>
          <w:sz w:val="20"/>
          <w:szCs w:val="20"/>
        </w:rPr>
        <w:t xml:space="preserve">: Significant observable inputs other than quoted prices included within Level 1 that are observable for the asset or liability, either directly or indirectly, such as quoted prices for similar assets or liabilities, quoted prices in markets that are not active, and other inputs that are observable or can be corroborated by observable market data. </w:t>
      </w:r>
    </w:p>
    <w:p w:rsidR="000121CD" w:rsidRPr="00C6642F" w:rsidRDefault="00590862" w:rsidP="00A5510F">
      <w:pPr>
        <w:pStyle w:val="NormalWeb"/>
        <w:spacing w:before="180" w:beforeAutospacing="0" w:after="0" w:afterAutospacing="0"/>
        <w:ind w:left="489"/>
      </w:pPr>
      <w:r w:rsidRPr="00C6642F">
        <w:rPr>
          <w:b/>
          <w:bCs/>
          <w:sz w:val="20"/>
          <w:szCs w:val="20"/>
        </w:rPr>
        <w:t>Level 3</w:t>
      </w:r>
      <w:r w:rsidRPr="00C6642F">
        <w:rPr>
          <w:sz w:val="20"/>
          <w:szCs w:val="20"/>
        </w:rPr>
        <w:t xml:space="preserve">: Significant unobservable inputs for the asset or liability. Unobservable inputs reflect our own assumptions about the assumptions that market participants would use in pricing an asset or liability (including all assumptions about risk). </w:t>
      </w:r>
    </w:p>
    <w:p w:rsidR="000121CD" w:rsidRPr="00C6642F" w:rsidRDefault="00590862" w:rsidP="00A5510F">
      <w:pPr>
        <w:pStyle w:val="NormalWeb"/>
        <w:spacing w:before="180" w:beforeAutospacing="0" w:after="0" w:afterAutospacing="0"/>
      </w:pPr>
      <w:r w:rsidRPr="00C6642F">
        <w:rPr>
          <w:sz w:val="20"/>
          <w:szCs w:val="20"/>
        </w:rPr>
        <w:t xml:space="preserve">Certain assets and liabilities are measured at fair value on a nonrecurring basis. Our assets and liabilities measured at fair value on a nonrecurring basis include property, plant and equipment, goodwill and other intangible assets. We do not measure these assets at fair value on an ongoing basis; however, these assets are subject to fair value adjustments in certain circumstances, such as when we recognize an impairment. </w:t>
      </w:r>
    </w:p>
    <w:p w:rsidR="000121CD" w:rsidRPr="00C6642F" w:rsidRDefault="00590862" w:rsidP="00A5510F">
      <w:pPr>
        <w:pStyle w:val="NormalWeb"/>
        <w:spacing w:before="180" w:beforeAutospacing="0" w:after="0" w:afterAutospacing="0"/>
      </w:pPr>
      <w:r w:rsidRPr="00C6642F">
        <w:rPr>
          <w:sz w:val="20"/>
          <w:szCs w:val="20"/>
        </w:rPr>
        <w:t xml:space="preserve">Our impairment methodology for goodwill and other indefinite-lived intangible assets uses both (i) a discounted cash flow analysis requiring certain assumptions and estimates to be made regarding the extent and timing of future cash flows, discount rates and growth trends and (ii) valuation based on our publicly traded common stock. As all of the assumptions employed to measure these assets and liabilities on a nonrecurring basis are based on management’s judgment using internal and external data, these fair value determinations are classified as Level 3. We have not elected to apply the fair value option to any of our eligible financial assets and liabilities. </w:t>
      </w:r>
    </w:p>
    <w:p w:rsidR="000121CD" w:rsidRPr="00C6642F" w:rsidRDefault="00590862" w:rsidP="00A5510F">
      <w:pPr>
        <w:pStyle w:val="NormalWeb"/>
        <w:spacing w:before="180" w:beforeAutospacing="0" w:after="0" w:afterAutospacing="0"/>
      </w:pPr>
      <w:r w:rsidRPr="00C6642F">
        <w:rPr>
          <w:b/>
          <w:bCs/>
          <w:sz w:val="20"/>
          <w:szCs w:val="20"/>
          <w:u w:val="single"/>
        </w:rPr>
        <w:t>Insurance</w:t>
      </w:r>
      <w:r w:rsidRPr="00C6642F">
        <w:rPr>
          <w:b/>
          <w:bCs/>
          <w:sz w:val="20"/>
          <w:szCs w:val="20"/>
        </w:rPr>
        <w:t>:</w:t>
      </w:r>
      <w:r w:rsidRPr="00C6642F">
        <w:rPr>
          <w:sz w:val="20"/>
          <w:szCs w:val="20"/>
        </w:rPr>
        <w:t xml:space="preserve"> We are self-insured for employee healthcare as well as physical damage to automobiles that we own, lease or rent, and product warranty and recall liabilities. In addition, we maintain a deductible/retention program as it relates to insurance for property, inventory, workers’ compensation, automobile liability, asbestos claims, general liability claims (including, among others, certain product liability claims for property damage, death or injury) and cybersecurity claims. These programs have deductibles and self-insured retentions ranging up to $</w:t>
      </w:r>
      <w:r w:rsidR="00392BB5" w:rsidRPr="00C6642F">
        <w:rPr>
          <w:sz w:val="20"/>
          <w:szCs w:val="20"/>
        </w:rPr>
        <w:t>4</w:t>
      </w:r>
      <w:r w:rsidRPr="00C6642F">
        <w:rPr>
          <w:sz w:val="20"/>
          <w:szCs w:val="20"/>
        </w:rPr>
        <w:t> million and are secured by various letters of credit totaling $6 million. Our estimated liability and related expenses for claims are based in part upon estimates that insurance carriers, third-party administrators and actuaries provide. We believe that insurance reserves are sufficient to cover outstanding claims, including those incurred but not reported as of the estimation date. Further, we maintain commercially reasonable umbrella/excess policy coverage in excess of the primary limits. We do not have excess coverage for physical damage to automobiles that we own, lease or rent, and product warranty and recall liabilities. Our accrued liabilities related to deductibles/retentions under insurance programs (other than employee healthcare) were $</w:t>
      </w:r>
      <w:r w:rsidR="00ED78F8" w:rsidRPr="00C6642F">
        <w:rPr>
          <w:sz w:val="20"/>
          <w:szCs w:val="20"/>
        </w:rPr>
        <w:t>11</w:t>
      </w:r>
      <w:r w:rsidRPr="00C6642F">
        <w:rPr>
          <w:sz w:val="20"/>
          <w:szCs w:val="20"/>
        </w:rPr>
        <w:t xml:space="preserve"> million and $</w:t>
      </w:r>
      <w:r w:rsidR="00746982" w:rsidRPr="00C6642F">
        <w:rPr>
          <w:sz w:val="20"/>
          <w:szCs w:val="20"/>
        </w:rPr>
        <w:t>7</w:t>
      </w:r>
      <w:r w:rsidRPr="00C6642F">
        <w:rPr>
          <w:sz w:val="20"/>
          <w:szCs w:val="20"/>
        </w:rPr>
        <w:t xml:space="preserve"> million as of </w:t>
      </w:r>
      <w:r w:rsidR="003627E3" w:rsidRPr="00C6642F">
        <w:rPr>
          <w:sz w:val="20"/>
          <w:szCs w:val="20"/>
        </w:rPr>
        <w:t>December 31, 2019 and 2018</w:t>
      </w:r>
      <w:r w:rsidRPr="00C6642F">
        <w:rPr>
          <w:sz w:val="20"/>
          <w:szCs w:val="20"/>
        </w:rPr>
        <w:t>. In the area of employee healthcare, we have a commercially reasonable excess stop loss protection on a per person per year basis. Reserves for self-insurance accrued liabilities for employee healthcare were $</w:t>
      </w:r>
      <w:r w:rsidR="00746982" w:rsidRPr="00C6642F">
        <w:rPr>
          <w:sz w:val="20"/>
          <w:szCs w:val="20"/>
        </w:rPr>
        <w:t>2</w:t>
      </w:r>
      <w:r w:rsidRPr="00C6642F">
        <w:rPr>
          <w:sz w:val="20"/>
          <w:szCs w:val="20"/>
        </w:rPr>
        <w:t xml:space="preserve"> million as of </w:t>
      </w:r>
      <w:r w:rsidR="003627E3" w:rsidRPr="00C6642F">
        <w:rPr>
          <w:sz w:val="20"/>
          <w:szCs w:val="20"/>
        </w:rPr>
        <w:t>December 31, 2019 and 2018</w:t>
      </w:r>
      <w:r w:rsidRPr="00C6642F">
        <w:rPr>
          <w:sz w:val="20"/>
          <w:szCs w:val="20"/>
        </w:rPr>
        <w:t xml:space="preserve">.  </w:t>
      </w:r>
    </w:p>
    <w:p w:rsidR="000121CD" w:rsidRPr="00C6642F" w:rsidRDefault="00590862" w:rsidP="00A5510F">
      <w:pPr>
        <w:pStyle w:val="NormalWeb"/>
        <w:spacing w:before="180" w:beforeAutospacing="0" w:after="0" w:afterAutospacing="0"/>
        <w:rPr>
          <w:sz w:val="20"/>
          <w:szCs w:val="20"/>
        </w:rPr>
      </w:pPr>
      <w:r w:rsidRPr="00C6642F">
        <w:rPr>
          <w:b/>
          <w:bCs/>
          <w:sz w:val="20"/>
          <w:szCs w:val="20"/>
          <w:u w:val="single"/>
        </w:rPr>
        <w:t>Income Taxes</w:t>
      </w:r>
      <w:r w:rsidRPr="00C6642F">
        <w:rPr>
          <w:b/>
          <w:bCs/>
          <w:sz w:val="20"/>
          <w:szCs w:val="20"/>
        </w:rPr>
        <w:t>:</w:t>
      </w:r>
      <w:r w:rsidRPr="00C6642F">
        <w:rPr>
          <w:sz w:val="20"/>
          <w:szCs w:val="20"/>
        </w:rPr>
        <w:t xml:space="preserve"> We use the liability method for determining our income taxes, under which current and deferred tax assets and liabilities are recorded in accordance with enacted tax laws and rates. Under this method, deferred tax assets and liabilities are recorded for differences between the financial reporting and tax bases of assets and liabilities using the tax rate expected to be in effect when the taxes will actually be paid or refunds received. The effect on deferred tax assets and liabilities of a change in tax rates is recognized in earnings in the period that includes the enactment date. A valuation allowance to reduce deferred tax assets is established when it is more likely than not that some portion or all of the deferred tax assets will not be realized. </w:t>
      </w:r>
    </w:p>
    <w:p w:rsidR="000121CD" w:rsidRPr="00C6642F" w:rsidRDefault="00590862" w:rsidP="00A5510F">
      <w:pPr>
        <w:pStyle w:val="NormalWeb"/>
        <w:spacing w:before="180" w:beforeAutospacing="0" w:after="0" w:afterAutospacing="0"/>
      </w:pPr>
      <w:r w:rsidRPr="00C6642F">
        <w:rPr>
          <w:sz w:val="20"/>
          <w:szCs w:val="20"/>
        </w:rPr>
        <w:t>In determining the need for valuation allowances and our ability to utilize our deferred tax assets, we consider and make judgments regarding all the available positive and negative evidence, including the timing of the reversal of deferred tax liabilities, estimated future taxable income, ongoing, prudent and feasible tax planning strategies and recent financial results of operations. The amount of valuation allowances, however, could be adjusted in the future if objective negative evidence in the form of cumulative losses is no longer present in certain jurisdictions and additional weight may be given to subjective evidence such as our projections for growth.</w:t>
      </w:r>
    </w:p>
    <w:p w:rsidR="000121CD" w:rsidRPr="00C6642F" w:rsidRDefault="00590862" w:rsidP="00A5510F">
      <w:pPr>
        <w:pStyle w:val="NormalWeb"/>
        <w:spacing w:before="180" w:beforeAutospacing="0" w:after="0" w:afterAutospacing="0"/>
      </w:pPr>
      <w:r w:rsidRPr="00C6642F">
        <w:rPr>
          <w:sz w:val="20"/>
          <w:szCs w:val="20"/>
        </w:rPr>
        <w:t xml:space="preserve">Our tax provision is based upon our expected taxable income and statutory rates in effect in each country in which we operate. We are subject to the jurisdiction of numerous domestic and foreign tax authorities, as well as to tax agreements and treaties among these governments. Determination of taxable income in any jurisdiction requires the interpretation of the related tax laws and regulations and the use of estimates and assumptions regarding significant future events such as the amount, timing and character of deductions, permissible revenue recognition methods under the tax law and the sources and character of income and tax credits. Changes in tax laws, regulations, agreements and treaties, foreign currency exchange restrictions or our level of operations or profitability in each taxing jurisdiction could have an impact on the amount of income taxes we provide during any given year. </w:t>
      </w:r>
    </w:p>
    <w:p w:rsidR="000121CD" w:rsidRPr="00C6642F" w:rsidRDefault="00590862" w:rsidP="00A5510F">
      <w:pPr>
        <w:pStyle w:val="NormalWeb"/>
        <w:spacing w:before="180" w:beforeAutospacing="0" w:after="0" w:afterAutospacing="0"/>
        <w:rPr>
          <w:sz w:val="20"/>
          <w:szCs w:val="20"/>
        </w:rPr>
      </w:pPr>
      <w:r w:rsidRPr="00C6642F">
        <w:rPr>
          <w:sz w:val="20"/>
          <w:szCs w:val="20"/>
        </w:rPr>
        <w:t xml:space="preserve">A tax benefit from an uncertain tax position may be recognized when it is more likely than not that the position will be sustained upon examination, including any related appeals or litigation processes, on the basis of the technical merits. We adjust these liabilities when our judgment changes as a result of the evaluation of new information not previously available. Because of the complexity of some of these uncertainties, the ultimate resolution may result in a payment that is materially different from our current estimate of the tax liabilities. These differences will be reflected as increases or decreases to income tax expense in the period in which the new information is available. We classify interest and penalties related to unrecognized tax positions as income taxes in our financial statements. </w:t>
      </w:r>
    </w:p>
    <w:p w:rsidR="000121CD" w:rsidRPr="00C6642F" w:rsidRDefault="00590862" w:rsidP="00A5510F">
      <w:pPr>
        <w:pStyle w:val="NormalWeb"/>
        <w:spacing w:before="180" w:beforeAutospacing="0" w:after="0" w:afterAutospacing="0"/>
      </w:pPr>
      <w:r w:rsidRPr="00C6642F">
        <w:rPr>
          <w:b/>
          <w:bCs/>
          <w:sz w:val="20"/>
          <w:szCs w:val="20"/>
          <w:u w:val="single"/>
        </w:rPr>
        <w:t>Foreign Currency Translation and Transactions</w:t>
      </w:r>
      <w:r w:rsidRPr="00C6642F">
        <w:rPr>
          <w:b/>
          <w:bCs/>
          <w:sz w:val="20"/>
          <w:szCs w:val="20"/>
        </w:rPr>
        <w:t>:</w:t>
      </w:r>
      <w:r w:rsidRPr="00C6642F">
        <w:rPr>
          <w:sz w:val="20"/>
          <w:szCs w:val="20"/>
        </w:rPr>
        <w:t xml:space="preserve"> The functional currency of our foreign operations is the applicable local currency. The cumulative effects of translating the balance sheet accounts from the functional currency into the U.S. dollar at current exchange rates are included in accumulated other comprehensive income. The balance sheet accounts (with the exception of stockholders’ equity) are translated using current exchange rates as of the balance sheet date. Stockholders’ equity is translated at historical exchange rates and revenue and expense accounts are translated using a weighted-average exchange rate during the year. Gains or losses resulting from foreign currency transactions are recognized in the consolidated statements of operations. </w:t>
      </w:r>
    </w:p>
    <w:p w:rsidR="000121CD" w:rsidRPr="00C6642F" w:rsidRDefault="00590862" w:rsidP="00A5510F">
      <w:pPr>
        <w:pStyle w:val="NormalWeb"/>
        <w:spacing w:before="180" w:beforeAutospacing="0" w:after="0" w:afterAutospacing="0"/>
      </w:pPr>
      <w:r w:rsidRPr="00C6642F">
        <w:rPr>
          <w:b/>
          <w:bCs/>
          <w:sz w:val="20"/>
          <w:szCs w:val="20"/>
          <w:u w:val="single"/>
        </w:rPr>
        <w:t>Equity-Based Compensation</w:t>
      </w:r>
      <w:r w:rsidRPr="00C6642F">
        <w:rPr>
          <w:b/>
          <w:bCs/>
          <w:sz w:val="20"/>
          <w:szCs w:val="20"/>
        </w:rPr>
        <w:t xml:space="preserve">: </w:t>
      </w:r>
      <w:r w:rsidRPr="00C6642F">
        <w:rPr>
          <w:sz w:val="20"/>
        </w:rPr>
        <w:t>Our equity-based compensation consisted and consists of restricted stock, restricted unit awards, performance share unit awards and nonqualified stock options.</w:t>
      </w:r>
      <w:r w:rsidRPr="00C6642F">
        <w:rPr>
          <w:sz w:val="20"/>
          <w:szCs w:val="20"/>
        </w:rPr>
        <w:t xml:space="preserve"> The cost of employee services received in exchange for an award of an equity instrument is measured based on the grant-date fair value of the award. Our policy is to expense equity-based compensation using the fair-value of awards granted, modified or settled. Restricted units and restricted stock are credited to equity as they are expensed over their vesting periods based on the grant date value of the shares vested. The fair value of nonqualified stock options is measured on the grant date of the related equity instrument using the Black-Scholes option-pricing model. A Monte Carlo simulation is completed to estimate the fair value of performance share unit awards with a stock price performance component. We expense the fair value of all equity grants, including performance share unit awards, on a straight-line basis over the vesting period. </w:t>
      </w:r>
    </w:p>
    <w:p w:rsidR="00A5510F" w:rsidRPr="00C6642F" w:rsidRDefault="00590862" w:rsidP="00A5510F">
      <w:pPr>
        <w:pStyle w:val="NormalWeb"/>
        <w:spacing w:before="180" w:beforeAutospacing="0" w:after="0" w:afterAutospacing="0"/>
        <w:rPr>
          <w:sz w:val="20"/>
          <w:szCs w:val="20"/>
        </w:rPr>
      </w:pPr>
      <w:r w:rsidRPr="00C6642F">
        <w:rPr>
          <w:b/>
          <w:bCs/>
          <w:sz w:val="20"/>
          <w:szCs w:val="20"/>
          <w:u w:val="single"/>
        </w:rPr>
        <w:t>Revenue Recognition</w:t>
      </w:r>
      <w:r w:rsidRPr="00C6642F">
        <w:rPr>
          <w:b/>
          <w:bCs/>
          <w:sz w:val="20"/>
          <w:szCs w:val="20"/>
        </w:rPr>
        <w:t>:</w:t>
      </w:r>
      <w:r w:rsidRPr="00C6642F">
        <w:rPr>
          <w:sz w:val="20"/>
          <w:szCs w:val="20"/>
        </w:rPr>
        <w:t xml:space="preserve"> Revenue is recognized when control of promised goods or services is transferred to our customers in an amount that reflects the consideration to which we expect to be entitled in exchange for those goods or services. Substantially all of our revenue is recognized when products are shipped or delivered to our customers, and payment is due from our customers at the time of billing with a majority of our customers having 30-day terms. Returns are estimated and recorded as a reduction of revenue. Amounts received in advance of shipment are deferred and recognized when the performance obligations are satisfied. Sales taxes collected from customers and remitted to governmental authorities are accounted for on a net basis and, therefore, are excluded from sales in the accompanying consolidated statements of operations. In some cases, particularly with third party pipe shipments, shipping and handling costs are considered separate performance obligations, and as such, the revenue and cost of sales are recorded when the performance obligation is fulfilled.</w:t>
      </w:r>
      <w:r w:rsidR="00A5510F" w:rsidRPr="00C6642F">
        <w:rPr>
          <w:sz w:val="20"/>
          <w:szCs w:val="20"/>
        </w:rPr>
        <w:t xml:space="preserve"> </w:t>
      </w:r>
      <w:r w:rsidRPr="00C6642F">
        <w:rPr>
          <w:sz w:val="20"/>
          <w:szCs w:val="20"/>
        </w:rPr>
        <w:t>Our contracts with customers ordinarily involve performance obligations that are one year or less. Therefore, we have applied the optional exemption that permits the omission of information about our unfulfilled performance obligations as of the balance sheet dates.</w:t>
      </w:r>
    </w:p>
    <w:p w:rsidR="000121CD" w:rsidRPr="00C6642F" w:rsidRDefault="00590862" w:rsidP="00A5510F">
      <w:pPr>
        <w:pStyle w:val="NormalWeb"/>
        <w:spacing w:before="180" w:beforeAutospacing="0" w:after="0" w:afterAutospacing="0"/>
      </w:pPr>
      <w:r w:rsidRPr="00C6642F">
        <w:rPr>
          <w:b/>
          <w:bCs/>
          <w:sz w:val="20"/>
          <w:szCs w:val="20"/>
          <w:u w:val="single"/>
        </w:rPr>
        <w:t>Cost of Sales</w:t>
      </w:r>
      <w:r w:rsidRPr="00C6642F">
        <w:rPr>
          <w:b/>
          <w:bCs/>
          <w:sz w:val="20"/>
          <w:szCs w:val="20"/>
        </w:rPr>
        <w:t>:</w:t>
      </w:r>
      <w:r w:rsidRPr="00C6642F">
        <w:rPr>
          <w:sz w:val="20"/>
          <w:szCs w:val="20"/>
        </w:rPr>
        <w:t xml:space="preserve"> Cost of sales includes the cost of inventory sold and related items, such as vendor rebates, inventory allowances and reserves, and shipping and handling costs associated with inbound and outbound freight, as well as depreciation and amortization and amortization of intangible assets. Certain purchasing costs and warehousing activities (including receiving, inspection and stocking costs), as well as general warehousing expenses, are included in selling, general and administrative expenses and not in cost of sales. As such, our gross profit may not be comparable to others that may include these expenses as a component of cost of sales.</w:t>
      </w:r>
    </w:p>
    <w:p w:rsidR="000121CD" w:rsidRPr="00C6642F" w:rsidRDefault="00590862" w:rsidP="00A5510F">
      <w:pPr>
        <w:pStyle w:val="NormalWeb"/>
        <w:keepNext/>
        <w:spacing w:before="180" w:beforeAutospacing="0" w:after="0" w:afterAutospacing="0"/>
      </w:pPr>
      <w:r w:rsidRPr="00C6642F">
        <w:rPr>
          <w:b/>
          <w:bCs/>
          <w:sz w:val="20"/>
          <w:szCs w:val="20"/>
          <w:u w:val="single"/>
        </w:rPr>
        <w:t>Earnings per Share</w:t>
      </w:r>
      <w:r w:rsidRPr="00C6642F">
        <w:rPr>
          <w:b/>
          <w:bCs/>
          <w:sz w:val="20"/>
          <w:szCs w:val="20"/>
        </w:rPr>
        <w:t>:</w:t>
      </w:r>
      <w:r w:rsidRPr="00C6642F">
        <w:rPr>
          <w:sz w:val="20"/>
          <w:szCs w:val="20"/>
        </w:rPr>
        <w:t xml:space="preserve"> Basic earnings per share are computed based on the weighted-average number of common shares outstanding, excluding any dilutive effects of unexercised stock options, unvested restricted stock awards, unvested restricted stock unit awards, unvested performance share unit awards, and shares of preferred stock. Diluted earnings per share are computed based on the weighted-average number of common shares outstanding including any dilutive effect of unexercised stock options, unvested restricted stock awards, unvested restricted stock unit awards, unvested performance share unit awards, and shares of preferred stock. The dilutive effect of unexercised stock options is calculated under the treasury stock method. Equity awards and shares of preferred stock are disregarded in the calculations of diluted earnings per share if they are determined to be anti-dilutive.</w:t>
      </w:r>
    </w:p>
    <w:p w:rsidR="000121CD" w:rsidRPr="00C6642F" w:rsidRDefault="00590862" w:rsidP="00A5510F">
      <w:pPr>
        <w:pStyle w:val="NormalWeb"/>
        <w:spacing w:before="180" w:beforeAutospacing="0" w:after="0" w:afterAutospacing="0"/>
      </w:pPr>
      <w:r w:rsidRPr="00C6642F">
        <w:rPr>
          <w:b/>
          <w:bCs/>
          <w:sz w:val="20"/>
          <w:szCs w:val="20"/>
          <w:u w:val="single"/>
        </w:rPr>
        <w:t>Concentration of Credit Risk</w:t>
      </w:r>
      <w:r w:rsidRPr="00C6642F">
        <w:rPr>
          <w:b/>
          <w:bCs/>
          <w:sz w:val="20"/>
          <w:szCs w:val="20"/>
        </w:rPr>
        <w:t>:</w:t>
      </w:r>
      <w:r w:rsidRPr="00C6642F">
        <w:rPr>
          <w:sz w:val="20"/>
          <w:szCs w:val="20"/>
        </w:rPr>
        <w:t xml:space="preserve"> Most of our business activity is with customers in the energy sector. In the normal course of business, we grant credit to these customers in the form of trade accounts receivable. These receivables could potentially subject us to concentrations of credit risk; however, we minimize this risk by closely monitoring extensions of trade credit. We generally do not require collateral on trade receivables. We have a broad customer base doing business in many regions of the world. During </w:t>
      </w:r>
      <w:r w:rsidR="003627E3" w:rsidRPr="00C6642F">
        <w:rPr>
          <w:sz w:val="20"/>
          <w:szCs w:val="20"/>
        </w:rPr>
        <w:t>2019</w:t>
      </w:r>
      <w:r w:rsidRPr="00C6642F">
        <w:rPr>
          <w:sz w:val="20"/>
          <w:szCs w:val="20"/>
        </w:rPr>
        <w:t xml:space="preserve">, </w:t>
      </w:r>
      <w:r w:rsidR="003627E3" w:rsidRPr="00C6642F">
        <w:rPr>
          <w:sz w:val="20"/>
          <w:szCs w:val="20"/>
        </w:rPr>
        <w:t>2018</w:t>
      </w:r>
      <w:r w:rsidRPr="00C6642F">
        <w:rPr>
          <w:sz w:val="20"/>
          <w:szCs w:val="20"/>
        </w:rPr>
        <w:t xml:space="preserve"> and </w:t>
      </w:r>
      <w:r w:rsidR="003627E3" w:rsidRPr="00C6642F">
        <w:rPr>
          <w:sz w:val="20"/>
          <w:szCs w:val="20"/>
        </w:rPr>
        <w:t>2017</w:t>
      </w:r>
      <w:r w:rsidRPr="00C6642F">
        <w:rPr>
          <w:sz w:val="20"/>
          <w:szCs w:val="20"/>
        </w:rPr>
        <w:t>, we did not have sales to any one customer in excess of 10% of sales. At those respective year-ends, no individual customer balances exceeded 10% of accounts receivable.</w:t>
      </w:r>
    </w:p>
    <w:p w:rsidR="000121CD" w:rsidRPr="00C6642F" w:rsidRDefault="00590862" w:rsidP="00A5510F">
      <w:pPr>
        <w:pStyle w:val="NormalWeb"/>
        <w:spacing w:before="180" w:beforeAutospacing="0" w:after="0" w:afterAutospacing="0"/>
      </w:pPr>
      <w:r w:rsidRPr="00C6642F">
        <w:rPr>
          <w:sz w:val="20"/>
          <w:szCs w:val="20"/>
        </w:rPr>
        <w:t xml:space="preserve">We have a broad supplier base, sourcing our products in most regions of the world. During </w:t>
      </w:r>
      <w:r w:rsidR="003627E3" w:rsidRPr="00C6642F">
        <w:rPr>
          <w:sz w:val="20"/>
          <w:szCs w:val="20"/>
        </w:rPr>
        <w:t>2019</w:t>
      </w:r>
      <w:r w:rsidRPr="00C6642F">
        <w:rPr>
          <w:sz w:val="20"/>
          <w:szCs w:val="20"/>
        </w:rPr>
        <w:t xml:space="preserve">, </w:t>
      </w:r>
      <w:r w:rsidR="003627E3" w:rsidRPr="00C6642F">
        <w:rPr>
          <w:sz w:val="20"/>
          <w:szCs w:val="20"/>
        </w:rPr>
        <w:t>2018</w:t>
      </w:r>
      <w:r w:rsidRPr="00C6642F">
        <w:rPr>
          <w:sz w:val="20"/>
          <w:szCs w:val="20"/>
        </w:rPr>
        <w:t xml:space="preserve"> and </w:t>
      </w:r>
      <w:r w:rsidR="003627E3" w:rsidRPr="00C6642F">
        <w:rPr>
          <w:sz w:val="20"/>
          <w:szCs w:val="20"/>
        </w:rPr>
        <w:t>2017</w:t>
      </w:r>
      <w:r w:rsidRPr="00C6642F">
        <w:rPr>
          <w:sz w:val="20"/>
          <w:szCs w:val="20"/>
        </w:rPr>
        <w:t>, we did not have purchases from any one vendor in excess of 10% of our inventory purchases. At those respective year-ends no individual vendor balance exceeded 10% of accounts payable.</w:t>
      </w:r>
    </w:p>
    <w:p w:rsidR="006D4618" w:rsidRPr="00C6642F" w:rsidRDefault="00590862" w:rsidP="00A5510F">
      <w:pPr>
        <w:pStyle w:val="NormalWeb"/>
        <w:spacing w:before="180" w:beforeAutospacing="0" w:after="0" w:afterAutospacing="0"/>
        <w:rPr>
          <w:sz w:val="20"/>
          <w:szCs w:val="20"/>
        </w:rPr>
      </w:pPr>
      <w:r w:rsidRPr="00C6642F">
        <w:rPr>
          <w:sz w:val="20"/>
          <w:szCs w:val="20"/>
        </w:rPr>
        <w:t xml:space="preserve">We maintain the majority of our cash and cash equivalents with several financial institutions. These financial institutions are located in many different geographical regions with varying economic characteristics and risks. Deposits held with banks may exceed insurance limits. We believe the risk of loss associated with our cash equivalents to be remote. </w:t>
      </w:r>
    </w:p>
    <w:p w:rsidR="000121CD" w:rsidRPr="00C6642F" w:rsidRDefault="006D4618" w:rsidP="00A5510F">
      <w:pPr>
        <w:pStyle w:val="NormalWeb"/>
        <w:spacing w:before="180" w:beforeAutospacing="0" w:after="0" w:afterAutospacing="0"/>
      </w:pPr>
      <w:r w:rsidRPr="00C6642F">
        <w:rPr>
          <w:b/>
          <w:sz w:val="20"/>
          <w:u w:val="single"/>
        </w:rPr>
        <w:t>Adoption of New Accounting Standards:</w:t>
      </w:r>
      <w:r w:rsidRPr="00C6642F">
        <w:rPr>
          <w:sz w:val="20"/>
        </w:rPr>
        <w:t xml:space="preserve"> On January 1, 2019, we adopted ASU 2016-02, </w:t>
      </w:r>
      <w:r w:rsidRPr="00C6642F">
        <w:rPr>
          <w:i/>
          <w:sz w:val="20"/>
        </w:rPr>
        <w:t>Leases</w:t>
      </w:r>
      <w:r w:rsidRPr="00C6642F">
        <w:rPr>
          <w:sz w:val="20"/>
        </w:rPr>
        <w:t>, which requires the recognition of lease assets and lease liabilities for those leases classified as operating leases under previous guidance in Accounting Standards Codification 840. We adopted ASU 2016-02 using the modified retrospective approach. The guidance for this approach included an option to not restate comparative periods in transition and elect to use the effective date as the initial application of transition, which we elected. In addition, we elected the package of practical expedients permitted under the transition guidance within the new standard, which among other things, allowed us to carry forward the historical lease classifications. On January 1, 2019, we recorded an operating lease asset of $192 million and an operating lease liability of $208 million. The standard did not impact our consolidated net earnings or cash flows. Adoption of the new standard is more fully described in Note 7.</w:t>
      </w:r>
    </w:p>
    <w:p w:rsidR="002833A4" w:rsidRPr="00C6642F" w:rsidRDefault="00590862" w:rsidP="002833A4">
      <w:pPr>
        <w:spacing w:before="180"/>
        <w:rPr>
          <w:sz w:val="20"/>
        </w:rPr>
      </w:pPr>
      <w:r w:rsidRPr="00C6642F">
        <w:rPr>
          <w:b/>
          <w:color w:val="000000"/>
          <w:sz w:val="20"/>
          <w:u w:val="single"/>
        </w:rPr>
        <w:t>Recently Issued Accounting Standards</w:t>
      </w:r>
      <w:r w:rsidRPr="00C6642F">
        <w:rPr>
          <w:b/>
          <w:color w:val="000000"/>
          <w:sz w:val="20"/>
        </w:rPr>
        <w:t xml:space="preserve">:  </w:t>
      </w:r>
      <w:r w:rsidRPr="00C6642F">
        <w:rPr>
          <w:rFonts w:eastAsia="PMingLiU"/>
          <w:sz w:val="20"/>
        </w:rPr>
        <w:t xml:space="preserve">In June 2016, the </w:t>
      </w:r>
      <w:r w:rsidR="002833A4" w:rsidRPr="00C6642F">
        <w:rPr>
          <w:rFonts w:eastAsia="PMingLiU"/>
          <w:sz w:val="20"/>
        </w:rPr>
        <w:t>Financial Accounting Standards Board (“</w:t>
      </w:r>
      <w:r w:rsidRPr="00C6642F">
        <w:rPr>
          <w:rFonts w:eastAsia="PMingLiU"/>
          <w:sz w:val="20"/>
        </w:rPr>
        <w:t>FASB</w:t>
      </w:r>
      <w:r w:rsidR="002833A4" w:rsidRPr="00C6642F">
        <w:rPr>
          <w:rFonts w:eastAsia="PMingLiU"/>
          <w:sz w:val="20"/>
        </w:rPr>
        <w:t>”)</w:t>
      </w:r>
      <w:r w:rsidRPr="00C6642F">
        <w:rPr>
          <w:rFonts w:eastAsia="PMingLiU"/>
          <w:sz w:val="20"/>
        </w:rPr>
        <w:t xml:space="preserve"> issued ASU 2016-13, </w:t>
      </w:r>
      <w:r w:rsidRPr="00C6642F">
        <w:rPr>
          <w:rFonts w:eastAsia="PMingLiU"/>
          <w:i/>
          <w:sz w:val="20"/>
        </w:rPr>
        <w:t>Measurement of Credit Losses on Financial Instruments</w:t>
      </w:r>
      <w:r w:rsidRPr="00C6642F">
        <w:rPr>
          <w:rFonts w:eastAsia="PMingLiU"/>
          <w:sz w:val="20"/>
        </w:rPr>
        <w:t>, which requires that an entity measure impairment of certain financial instruments, including trade receivables, based on expected losses rather than incurred losses. This update is effective for annual and interim financial statement periods beginning after December 15, 2019, with early adoption permitted for financial statement periods beginning after December 15, 2018. In November 2018, the FASB issued ASU 2018-19 which clarifies guidance in ASU 2016-13. We do not expect the adoption of this standard to materially impact our consolidated financial statements.</w:t>
      </w:r>
      <w:r w:rsidRPr="00C6642F">
        <w:rPr>
          <w:sz w:val="20"/>
        </w:rPr>
        <w:t xml:space="preserve"> </w:t>
      </w:r>
    </w:p>
    <w:p w:rsidR="000121CD" w:rsidRPr="002833A4" w:rsidRDefault="002833A4" w:rsidP="00A5510F">
      <w:pPr>
        <w:spacing w:before="180"/>
        <w:rPr>
          <w:sz w:val="22"/>
        </w:rPr>
      </w:pPr>
      <w:r w:rsidRPr="00C6642F">
        <w:rPr>
          <w:color w:val="252525"/>
          <w:sz w:val="20"/>
        </w:rPr>
        <w:t xml:space="preserve">In December 2019, the FASB issued </w:t>
      </w:r>
      <w:bookmarkStart w:id="28" w:name="keyword"/>
      <w:r w:rsidRPr="00C6642F">
        <w:rPr>
          <w:rStyle w:val="hit1"/>
          <w:b w:val="0"/>
          <w:color w:val="252525"/>
          <w:sz w:val="20"/>
          <w:shd w:val="clear" w:color="auto" w:fill="auto"/>
        </w:rPr>
        <w:t>ASU</w:t>
      </w:r>
      <w:r w:rsidRPr="00C6642F">
        <w:rPr>
          <w:b/>
          <w:color w:val="252525"/>
          <w:sz w:val="20"/>
        </w:rPr>
        <w:t xml:space="preserve"> </w:t>
      </w:r>
      <w:r w:rsidRPr="00C6642F">
        <w:rPr>
          <w:rStyle w:val="hit1"/>
          <w:b w:val="0"/>
          <w:color w:val="252525"/>
          <w:sz w:val="20"/>
          <w:shd w:val="clear" w:color="auto" w:fill="auto"/>
        </w:rPr>
        <w:t>2019</w:t>
      </w:r>
      <w:r w:rsidRPr="00C6642F">
        <w:rPr>
          <w:b/>
          <w:color w:val="252525"/>
          <w:sz w:val="20"/>
        </w:rPr>
        <w:t>-</w:t>
      </w:r>
      <w:bookmarkEnd w:id="28"/>
      <w:r w:rsidRPr="00C6642F">
        <w:rPr>
          <w:rStyle w:val="hit1"/>
          <w:b w:val="0"/>
          <w:color w:val="252525"/>
          <w:sz w:val="20"/>
          <w:shd w:val="clear" w:color="auto" w:fill="auto"/>
        </w:rPr>
        <w:t>12</w:t>
      </w:r>
      <w:r w:rsidRPr="00C6642F">
        <w:rPr>
          <w:color w:val="252525"/>
          <w:sz w:val="20"/>
        </w:rPr>
        <w:t xml:space="preserve">, </w:t>
      </w:r>
      <w:r w:rsidRPr="00C6642F">
        <w:rPr>
          <w:i/>
          <w:iCs/>
          <w:color w:val="252525"/>
          <w:sz w:val="20"/>
        </w:rPr>
        <w:t>Income Taxes (Topic 740): Simplifying the Accounting for Income Taxes</w:t>
      </w:r>
      <w:r w:rsidRPr="00C6642F">
        <w:rPr>
          <w:color w:val="252525"/>
          <w:sz w:val="20"/>
        </w:rPr>
        <w:t xml:space="preserve">, an update intended to simplify various aspects related to accounting for income taxes. This guidance removes certain exceptions to the general principles in Topic 740 and clarifies and amends existing guidance to improve consistent application. This accounting standards update will be effective </w:t>
      </w:r>
      <w:r w:rsidRPr="00C6642F">
        <w:rPr>
          <w:rFonts w:eastAsia="PMingLiU"/>
          <w:sz w:val="20"/>
        </w:rPr>
        <w:t>for annual and interim financial statement periods beginning after December 15, 2020</w:t>
      </w:r>
      <w:r w:rsidRPr="00C6642F">
        <w:rPr>
          <w:color w:val="252525"/>
          <w:sz w:val="20"/>
        </w:rPr>
        <w:t>, with early adoption permitted. We are currently evaluating the impact of this accounting standards update, but do not expect the adoption to material</w:t>
      </w:r>
      <w:r w:rsidR="00011CD0" w:rsidRPr="00C6642F">
        <w:rPr>
          <w:color w:val="252525"/>
          <w:sz w:val="20"/>
        </w:rPr>
        <w:t>ly</w:t>
      </w:r>
      <w:r w:rsidRPr="00C6642F">
        <w:rPr>
          <w:color w:val="252525"/>
          <w:sz w:val="20"/>
        </w:rPr>
        <w:t xml:space="preserve"> impact our consolidated financial statements.</w:t>
      </w:r>
    </w:p>
    <w:p w:rsidR="000121CD" w:rsidRPr="00C6642F" w:rsidRDefault="00590862">
      <w:pPr>
        <w:pStyle w:val="NormalWeb"/>
        <w:keepNext/>
        <w:keepLines/>
        <w:spacing w:before="270" w:beforeAutospacing="0" w:after="0" w:afterAutospacing="0"/>
        <w:rPr>
          <w:sz w:val="20"/>
          <w:szCs w:val="20"/>
        </w:rPr>
      </w:pPr>
      <w:r w:rsidRPr="00C6642F">
        <w:rPr>
          <w:b/>
          <w:bCs/>
          <w:sz w:val="20"/>
          <w:szCs w:val="20"/>
          <w:u w:val="single"/>
        </w:rPr>
        <w:t xml:space="preserve">NOTE 2—REVENUE RECOGNITION </w:t>
      </w:r>
    </w:p>
    <w:p w:rsidR="000121CD" w:rsidRPr="00C6642F" w:rsidRDefault="00590862">
      <w:pPr>
        <w:pStyle w:val="NormalWeb"/>
        <w:keepNext/>
        <w:keepLines/>
        <w:spacing w:before="180" w:beforeAutospacing="0" w:after="0" w:afterAutospacing="0"/>
        <w:rPr>
          <w:sz w:val="20"/>
          <w:szCs w:val="20"/>
        </w:rPr>
      </w:pPr>
      <w:r w:rsidRPr="00C6642F">
        <w:rPr>
          <w:b/>
          <w:sz w:val="20"/>
          <w:szCs w:val="20"/>
          <w:u w:val="single"/>
        </w:rPr>
        <w:t>Contract Balances:</w:t>
      </w:r>
      <w:r w:rsidRPr="00C6642F">
        <w:rPr>
          <w:sz w:val="20"/>
          <w:szCs w:val="20"/>
        </w:rPr>
        <w:t xml:space="preserve"> Variations in the timing of revenue recognition, invoicing and receipt of payment result in categories of assets and liabilities that include invoiced accounts receivable, uninvoiced accounts receivable, contract assets and deferred revenue (contract liabilities) on the consolidated balance sheets.</w:t>
      </w:r>
    </w:p>
    <w:p w:rsidR="000121CD" w:rsidRPr="00C6642F" w:rsidRDefault="00590862">
      <w:pPr>
        <w:pStyle w:val="NormalWeb"/>
        <w:spacing w:before="180" w:beforeAutospacing="0" w:after="0" w:afterAutospacing="0"/>
        <w:rPr>
          <w:sz w:val="20"/>
          <w:szCs w:val="20"/>
        </w:rPr>
      </w:pPr>
      <w:r w:rsidRPr="00C6642F">
        <w:rPr>
          <w:sz w:val="20"/>
          <w:szCs w:val="20"/>
        </w:rPr>
        <w:t>Generally, revenue recognition and invoicing occur simultaneously as we transfer control of promised goods or services to our customers. We consider contract assets to be accounts receivable when we have an unconditional right to consideration and only the passage of time is required before payment is due. In certain cases, particularly those involving customer-specific documentation requirements, invoicing is delayed until we are able to meet the documentation requirements. In these cases, we recognize a contract asset separate from accounts receivable until those requirements are met, and we are able to invoice the customer. Our contract asset balance associated with these requirements, as of December 31, 201</w:t>
      </w:r>
      <w:r w:rsidR="00382D2F" w:rsidRPr="00C6642F">
        <w:rPr>
          <w:sz w:val="20"/>
          <w:szCs w:val="20"/>
        </w:rPr>
        <w:t>9</w:t>
      </w:r>
      <w:r w:rsidRPr="00C6642F">
        <w:rPr>
          <w:sz w:val="20"/>
          <w:szCs w:val="20"/>
        </w:rPr>
        <w:t xml:space="preserve"> and December 31, 201</w:t>
      </w:r>
      <w:r w:rsidR="00382D2F" w:rsidRPr="00C6642F">
        <w:rPr>
          <w:sz w:val="20"/>
          <w:szCs w:val="20"/>
        </w:rPr>
        <w:t>8</w:t>
      </w:r>
      <w:r w:rsidRPr="00C6642F">
        <w:rPr>
          <w:sz w:val="20"/>
          <w:szCs w:val="20"/>
        </w:rPr>
        <w:t>, was $</w:t>
      </w:r>
      <w:r w:rsidR="004C321E" w:rsidRPr="00C6642F">
        <w:rPr>
          <w:sz w:val="20"/>
          <w:szCs w:val="20"/>
        </w:rPr>
        <w:t>26</w:t>
      </w:r>
      <w:r w:rsidRPr="00C6642F">
        <w:rPr>
          <w:sz w:val="20"/>
          <w:szCs w:val="20"/>
        </w:rPr>
        <w:t xml:space="preserve"> million and $3</w:t>
      </w:r>
      <w:r w:rsidR="00382D2F" w:rsidRPr="00C6642F">
        <w:rPr>
          <w:sz w:val="20"/>
          <w:szCs w:val="20"/>
        </w:rPr>
        <w:t>8</w:t>
      </w:r>
      <w:r w:rsidRPr="00C6642F">
        <w:rPr>
          <w:sz w:val="20"/>
          <w:szCs w:val="20"/>
        </w:rPr>
        <w:t xml:space="preserve"> million, respectively. These contract asset balances are included within accounts receivable in the accompanying consolidated balance sheets.</w:t>
      </w:r>
    </w:p>
    <w:p w:rsidR="000121CD" w:rsidRPr="00C6642F" w:rsidRDefault="00590862">
      <w:pPr>
        <w:pStyle w:val="NormalWeb"/>
        <w:spacing w:before="180" w:beforeAutospacing="0" w:after="0" w:afterAutospacing="0"/>
        <w:rPr>
          <w:sz w:val="20"/>
          <w:szCs w:val="20"/>
        </w:rPr>
      </w:pPr>
      <w:r w:rsidRPr="00C6642F">
        <w:rPr>
          <w:sz w:val="20"/>
          <w:szCs w:val="20"/>
        </w:rPr>
        <w:t>We record contract liabilities, or deferred revenue, when cash payments are received from customers in advance of our performance, including amounts which are refundable. The deferred revenue balance at December 31, 201</w:t>
      </w:r>
      <w:r w:rsidR="00382D2F" w:rsidRPr="00C6642F">
        <w:rPr>
          <w:sz w:val="20"/>
          <w:szCs w:val="20"/>
        </w:rPr>
        <w:t>9</w:t>
      </w:r>
      <w:r w:rsidRPr="00C6642F">
        <w:rPr>
          <w:sz w:val="20"/>
          <w:szCs w:val="20"/>
        </w:rPr>
        <w:t xml:space="preserve"> and December 31, 201</w:t>
      </w:r>
      <w:r w:rsidR="00382D2F" w:rsidRPr="00C6642F">
        <w:rPr>
          <w:sz w:val="20"/>
          <w:szCs w:val="20"/>
        </w:rPr>
        <w:t>8</w:t>
      </w:r>
      <w:r w:rsidRPr="00C6642F">
        <w:rPr>
          <w:sz w:val="20"/>
          <w:szCs w:val="20"/>
        </w:rPr>
        <w:t xml:space="preserve"> was $</w:t>
      </w:r>
      <w:r w:rsidR="006868A7" w:rsidRPr="00C6642F">
        <w:rPr>
          <w:sz w:val="20"/>
          <w:szCs w:val="20"/>
        </w:rPr>
        <w:t>4</w:t>
      </w:r>
      <w:r w:rsidRPr="00C6642F">
        <w:rPr>
          <w:sz w:val="20"/>
          <w:szCs w:val="20"/>
        </w:rPr>
        <w:t xml:space="preserve"> million and $</w:t>
      </w:r>
      <w:r w:rsidR="00382D2F" w:rsidRPr="00C6642F">
        <w:rPr>
          <w:sz w:val="20"/>
          <w:szCs w:val="20"/>
        </w:rPr>
        <w:t>6</w:t>
      </w:r>
      <w:r w:rsidRPr="00C6642F">
        <w:rPr>
          <w:sz w:val="20"/>
          <w:szCs w:val="20"/>
        </w:rPr>
        <w:t xml:space="preserve"> million, respectively. During the year ended December 31, 201</w:t>
      </w:r>
      <w:r w:rsidR="00382D2F" w:rsidRPr="00C6642F">
        <w:rPr>
          <w:sz w:val="20"/>
          <w:szCs w:val="20"/>
        </w:rPr>
        <w:t>9</w:t>
      </w:r>
      <w:r w:rsidRPr="00C6642F">
        <w:rPr>
          <w:sz w:val="20"/>
          <w:szCs w:val="20"/>
        </w:rPr>
        <w:t xml:space="preserve">, we recognized </w:t>
      </w:r>
      <w:r w:rsidR="00FB6CBF" w:rsidRPr="00C6642F">
        <w:rPr>
          <w:sz w:val="20"/>
          <w:szCs w:val="20"/>
        </w:rPr>
        <w:t>all</w:t>
      </w:r>
      <w:r w:rsidRPr="00C6642F">
        <w:rPr>
          <w:sz w:val="20"/>
          <w:szCs w:val="20"/>
        </w:rPr>
        <w:t xml:space="preserve"> of</w:t>
      </w:r>
      <w:r w:rsidR="00FB6CBF" w:rsidRPr="00C6642F">
        <w:rPr>
          <w:sz w:val="20"/>
          <w:szCs w:val="20"/>
        </w:rPr>
        <w:t xml:space="preserve"> the</w:t>
      </w:r>
      <w:r w:rsidRPr="00C6642F">
        <w:rPr>
          <w:sz w:val="20"/>
          <w:szCs w:val="20"/>
        </w:rPr>
        <w:t xml:space="preserve"> revenue that was deferred as of December 31, 201</w:t>
      </w:r>
      <w:r w:rsidR="00382D2F" w:rsidRPr="00C6642F">
        <w:rPr>
          <w:sz w:val="20"/>
          <w:szCs w:val="20"/>
        </w:rPr>
        <w:t>8</w:t>
      </w:r>
      <w:r w:rsidRPr="00C6642F">
        <w:rPr>
          <w:sz w:val="20"/>
          <w:szCs w:val="20"/>
        </w:rPr>
        <w:t>. Deferred revenue balances are included within accrued expenses and other current liabilities in the accompanying consolidated balance sheets.</w:t>
      </w:r>
    </w:p>
    <w:p w:rsidR="000121CD" w:rsidRPr="00C6642F" w:rsidRDefault="00590862">
      <w:pPr>
        <w:pStyle w:val="NormalWeb"/>
        <w:spacing w:before="180" w:beforeAutospacing="0"/>
        <w:rPr>
          <w:sz w:val="20"/>
          <w:szCs w:val="20"/>
        </w:rPr>
      </w:pPr>
      <w:r w:rsidRPr="00C6642F">
        <w:rPr>
          <w:b/>
          <w:sz w:val="20"/>
          <w:szCs w:val="20"/>
          <w:u w:val="single"/>
        </w:rPr>
        <w:t>Disaggregated Revenue:</w:t>
      </w:r>
      <w:r w:rsidRPr="00C6642F">
        <w:rPr>
          <w:sz w:val="20"/>
          <w:szCs w:val="20"/>
        </w:rPr>
        <w:t xml:space="preserve"> Our disaggregated revenue represents our business of selling PVF and other infrastructure products to the energy sector across each of the upstream (exploration, production and extraction of underground oil and gas), midstream (gathering and transmission of oil and gas, gas utilities, and the storage and distribution of oil and gas) and downstream (crude oil refining and petrochemical and chemical processing and general industrials) markets in each of our reportable segments. Each of our end markets and geographical reportable segments are impacted and influenced by varying factors, including macroeconomic environment, commodity prices, maintenance and capital spending, and exploration and production activity. As such, we believe that this information is important in depicting the nature, amount, timing and uncertainty of our contracts with customers.</w:t>
      </w:r>
    </w:p>
    <w:p w:rsidR="000121CD" w:rsidRPr="00C6642F" w:rsidRDefault="00590862">
      <w:pPr>
        <w:pStyle w:val="NormalWeb"/>
        <w:keepNext/>
        <w:keepLines/>
        <w:widowControl w:val="0"/>
        <w:spacing w:before="90" w:beforeAutospacing="0" w:after="0" w:afterAutospacing="0"/>
        <w:rPr>
          <w:sz w:val="20"/>
          <w:szCs w:val="20"/>
        </w:rPr>
      </w:pPr>
      <w:r w:rsidRPr="00C6642F">
        <w:rPr>
          <w:sz w:val="20"/>
          <w:szCs w:val="20"/>
        </w:rPr>
        <w:t>The following table presents our revenue disaggregated by revenue source (in millions):</w:t>
      </w:r>
    </w:p>
    <w:p w:rsidR="000121CD" w:rsidRPr="00C6642F" w:rsidRDefault="000121CD">
      <w:pPr>
        <w:pStyle w:val="NormalWeb"/>
        <w:keepNext/>
        <w:keepLines/>
        <w:widowControl w:val="0"/>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2593"/>
        <w:gridCol w:w="230"/>
        <w:gridCol w:w="1637"/>
        <w:gridCol w:w="248"/>
        <w:gridCol w:w="229"/>
        <w:gridCol w:w="1637"/>
        <w:gridCol w:w="248"/>
        <w:gridCol w:w="229"/>
        <w:gridCol w:w="1637"/>
        <w:gridCol w:w="248"/>
        <w:gridCol w:w="229"/>
        <w:gridCol w:w="1635"/>
      </w:tblGrid>
      <w:tr w:rsidR="0018024C" w:rsidRPr="00C6642F" w:rsidTr="0018024C">
        <w:trPr>
          <w:trHeight w:hRule="exact" w:val="20"/>
        </w:trPr>
        <w:tc>
          <w:tcPr>
            <w:tcW w:w="1200" w:type="pct"/>
            <w:tcBorders>
              <w:top w:val="nil"/>
              <w:left w:val="nil"/>
              <w:bottom w:val="nil"/>
              <w:right w:val="nil"/>
            </w:tcBorders>
            <w:shd w:val="clear" w:color="auto" w:fill="auto"/>
            <w:vAlign w:val="bottom"/>
          </w:tcPr>
          <w:p w:rsidR="0018024C" w:rsidRPr="00C6642F" w:rsidRDefault="0018024C" w:rsidP="0018024C">
            <w:pPr>
              <w:keepNext/>
              <w:keepLines/>
              <w:rPr>
                <w:sz w:val="2"/>
              </w:rPr>
            </w:pPr>
          </w:p>
        </w:tc>
        <w:tc>
          <w:tcPr>
            <w:tcW w:w="106" w:type="pct"/>
            <w:tcBorders>
              <w:top w:val="nil"/>
              <w:left w:val="nil"/>
              <w:bottom w:val="nil"/>
              <w:right w:val="nil"/>
            </w:tcBorders>
            <w:shd w:val="clear" w:color="auto" w:fill="auto"/>
            <w:vAlign w:val="bottom"/>
          </w:tcPr>
          <w:p w:rsidR="0018024C" w:rsidRPr="00C6642F" w:rsidRDefault="0018024C" w:rsidP="0018024C">
            <w:pPr>
              <w:keepNext/>
              <w:keepLines/>
              <w:rPr>
                <w:sz w:val="2"/>
              </w:rPr>
            </w:pPr>
          </w:p>
        </w:tc>
        <w:tc>
          <w:tcPr>
            <w:tcW w:w="758" w:type="pct"/>
            <w:tcBorders>
              <w:top w:val="nil"/>
              <w:left w:val="nil"/>
              <w:bottom w:val="nil"/>
              <w:right w:val="nil"/>
            </w:tcBorders>
            <w:shd w:val="clear" w:color="auto" w:fill="auto"/>
            <w:vAlign w:val="bottom"/>
          </w:tcPr>
          <w:p w:rsidR="0018024C" w:rsidRPr="00C6642F" w:rsidRDefault="0018024C" w:rsidP="0018024C">
            <w:pPr>
              <w:keepNext/>
              <w:keepLines/>
              <w:rPr>
                <w:sz w:val="2"/>
              </w:rPr>
            </w:pPr>
          </w:p>
        </w:tc>
        <w:tc>
          <w:tcPr>
            <w:tcW w:w="115" w:type="pct"/>
            <w:tcBorders>
              <w:top w:val="nil"/>
              <w:left w:val="nil"/>
              <w:bottom w:val="nil"/>
              <w:right w:val="nil"/>
            </w:tcBorders>
            <w:shd w:val="clear" w:color="auto" w:fill="auto"/>
            <w:vAlign w:val="bottom"/>
          </w:tcPr>
          <w:p w:rsidR="0018024C" w:rsidRPr="00C6642F" w:rsidRDefault="0018024C" w:rsidP="0018024C">
            <w:pPr>
              <w:keepNext/>
              <w:keepLines/>
              <w:rPr>
                <w:sz w:val="2"/>
              </w:rPr>
            </w:pPr>
          </w:p>
        </w:tc>
        <w:tc>
          <w:tcPr>
            <w:tcW w:w="106" w:type="pct"/>
            <w:tcBorders>
              <w:top w:val="nil"/>
              <w:left w:val="nil"/>
              <w:bottom w:val="nil"/>
              <w:right w:val="nil"/>
            </w:tcBorders>
            <w:shd w:val="clear" w:color="auto" w:fill="auto"/>
            <w:vAlign w:val="bottom"/>
          </w:tcPr>
          <w:p w:rsidR="0018024C" w:rsidRPr="00C6642F" w:rsidRDefault="0018024C" w:rsidP="0018024C">
            <w:pPr>
              <w:keepNext/>
              <w:keepLines/>
              <w:rPr>
                <w:sz w:val="2"/>
              </w:rPr>
            </w:pPr>
          </w:p>
        </w:tc>
        <w:tc>
          <w:tcPr>
            <w:tcW w:w="758" w:type="pct"/>
            <w:tcBorders>
              <w:top w:val="nil"/>
              <w:left w:val="nil"/>
              <w:bottom w:val="nil"/>
              <w:right w:val="nil"/>
            </w:tcBorders>
            <w:shd w:val="clear" w:color="auto" w:fill="auto"/>
            <w:vAlign w:val="bottom"/>
          </w:tcPr>
          <w:p w:rsidR="0018024C" w:rsidRPr="00C6642F" w:rsidRDefault="0018024C" w:rsidP="0018024C">
            <w:pPr>
              <w:keepNext/>
              <w:keepLines/>
              <w:rPr>
                <w:sz w:val="2"/>
              </w:rPr>
            </w:pPr>
          </w:p>
        </w:tc>
        <w:tc>
          <w:tcPr>
            <w:tcW w:w="115" w:type="pct"/>
            <w:tcBorders>
              <w:top w:val="nil"/>
              <w:left w:val="nil"/>
              <w:bottom w:val="nil"/>
              <w:right w:val="nil"/>
            </w:tcBorders>
            <w:shd w:val="clear" w:color="auto" w:fill="auto"/>
            <w:vAlign w:val="bottom"/>
          </w:tcPr>
          <w:p w:rsidR="0018024C" w:rsidRPr="00C6642F" w:rsidRDefault="0018024C" w:rsidP="0018024C">
            <w:pPr>
              <w:keepNext/>
              <w:keepLines/>
              <w:rPr>
                <w:sz w:val="2"/>
              </w:rPr>
            </w:pPr>
          </w:p>
        </w:tc>
        <w:tc>
          <w:tcPr>
            <w:tcW w:w="106" w:type="pct"/>
            <w:tcBorders>
              <w:top w:val="nil"/>
              <w:left w:val="nil"/>
              <w:bottom w:val="nil"/>
              <w:right w:val="nil"/>
            </w:tcBorders>
            <w:shd w:val="clear" w:color="auto" w:fill="auto"/>
            <w:vAlign w:val="bottom"/>
          </w:tcPr>
          <w:p w:rsidR="0018024C" w:rsidRPr="00C6642F" w:rsidRDefault="0018024C" w:rsidP="0018024C">
            <w:pPr>
              <w:keepNext/>
              <w:keepLines/>
              <w:rPr>
                <w:sz w:val="2"/>
              </w:rPr>
            </w:pPr>
          </w:p>
        </w:tc>
        <w:tc>
          <w:tcPr>
            <w:tcW w:w="758" w:type="pct"/>
            <w:tcBorders>
              <w:top w:val="nil"/>
              <w:left w:val="nil"/>
              <w:bottom w:val="nil"/>
              <w:right w:val="nil"/>
            </w:tcBorders>
            <w:shd w:val="clear" w:color="auto" w:fill="auto"/>
            <w:vAlign w:val="bottom"/>
          </w:tcPr>
          <w:p w:rsidR="0018024C" w:rsidRPr="00C6642F" w:rsidRDefault="0018024C" w:rsidP="0018024C">
            <w:pPr>
              <w:keepNext/>
              <w:keepLines/>
              <w:rPr>
                <w:sz w:val="2"/>
              </w:rPr>
            </w:pPr>
          </w:p>
        </w:tc>
        <w:tc>
          <w:tcPr>
            <w:tcW w:w="115" w:type="pct"/>
            <w:tcBorders>
              <w:top w:val="nil"/>
              <w:left w:val="nil"/>
              <w:bottom w:val="nil"/>
              <w:right w:val="nil"/>
            </w:tcBorders>
            <w:shd w:val="clear" w:color="auto" w:fill="auto"/>
            <w:vAlign w:val="bottom"/>
          </w:tcPr>
          <w:p w:rsidR="0018024C" w:rsidRPr="00C6642F" w:rsidRDefault="0018024C" w:rsidP="0018024C">
            <w:pPr>
              <w:keepNext/>
              <w:keepLines/>
              <w:rPr>
                <w:sz w:val="2"/>
              </w:rPr>
            </w:pPr>
          </w:p>
        </w:tc>
        <w:tc>
          <w:tcPr>
            <w:tcW w:w="106" w:type="pct"/>
            <w:tcBorders>
              <w:top w:val="nil"/>
              <w:left w:val="nil"/>
              <w:bottom w:val="nil"/>
              <w:right w:val="nil"/>
            </w:tcBorders>
            <w:shd w:val="clear" w:color="auto" w:fill="auto"/>
            <w:vAlign w:val="bottom"/>
          </w:tcPr>
          <w:p w:rsidR="0018024C" w:rsidRPr="00C6642F" w:rsidRDefault="0018024C" w:rsidP="0018024C">
            <w:pPr>
              <w:keepNext/>
              <w:keepLines/>
              <w:rPr>
                <w:sz w:val="2"/>
              </w:rPr>
            </w:pPr>
          </w:p>
        </w:tc>
        <w:tc>
          <w:tcPr>
            <w:tcW w:w="757" w:type="pct"/>
            <w:tcBorders>
              <w:top w:val="nil"/>
              <w:left w:val="nil"/>
              <w:bottom w:val="nil"/>
              <w:right w:val="nil"/>
            </w:tcBorders>
            <w:shd w:val="clear" w:color="auto" w:fill="auto"/>
            <w:vAlign w:val="bottom"/>
          </w:tcPr>
          <w:p w:rsidR="0018024C" w:rsidRPr="00C6642F" w:rsidRDefault="0018024C" w:rsidP="0018024C">
            <w:pPr>
              <w:keepNext/>
              <w:keepLines/>
              <w:rPr>
                <w:sz w:val="2"/>
              </w:rPr>
            </w:pPr>
          </w:p>
        </w:tc>
      </w:tr>
      <w:tr w:rsidR="0018024C" w:rsidRPr="00C6642F" w:rsidTr="0018024C">
        <w:trPr>
          <w:trHeight w:hRule="exact" w:val="300"/>
        </w:trPr>
        <w:tc>
          <w:tcPr>
            <w:tcW w:w="1" w:type="pct"/>
            <w:gridSpan w:val="12"/>
            <w:tcBorders>
              <w:top w:val="nil"/>
              <w:left w:val="nil"/>
              <w:bottom w:val="nil"/>
              <w:right w:val="nil"/>
              <w:tl2br w:val="nil"/>
              <w:tr2bl w:val="nil"/>
            </w:tcBorders>
            <w:shd w:val="clear" w:color="auto" w:fill="auto"/>
            <w:vAlign w:val="bottom"/>
          </w:tcPr>
          <w:p w:rsidR="0018024C" w:rsidRPr="00C6642F" w:rsidRDefault="0018024C" w:rsidP="0018024C">
            <w:pPr>
              <w:keepNext/>
              <w:keepLines/>
              <w:jc w:val="center"/>
              <w:rPr>
                <w:b/>
                <w:sz w:val="20"/>
              </w:rPr>
            </w:pPr>
          </w:p>
        </w:tc>
      </w:tr>
      <w:tr w:rsidR="0018024C" w:rsidRPr="00C6642F" w:rsidTr="0018024C">
        <w:trPr>
          <w:trHeight w:hRule="exact" w:val="255"/>
        </w:trPr>
        <w:tc>
          <w:tcPr>
            <w:tcW w:w="1" w:type="pct"/>
            <w:gridSpan w:val="1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keepLines/>
              <w:jc w:val="center"/>
              <w:rPr>
                <w:b/>
                <w:sz w:val="20"/>
              </w:rPr>
            </w:pPr>
            <w:r w:rsidRPr="00C6642F">
              <w:rPr>
                <w:b/>
                <w:sz w:val="20"/>
              </w:rPr>
              <w:t>Year Ended December 31,</w:t>
            </w:r>
          </w:p>
        </w:tc>
      </w:tr>
      <w:tr w:rsidR="0018024C" w:rsidRPr="00C6642F" w:rsidTr="0018024C">
        <w:trPr>
          <w:trHeight w:hRule="exact" w:val="90"/>
        </w:trPr>
        <w:tc>
          <w:tcPr>
            <w:tcW w:w="1200"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jc w:val="center"/>
              <w:rPr>
                <w:b/>
                <w:sz w:val="20"/>
              </w:rPr>
            </w:pPr>
          </w:p>
        </w:tc>
        <w:tc>
          <w:tcPr>
            <w:tcW w:w="106"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rPr>
                <w:b/>
                <w:sz w:val="20"/>
              </w:rPr>
            </w:pPr>
          </w:p>
        </w:tc>
        <w:tc>
          <w:tcPr>
            <w:tcW w:w="758"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jc w:val="center"/>
              <w:rPr>
                <w:b/>
                <w:sz w:val="20"/>
              </w:rPr>
            </w:pPr>
          </w:p>
        </w:tc>
        <w:tc>
          <w:tcPr>
            <w:tcW w:w="115"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jc w:val="center"/>
              <w:rPr>
                <w:b/>
                <w:sz w:val="20"/>
              </w:rPr>
            </w:pPr>
          </w:p>
        </w:tc>
        <w:tc>
          <w:tcPr>
            <w:tcW w:w="106"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rPr>
                <w:b/>
                <w:sz w:val="20"/>
              </w:rPr>
            </w:pPr>
          </w:p>
        </w:tc>
        <w:tc>
          <w:tcPr>
            <w:tcW w:w="758"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jc w:val="center"/>
              <w:rPr>
                <w:b/>
                <w:sz w:val="20"/>
              </w:rPr>
            </w:pPr>
          </w:p>
        </w:tc>
        <w:tc>
          <w:tcPr>
            <w:tcW w:w="115"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jc w:val="center"/>
              <w:rPr>
                <w:b/>
                <w:sz w:val="20"/>
              </w:rPr>
            </w:pPr>
          </w:p>
        </w:tc>
        <w:tc>
          <w:tcPr>
            <w:tcW w:w="106"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rPr>
                <w:b/>
                <w:sz w:val="20"/>
              </w:rPr>
            </w:pPr>
          </w:p>
        </w:tc>
        <w:tc>
          <w:tcPr>
            <w:tcW w:w="758"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jc w:val="center"/>
              <w:rPr>
                <w:b/>
                <w:sz w:val="20"/>
              </w:rPr>
            </w:pPr>
          </w:p>
        </w:tc>
        <w:tc>
          <w:tcPr>
            <w:tcW w:w="115"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jc w:val="center"/>
              <w:rPr>
                <w:b/>
                <w:sz w:val="20"/>
              </w:rPr>
            </w:pPr>
          </w:p>
        </w:tc>
        <w:tc>
          <w:tcPr>
            <w:tcW w:w="106"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rPr>
                <w:b/>
                <w:sz w:val="20"/>
              </w:rPr>
            </w:pPr>
          </w:p>
        </w:tc>
        <w:tc>
          <w:tcPr>
            <w:tcW w:w="757"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jc w:val="center"/>
              <w:rPr>
                <w:b/>
                <w:sz w:val="20"/>
              </w:rPr>
            </w:pPr>
          </w:p>
        </w:tc>
      </w:tr>
      <w:tr w:rsidR="0018024C" w:rsidRPr="00C6642F" w:rsidTr="0018024C">
        <w:trPr>
          <w:trHeight w:hRule="exact" w:val="300"/>
        </w:trPr>
        <w:tc>
          <w:tcPr>
            <w:tcW w:w="1200"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keepLines/>
              <w:jc w:val="center"/>
              <w:rPr>
                <w:b/>
                <w:sz w:val="20"/>
              </w:rPr>
            </w:pPr>
            <w:r w:rsidRPr="00C6642F">
              <w:rPr>
                <w:b/>
                <w:sz w:val="20"/>
              </w:rPr>
              <w:t>U.S.</w:t>
            </w:r>
          </w:p>
        </w:tc>
        <w:tc>
          <w:tcPr>
            <w:tcW w:w="115"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keepLines/>
              <w:jc w:val="center"/>
              <w:rPr>
                <w:b/>
                <w:sz w:val="20"/>
              </w:rPr>
            </w:pPr>
            <w:r w:rsidRPr="00C6642F">
              <w:rPr>
                <w:b/>
                <w:sz w:val="20"/>
              </w:rPr>
              <w:t>Canada</w:t>
            </w:r>
          </w:p>
        </w:tc>
        <w:tc>
          <w:tcPr>
            <w:tcW w:w="115"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keepLines/>
              <w:jc w:val="center"/>
              <w:rPr>
                <w:b/>
                <w:sz w:val="20"/>
              </w:rPr>
            </w:pPr>
            <w:r w:rsidRPr="00C6642F">
              <w:rPr>
                <w:b/>
                <w:sz w:val="20"/>
              </w:rPr>
              <w:t>International</w:t>
            </w:r>
          </w:p>
        </w:tc>
        <w:tc>
          <w:tcPr>
            <w:tcW w:w="115"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keepLines/>
              <w:jc w:val="center"/>
              <w:rPr>
                <w:b/>
                <w:sz w:val="20"/>
              </w:rPr>
            </w:pPr>
            <w:r w:rsidRPr="00C6642F">
              <w:rPr>
                <w:b/>
                <w:sz w:val="20"/>
              </w:rPr>
              <w:t>Total</w:t>
            </w:r>
          </w:p>
        </w:tc>
      </w:tr>
      <w:tr w:rsidR="0018024C" w:rsidRPr="00C6642F" w:rsidTr="0018024C">
        <w:trPr>
          <w:trHeight w:hRule="exact" w:val="255"/>
        </w:trPr>
        <w:tc>
          <w:tcPr>
            <w:tcW w:w="12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b/>
                <w:sz w:val="20"/>
              </w:rPr>
            </w:pPr>
            <w:r w:rsidRPr="00C6642F">
              <w:rPr>
                <w:b/>
                <w:sz w:val="20"/>
              </w:rPr>
              <w:t>2019:</w:t>
            </w:r>
          </w:p>
        </w:tc>
        <w:tc>
          <w:tcPr>
            <w:tcW w:w="106"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sz w:val="20"/>
              </w:rPr>
            </w:pPr>
          </w:p>
        </w:tc>
        <w:tc>
          <w:tcPr>
            <w:tcW w:w="75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sz w:val="20"/>
              </w:rPr>
            </w:pP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sz w:val="20"/>
              </w:rPr>
            </w:pPr>
          </w:p>
        </w:tc>
        <w:tc>
          <w:tcPr>
            <w:tcW w:w="106"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sz w:val="20"/>
              </w:rPr>
            </w:pPr>
          </w:p>
        </w:tc>
        <w:tc>
          <w:tcPr>
            <w:tcW w:w="75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sz w:val="20"/>
              </w:rPr>
            </w:pP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sz w:val="20"/>
              </w:rPr>
            </w:pPr>
          </w:p>
        </w:tc>
        <w:tc>
          <w:tcPr>
            <w:tcW w:w="106"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sz w:val="20"/>
              </w:rPr>
            </w:pPr>
          </w:p>
        </w:tc>
        <w:tc>
          <w:tcPr>
            <w:tcW w:w="75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sz w:val="20"/>
              </w:rPr>
            </w:pP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sz w:val="20"/>
              </w:rPr>
            </w:pPr>
          </w:p>
        </w:tc>
        <w:tc>
          <w:tcPr>
            <w:tcW w:w="106"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sz w:val="20"/>
              </w:rPr>
            </w:pPr>
          </w:p>
        </w:tc>
        <w:tc>
          <w:tcPr>
            <w:tcW w:w="757"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sz w:val="20"/>
              </w:rPr>
            </w:pPr>
          </w:p>
        </w:tc>
      </w:tr>
      <w:tr w:rsidR="0018024C" w:rsidRPr="00C6642F" w:rsidTr="0018024C">
        <w:trPr>
          <w:trHeight w:hRule="exact" w:val="255"/>
        </w:trPr>
        <w:tc>
          <w:tcPr>
            <w:tcW w:w="1200" w:type="pct"/>
            <w:tcBorders>
              <w:top w:val="nil"/>
              <w:left w:val="nil"/>
              <w:bottom w:val="nil"/>
              <w:right w:val="nil"/>
              <w:tl2br w:val="nil"/>
              <w:tr2bl w:val="nil"/>
            </w:tcBorders>
            <w:vAlign w:val="bottom"/>
          </w:tcPr>
          <w:p w:rsidR="0018024C" w:rsidRPr="00C6642F" w:rsidRDefault="0018024C" w:rsidP="0018024C">
            <w:pPr>
              <w:keepNext/>
              <w:keepLines/>
              <w:rPr>
                <w:sz w:val="20"/>
              </w:rPr>
            </w:pPr>
            <w:r w:rsidRPr="00C6642F">
              <w:rPr>
                <w:sz w:val="20"/>
              </w:rPr>
              <w:t>Upstream</w:t>
            </w:r>
          </w:p>
        </w:tc>
        <w:tc>
          <w:tcPr>
            <w:tcW w:w="106" w:type="pct"/>
            <w:tcBorders>
              <w:top w:val="nil"/>
              <w:left w:val="nil"/>
              <w:bottom w:val="nil"/>
              <w:right w:val="nil"/>
              <w:tl2br w:val="nil"/>
              <w:tr2bl w:val="nil"/>
            </w:tcBorders>
            <w:vAlign w:val="bottom"/>
          </w:tcPr>
          <w:p w:rsidR="0018024C" w:rsidRPr="00C6642F" w:rsidRDefault="0018024C" w:rsidP="0018024C">
            <w:pPr>
              <w:keepNext/>
              <w:keepLines/>
              <w:rPr>
                <w:b/>
                <w:sz w:val="20"/>
              </w:rPr>
            </w:pPr>
            <w:r w:rsidRPr="00C6642F">
              <w:rPr>
                <w:b/>
                <w:sz w:val="20"/>
              </w:rPr>
              <w:t>$</w:t>
            </w:r>
          </w:p>
        </w:tc>
        <w:tc>
          <w:tcPr>
            <w:tcW w:w="758" w:type="pct"/>
            <w:tcBorders>
              <w:top w:val="nil"/>
              <w:left w:val="nil"/>
              <w:bottom w:val="nil"/>
              <w:right w:val="nil"/>
              <w:tl2br w:val="nil"/>
              <w:tr2bl w:val="nil"/>
            </w:tcBorders>
            <w:vAlign w:val="bottom"/>
          </w:tcPr>
          <w:p w:rsidR="0018024C" w:rsidRPr="00C6642F" w:rsidRDefault="0018024C" w:rsidP="0018024C">
            <w:pPr>
              <w:keepNext/>
              <w:keepLines/>
              <w:ind w:right="63"/>
              <w:jc w:val="right"/>
              <w:rPr>
                <w:b/>
                <w:sz w:val="20"/>
              </w:rPr>
            </w:pPr>
            <w:r w:rsidRPr="00C6642F">
              <w:rPr>
                <w:b/>
                <w:sz w:val="20"/>
              </w:rPr>
              <w:t xml:space="preserve"> 723</w:t>
            </w:r>
          </w:p>
        </w:tc>
        <w:tc>
          <w:tcPr>
            <w:tcW w:w="115" w:type="pct"/>
            <w:tcBorders>
              <w:top w:val="nil"/>
              <w:left w:val="nil"/>
              <w:bottom w:val="nil"/>
              <w:right w:val="nil"/>
              <w:tl2br w:val="nil"/>
              <w:tr2bl w:val="nil"/>
            </w:tcBorders>
            <w:vAlign w:val="bottom"/>
          </w:tcPr>
          <w:p w:rsidR="0018024C" w:rsidRPr="00C6642F" w:rsidRDefault="0018024C" w:rsidP="0018024C">
            <w:pPr>
              <w:keepNext/>
              <w:keepLines/>
              <w:jc w:val="right"/>
              <w:rPr>
                <w:b/>
                <w:sz w:val="20"/>
              </w:rPr>
            </w:pPr>
          </w:p>
        </w:tc>
        <w:tc>
          <w:tcPr>
            <w:tcW w:w="106" w:type="pct"/>
            <w:tcBorders>
              <w:top w:val="nil"/>
              <w:left w:val="nil"/>
              <w:bottom w:val="nil"/>
              <w:right w:val="nil"/>
              <w:tl2br w:val="nil"/>
              <w:tr2bl w:val="nil"/>
            </w:tcBorders>
            <w:vAlign w:val="bottom"/>
          </w:tcPr>
          <w:p w:rsidR="0018024C" w:rsidRPr="00C6642F" w:rsidRDefault="0018024C" w:rsidP="0018024C">
            <w:pPr>
              <w:keepNext/>
              <w:keepLines/>
              <w:rPr>
                <w:b/>
                <w:sz w:val="20"/>
              </w:rPr>
            </w:pPr>
            <w:r w:rsidRPr="00C6642F">
              <w:rPr>
                <w:b/>
                <w:sz w:val="20"/>
              </w:rPr>
              <w:t>$</w:t>
            </w:r>
          </w:p>
        </w:tc>
        <w:tc>
          <w:tcPr>
            <w:tcW w:w="758" w:type="pct"/>
            <w:tcBorders>
              <w:top w:val="nil"/>
              <w:left w:val="nil"/>
              <w:bottom w:val="nil"/>
              <w:right w:val="nil"/>
              <w:tl2br w:val="nil"/>
              <w:tr2bl w:val="nil"/>
            </w:tcBorders>
            <w:vAlign w:val="bottom"/>
          </w:tcPr>
          <w:p w:rsidR="0018024C" w:rsidRPr="00C6642F" w:rsidRDefault="0018024C" w:rsidP="0018024C">
            <w:pPr>
              <w:keepNext/>
              <w:keepLines/>
              <w:ind w:right="63"/>
              <w:jc w:val="right"/>
              <w:rPr>
                <w:b/>
                <w:sz w:val="20"/>
              </w:rPr>
            </w:pPr>
            <w:r w:rsidRPr="00C6642F">
              <w:rPr>
                <w:b/>
                <w:sz w:val="20"/>
              </w:rPr>
              <w:t xml:space="preserve"> 162</w:t>
            </w:r>
          </w:p>
        </w:tc>
        <w:tc>
          <w:tcPr>
            <w:tcW w:w="115" w:type="pct"/>
            <w:tcBorders>
              <w:top w:val="nil"/>
              <w:left w:val="nil"/>
              <w:bottom w:val="nil"/>
              <w:right w:val="nil"/>
              <w:tl2br w:val="nil"/>
              <w:tr2bl w:val="nil"/>
            </w:tcBorders>
            <w:vAlign w:val="bottom"/>
          </w:tcPr>
          <w:p w:rsidR="0018024C" w:rsidRPr="00C6642F" w:rsidRDefault="0018024C" w:rsidP="0018024C">
            <w:pPr>
              <w:keepNext/>
              <w:keepLines/>
              <w:jc w:val="right"/>
              <w:rPr>
                <w:b/>
                <w:sz w:val="20"/>
              </w:rPr>
            </w:pPr>
          </w:p>
        </w:tc>
        <w:tc>
          <w:tcPr>
            <w:tcW w:w="106" w:type="pct"/>
            <w:tcBorders>
              <w:top w:val="nil"/>
              <w:left w:val="nil"/>
              <w:bottom w:val="nil"/>
              <w:right w:val="nil"/>
              <w:tl2br w:val="nil"/>
              <w:tr2bl w:val="nil"/>
            </w:tcBorders>
            <w:vAlign w:val="bottom"/>
          </w:tcPr>
          <w:p w:rsidR="0018024C" w:rsidRPr="00C6642F" w:rsidRDefault="0018024C" w:rsidP="0018024C">
            <w:pPr>
              <w:keepNext/>
              <w:keepLines/>
              <w:rPr>
                <w:b/>
                <w:sz w:val="20"/>
              </w:rPr>
            </w:pPr>
            <w:r w:rsidRPr="00C6642F">
              <w:rPr>
                <w:b/>
                <w:sz w:val="20"/>
              </w:rPr>
              <w:t>$</w:t>
            </w:r>
          </w:p>
        </w:tc>
        <w:tc>
          <w:tcPr>
            <w:tcW w:w="758" w:type="pct"/>
            <w:tcBorders>
              <w:top w:val="nil"/>
              <w:left w:val="nil"/>
              <w:bottom w:val="nil"/>
              <w:right w:val="nil"/>
              <w:tl2br w:val="nil"/>
              <w:tr2bl w:val="nil"/>
            </w:tcBorders>
            <w:vAlign w:val="bottom"/>
          </w:tcPr>
          <w:p w:rsidR="0018024C" w:rsidRPr="00C6642F" w:rsidRDefault="0018024C" w:rsidP="0018024C">
            <w:pPr>
              <w:keepNext/>
              <w:keepLines/>
              <w:ind w:right="63"/>
              <w:jc w:val="right"/>
              <w:rPr>
                <w:b/>
                <w:sz w:val="20"/>
              </w:rPr>
            </w:pPr>
            <w:r w:rsidRPr="00C6642F">
              <w:rPr>
                <w:b/>
                <w:sz w:val="20"/>
              </w:rPr>
              <w:t xml:space="preserve"> 222</w:t>
            </w:r>
          </w:p>
        </w:tc>
        <w:tc>
          <w:tcPr>
            <w:tcW w:w="115" w:type="pct"/>
            <w:tcBorders>
              <w:top w:val="nil"/>
              <w:left w:val="nil"/>
              <w:bottom w:val="nil"/>
              <w:right w:val="nil"/>
              <w:tl2br w:val="nil"/>
              <w:tr2bl w:val="nil"/>
            </w:tcBorders>
            <w:vAlign w:val="bottom"/>
          </w:tcPr>
          <w:p w:rsidR="0018024C" w:rsidRPr="00C6642F" w:rsidRDefault="0018024C" w:rsidP="0018024C">
            <w:pPr>
              <w:keepNext/>
              <w:keepLines/>
              <w:jc w:val="right"/>
              <w:rPr>
                <w:b/>
                <w:sz w:val="20"/>
              </w:rPr>
            </w:pPr>
          </w:p>
        </w:tc>
        <w:tc>
          <w:tcPr>
            <w:tcW w:w="106" w:type="pct"/>
            <w:tcBorders>
              <w:top w:val="nil"/>
              <w:left w:val="nil"/>
              <w:bottom w:val="nil"/>
              <w:right w:val="nil"/>
              <w:tl2br w:val="nil"/>
              <w:tr2bl w:val="nil"/>
            </w:tcBorders>
            <w:vAlign w:val="bottom"/>
          </w:tcPr>
          <w:p w:rsidR="0018024C" w:rsidRPr="00C6642F" w:rsidRDefault="0018024C" w:rsidP="0018024C">
            <w:pPr>
              <w:keepNext/>
              <w:keepLines/>
              <w:rPr>
                <w:b/>
                <w:sz w:val="20"/>
              </w:rPr>
            </w:pPr>
            <w:r w:rsidRPr="00C6642F">
              <w:rPr>
                <w:b/>
                <w:sz w:val="20"/>
              </w:rPr>
              <w:t>$</w:t>
            </w:r>
          </w:p>
        </w:tc>
        <w:tc>
          <w:tcPr>
            <w:tcW w:w="757" w:type="pct"/>
            <w:tcBorders>
              <w:top w:val="nil"/>
              <w:left w:val="nil"/>
              <w:bottom w:val="nil"/>
              <w:right w:val="nil"/>
              <w:tl2br w:val="nil"/>
              <w:tr2bl w:val="nil"/>
            </w:tcBorders>
            <w:vAlign w:val="bottom"/>
          </w:tcPr>
          <w:p w:rsidR="0018024C" w:rsidRPr="00C6642F" w:rsidRDefault="0018024C" w:rsidP="0018024C">
            <w:pPr>
              <w:keepNext/>
              <w:keepLines/>
              <w:ind w:right="63"/>
              <w:jc w:val="right"/>
              <w:rPr>
                <w:b/>
                <w:sz w:val="20"/>
              </w:rPr>
            </w:pPr>
            <w:r w:rsidRPr="00C6642F">
              <w:rPr>
                <w:b/>
                <w:sz w:val="20"/>
              </w:rPr>
              <w:t xml:space="preserve"> 1,107</w:t>
            </w:r>
          </w:p>
        </w:tc>
      </w:tr>
      <w:tr w:rsidR="0018024C" w:rsidRPr="00C6642F" w:rsidTr="0018024C">
        <w:trPr>
          <w:trHeight w:hRule="exact" w:val="255"/>
        </w:trPr>
        <w:tc>
          <w:tcPr>
            <w:tcW w:w="12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sz w:val="20"/>
              </w:rPr>
            </w:pPr>
            <w:r w:rsidRPr="00C6642F">
              <w:rPr>
                <w:sz w:val="20"/>
              </w:rPr>
              <w:t>Midstream</w:t>
            </w:r>
          </w:p>
        </w:tc>
        <w:tc>
          <w:tcPr>
            <w:tcW w:w="106"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b/>
                <w:sz w:val="20"/>
              </w:rPr>
            </w:pPr>
          </w:p>
        </w:tc>
        <w:tc>
          <w:tcPr>
            <w:tcW w:w="75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ind w:right="63"/>
              <w:jc w:val="right"/>
              <w:rPr>
                <w:b/>
                <w:sz w:val="20"/>
              </w:rPr>
            </w:pPr>
            <w:r w:rsidRPr="00C6642F">
              <w:rPr>
                <w:b/>
                <w:sz w:val="20"/>
              </w:rPr>
              <w:t xml:space="preserve"> 1,379</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b/>
                <w:sz w:val="20"/>
              </w:rPr>
            </w:pPr>
          </w:p>
        </w:tc>
        <w:tc>
          <w:tcPr>
            <w:tcW w:w="106"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b/>
                <w:sz w:val="20"/>
              </w:rPr>
            </w:pPr>
          </w:p>
        </w:tc>
        <w:tc>
          <w:tcPr>
            <w:tcW w:w="75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ind w:right="63"/>
              <w:jc w:val="right"/>
              <w:rPr>
                <w:b/>
                <w:sz w:val="20"/>
              </w:rPr>
            </w:pPr>
            <w:r w:rsidRPr="00C6642F">
              <w:rPr>
                <w:b/>
                <w:sz w:val="20"/>
              </w:rPr>
              <w:t xml:space="preserve"> 42</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b/>
                <w:sz w:val="20"/>
              </w:rPr>
            </w:pPr>
          </w:p>
        </w:tc>
        <w:tc>
          <w:tcPr>
            <w:tcW w:w="106"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b/>
                <w:sz w:val="20"/>
              </w:rPr>
            </w:pPr>
          </w:p>
        </w:tc>
        <w:tc>
          <w:tcPr>
            <w:tcW w:w="75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ind w:right="63"/>
              <w:jc w:val="right"/>
              <w:rPr>
                <w:b/>
                <w:sz w:val="20"/>
              </w:rPr>
            </w:pPr>
            <w:r w:rsidRPr="00C6642F">
              <w:rPr>
                <w:b/>
                <w:sz w:val="20"/>
              </w:rPr>
              <w:t xml:space="preserve"> 29</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b/>
                <w:sz w:val="20"/>
              </w:rPr>
            </w:pPr>
          </w:p>
        </w:tc>
        <w:tc>
          <w:tcPr>
            <w:tcW w:w="106"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b/>
                <w:sz w:val="20"/>
              </w:rPr>
            </w:pPr>
          </w:p>
        </w:tc>
        <w:tc>
          <w:tcPr>
            <w:tcW w:w="757"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ind w:right="63"/>
              <w:jc w:val="right"/>
              <w:rPr>
                <w:b/>
                <w:sz w:val="20"/>
              </w:rPr>
            </w:pPr>
            <w:r w:rsidRPr="00C6642F">
              <w:rPr>
                <w:b/>
                <w:sz w:val="20"/>
              </w:rPr>
              <w:t xml:space="preserve"> 1,450</w:t>
            </w:r>
          </w:p>
        </w:tc>
      </w:tr>
      <w:tr w:rsidR="0018024C" w:rsidRPr="00C6642F" w:rsidTr="0018024C">
        <w:trPr>
          <w:trHeight w:hRule="exact" w:val="255"/>
        </w:trPr>
        <w:tc>
          <w:tcPr>
            <w:tcW w:w="1200" w:type="pct"/>
            <w:tcBorders>
              <w:top w:val="nil"/>
              <w:left w:val="nil"/>
              <w:bottom w:val="nil"/>
              <w:right w:val="nil"/>
              <w:tl2br w:val="nil"/>
              <w:tr2bl w:val="nil"/>
            </w:tcBorders>
            <w:vAlign w:val="bottom"/>
          </w:tcPr>
          <w:p w:rsidR="0018024C" w:rsidRPr="00C6642F" w:rsidRDefault="0018024C" w:rsidP="0018024C">
            <w:pPr>
              <w:keepNext/>
              <w:keepLines/>
              <w:rPr>
                <w:sz w:val="20"/>
              </w:rPr>
            </w:pPr>
            <w:r w:rsidRPr="00C6642F">
              <w:rPr>
                <w:sz w:val="20"/>
              </w:rPr>
              <w:t xml:space="preserve">Downstream </w:t>
            </w:r>
          </w:p>
        </w:tc>
        <w:tc>
          <w:tcPr>
            <w:tcW w:w="106" w:type="pct"/>
            <w:tcBorders>
              <w:top w:val="nil"/>
              <w:left w:val="nil"/>
              <w:bottom w:val="single" w:sz="12" w:space="0" w:color="000000"/>
              <w:right w:val="nil"/>
              <w:tl2br w:val="nil"/>
              <w:tr2bl w:val="nil"/>
            </w:tcBorders>
            <w:vAlign w:val="bottom"/>
          </w:tcPr>
          <w:p w:rsidR="0018024C" w:rsidRPr="00C6642F" w:rsidRDefault="0018024C" w:rsidP="0018024C">
            <w:pPr>
              <w:keepNext/>
              <w:keepLines/>
              <w:rPr>
                <w:b/>
                <w:sz w:val="20"/>
              </w:rPr>
            </w:pPr>
          </w:p>
        </w:tc>
        <w:tc>
          <w:tcPr>
            <w:tcW w:w="758" w:type="pct"/>
            <w:tcBorders>
              <w:top w:val="nil"/>
              <w:left w:val="nil"/>
              <w:bottom w:val="single" w:sz="12" w:space="0" w:color="000000"/>
              <w:right w:val="nil"/>
              <w:tl2br w:val="nil"/>
              <w:tr2bl w:val="nil"/>
            </w:tcBorders>
            <w:vAlign w:val="bottom"/>
          </w:tcPr>
          <w:p w:rsidR="0018024C" w:rsidRPr="00C6642F" w:rsidRDefault="0018024C" w:rsidP="0018024C">
            <w:pPr>
              <w:keepNext/>
              <w:keepLines/>
              <w:ind w:right="63"/>
              <w:jc w:val="right"/>
              <w:rPr>
                <w:b/>
                <w:sz w:val="20"/>
              </w:rPr>
            </w:pPr>
            <w:r w:rsidRPr="00C6642F">
              <w:rPr>
                <w:b/>
                <w:sz w:val="20"/>
              </w:rPr>
              <w:t xml:space="preserve"> 854</w:t>
            </w:r>
          </w:p>
        </w:tc>
        <w:tc>
          <w:tcPr>
            <w:tcW w:w="115" w:type="pct"/>
            <w:tcBorders>
              <w:top w:val="nil"/>
              <w:left w:val="nil"/>
              <w:bottom w:val="nil"/>
              <w:right w:val="nil"/>
              <w:tl2br w:val="nil"/>
              <w:tr2bl w:val="nil"/>
            </w:tcBorders>
            <w:vAlign w:val="bottom"/>
          </w:tcPr>
          <w:p w:rsidR="0018024C" w:rsidRPr="00C6642F" w:rsidRDefault="0018024C" w:rsidP="0018024C">
            <w:pPr>
              <w:keepNext/>
              <w:keepLines/>
              <w:jc w:val="right"/>
              <w:rPr>
                <w:b/>
                <w:sz w:val="20"/>
              </w:rPr>
            </w:pPr>
          </w:p>
        </w:tc>
        <w:tc>
          <w:tcPr>
            <w:tcW w:w="106" w:type="pct"/>
            <w:tcBorders>
              <w:top w:val="nil"/>
              <w:left w:val="nil"/>
              <w:bottom w:val="single" w:sz="12" w:space="0" w:color="000000"/>
              <w:right w:val="nil"/>
              <w:tl2br w:val="nil"/>
              <w:tr2bl w:val="nil"/>
            </w:tcBorders>
            <w:vAlign w:val="bottom"/>
          </w:tcPr>
          <w:p w:rsidR="0018024C" w:rsidRPr="00C6642F" w:rsidRDefault="0018024C" w:rsidP="0018024C">
            <w:pPr>
              <w:keepNext/>
              <w:keepLines/>
              <w:rPr>
                <w:b/>
                <w:sz w:val="20"/>
              </w:rPr>
            </w:pPr>
          </w:p>
        </w:tc>
        <w:tc>
          <w:tcPr>
            <w:tcW w:w="758" w:type="pct"/>
            <w:tcBorders>
              <w:top w:val="nil"/>
              <w:left w:val="nil"/>
              <w:bottom w:val="single" w:sz="12" w:space="0" w:color="000000"/>
              <w:right w:val="nil"/>
              <w:tl2br w:val="nil"/>
              <w:tr2bl w:val="nil"/>
            </w:tcBorders>
            <w:vAlign w:val="bottom"/>
          </w:tcPr>
          <w:p w:rsidR="0018024C" w:rsidRPr="00C6642F" w:rsidRDefault="0018024C" w:rsidP="0018024C">
            <w:pPr>
              <w:keepNext/>
              <w:keepLines/>
              <w:ind w:right="63"/>
              <w:jc w:val="right"/>
              <w:rPr>
                <w:b/>
                <w:sz w:val="20"/>
              </w:rPr>
            </w:pPr>
            <w:r w:rsidRPr="00C6642F">
              <w:rPr>
                <w:b/>
                <w:sz w:val="20"/>
              </w:rPr>
              <w:t xml:space="preserve"> 22</w:t>
            </w:r>
          </w:p>
        </w:tc>
        <w:tc>
          <w:tcPr>
            <w:tcW w:w="115" w:type="pct"/>
            <w:tcBorders>
              <w:top w:val="nil"/>
              <w:left w:val="nil"/>
              <w:bottom w:val="nil"/>
              <w:right w:val="nil"/>
              <w:tl2br w:val="nil"/>
              <w:tr2bl w:val="nil"/>
            </w:tcBorders>
            <w:vAlign w:val="bottom"/>
          </w:tcPr>
          <w:p w:rsidR="0018024C" w:rsidRPr="00C6642F" w:rsidRDefault="0018024C" w:rsidP="0018024C">
            <w:pPr>
              <w:keepNext/>
              <w:keepLines/>
              <w:jc w:val="right"/>
              <w:rPr>
                <w:b/>
                <w:sz w:val="20"/>
              </w:rPr>
            </w:pPr>
          </w:p>
        </w:tc>
        <w:tc>
          <w:tcPr>
            <w:tcW w:w="106" w:type="pct"/>
            <w:tcBorders>
              <w:top w:val="nil"/>
              <w:left w:val="nil"/>
              <w:bottom w:val="single" w:sz="12" w:space="0" w:color="000000"/>
              <w:right w:val="nil"/>
              <w:tl2br w:val="nil"/>
              <w:tr2bl w:val="nil"/>
            </w:tcBorders>
            <w:vAlign w:val="bottom"/>
          </w:tcPr>
          <w:p w:rsidR="0018024C" w:rsidRPr="00C6642F" w:rsidRDefault="0018024C" w:rsidP="0018024C">
            <w:pPr>
              <w:keepNext/>
              <w:keepLines/>
              <w:rPr>
                <w:b/>
                <w:sz w:val="20"/>
              </w:rPr>
            </w:pPr>
          </w:p>
        </w:tc>
        <w:tc>
          <w:tcPr>
            <w:tcW w:w="758" w:type="pct"/>
            <w:tcBorders>
              <w:top w:val="nil"/>
              <w:left w:val="nil"/>
              <w:bottom w:val="single" w:sz="12" w:space="0" w:color="000000"/>
              <w:right w:val="nil"/>
              <w:tl2br w:val="nil"/>
              <w:tr2bl w:val="nil"/>
            </w:tcBorders>
            <w:vAlign w:val="bottom"/>
          </w:tcPr>
          <w:p w:rsidR="0018024C" w:rsidRPr="00C6642F" w:rsidRDefault="0018024C" w:rsidP="0018024C">
            <w:pPr>
              <w:keepNext/>
              <w:keepLines/>
              <w:ind w:right="63"/>
              <w:jc w:val="right"/>
              <w:rPr>
                <w:b/>
                <w:sz w:val="20"/>
              </w:rPr>
            </w:pPr>
            <w:r w:rsidRPr="00C6642F">
              <w:rPr>
                <w:b/>
                <w:sz w:val="20"/>
              </w:rPr>
              <w:t xml:space="preserve"> 229</w:t>
            </w:r>
          </w:p>
        </w:tc>
        <w:tc>
          <w:tcPr>
            <w:tcW w:w="115" w:type="pct"/>
            <w:tcBorders>
              <w:top w:val="nil"/>
              <w:left w:val="nil"/>
              <w:bottom w:val="nil"/>
              <w:right w:val="nil"/>
              <w:tl2br w:val="nil"/>
              <w:tr2bl w:val="nil"/>
            </w:tcBorders>
            <w:vAlign w:val="bottom"/>
          </w:tcPr>
          <w:p w:rsidR="0018024C" w:rsidRPr="00C6642F" w:rsidRDefault="0018024C" w:rsidP="0018024C">
            <w:pPr>
              <w:keepNext/>
              <w:keepLines/>
              <w:jc w:val="right"/>
              <w:rPr>
                <w:b/>
                <w:sz w:val="20"/>
              </w:rPr>
            </w:pPr>
          </w:p>
        </w:tc>
        <w:tc>
          <w:tcPr>
            <w:tcW w:w="106" w:type="pct"/>
            <w:tcBorders>
              <w:top w:val="nil"/>
              <w:left w:val="nil"/>
              <w:bottom w:val="single" w:sz="12" w:space="0" w:color="000000"/>
              <w:right w:val="nil"/>
              <w:tl2br w:val="nil"/>
              <w:tr2bl w:val="nil"/>
            </w:tcBorders>
            <w:vAlign w:val="bottom"/>
          </w:tcPr>
          <w:p w:rsidR="0018024C" w:rsidRPr="00C6642F" w:rsidRDefault="0018024C" w:rsidP="0018024C">
            <w:pPr>
              <w:keepNext/>
              <w:keepLines/>
              <w:rPr>
                <w:b/>
                <w:sz w:val="20"/>
              </w:rPr>
            </w:pPr>
          </w:p>
        </w:tc>
        <w:tc>
          <w:tcPr>
            <w:tcW w:w="757" w:type="pct"/>
            <w:tcBorders>
              <w:top w:val="nil"/>
              <w:left w:val="nil"/>
              <w:bottom w:val="single" w:sz="12" w:space="0" w:color="000000"/>
              <w:right w:val="nil"/>
              <w:tl2br w:val="nil"/>
              <w:tr2bl w:val="nil"/>
            </w:tcBorders>
            <w:vAlign w:val="bottom"/>
          </w:tcPr>
          <w:p w:rsidR="0018024C" w:rsidRPr="00C6642F" w:rsidRDefault="0018024C" w:rsidP="0018024C">
            <w:pPr>
              <w:keepNext/>
              <w:keepLines/>
              <w:ind w:right="63"/>
              <w:jc w:val="right"/>
              <w:rPr>
                <w:b/>
                <w:sz w:val="20"/>
              </w:rPr>
            </w:pPr>
            <w:r w:rsidRPr="00C6642F">
              <w:rPr>
                <w:b/>
                <w:sz w:val="20"/>
              </w:rPr>
              <w:t xml:space="preserve"> 1,105</w:t>
            </w:r>
          </w:p>
        </w:tc>
      </w:tr>
      <w:tr w:rsidR="0018024C" w:rsidRPr="00C6642F" w:rsidTr="0018024C">
        <w:trPr>
          <w:trHeight w:hRule="exact" w:val="255"/>
        </w:trPr>
        <w:tc>
          <w:tcPr>
            <w:tcW w:w="12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rPr>
                <w:b/>
                <w:sz w:val="20"/>
              </w:rPr>
            </w:pPr>
            <w:r w:rsidRPr="00C6642F">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ind w:right="63"/>
              <w:jc w:val="right"/>
              <w:rPr>
                <w:b/>
                <w:sz w:val="20"/>
              </w:rPr>
            </w:pPr>
            <w:r w:rsidRPr="00C6642F">
              <w:rPr>
                <w:b/>
                <w:sz w:val="20"/>
              </w:rPr>
              <w:t xml:space="preserve"> 2,956</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rPr>
                <w:b/>
                <w:sz w:val="20"/>
              </w:rPr>
            </w:pPr>
            <w:r w:rsidRPr="00C6642F">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ind w:right="63"/>
              <w:jc w:val="right"/>
              <w:rPr>
                <w:b/>
                <w:sz w:val="20"/>
              </w:rPr>
            </w:pPr>
            <w:r w:rsidRPr="00C6642F">
              <w:rPr>
                <w:b/>
                <w:sz w:val="20"/>
              </w:rPr>
              <w:t xml:space="preserve"> 226</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rPr>
                <w:b/>
                <w:sz w:val="20"/>
              </w:rPr>
            </w:pPr>
            <w:r w:rsidRPr="00C6642F">
              <w:rPr>
                <w:b/>
                <w:sz w:val="20"/>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ind w:right="63"/>
              <w:jc w:val="right"/>
              <w:rPr>
                <w:b/>
                <w:sz w:val="20"/>
              </w:rPr>
            </w:pPr>
            <w:r w:rsidRPr="00C6642F">
              <w:rPr>
                <w:b/>
                <w:sz w:val="20"/>
              </w:rPr>
              <w:t xml:space="preserve"> 480</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b/>
                <w:sz w:val="20"/>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rPr>
                <w:b/>
                <w:sz w:val="20"/>
              </w:rPr>
            </w:pPr>
            <w:r w:rsidRPr="00C6642F">
              <w:rPr>
                <w:b/>
                <w:sz w:val="20"/>
              </w:rPr>
              <w:t>$</w:t>
            </w:r>
          </w:p>
        </w:tc>
        <w:tc>
          <w:tcPr>
            <w:tcW w:w="757"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ind w:right="63"/>
              <w:jc w:val="right"/>
              <w:rPr>
                <w:b/>
                <w:sz w:val="20"/>
              </w:rPr>
            </w:pPr>
            <w:r w:rsidRPr="00C6642F">
              <w:rPr>
                <w:b/>
                <w:sz w:val="20"/>
              </w:rPr>
              <w:t xml:space="preserve"> 3,662</w:t>
            </w:r>
          </w:p>
        </w:tc>
      </w:tr>
      <w:tr w:rsidR="0018024C" w:rsidRPr="00C6642F" w:rsidTr="0018024C">
        <w:trPr>
          <w:trHeight w:hRule="exact" w:val="255"/>
        </w:trPr>
        <w:tc>
          <w:tcPr>
            <w:tcW w:w="1200" w:type="pct"/>
            <w:tcBorders>
              <w:top w:val="nil"/>
              <w:left w:val="nil"/>
              <w:bottom w:val="nil"/>
              <w:right w:val="nil"/>
              <w:tl2br w:val="nil"/>
              <w:tr2bl w:val="nil"/>
            </w:tcBorders>
            <w:vAlign w:val="bottom"/>
          </w:tcPr>
          <w:p w:rsidR="0018024C" w:rsidRPr="00C6642F" w:rsidRDefault="0018024C" w:rsidP="0018024C">
            <w:pPr>
              <w:keepNext/>
              <w:keepLines/>
              <w:rPr>
                <w:b/>
                <w:sz w:val="20"/>
              </w:rPr>
            </w:pPr>
            <w:r w:rsidRPr="00C6642F">
              <w:rPr>
                <w:b/>
                <w:sz w:val="20"/>
              </w:rPr>
              <w:t>2018:</w:t>
            </w:r>
          </w:p>
        </w:tc>
        <w:tc>
          <w:tcPr>
            <w:tcW w:w="106" w:type="pct"/>
            <w:tcBorders>
              <w:top w:val="nil"/>
              <w:left w:val="nil"/>
              <w:bottom w:val="nil"/>
              <w:right w:val="nil"/>
              <w:tl2br w:val="nil"/>
              <w:tr2bl w:val="nil"/>
            </w:tcBorders>
            <w:vAlign w:val="bottom"/>
          </w:tcPr>
          <w:p w:rsidR="0018024C" w:rsidRPr="00C6642F" w:rsidRDefault="0018024C" w:rsidP="0018024C">
            <w:pPr>
              <w:keepNext/>
              <w:keepLines/>
              <w:rPr>
                <w:sz w:val="20"/>
              </w:rPr>
            </w:pPr>
          </w:p>
        </w:tc>
        <w:tc>
          <w:tcPr>
            <w:tcW w:w="758" w:type="pct"/>
            <w:tcBorders>
              <w:top w:val="nil"/>
              <w:left w:val="nil"/>
              <w:bottom w:val="nil"/>
              <w:right w:val="nil"/>
              <w:tl2br w:val="nil"/>
              <w:tr2bl w:val="nil"/>
            </w:tcBorders>
            <w:vAlign w:val="bottom"/>
          </w:tcPr>
          <w:p w:rsidR="0018024C" w:rsidRPr="00C6642F" w:rsidRDefault="0018024C" w:rsidP="0018024C">
            <w:pPr>
              <w:keepNext/>
              <w:keepLines/>
              <w:jc w:val="right"/>
              <w:rPr>
                <w:sz w:val="20"/>
              </w:rPr>
            </w:pPr>
          </w:p>
        </w:tc>
        <w:tc>
          <w:tcPr>
            <w:tcW w:w="115" w:type="pct"/>
            <w:tcBorders>
              <w:top w:val="nil"/>
              <w:left w:val="nil"/>
              <w:bottom w:val="nil"/>
              <w:right w:val="nil"/>
              <w:tl2br w:val="nil"/>
              <w:tr2bl w:val="nil"/>
            </w:tcBorders>
            <w:vAlign w:val="bottom"/>
          </w:tcPr>
          <w:p w:rsidR="0018024C" w:rsidRPr="00C6642F" w:rsidRDefault="0018024C" w:rsidP="0018024C">
            <w:pPr>
              <w:keepNext/>
              <w:keepLines/>
              <w:jc w:val="right"/>
              <w:rPr>
                <w:sz w:val="20"/>
              </w:rPr>
            </w:pPr>
          </w:p>
        </w:tc>
        <w:tc>
          <w:tcPr>
            <w:tcW w:w="106" w:type="pct"/>
            <w:tcBorders>
              <w:top w:val="nil"/>
              <w:left w:val="nil"/>
              <w:bottom w:val="nil"/>
              <w:right w:val="nil"/>
              <w:tl2br w:val="nil"/>
              <w:tr2bl w:val="nil"/>
            </w:tcBorders>
            <w:vAlign w:val="bottom"/>
          </w:tcPr>
          <w:p w:rsidR="0018024C" w:rsidRPr="00C6642F" w:rsidRDefault="0018024C" w:rsidP="0018024C">
            <w:pPr>
              <w:keepNext/>
              <w:keepLines/>
              <w:rPr>
                <w:sz w:val="20"/>
              </w:rPr>
            </w:pPr>
          </w:p>
        </w:tc>
        <w:tc>
          <w:tcPr>
            <w:tcW w:w="758" w:type="pct"/>
            <w:tcBorders>
              <w:top w:val="nil"/>
              <w:left w:val="nil"/>
              <w:bottom w:val="nil"/>
              <w:right w:val="nil"/>
              <w:tl2br w:val="nil"/>
              <w:tr2bl w:val="nil"/>
            </w:tcBorders>
            <w:vAlign w:val="bottom"/>
          </w:tcPr>
          <w:p w:rsidR="0018024C" w:rsidRPr="00C6642F" w:rsidRDefault="0018024C" w:rsidP="0018024C">
            <w:pPr>
              <w:keepNext/>
              <w:keepLines/>
              <w:jc w:val="right"/>
              <w:rPr>
                <w:sz w:val="20"/>
              </w:rPr>
            </w:pPr>
          </w:p>
        </w:tc>
        <w:tc>
          <w:tcPr>
            <w:tcW w:w="115" w:type="pct"/>
            <w:tcBorders>
              <w:top w:val="nil"/>
              <w:left w:val="nil"/>
              <w:bottom w:val="nil"/>
              <w:right w:val="nil"/>
              <w:tl2br w:val="nil"/>
              <w:tr2bl w:val="nil"/>
            </w:tcBorders>
            <w:vAlign w:val="bottom"/>
          </w:tcPr>
          <w:p w:rsidR="0018024C" w:rsidRPr="00C6642F" w:rsidRDefault="0018024C" w:rsidP="0018024C">
            <w:pPr>
              <w:keepNext/>
              <w:keepLines/>
              <w:jc w:val="right"/>
              <w:rPr>
                <w:sz w:val="20"/>
              </w:rPr>
            </w:pPr>
          </w:p>
        </w:tc>
        <w:tc>
          <w:tcPr>
            <w:tcW w:w="106" w:type="pct"/>
            <w:tcBorders>
              <w:top w:val="nil"/>
              <w:left w:val="nil"/>
              <w:bottom w:val="nil"/>
              <w:right w:val="nil"/>
              <w:tl2br w:val="nil"/>
              <w:tr2bl w:val="nil"/>
            </w:tcBorders>
            <w:vAlign w:val="bottom"/>
          </w:tcPr>
          <w:p w:rsidR="0018024C" w:rsidRPr="00C6642F" w:rsidRDefault="0018024C" w:rsidP="0018024C">
            <w:pPr>
              <w:keepNext/>
              <w:keepLines/>
              <w:rPr>
                <w:sz w:val="20"/>
              </w:rPr>
            </w:pPr>
          </w:p>
        </w:tc>
        <w:tc>
          <w:tcPr>
            <w:tcW w:w="758" w:type="pct"/>
            <w:tcBorders>
              <w:top w:val="nil"/>
              <w:left w:val="nil"/>
              <w:bottom w:val="nil"/>
              <w:right w:val="nil"/>
              <w:tl2br w:val="nil"/>
              <w:tr2bl w:val="nil"/>
            </w:tcBorders>
            <w:vAlign w:val="bottom"/>
          </w:tcPr>
          <w:p w:rsidR="0018024C" w:rsidRPr="00C6642F" w:rsidRDefault="0018024C" w:rsidP="0018024C">
            <w:pPr>
              <w:keepNext/>
              <w:keepLines/>
              <w:jc w:val="right"/>
              <w:rPr>
                <w:sz w:val="20"/>
              </w:rPr>
            </w:pPr>
          </w:p>
        </w:tc>
        <w:tc>
          <w:tcPr>
            <w:tcW w:w="115" w:type="pct"/>
            <w:tcBorders>
              <w:top w:val="nil"/>
              <w:left w:val="nil"/>
              <w:bottom w:val="nil"/>
              <w:right w:val="nil"/>
              <w:tl2br w:val="nil"/>
              <w:tr2bl w:val="nil"/>
            </w:tcBorders>
            <w:vAlign w:val="bottom"/>
          </w:tcPr>
          <w:p w:rsidR="0018024C" w:rsidRPr="00C6642F" w:rsidRDefault="0018024C" w:rsidP="0018024C">
            <w:pPr>
              <w:keepNext/>
              <w:keepLines/>
              <w:jc w:val="right"/>
              <w:rPr>
                <w:sz w:val="20"/>
              </w:rPr>
            </w:pPr>
          </w:p>
        </w:tc>
        <w:tc>
          <w:tcPr>
            <w:tcW w:w="106" w:type="pct"/>
            <w:tcBorders>
              <w:top w:val="nil"/>
              <w:left w:val="nil"/>
              <w:bottom w:val="nil"/>
              <w:right w:val="nil"/>
              <w:tl2br w:val="nil"/>
              <w:tr2bl w:val="nil"/>
            </w:tcBorders>
            <w:vAlign w:val="bottom"/>
          </w:tcPr>
          <w:p w:rsidR="0018024C" w:rsidRPr="00C6642F" w:rsidRDefault="0018024C" w:rsidP="0018024C">
            <w:pPr>
              <w:keepNext/>
              <w:keepLines/>
              <w:rPr>
                <w:sz w:val="20"/>
              </w:rPr>
            </w:pPr>
          </w:p>
        </w:tc>
        <w:tc>
          <w:tcPr>
            <w:tcW w:w="757" w:type="pct"/>
            <w:tcBorders>
              <w:top w:val="nil"/>
              <w:left w:val="nil"/>
              <w:bottom w:val="nil"/>
              <w:right w:val="nil"/>
              <w:tl2br w:val="nil"/>
              <w:tr2bl w:val="nil"/>
            </w:tcBorders>
            <w:vAlign w:val="bottom"/>
          </w:tcPr>
          <w:p w:rsidR="0018024C" w:rsidRPr="00C6642F" w:rsidRDefault="0018024C" w:rsidP="0018024C">
            <w:pPr>
              <w:keepNext/>
              <w:keepLines/>
              <w:jc w:val="right"/>
              <w:rPr>
                <w:sz w:val="20"/>
              </w:rPr>
            </w:pPr>
          </w:p>
        </w:tc>
      </w:tr>
      <w:tr w:rsidR="0018024C" w:rsidRPr="00C6642F" w:rsidTr="0018024C">
        <w:trPr>
          <w:trHeight w:hRule="exact" w:val="255"/>
        </w:trPr>
        <w:tc>
          <w:tcPr>
            <w:tcW w:w="12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sz w:val="20"/>
              </w:rPr>
            </w:pPr>
            <w:r w:rsidRPr="00C6642F">
              <w:rPr>
                <w:sz w:val="20"/>
              </w:rPr>
              <w:t>Upstream</w:t>
            </w:r>
          </w:p>
        </w:tc>
        <w:tc>
          <w:tcPr>
            <w:tcW w:w="106"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sz w:val="20"/>
              </w:rPr>
            </w:pPr>
            <w:r w:rsidRPr="00C6642F">
              <w:rPr>
                <w:sz w:val="20"/>
              </w:rPr>
              <w:t>$</w:t>
            </w:r>
          </w:p>
        </w:tc>
        <w:tc>
          <w:tcPr>
            <w:tcW w:w="75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ind w:right="65"/>
              <w:jc w:val="right"/>
              <w:rPr>
                <w:sz w:val="20"/>
              </w:rPr>
            </w:pPr>
            <w:r w:rsidRPr="00C6642F">
              <w:rPr>
                <w:sz w:val="20"/>
              </w:rPr>
              <w:t xml:space="preserve"> 777</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sz w:val="20"/>
              </w:rPr>
            </w:pPr>
          </w:p>
        </w:tc>
        <w:tc>
          <w:tcPr>
            <w:tcW w:w="106"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sz w:val="20"/>
              </w:rPr>
            </w:pPr>
            <w:r w:rsidRPr="00C6642F">
              <w:rPr>
                <w:sz w:val="20"/>
              </w:rPr>
              <w:t>$</w:t>
            </w:r>
          </w:p>
        </w:tc>
        <w:tc>
          <w:tcPr>
            <w:tcW w:w="75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ind w:right="65"/>
              <w:jc w:val="right"/>
              <w:rPr>
                <w:sz w:val="20"/>
              </w:rPr>
            </w:pPr>
            <w:r w:rsidRPr="00C6642F">
              <w:rPr>
                <w:sz w:val="20"/>
              </w:rPr>
              <w:t xml:space="preserve"> 239</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sz w:val="20"/>
              </w:rPr>
            </w:pPr>
          </w:p>
        </w:tc>
        <w:tc>
          <w:tcPr>
            <w:tcW w:w="106"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sz w:val="20"/>
              </w:rPr>
            </w:pPr>
            <w:r w:rsidRPr="00C6642F">
              <w:rPr>
                <w:sz w:val="20"/>
              </w:rPr>
              <w:t>$</w:t>
            </w:r>
          </w:p>
        </w:tc>
        <w:tc>
          <w:tcPr>
            <w:tcW w:w="75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ind w:right="65"/>
              <w:jc w:val="right"/>
              <w:rPr>
                <w:sz w:val="20"/>
              </w:rPr>
            </w:pPr>
            <w:r w:rsidRPr="00C6642F">
              <w:rPr>
                <w:sz w:val="20"/>
              </w:rPr>
              <w:t xml:space="preserve"> 270</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sz w:val="20"/>
              </w:rPr>
            </w:pPr>
          </w:p>
        </w:tc>
        <w:tc>
          <w:tcPr>
            <w:tcW w:w="106"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sz w:val="20"/>
              </w:rPr>
            </w:pPr>
            <w:r w:rsidRPr="00C6642F">
              <w:rPr>
                <w:sz w:val="20"/>
              </w:rPr>
              <w:t>$</w:t>
            </w:r>
          </w:p>
        </w:tc>
        <w:tc>
          <w:tcPr>
            <w:tcW w:w="757"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ind w:right="65"/>
              <w:jc w:val="right"/>
              <w:rPr>
                <w:sz w:val="20"/>
              </w:rPr>
            </w:pPr>
            <w:r w:rsidRPr="00C6642F">
              <w:rPr>
                <w:sz w:val="20"/>
              </w:rPr>
              <w:t xml:space="preserve"> 1,286</w:t>
            </w:r>
          </w:p>
        </w:tc>
      </w:tr>
      <w:tr w:rsidR="0018024C" w:rsidRPr="00C6642F" w:rsidTr="0018024C">
        <w:trPr>
          <w:trHeight w:hRule="exact" w:val="255"/>
        </w:trPr>
        <w:tc>
          <w:tcPr>
            <w:tcW w:w="1200" w:type="pct"/>
            <w:tcBorders>
              <w:top w:val="nil"/>
              <w:left w:val="nil"/>
              <w:bottom w:val="nil"/>
              <w:right w:val="nil"/>
              <w:tl2br w:val="nil"/>
              <w:tr2bl w:val="nil"/>
            </w:tcBorders>
            <w:vAlign w:val="bottom"/>
          </w:tcPr>
          <w:p w:rsidR="0018024C" w:rsidRPr="00C6642F" w:rsidRDefault="0018024C" w:rsidP="0018024C">
            <w:pPr>
              <w:keepNext/>
              <w:keepLines/>
              <w:rPr>
                <w:sz w:val="20"/>
              </w:rPr>
            </w:pPr>
            <w:r w:rsidRPr="00C6642F">
              <w:rPr>
                <w:sz w:val="20"/>
              </w:rPr>
              <w:t>Midstream</w:t>
            </w:r>
          </w:p>
        </w:tc>
        <w:tc>
          <w:tcPr>
            <w:tcW w:w="106" w:type="pct"/>
            <w:tcBorders>
              <w:top w:val="nil"/>
              <w:left w:val="nil"/>
              <w:bottom w:val="nil"/>
              <w:right w:val="nil"/>
              <w:tl2br w:val="nil"/>
              <w:tr2bl w:val="nil"/>
            </w:tcBorders>
            <w:vAlign w:val="bottom"/>
          </w:tcPr>
          <w:p w:rsidR="0018024C" w:rsidRPr="00C6642F" w:rsidRDefault="0018024C" w:rsidP="0018024C">
            <w:pPr>
              <w:keepNext/>
              <w:keepLines/>
              <w:rPr>
                <w:sz w:val="20"/>
              </w:rPr>
            </w:pPr>
          </w:p>
        </w:tc>
        <w:tc>
          <w:tcPr>
            <w:tcW w:w="758" w:type="pct"/>
            <w:tcBorders>
              <w:top w:val="nil"/>
              <w:left w:val="nil"/>
              <w:bottom w:val="nil"/>
              <w:right w:val="nil"/>
              <w:tl2br w:val="nil"/>
              <w:tr2bl w:val="nil"/>
            </w:tcBorders>
            <w:vAlign w:val="bottom"/>
          </w:tcPr>
          <w:p w:rsidR="0018024C" w:rsidRPr="00C6642F" w:rsidRDefault="0018024C" w:rsidP="0018024C">
            <w:pPr>
              <w:keepNext/>
              <w:keepLines/>
              <w:ind w:right="65"/>
              <w:jc w:val="right"/>
              <w:rPr>
                <w:sz w:val="20"/>
              </w:rPr>
            </w:pPr>
            <w:r w:rsidRPr="00C6642F">
              <w:rPr>
                <w:sz w:val="20"/>
              </w:rPr>
              <w:t xml:space="preserve"> 1,608</w:t>
            </w:r>
          </w:p>
        </w:tc>
        <w:tc>
          <w:tcPr>
            <w:tcW w:w="115" w:type="pct"/>
            <w:tcBorders>
              <w:top w:val="nil"/>
              <w:left w:val="nil"/>
              <w:bottom w:val="nil"/>
              <w:right w:val="nil"/>
              <w:tl2br w:val="nil"/>
              <w:tr2bl w:val="nil"/>
            </w:tcBorders>
            <w:vAlign w:val="bottom"/>
          </w:tcPr>
          <w:p w:rsidR="0018024C" w:rsidRPr="00C6642F" w:rsidRDefault="0018024C" w:rsidP="0018024C">
            <w:pPr>
              <w:keepNext/>
              <w:keepLines/>
              <w:jc w:val="right"/>
              <w:rPr>
                <w:sz w:val="20"/>
              </w:rPr>
            </w:pPr>
          </w:p>
        </w:tc>
        <w:tc>
          <w:tcPr>
            <w:tcW w:w="106" w:type="pct"/>
            <w:tcBorders>
              <w:top w:val="nil"/>
              <w:left w:val="nil"/>
              <w:bottom w:val="nil"/>
              <w:right w:val="nil"/>
              <w:tl2br w:val="nil"/>
              <w:tr2bl w:val="nil"/>
            </w:tcBorders>
            <w:vAlign w:val="bottom"/>
          </w:tcPr>
          <w:p w:rsidR="0018024C" w:rsidRPr="00C6642F" w:rsidRDefault="0018024C" w:rsidP="0018024C">
            <w:pPr>
              <w:keepNext/>
              <w:keepLines/>
              <w:rPr>
                <w:sz w:val="20"/>
              </w:rPr>
            </w:pPr>
          </w:p>
        </w:tc>
        <w:tc>
          <w:tcPr>
            <w:tcW w:w="758" w:type="pct"/>
            <w:tcBorders>
              <w:top w:val="nil"/>
              <w:left w:val="nil"/>
              <w:bottom w:val="nil"/>
              <w:right w:val="nil"/>
              <w:tl2br w:val="nil"/>
              <w:tr2bl w:val="nil"/>
            </w:tcBorders>
            <w:vAlign w:val="bottom"/>
          </w:tcPr>
          <w:p w:rsidR="0018024C" w:rsidRPr="00C6642F" w:rsidRDefault="0018024C" w:rsidP="0018024C">
            <w:pPr>
              <w:keepNext/>
              <w:keepLines/>
              <w:ind w:right="65"/>
              <w:jc w:val="right"/>
              <w:rPr>
                <w:sz w:val="20"/>
              </w:rPr>
            </w:pPr>
            <w:r w:rsidRPr="00C6642F">
              <w:rPr>
                <w:sz w:val="20"/>
              </w:rPr>
              <w:t xml:space="preserve"> 48</w:t>
            </w:r>
          </w:p>
        </w:tc>
        <w:tc>
          <w:tcPr>
            <w:tcW w:w="115" w:type="pct"/>
            <w:tcBorders>
              <w:top w:val="nil"/>
              <w:left w:val="nil"/>
              <w:bottom w:val="nil"/>
              <w:right w:val="nil"/>
              <w:tl2br w:val="nil"/>
              <w:tr2bl w:val="nil"/>
            </w:tcBorders>
            <w:vAlign w:val="bottom"/>
          </w:tcPr>
          <w:p w:rsidR="0018024C" w:rsidRPr="00C6642F" w:rsidRDefault="0018024C" w:rsidP="0018024C">
            <w:pPr>
              <w:keepNext/>
              <w:keepLines/>
              <w:jc w:val="right"/>
              <w:rPr>
                <w:sz w:val="20"/>
              </w:rPr>
            </w:pPr>
          </w:p>
        </w:tc>
        <w:tc>
          <w:tcPr>
            <w:tcW w:w="106" w:type="pct"/>
            <w:tcBorders>
              <w:top w:val="nil"/>
              <w:left w:val="nil"/>
              <w:bottom w:val="nil"/>
              <w:right w:val="nil"/>
              <w:tl2br w:val="nil"/>
              <w:tr2bl w:val="nil"/>
            </w:tcBorders>
            <w:vAlign w:val="bottom"/>
          </w:tcPr>
          <w:p w:rsidR="0018024C" w:rsidRPr="00C6642F" w:rsidRDefault="0018024C" w:rsidP="0018024C">
            <w:pPr>
              <w:keepNext/>
              <w:keepLines/>
              <w:rPr>
                <w:sz w:val="20"/>
              </w:rPr>
            </w:pPr>
          </w:p>
        </w:tc>
        <w:tc>
          <w:tcPr>
            <w:tcW w:w="758" w:type="pct"/>
            <w:tcBorders>
              <w:top w:val="nil"/>
              <w:left w:val="nil"/>
              <w:bottom w:val="nil"/>
              <w:right w:val="nil"/>
              <w:tl2br w:val="nil"/>
              <w:tr2bl w:val="nil"/>
            </w:tcBorders>
            <w:vAlign w:val="bottom"/>
          </w:tcPr>
          <w:p w:rsidR="0018024C" w:rsidRPr="00C6642F" w:rsidRDefault="0018024C" w:rsidP="0018024C">
            <w:pPr>
              <w:keepNext/>
              <w:keepLines/>
              <w:ind w:right="65"/>
              <w:jc w:val="right"/>
              <w:rPr>
                <w:sz w:val="20"/>
              </w:rPr>
            </w:pPr>
            <w:r w:rsidRPr="00C6642F">
              <w:rPr>
                <w:sz w:val="20"/>
              </w:rPr>
              <w:t xml:space="preserve"> 21</w:t>
            </w:r>
          </w:p>
        </w:tc>
        <w:tc>
          <w:tcPr>
            <w:tcW w:w="115" w:type="pct"/>
            <w:tcBorders>
              <w:top w:val="nil"/>
              <w:left w:val="nil"/>
              <w:bottom w:val="nil"/>
              <w:right w:val="nil"/>
              <w:tl2br w:val="nil"/>
              <w:tr2bl w:val="nil"/>
            </w:tcBorders>
            <w:vAlign w:val="bottom"/>
          </w:tcPr>
          <w:p w:rsidR="0018024C" w:rsidRPr="00C6642F" w:rsidRDefault="0018024C" w:rsidP="0018024C">
            <w:pPr>
              <w:keepNext/>
              <w:keepLines/>
              <w:jc w:val="right"/>
              <w:rPr>
                <w:sz w:val="20"/>
              </w:rPr>
            </w:pPr>
          </w:p>
        </w:tc>
        <w:tc>
          <w:tcPr>
            <w:tcW w:w="106" w:type="pct"/>
            <w:tcBorders>
              <w:top w:val="nil"/>
              <w:left w:val="nil"/>
              <w:bottom w:val="nil"/>
              <w:right w:val="nil"/>
              <w:tl2br w:val="nil"/>
              <w:tr2bl w:val="nil"/>
            </w:tcBorders>
            <w:vAlign w:val="bottom"/>
          </w:tcPr>
          <w:p w:rsidR="0018024C" w:rsidRPr="00C6642F" w:rsidRDefault="0018024C" w:rsidP="0018024C">
            <w:pPr>
              <w:keepNext/>
              <w:keepLines/>
              <w:rPr>
                <w:sz w:val="20"/>
              </w:rPr>
            </w:pPr>
          </w:p>
        </w:tc>
        <w:tc>
          <w:tcPr>
            <w:tcW w:w="757" w:type="pct"/>
            <w:tcBorders>
              <w:top w:val="nil"/>
              <w:left w:val="nil"/>
              <w:bottom w:val="nil"/>
              <w:right w:val="nil"/>
              <w:tl2br w:val="nil"/>
              <w:tr2bl w:val="nil"/>
            </w:tcBorders>
            <w:vAlign w:val="bottom"/>
          </w:tcPr>
          <w:p w:rsidR="0018024C" w:rsidRPr="00C6642F" w:rsidRDefault="0018024C" w:rsidP="0018024C">
            <w:pPr>
              <w:keepNext/>
              <w:keepLines/>
              <w:ind w:right="65"/>
              <w:jc w:val="right"/>
              <w:rPr>
                <w:sz w:val="20"/>
              </w:rPr>
            </w:pPr>
            <w:r w:rsidRPr="00C6642F">
              <w:rPr>
                <w:sz w:val="20"/>
              </w:rPr>
              <w:t xml:space="preserve"> 1,677</w:t>
            </w:r>
          </w:p>
        </w:tc>
      </w:tr>
      <w:tr w:rsidR="0018024C" w:rsidRPr="00C6642F" w:rsidTr="0018024C">
        <w:trPr>
          <w:trHeight w:hRule="exact" w:val="255"/>
        </w:trPr>
        <w:tc>
          <w:tcPr>
            <w:tcW w:w="12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rPr>
                <w:sz w:val="20"/>
              </w:rPr>
            </w:pPr>
            <w:r w:rsidRPr="00C6642F">
              <w:rPr>
                <w:sz w:val="20"/>
              </w:rPr>
              <w:t xml:space="preserve">Downstream </w:t>
            </w:r>
          </w:p>
        </w:tc>
        <w:tc>
          <w:tcPr>
            <w:tcW w:w="106"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rPr>
                <w:sz w:val="20"/>
              </w:rPr>
            </w:pPr>
          </w:p>
        </w:tc>
        <w:tc>
          <w:tcPr>
            <w:tcW w:w="758"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ind w:right="65"/>
              <w:jc w:val="right"/>
              <w:rPr>
                <w:sz w:val="20"/>
              </w:rPr>
            </w:pPr>
            <w:r w:rsidRPr="00C6642F">
              <w:rPr>
                <w:sz w:val="20"/>
              </w:rPr>
              <w:t xml:space="preserve"> 936</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sz w:val="20"/>
              </w:rPr>
            </w:pPr>
          </w:p>
        </w:tc>
        <w:tc>
          <w:tcPr>
            <w:tcW w:w="106"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rPr>
                <w:sz w:val="20"/>
              </w:rPr>
            </w:pPr>
          </w:p>
        </w:tc>
        <w:tc>
          <w:tcPr>
            <w:tcW w:w="758"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ind w:right="65"/>
              <w:jc w:val="right"/>
              <w:rPr>
                <w:sz w:val="20"/>
              </w:rPr>
            </w:pPr>
            <w:r w:rsidRPr="00C6642F">
              <w:rPr>
                <w:sz w:val="20"/>
              </w:rPr>
              <w:t xml:space="preserve"> 28</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sz w:val="20"/>
              </w:rPr>
            </w:pPr>
          </w:p>
        </w:tc>
        <w:tc>
          <w:tcPr>
            <w:tcW w:w="106"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rPr>
                <w:sz w:val="20"/>
              </w:rPr>
            </w:pPr>
          </w:p>
        </w:tc>
        <w:tc>
          <w:tcPr>
            <w:tcW w:w="758"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ind w:right="65"/>
              <w:jc w:val="right"/>
              <w:rPr>
                <w:sz w:val="20"/>
              </w:rPr>
            </w:pPr>
            <w:r w:rsidRPr="00C6642F">
              <w:rPr>
                <w:sz w:val="20"/>
              </w:rPr>
              <w:t xml:space="preserve"> 245</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jc w:val="right"/>
              <w:rPr>
                <w:sz w:val="20"/>
              </w:rPr>
            </w:pPr>
          </w:p>
        </w:tc>
        <w:tc>
          <w:tcPr>
            <w:tcW w:w="106"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rPr>
                <w:sz w:val="20"/>
              </w:rPr>
            </w:pPr>
          </w:p>
        </w:tc>
        <w:tc>
          <w:tcPr>
            <w:tcW w:w="757"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ind w:right="65"/>
              <w:jc w:val="right"/>
              <w:rPr>
                <w:sz w:val="20"/>
              </w:rPr>
            </w:pPr>
            <w:r w:rsidRPr="00C6642F">
              <w:rPr>
                <w:sz w:val="20"/>
              </w:rPr>
              <w:t xml:space="preserve"> 1,209</w:t>
            </w:r>
          </w:p>
        </w:tc>
      </w:tr>
      <w:tr w:rsidR="0018024C" w:rsidRPr="00C6642F" w:rsidTr="0018024C">
        <w:trPr>
          <w:trHeight w:hRule="exact" w:val="255"/>
        </w:trPr>
        <w:tc>
          <w:tcPr>
            <w:tcW w:w="1200" w:type="pct"/>
            <w:tcBorders>
              <w:top w:val="nil"/>
              <w:left w:val="nil"/>
              <w:bottom w:val="nil"/>
              <w:right w:val="nil"/>
              <w:tl2br w:val="nil"/>
              <w:tr2bl w:val="nil"/>
            </w:tcBorders>
            <w:vAlign w:val="bottom"/>
          </w:tcPr>
          <w:p w:rsidR="0018024C" w:rsidRPr="00C6642F" w:rsidRDefault="0018024C" w:rsidP="0018024C">
            <w:pPr>
              <w:keepNext/>
              <w:keepLines/>
              <w:rPr>
                <w:b/>
                <w:sz w:val="20"/>
              </w:rPr>
            </w:pPr>
          </w:p>
        </w:tc>
        <w:tc>
          <w:tcPr>
            <w:tcW w:w="106"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rPr>
                <w:sz w:val="20"/>
              </w:rPr>
            </w:pPr>
            <w:r w:rsidRPr="00C6642F">
              <w:rPr>
                <w:sz w:val="20"/>
              </w:rPr>
              <w:t>$</w:t>
            </w:r>
          </w:p>
        </w:tc>
        <w:tc>
          <w:tcPr>
            <w:tcW w:w="758"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ind w:right="65"/>
              <w:jc w:val="right"/>
              <w:rPr>
                <w:sz w:val="20"/>
              </w:rPr>
            </w:pPr>
            <w:r w:rsidRPr="00C6642F">
              <w:rPr>
                <w:sz w:val="20"/>
              </w:rPr>
              <w:t xml:space="preserve"> 3,321</w:t>
            </w:r>
          </w:p>
        </w:tc>
        <w:tc>
          <w:tcPr>
            <w:tcW w:w="115" w:type="pct"/>
            <w:tcBorders>
              <w:top w:val="nil"/>
              <w:left w:val="nil"/>
              <w:bottom w:val="nil"/>
              <w:right w:val="nil"/>
              <w:tl2br w:val="nil"/>
              <w:tr2bl w:val="nil"/>
            </w:tcBorders>
            <w:vAlign w:val="bottom"/>
          </w:tcPr>
          <w:p w:rsidR="0018024C" w:rsidRPr="00C6642F" w:rsidRDefault="0018024C" w:rsidP="0018024C">
            <w:pPr>
              <w:keepNext/>
              <w:keepLines/>
              <w:jc w:val="right"/>
              <w:rPr>
                <w:sz w:val="20"/>
              </w:rPr>
            </w:pPr>
          </w:p>
        </w:tc>
        <w:tc>
          <w:tcPr>
            <w:tcW w:w="106"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rPr>
                <w:sz w:val="20"/>
              </w:rPr>
            </w:pPr>
            <w:r w:rsidRPr="00C6642F">
              <w:rPr>
                <w:sz w:val="20"/>
              </w:rPr>
              <w:t>$</w:t>
            </w:r>
          </w:p>
        </w:tc>
        <w:tc>
          <w:tcPr>
            <w:tcW w:w="758"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ind w:right="65"/>
              <w:jc w:val="right"/>
              <w:rPr>
                <w:sz w:val="20"/>
              </w:rPr>
            </w:pPr>
            <w:r w:rsidRPr="00C6642F">
              <w:rPr>
                <w:sz w:val="20"/>
              </w:rPr>
              <w:t xml:space="preserve"> 315</w:t>
            </w:r>
          </w:p>
        </w:tc>
        <w:tc>
          <w:tcPr>
            <w:tcW w:w="115" w:type="pct"/>
            <w:tcBorders>
              <w:top w:val="nil"/>
              <w:left w:val="nil"/>
              <w:bottom w:val="nil"/>
              <w:right w:val="nil"/>
              <w:tl2br w:val="nil"/>
              <w:tr2bl w:val="nil"/>
            </w:tcBorders>
            <w:vAlign w:val="bottom"/>
          </w:tcPr>
          <w:p w:rsidR="0018024C" w:rsidRPr="00C6642F" w:rsidRDefault="0018024C" w:rsidP="0018024C">
            <w:pPr>
              <w:keepNext/>
              <w:keepLines/>
              <w:jc w:val="right"/>
              <w:rPr>
                <w:sz w:val="20"/>
              </w:rPr>
            </w:pPr>
          </w:p>
        </w:tc>
        <w:tc>
          <w:tcPr>
            <w:tcW w:w="106"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rPr>
                <w:sz w:val="20"/>
              </w:rPr>
            </w:pPr>
            <w:r w:rsidRPr="00C6642F">
              <w:rPr>
                <w:sz w:val="20"/>
              </w:rPr>
              <w:t>$</w:t>
            </w:r>
          </w:p>
        </w:tc>
        <w:tc>
          <w:tcPr>
            <w:tcW w:w="758"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ind w:right="65"/>
              <w:jc w:val="right"/>
              <w:rPr>
                <w:sz w:val="20"/>
              </w:rPr>
            </w:pPr>
            <w:r w:rsidRPr="00C6642F">
              <w:rPr>
                <w:sz w:val="20"/>
              </w:rPr>
              <w:t xml:space="preserve"> 536</w:t>
            </w:r>
          </w:p>
        </w:tc>
        <w:tc>
          <w:tcPr>
            <w:tcW w:w="115" w:type="pct"/>
            <w:tcBorders>
              <w:top w:val="nil"/>
              <w:left w:val="nil"/>
              <w:bottom w:val="nil"/>
              <w:right w:val="nil"/>
              <w:tl2br w:val="nil"/>
              <w:tr2bl w:val="nil"/>
            </w:tcBorders>
            <w:vAlign w:val="bottom"/>
          </w:tcPr>
          <w:p w:rsidR="0018024C" w:rsidRPr="00C6642F" w:rsidRDefault="0018024C" w:rsidP="0018024C">
            <w:pPr>
              <w:keepNext/>
              <w:keepLines/>
              <w:jc w:val="right"/>
              <w:rPr>
                <w:sz w:val="20"/>
              </w:rPr>
            </w:pPr>
          </w:p>
        </w:tc>
        <w:tc>
          <w:tcPr>
            <w:tcW w:w="106"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rPr>
                <w:sz w:val="20"/>
              </w:rPr>
            </w:pPr>
            <w:r w:rsidRPr="00C6642F">
              <w:rPr>
                <w:sz w:val="20"/>
              </w:rPr>
              <w:t>$</w:t>
            </w:r>
          </w:p>
        </w:tc>
        <w:tc>
          <w:tcPr>
            <w:tcW w:w="757"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ind w:right="65"/>
              <w:jc w:val="right"/>
              <w:rPr>
                <w:sz w:val="20"/>
              </w:rPr>
            </w:pPr>
            <w:r w:rsidRPr="00C6642F">
              <w:rPr>
                <w:sz w:val="20"/>
              </w:rPr>
              <w:t xml:space="preserve"> 4,172</w:t>
            </w:r>
          </w:p>
        </w:tc>
      </w:tr>
    </w:tbl>
    <w:p w:rsidR="00FC1460" w:rsidRDefault="00FC1460"/>
    <w:p w:rsidR="002C1865" w:rsidRPr="002C1865" w:rsidRDefault="002C1865" w:rsidP="002C1865">
      <w:pPr>
        <w:rPr>
          <w:sz w:val="2"/>
        </w:rPr>
      </w:pPr>
    </w:p>
    <w:p w:rsidR="000121CD" w:rsidRDefault="000121CD">
      <w:pPr>
        <w:pStyle w:val="NormalWeb"/>
        <w:spacing w:before="0" w:beforeAutospacing="0" w:after="0" w:afterAutospacing="0"/>
        <w:rPr>
          <w:sz w:val="2"/>
          <w:szCs w:val="20"/>
        </w:rPr>
      </w:pPr>
    </w:p>
    <w:p w:rsidR="000121CD" w:rsidRDefault="000121CD"/>
    <w:p w:rsidR="000121CD" w:rsidRPr="00C6642F" w:rsidRDefault="00590862">
      <w:pPr>
        <w:keepNext/>
        <w:keepLines/>
      </w:pPr>
      <w:r w:rsidRPr="00C6642F">
        <w:rPr>
          <w:b/>
          <w:bCs/>
          <w:sz w:val="20"/>
          <w:u w:val="single"/>
        </w:rPr>
        <w:t xml:space="preserve">NOTE 3—ACCOUNTS RECEIVABLE </w:t>
      </w:r>
    </w:p>
    <w:p w:rsidR="000121CD" w:rsidRPr="00C6642F" w:rsidRDefault="000121CD">
      <w:pPr>
        <w:pStyle w:val="NormalWeb"/>
        <w:keepNext/>
        <w:keepLines/>
        <w:spacing w:before="0" w:beforeAutospacing="0" w:after="0" w:afterAutospacing="0"/>
        <w:rPr>
          <w:sz w:val="20"/>
          <w:szCs w:val="20"/>
        </w:rPr>
      </w:pPr>
    </w:p>
    <w:p w:rsidR="000121CD" w:rsidRPr="00C6642F" w:rsidRDefault="00590862">
      <w:pPr>
        <w:pStyle w:val="NormalWeb"/>
        <w:keepNext/>
        <w:keepLines/>
        <w:spacing w:before="0" w:beforeAutospacing="0" w:after="0" w:afterAutospacing="0"/>
      </w:pPr>
      <w:r w:rsidRPr="00C6642F">
        <w:rPr>
          <w:sz w:val="20"/>
          <w:szCs w:val="20"/>
        </w:rPr>
        <w:t xml:space="preserve">The rollforward of our allowance for doubtful accounts is as follows (in millions): </w:t>
      </w:r>
    </w:p>
    <w:p w:rsidR="000121CD" w:rsidRPr="00C6642F" w:rsidRDefault="00590862">
      <w:pPr>
        <w:pStyle w:val="NormalWeb"/>
        <w:keepNext/>
        <w:spacing w:before="0" w:beforeAutospacing="0" w:after="0" w:afterAutospacing="0"/>
        <w:rPr>
          <w:sz w:val="2"/>
          <w:szCs w:val="18"/>
        </w:rPr>
      </w:pPr>
      <w:r w:rsidRPr="00C6642F">
        <w:rPr>
          <w:sz w:val="2"/>
          <w:szCs w:val="18"/>
        </w:rPr>
        <w:t> </w:t>
      </w:r>
    </w:p>
    <w:tbl>
      <w:tblPr>
        <w:tblW w:w="5000" w:type="pct"/>
        <w:tblCellMar>
          <w:left w:w="0" w:type="dxa"/>
          <w:right w:w="0" w:type="dxa"/>
        </w:tblCellMar>
        <w:tblLook w:val="04A0" w:firstRow="1" w:lastRow="0" w:firstColumn="1" w:lastColumn="0" w:noHBand="0" w:noVBand="1"/>
      </w:tblPr>
      <w:tblGrid>
        <w:gridCol w:w="5535"/>
        <w:gridCol w:w="332"/>
        <w:gridCol w:w="1264"/>
        <w:gridCol w:w="246"/>
        <w:gridCol w:w="333"/>
        <w:gridCol w:w="1264"/>
        <w:gridCol w:w="229"/>
        <w:gridCol w:w="333"/>
        <w:gridCol w:w="1264"/>
      </w:tblGrid>
      <w:tr w:rsidR="0018024C" w:rsidRPr="00C6642F" w:rsidTr="0018024C">
        <w:trPr>
          <w:trHeight w:hRule="exact" w:val="20"/>
        </w:trPr>
        <w:tc>
          <w:tcPr>
            <w:tcW w:w="2562"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154"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585"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114"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154"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585"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106"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154"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585"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r>
      <w:tr w:rsidR="0018024C" w:rsidRPr="00C6642F" w:rsidTr="0018024C">
        <w:trPr>
          <w:trHeight w:hRule="exact" w:val="315"/>
        </w:trPr>
        <w:tc>
          <w:tcPr>
            <w:tcW w:w="2562" w:type="pct"/>
            <w:tcBorders>
              <w:top w:val="nil"/>
              <w:left w:val="nil"/>
              <w:bottom w:val="nil"/>
              <w:right w:val="nil"/>
              <w:tl2br w:val="nil"/>
              <w:tr2bl w:val="nil"/>
            </w:tcBorders>
            <w:shd w:val="clear" w:color="auto" w:fill="auto"/>
            <w:vAlign w:val="bottom"/>
          </w:tcPr>
          <w:p w:rsidR="0018024C" w:rsidRPr="00C6642F" w:rsidRDefault="0018024C" w:rsidP="0018024C">
            <w:pPr>
              <w:keepNext/>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spacing w:before="1" w:after="1"/>
              <w:jc w:val="center"/>
              <w:rPr>
                <w:b/>
                <w:sz w:val="20"/>
              </w:rPr>
            </w:pPr>
            <w:r w:rsidRPr="00C6642F">
              <w:rPr>
                <w:b/>
                <w:sz w:val="20"/>
              </w:rPr>
              <w:t>December 31,</w:t>
            </w:r>
          </w:p>
        </w:tc>
      </w:tr>
      <w:tr w:rsidR="0018024C" w:rsidRPr="00C6642F" w:rsidTr="0018024C">
        <w:trPr>
          <w:trHeight w:hRule="exact" w:val="315"/>
        </w:trPr>
        <w:tc>
          <w:tcPr>
            <w:tcW w:w="2562" w:type="pct"/>
            <w:tcBorders>
              <w:top w:val="nil"/>
              <w:left w:val="nil"/>
              <w:bottom w:val="nil"/>
              <w:right w:val="nil"/>
              <w:tl2br w:val="nil"/>
              <w:tr2bl w:val="nil"/>
            </w:tcBorders>
            <w:shd w:val="clear" w:color="auto" w:fill="auto"/>
            <w:vAlign w:val="bottom"/>
          </w:tcPr>
          <w:p w:rsidR="0018024C" w:rsidRPr="00C6642F" w:rsidRDefault="0018024C" w:rsidP="0018024C">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spacing w:before="1" w:after="1"/>
              <w:jc w:val="center"/>
              <w:rPr>
                <w:b/>
                <w:sz w:val="20"/>
              </w:rPr>
            </w:pPr>
            <w:r w:rsidRPr="00C6642F">
              <w:rPr>
                <w:b/>
                <w:sz w:val="20"/>
              </w:rPr>
              <w:t>2019</w:t>
            </w:r>
          </w:p>
        </w:tc>
        <w:tc>
          <w:tcPr>
            <w:tcW w:w="114"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spacing w:before="1" w:after="1"/>
              <w:jc w:val="cente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spacing w:before="1" w:after="1"/>
              <w:jc w:val="center"/>
              <w:rPr>
                <w:b/>
                <w:sz w:val="20"/>
              </w:rPr>
            </w:pPr>
            <w:r w:rsidRPr="00C6642F">
              <w:rPr>
                <w:b/>
                <w:sz w:val="20"/>
              </w:rPr>
              <w:t>2018</w:t>
            </w:r>
          </w:p>
        </w:tc>
        <w:tc>
          <w:tcPr>
            <w:tcW w:w="106"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spacing w:before="1" w:after="1"/>
              <w:jc w:val="center"/>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spacing w:before="1" w:after="1"/>
              <w:jc w:val="center"/>
              <w:rPr>
                <w:b/>
                <w:sz w:val="20"/>
              </w:rPr>
            </w:pPr>
            <w:r w:rsidRPr="00C6642F">
              <w:rPr>
                <w:b/>
                <w:sz w:val="20"/>
              </w:rPr>
              <w:t>2017</w:t>
            </w:r>
          </w:p>
        </w:tc>
      </w:tr>
      <w:tr w:rsidR="0018024C" w:rsidRPr="00C6642F" w:rsidTr="0018024C">
        <w:trPr>
          <w:trHeight w:hRule="exact" w:val="255"/>
        </w:trPr>
        <w:tc>
          <w:tcPr>
            <w:tcW w:w="25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r w:rsidRPr="00C6642F">
              <w:rPr>
                <w:sz w:val="20"/>
              </w:rPr>
              <w:t>Beginning balance</w:t>
            </w:r>
          </w:p>
        </w:tc>
        <w:tc>
          <w:tcPr>
            <w:tcW w:w="154"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r w:rsidRPr="00C6642F">
              <w:rPr>
                <w:b/>
                <w:sz w:val="20"/>
              </w:rPr>
              <w:t>$</w:t>
            </w:r>
          </w:p>
        </w:tc>
        <w:tc>
          <w:tcPr>
            <w:tcW w:w="585"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ind w:right="63"/>
              <w:jc w:val="right"/>
              <w:rPr>
                <w:b/>
                <w:sz w:val="20"/>
              </w:rPr>
            </w:pPr>
            <w:r w:rsidRPr="00C6642F">
              <w:rPr>
                <w:b/>
                <w:sz w:val="20"/>
              </w:rPr>
              <w:t xml:space="preserve"> 4</w:t>
            </w:r>
          </w:p>
        </w:tc>
        <w:tc>
          <w:tcPr>
            <w:tcW w:w="114"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54"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r w:rsidRPr="00C6642F">
              <w:rPr>
                <w:sz w:val="20"/>
              </w:rPr>
              <w:t>$</w:t>
            </w:r>
          </w:p>
        </w:tc>
        <w:tc>
          <w:tcPr>
            <w:tcW w:w="585"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ind w:right="65"/>
              <w:jc w:val="right"/>
              <w:rPr>
                <w:sz w:val="20"/>
              </w:rPr>
            </w:pPr>
            <w:r w:rsidRPr="00C6642F">
              <w:rPr>
                <w:sz w:val="20"/>
              </w:rPr>
              <w:t xml:space="preserve"> 4</w:t>
            </w:r>
          </w:p>
        </w:tc>
        <w:tc>
          <w:tcPr>
            <w:tcW w:w="106"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54"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r w:rsidRPr="00C6642F">
              <w:rPr>
                <w:sz w:val="20"/>
              </w:rPr>
              <w:t>$</w:t>
            </w:r>
          </w:p>
        </w:tc>
        <w:tc>
          <w:tcPr>
            <w:tcW w:w="585"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ind w:right="65"/>
              <w:jc w:val="right"/>
              <w:rPr>
                <w:sz w:val="20"/>
              </w:rPr>
            </w:pPr>
            <w:r w:rsidRPr="00C6642F">
              <w:rPr>
                <w:sz w:val="20"/>
              </w:rPr>
              <w:t xml:space="preserve"> 3</w:t>
            </w:r>
          </w:p>
        </w:tc>
      </w:tr>
      <w:tr w:rsidR="0018024C" w:rsidRPr="00C6642F" w:rsidTr="0018024C">
        <w:trPr>
          <w:trHeight w:hRule="exact" w:val="255"/>
        </w:trPr>
        <w:tc>
          <w:tcPr>
            <w:tcW w:w="2562" w:type="pct"/>
            <w:tcBorders>
              <w:top w:val="nil"/>
              <w:left w:val="nil"/>
              <w:bottom w:val="nil"/>
              <w:right w:val="nil"/>
              <w:tl2br w:val="nil"/>
              <w:tr2bl w:val="nil"/>
            </w:tcBorders>
            <w:vAlign w:val="bottom"/>
          </w:tcPr>
          <w:p w:rsidR="0018024C" w:rsidRPr="00C6642F" w:rsidRDefault="0018024C" w:rsidP="0018024C">
            <w:pPr>
              <w:keepNext/>
              <w:spacing w:before="1" w:after="1"/>
              <w:ind w:left="360"/>
              <w:rPr>
                <w:sz w:val="20"/>
              </w:rPr>
            </w:pPr>
            <w:r w:rsidRPr="00C6642F">
              <w:rPr>
                <w:sz w:val="20"/>
              </w:rPr>
              <w:t>Net charge-offs</w:t>
            </w:r>
          </w:p>
        </w:tc>
        <w:tc>
          <w:tcPr>
            <w:tcW w:w="154" w:type="pct"/>
            <w:tcBorders>
              <w:top w:val="nil"/>
              <w:left w:val="nil"/>
              <w:bottom w:val="nil"/>
              <w:right w:val="nil"/>
              <w:tl2br w:val="nil"/>
              <w:tr2bl w:val="nil"/>
            </w:tcBorders>
            <w:vAlign w:val="bottom"/>
          </w:tcPr>
          <w:p w:rsidR="0018024C" w:rsidRPr="00C6642F" w:rsidRDefault="0018024C" w:rsidP="0018024C">
            <w:pPr>
              <w:keepNext/>
              <w:spacing w:before="1" w:after="1"/>
              <w:ind w:left="360"/>
              <w:rPr>
                <w:b/>
                <w:sz w:val="20"/>
              </w:rPr>
            </w:pPr>
          </w:p>
        </w:tc>
        <w:tc>
          <w:tcPr>
            <w:tcW w:w="585" w:type="pct"/>
            <w:tcBorders>
              <w:top w:val="nil"/>
              <w:left w:val="nil"/>
              <w:bottom w:val="nil"/>
              <w:right w:val="nil"/>
              <w:tl2br w:val="nil"/>
              <w:tr2bl w:val="nil"/>
            </w:tcBorders>
            <w:vAlign w:val="bottom"/>
          </w:tcPr>
          <w:p w:rsidR="0018024C" w:rsidRPr="00C6642F" w:rsidRDefault="0018024C" w:rsidP="0018024C">
            <w:pPr>
              <w:keepNext/>
              <w:spacing w:before="1" w:after="1"/>
              <w:jc w:val="right"/>
              <w:rPr>
                <w:b/>
                <w:sz w:val="20"/>
              </w:rPr>
            </w:pPr>
            <w:r w:rsidRPr="00C6642F">
              <w:rPr>
                <w:b/>
                <w:sz w:val="20"/>
              </w:rPr>
              <w:t xml:space="preserve"> (2)</w:t>
            </w:r>
          </w:p>
        </w:tc>
        <w:tc>
          <w:tcPr>
            <w:tcW w:w="114"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154" w:type="pct"/>
            <w:tcBorders>
              <w:top w:val="nil"/>
              <w:left w:val="nil"/>
              <w:bottom w:val="nil"/>
              <w:right w:val="nil"/>
              <w:tl2br w:val="nil"/>
              <w:tr2bl w:val="nil"/>
            </w:tcBorders>
            <w:vAlign w:val="bottom"/>
          </w:tcPr>
          <w:p w:rsidR="0018024C" w:rsidRPr="00C6642F" w:rsidRDefault="0018024C" w:rsidP="0018024C">
            <w:pPr>
              <w:keepNext/>
              <w:spacing w:before="1" w:after="1"/>
              <w:ind w:left="360"/>
              <w:rPr>
                <w:sz w:val="20"/>
              </w:rPr>
            </w:pPr>
          </w:p>
        </w:tc>
        <w:tc>
          <w:tcPr>
            <w:tcW w:w="585" w:type="pct"/>
            <w:tcBorders>
              <w:top w:val="nil"/>
              <w:left w:val="nil"/>
              <w:bottom w:val="nil"/>
              <w:right w:val="nil"/>
              <w:tl2br w:val="nil"/>
              <w:tr2bl w:val="nil"/>
            </w:tcBorders>
            <w:vAlign w:val="bottom"/>
          </w:tcPr>
          <w:p w:rsidR="0018024C" w:rsidRPr="00C6642F" w:rsidRDefault="0018024C" w:rsidP="0018024C">
            <w:pPr>
              <w:keepNext/>
              <w:spacing w:before="1" w:after="1"/>
              <w:ind w:right="3"/>
              <w:jc w:val="right"/>
              <w:rPr>
                <w:sz w:val="20"/>
              </w:rPr>
            </w:pPr>
            <w:r w:rsidRPr="00C6642F">
              <w:rPr>
                <w:sz w:val="20"/>
              </w:rPr>
              <w:t xml:space="preserve"> (1)</w:t>
            </w:r>
          </w:p>
        </w:tc>
        <w:tc>
          <w:tcPr>
            <w:tcW w:w="106"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154" w:type="pct"/>
            <w:tcBorders>
              <w:top w:val="nil"/>
              <w:left w:val="nil"/>
              <w:bottom w:val="nil"/>
              <w:right w:val="nil"/>
              <w:tl2br w:val="nil"/>
              <w:tr2bl w:val="nil"/>
            </w:tcBorders>
            <w:vAlign w:val="bottom"/>
          </w:tcPr>
          <w:p w:rsidR="0018024C" w:rsidRPr="00C6642F" w:rsidRDefault="0018024C" w:rsidP="0018024C">
            <w:pPr>
              <w:keepNext/>
              <w:spacing w:before="1" w:after="1"/>
              <w:ind w:left="360"/>
              <w:rPr>
                <w:sz w:val="20"/>
              </w:rPr>
            </w:pPr>
          </w:p>
        </w:tc>
        <w:tc>
          <w:tcPr>
            <w:tcW w:w="585"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w:t>
            </w:r>
          </w:p>
        </w:tc>
      </w:tr>
      <w:tr w:rsidR="0018024C" w:rsidRPr="00C6642F" w:rsidTr="0018024C">
        <w:trPr>
          <w:trHeight w:hRule="exact" w:val="255"/>
        </w:trPr>
        <w:tc>
          <w:tcPr>
            <w:tcW w:w="25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left="360"/>
              <w:rPr>
                <w:sz w:val="20"/>
              </w:rPr>
            </w:pPr>
            <w:r w:rsidRPr="00C6642F">
              <w:rPr>
                <w:sz w:val="20"/>
              </w:rPr>
              <w:t>Provision</w:t>
            </w:r>
          </w:p>
        </w:tc>
        <w:tc>
          <w:tcPr>
            <w:tcW w:w="154"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before="1" w:after="1"/>
              <w:ind w:left="360"/>
              <w:rPr>
                <w:b/>
                <w:sz w:val="20"/>
              </w:rPr>
            </w:pPr>
          </w:p>
        </w:tc>
        <w:tc>
          <w:tcPr>
            <w:tcW w:w="585"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before="1" w:after="1"/>
              <w:ind w:right="63"/>
              <w:jc w:val="right"/>
              <w:rPr>
                <w:b/>
                <w:sz w:val="20"/>
              </w:rPr>
            </w:pPr>
            <w:r w:rsidRPr="00C6642F">
              <w:rPr>
                <w:b/>
                <w:sz w:val="20"/>
              </w:rPr>
              <w:t xml:space="preserve"> 2</w:t>
            </w:r>
          </w:p>
        </w:tc>
        <w:tc>
          <w:tcPr>
            <w:tcW w:w="114"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54"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before="1" w:after="1"/>
              <w:ind w:left="360"/>
              <w:rPr>
                <w:sz w:val="20"/>
              </w:rPr>
            </w:pPr>
          </w:p>
        </w:tc>
        <w:tc>
          <w:tcPr>
            <w:tcW w:w="585"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before="1" w:after="1"/>
              <w:ind w:right="65"/>
              <w:jc w:val="right"/>
              <w:rPr>
                <w:sz w:val="20"/>
              </w:rPr>
            </w:pPr>
            <w:r w:rsidRPr="00C6642F">
              <w:rPr>
                <w:sz w:val="20"/>
              </w:rPr>
              <w:t xml:space="preserve"> 1</w:t>
            </w:r>
          </w:p>
        </w:tc>
        <w:tc>
          <w:tcPr>
            <w:tcW w:w="106"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54"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before="1" w:after="1"/>
              <w:ind w:left="360"/>
              <w:rPr>
                <w:sz w:val="20"/>
              </w:rPr>
            </w:pPr>
          </w:p>
        </w:tc>
        <w:tc>
          <w:tcPr>
            <w:tcW w:w="585"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before="1" w:after="1"/>
              <w:ind w:right="65"/>
              <w:jc w:val="right"/>
              <w:rPr>
                <w:sz w:val="20"/>
              </w:rPr>
            </w:pPr>
            <w:r w:rsidRPr="00C6642F">
              <w:rPr>
                <w:sz w:val="20"/>
              </w:rPr>
              <w:t xml:space="preserve"> 1</w:t>
            </w:r>
          </w:p>
        </w:tc>
      </w:tr>
      <w:tr w:rsidR="0018024C" w:rsidRPr="00C6642F" w:rsidTr="0018024C">
        <w:trPr>
          <w:trHeight w:hRule="exact" w:val="255"/>
        </w:trPr>
        <w:tc>
          <w:tcPr>
            <w:tcW w:w="2562"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Ending balance</w:t>
            </w:r>
          </w:p>
        </w:tc>
        <w:tc>
          <w:tcPr>
            <w:tcW w:w="154"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spacing w:before="1" w:after="1"/>
              <w:rPr>
                <w:b/>
                <w:sz w:val="20"/>
              </w:rPr>
            </w:pPr>
            <w:r w:rsidRPr="00C6642F">
              <w:rPr>
                <w:b/>
                <w:sz w:val="20"/>
              </w:rPr>
              <w:t>$</w:t>
            </w:r>
          </w:p>
        </w:tc>
        <w:tc>
          <w:tcPr>
            <w:tcW w:w="585"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spacing w:before="1" w:after="1"/>
              <w:ind w:right="63"/>
              <w:jc w:val="right"/>
              <w:rPr>
                <w:b/>
                <w:sz w:val="20"/>
              </w:rPr>
            </w:pPr>
            <w:r w:rsidRPr="00C6642F">
              <w:rPr>
                <w:b/>
                <w:sz w:val="20"/>
              </w:rPr>
              <w:t xml:space="preserve"> 4</w:t>
            </w:r>
          </w:p>
        </w:tc>
        <w:tc>
          <w:tcPr>
            <w:tcW w:w="114"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154"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spacing w:before="1" w:after="1"/>
              <w:rPr>
                <w:sz w:val="20"/>
              </w:rPr>
            </w:pPr>
            <w:r w:rsidRPr="00C6642F">
              <w:rPr>
                <w:sz w:val="20"/>
              </w:rPr>
              <w:t>$</w:t>
            </w:r>
          </w:p>
        </w:tc>
        <w:tc>
          <w:tcPr>
            <w:tcW w:w="585"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4</w:t>
            </w:r>
          </w:p>
        </w:tc>
        <w:tc>
          <w:tcPr>
            <w:tcW w:w="106"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154"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spacing w:before="1" w:after="1"/>
              <w:rPr>
                <w:sz w:val="20"/>
              </w:rPr>
            </w:pPr>
            <w:r w:rsidRPr="00C6642F">
              <w:rPr>
                <w:sz w:val="20"/>
              </w:rPr>
              <w:t>$</w:t>
            </w:r>
          </w:p>
        </w:tc>
        <w:tc>
          <w:tcPr>
            <w:tcW w:w="585"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4</w:t>
            </w:r>
          </w:p>
        </w:tc>
      </w:tr>
    </w:tbl>
    <w:p w:rsidR="000121CD" w:rsidRDefault="00590862">
      <w:pPr>
        <w:pStyle w:val="NormalWeb"/>
        <w:keepNext/>
        <w:spacing w:before="180" w:after="0"/>
        <w:rPr>
          <w:sz w:val="20"/>
          <w:szCs w:val="20"/>
        </w:rPr>
      </w:pPr>
      <w:r w:rsidRPr="00C6642F">
        <w:rPr>
          <w:sz w:val="20"/>
          <w:szCs w:val="20"/>
        </w:rPr>
        <w:t xml:space="preserve">Our accounts receivable is also presented net of sales returns and allowances. Those allowances approximated $1 million at </w:t>
      </w:r>
      <w:r w:rsidR="002C1865" w:rsidRPr="00C6642F">
        <w:rPr>
          <w:sz w:val="20"/>
          <w:szCs w:val="20"/>
        </w:rPr>
        <w:t>December</w:t>
      </w:r>
      <w:r w:rsidR="00011CD0" w:rsidRPr="00C6642F">
        <w:rPr>
          <w:sz w:val="20"/>
          <w:szCs w:val="20"/>
        </w:rPr>
        <w:t> </w:t>
      </w:r>
      <w:r w:rsidR="002C1865" w:rsidRPr="00C6642F">
        <w:rPr>
          <w:sz w:val="20"/>
          <w:szCs w:val="20"/>
        </w:rPr>
        <w:t>31, 2019 and 2018</w:t>
      </w:r>
      <w:r w:rsidRPr="00C6642F">
        <w:rPr>
          <w:sz w:val="20"/>
          <w:szCs w:val="20"/>
        </w:rPr>
        <w:t>.</w:t>
      </w:r>
    </w:p>
    <w:p w:rsidR="000121CD" w:rsidRPr="00C6642F" w:rsidRDefault="000121CD">
      <w:pPr>
        <w:keepLines/>
        <w:widowControl w:val="0"/>
        <w:rPr>
          <w:b/>
          <w:bCs/>
          <w:sz w:val="20"/>
          <w:szCs w:val="24"/>
          <w:u w:val="single"/>
        </w:rPr>
      </w:pPr>
    </w:p>
    <w:p w:rsidR="000121CD" w:rsidRPr="00C6642F" w:rsidRDefault="00590862">
      <w:pPr>
        <w:keepNext/>
        <w:widowControl w:val="0"/>
        <w:rPr>
          <w:b/>
          <w:bCs/>
          <w:sz w:val="20"/>
          <w:u w:val="single"/>
        </w:rPr>
      </w:pPr>
      <w:r w:rsidRPr="00C6642F">
        <w:rPr>
          <w:b/>
          <w:bCs/>
          <w:sz w:val="20"/>
          <w:u w:val="single"/>
        </w:rPr>
        <w:t xml:space="preserve">NOTE 4—INVENTORIES </w:t>
      </w:r>
    </w:p>
    <w:p w:rsidR="00112254" w:rsidRPr="00C6642F" w:rsidRDefault="00112254">
      <w:pPr>
        <w:keepNext/>
        <w:widowControl w:val="0"/>
      </w:pPr>
    </w:p>
    <w:p w:rsidR="000121CD" w:rsidRPr="00C6642F" w:rsidRDefault="00590862" w:rsidP="00112254">
      <w:pPr>
        <w:pStyle w:val="NormalWeb"/>
        <w:keepNext/>
        <w:widowControl w:val="0"/>
        <w:spacing w:before="0" w:beforeAutospacing="0" w:after="0" w:afterAutospacing="0"/>
        <w:rPr>
          <w:sz w:val="20"/>
          <w:szCs w:val="20"/>
        </w:rPr>
      </w:pPr>
      <w:r w:rsidRPr="00C6642F">
        <w:rPr>
          <w:sz w:val="20"/>
          <w:szCs w:val="20"/>
        </w:rPr>
        <w:t xml:space="preserve">The composition of our inventory is as follows (in millions): </w:t>
      </w:r>
    </w:p>
    <w:tbl>
      <w:tblPr>
        <w:tblW w:w="5000" w:type="pct"/>
        <w:tblCellMar>
          <w:left w:w="0" w:type="dxa"/>
          <w:right w:w="0" w:type="dxa"/>
        </w:tblCellMar>
        <w:tblLook w:val="04A0" w:firstRow="1" w:lastRow="0" w:firstColumn="1" w:lastColumn="0" w:noHBand="0" w:noVBand="1"/>
      </w:tblPr>
      <w:tblGrid>
        <w:gridCol w:w="6823"/>
        <w:gridCol w:w="391"/>
        <w:gridCol w:w="1402"/>
        <w:gridCol w:w="391"/>
        <w:gridCol w:w="391"/>
        <w:gridCol w:w="1402"/>
      </w:tblGrid>
      <w:tr w:rsidR="0018024C" w:rsidRPr="00C6642F" w:rsidTr="0018024C">
        <w:trPr>
          <w:trHeight w:hRule="exact" w:val="20"/>
        </w:trPr>
        <w:tc>
          <w:tcPr>
            <w:tcW w:w="3159"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181"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649"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181"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181"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649"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r>
      <w:tr w:rsidR="0018024C" w:rsidRPr="00C6642F" w:rsidTr="0018024C">
        <w:trPr>
          <w:trHeight w:hRule="exact" w:val="300"/>
        </w:trPr>
        <w:tc>
          <w:tcPr>
            <w:tcW w:w="3159" w:type="pct"/>
            <w:tcBorders>
              <w:top w:val="nil"/>
              <w:left w:val="nil"/>
              <w:bottom w:val="nil"/>
              <w:right w:val="nil"/>
              <w:tl2br w:val="nil"/>
              <w:tr2bl w:val="nil"/>
            </w:tcBorders>
            <w:shd w:val="clear" w:color="auto" w:fill="auto"/>
            <w:vAlign w:val="bottom"/>
          </w:tcPr>
          <w:p w:rsidR="0018024C" w:rsidRPr="00C6642F" w:rsidRDefault="0018024C" w:rsidP="0018024C">
            <w:pPr>
              <w:keepNext/>
              <w:spacing w:before="1" w:after="1"/>
              <w:rPr>
                <w:rFonts w:ascii="Calibri" w:eastAsia="Calibri" w:hAnsi="Calibri" w:cs="Calibri"/>
                <w:sz w:val="22"/>
              </w:rPr>
            </w:pPr>
          </w:p>
        </w:tc>
        <w:tc>
          <w:tcPr>
            <w:tcW w:w="1" w:type="pct"/>
            <w:gridSpan w:val="5"/>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spacing w:before="1" w:after="1"/>
              <w:jc w:val="center"/>
              <w:rPr>
                <w:b/>
                <w:color w:val="000000"/>
                <w:sz w:val="20"/>
              </w:rPr>
            </w:pPr>
            <w:r w:rsidRPr="00C6642F">
              <w:rPr>
                <w:b/>
                <w:color w:val="000000"/>
                <w:sz w:val="20"/>
              </w:rPr>
              <w:t xml:space="preserve">December 31, </w:t>
            </w:r>
          </w:p>
        </w:tc>
      </w:tr>
      <w:tr w:rsidR="0018024C" w:rsidRPr="00C6642F" w:rsidTr="0018024C">
        <w:trPr>
          <w:trHeight w:hRule="exact" w:val="300"/>
        </w:trPr>
        <w:tc>
          <w:tcPr>
            <w:tcW w:w="3159" w:type="pct"/>
            <w:tcBorders>
              <w:top w:val="nil"/>
              <w:left w:val="nil"/>
              <w:bottom w:val="nil"/>
              <w:right w:val="nil"/>
              <w:tl2br w:val="nil"/>
              <w:tr2bl w:val="nil"/>
            </w:tcBorders>
            <w:shd w:val="clear" w:color="auto" w:fill="auto"/>
            <w:vAlign w:val="bottom"/>
          </w:tcPr>
          <w:p w:rsidR="0018024C" w:rsidRPr="00C6642F" w:rsidRDefault="0018024C" w:rsidP="0018024C">
            <w:pPr>
              <w:keepNext/>
              <w:spacing w:before="1" w:after="1"/>
              <w:rPr>
                <w:rFonts w:ascii="Calibri" w:eastAsia="Calibri" w:hAnsi="Calibri" w:cs="Calibri"/>
                <w:sz w:val="22"/>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spacing w:before="1" w:after="1"/>
              <w:jc w:val="center"/>
              <w:rPr>
                <w:b/>
                <w:color w:val="000000"/>
                <w:sz w:val="20"/>
              </w:rPr>
            </w:pPr>
            <w:r w:rsidRPr="00C6642F">
              <w:rPr>
                <w:b/>
                <w:color w:val="000000"/>
                <w:sz w:val="20"/>
              </w:rPr>
              <w:t>2019</w:t>
            </w:r>
          </w:p>
        </w:tc>
        <w:tc>
          <w:tcPr>
            <w:tcW w:w="181"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spacing w:before="1" w:after="1"/>
              <w:jc w:val="center"/>
              <w:rPr>
                <w:b/>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spacing w:before="1" w:after="1"/>
              <w:jc w:val="center"/>
              <w:rPr>
                <w:b/>
                <w:color w:val="000000"/>
                <w:sz w:val="20"/>
              </w:rPr>
            </w:pPr>
            <w:r w:rsidRPr="00C6642F">
              <w:rPr>
                <w:b/>
                <w:color w:val="000000"/>
                <w:sz w:val="20"/>
              </w:rPr>
              <w:t>2018</w:t>
            </w:r>
          </w:p>
        </w:tc>
      </w:tr>
      <w:tr w:rsidR="0018024C" w:rsidRPr="00C6642F" w:rsidTr="0018024C">
        <w:trPr>
          <w:trHeight w:hRule="exact" w:val="300"/>
        </w:trPr>
        <w:tc>
          <w:tcPr>
            <w:tcW w:w="3159"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color w:val="000000"/>
                <w:sz w:val="20"/>
              </w:rPr>
            </w:pPr>
            <w:r w:rsidRPr="00C6642F">
              <w:rPr>
                <w:color w:val="000000"/>
                <w:sz w:val="20"/>
              </w:rPr>
              <w:t xml:space="preserve">Finished goods inventory at average cost: </w:t>
            </w:r>
          </w:p>
        </w:tc>
        <w:tc>
          <w:tcPr>
            <w:tcW w:w="181"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color w:val="000000"/>
                <w:sz w:val="20"/>
              </w:rPr>
            </w:pPr>
          </w:p>
        </w:tc>
        <w:tc>
          <w:tcPr>
            <w:tcW w:w="64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rFonts w:ascii="Calibri" w:eastAsia="Calibri" w:hAnsi="Calibri" w:cs="Calibri"/>
                <w:sz w:val="22"/>
              </w:rPr>
            </w:pPr>
          </w:p>
        </w:tc>
        <w:tc>
          <w:tcPr>
            <w:tcW w:w="1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color w:val="000000"/>
                <w:sz w:val="20"/>
              </w:rPr>
            </w:pPr>
          </w:p>
        </w:tc>
        <w:tc>
          <w:tcPr>
            <w:tcW w:w="181"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color w:val="000000"/>
                <w:sz w:val="20"/>
              </w:rPr>
            </w:pPr>
          </w:p>
        </w:tc>
        <w:tc>
          <w:tcPr>
            <w:tcW w:w="64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rFonts w:ascii="Calibri" w:eastAsia="Calibri" w:hAnsi="Calibri" w:cs="Calibri"/>
                <w:sz w:val="22"/>
              </w:rPr>
            </w:pPr>
          </w:p>
        </w:tc>
      </w:tr>
      <w:tr w:rsidR="0018024C" w:rsidRPr="00C6642F" w:rsidTr="0018024C">
        <w:trPr>
          <w:trHeight w:hRule="exact" w:val="300"/>
        </w:trPr>
        <w:tc>
          <w:tcPr>
            <w:tcW w:w="3159" w:type="pct"/>
            <w:tcBorders>
              <w:top w:val="nil"/>
              <w:left w:val="nil"/>
              <w:bottom w:val="nil"/>
              <w:right w:val="nil"/>
              <w:tl2br w:val="nil"/>
              <w:tr2bl w:val="nil"/>
            </w:tcBorders>
            <w:vAlign w:val="bottom"/>
          </w:tcPr>
          <w:p w:rsidR="0018024C" w:rsidRPr="00C6642F" w:rsidRDefault="0018024C" w:rsidP="0018024C">
            <w:pPr>
              <w:keepNext/>
              <w:spacing w:before="1" w:after="1"/>
              <w:ind w:left="120"/>
              <w:rPr>
                <w:sz w:val="20"/>
              </w:rPr>
            </w:pPr>
            <w:r w:rsidRPr="00C6642F">
              <w:rPr>
                <w:sz w:val="20"/>
              </w:rPr>
              <w:t>Valves, automation, measurement and instrumentation</w:t>
            </w:r>
          </w:p>
        </w:tc>
        <w:tc>
          <w:tcPr>
            <w:tcW w:w="181"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r w:rsidRPr="00C6642F">
              <w:rPr>
                <w:b/>
                <w:sz w:val="20"/>
              </w:rPr>
              <w:t>$</w:t>
            </w:r>
          </w:p>
        </w:tc>
        <w:tc>
          <w:tcPr>
            <w:tcW w:w="649" w:type="pct"/>
            <w:tcBorders>
              <w:top w:val="nil"/>
              <w:left w:val="nil"/>
              <w:bottom w:val="nil"/>
              <w:right w:val="nil"/>
              <w:tl2br w:val="nil"/>
              <w:tr2bl w:val="nil"/>
            </w:tcBorders>
            <w:vAlign w:val="bottom"/>
          </w:tcPr>
          <w:p w:rsidR="0018024C" w:rsidRPr="00C6642F" w:rsidRDefault="0018024C" w:rsidP="0018024C">
            <w:pPr>
              <w:keepNext/>
              <w:spacing w:before="1" w:after="1"/>
              <w:ind w:right="63"/>
              <w:jc w:val="right"/>
              <w:rPr>
                <w:b/>
                <w:color w:val="000000"/>
                <w:sz w:val="20"/>
              </w:rPr>
            </w:pPr>
            <w:r w:rsidRPr="00C6642F">
              <w:rPr>
                <w:b/>
                <w:color w:val="000000"/>
                <w:sz w:val="20"/>
              </w:rPr>
              <w:t xml:space="preserve"> 355</w:t>
            </w:r>
          </w:p>
        </w:tc>
        <w:tc>
          <w:tcPr>
            <w:tcW w:w="181" w:type="pct"/>
            <w:tcBorders>
              <w:top w:val="nil"/>
              <w:left w:val="nil"/>
              <w:bottom w:val="nil"/>
              <w:right w:val="nil"/>
              <w:tl2br w:val="nil"/>
              <w:tr2bl w:val="nil"/>
            </w:tcBorders>
            <w:vAlign w:val="bottom"/>
          </w:tcPr>
          <w:p w:rsidR="0018024C" w:rsidRPr="00C6642F" w:rsidRDefault="0018024C" w:rsidP="0018024C">
            <w:pPr>
              <w:keepNext/>
              <w:spacing w:before="1" w:after="1"/>
              <w:rPr>
                <w:b/>
                <w:color w:val="000000"/>
                <w:sz w:val="20"/>
              </w:rPr>
            </w:pPr>
          </w:p>
        </w:tc>
        <w:tc>
          <w:tcPr>
            <w:tcW w:w="181"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w:t>
            </w:r>
          </w:p>
        </w:tc>
        <w:tc>
          <w:tcPr>
            <w:tcW w:w="649"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color w:val="000000"/>
                <w:sz w:val="20"/>
              </w:rPr>
            </w:pPr>
            <w:r w:rsidRPr="00C6642F">
              <w:rPr>
                <w:color w:val="000000"/>
                <w:sz w:val="20"/>
              </w:rPr>
              <w:t xml:space="preserve"> 366</w:t>
            </w:r>
          </w:p>
        </w:tc>
      </w:tr>
      <w:tr w:rsidR="0018024C" w:rsidRPr="00C6642F" w:rsidTr="0018024C">
        <w:trPr>
          <w:trHeight w:hRule="exact" w:val="300"/>
        </w:trPr>
        <w:tc>
          <w:tcPr>
            <w:tcW w:w="3159"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left="120"/>
              <w:rPr>
                <w:sz w:val="20"/>
              </w:rPr>
            </w:pPr>
            <w:r w:rsidRPr="00C6642F">
              <w:rPr>
                <w:sz w:val="20"/>
              </w:rPr>
              <w:t>Carbon steel pipe, fittings and flanges</w:t>
            </w:r>
          </w:p>
        </w:tc>
        <w:tc>
          <w:tcPr>
            <w:tcW w:w="1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649"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3"/>
              <w:jc w:val="right"/>
              <w:rPr>
                <w:b/>
                <w:color w:val="000000"/>
                <w:sz w:val="20"/>
              </w:rPr>
            </w:pPr>
            <w:r w:rsidRPr="00C6642F">
              <w:rPr>
                <w:b/>
                <w:color w:val="000000"/>
                <w:sz w:val="20"/>
              </w:rPr>
              <w:t xml:space="preserve"> 268</w:t>
            </w:r>
          </w:p>
        </w:tc>
        <w:tc>
          <w:tcPr>
            <w:tcW w:w="1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color w:val="000000"/>
                <w:sz w:val="20"/>
              </w:rPr>
            </w:pPr>
          </w:p>
        </w:tc>
        <w:tc>
          <w:tcPr>
            <w:tcW w:w="1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649"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5"/>
              <w:jc w:val="right"/>
              <w:rPr>
                <w:color w:val="000000"/>
                <w:sz w:val="20"/>
              </w:rPr>
            </w:pPr>
            <w:r w:rsidRPr="00C6642F">
              <w:rPr>
                <w:color w:val="000000"/>
                <w:sz w:val="20"/>
              </w:rPr>
              <w:t xml:space="preserve"> 346</w:t>
            </w:r>
          </w:p>
        </w:tc>
      </w:tr>
      <w:tr w:rsidR="0018024C" w:rsidRPr="00C6642F" w:rsidTr="0018024C">
        <w:trPr>
          <w:trHeight w:hRule="exact" w:val="300"/>
        </w:trPr>
        <w:tc>
          <w:tcPr>
            <w:tcW w:w="3159" w:type="pct"/>
            <w:tcBorders>
              <w:top w:val="nil"/>
              <w:left w:val="nil"/>
              <w:bottom w:val="nil"/>
              <w:right w:val="nil"/>
              <w:tl2br w:val="nil"/>
              <w:tr2bl w:val="nil"/>
            </w:tcBorders>
            <w:vAlign w:val="bottom"/>
          </w:tcPr>
          <w:p w:rsidR="0018024C" w:rsidRPr="00C6642F" w:rsidRDefault="0018024C" w:rsidP="0018024C">
            <w:pPr>
              <w:keepNext/>
              <w:spacing w:before="1" w:after="1"/>
              <w:ind w:left="120"/>
              <w:rPr>
                <w:sz w:val="20"/>
              </w:rPr>
            </w:pPr>
            <w:r w:rsidRPr="00C6642F">
              <w:rPr>
                <w:sz w:val="20"/>
              </w:rPr>
              <w:t>All other products</w:t>
            </w:r>
          </w:p>
        </w:tc>
        <w:tc>
          <w:tcPr>
            <w:tcW w:w="181" w:type="pct"/>
            <w:tcBorders>
              <w:top w:val="nil"/>
              <w:left w:val="nil"/>
              <w:bottom w:val="single" w:sz="12" w:space="0" w:color="000000"/>
              <w:right w:val="nil"/>
              <w:tl2br w:val="nil"/>
              <w:tr2bl w:val="nil"/>
            </w:tcBorders>
            <w:vAlign w:val="bottom"/>
          </w:tcPr>
          <w:p w:rsidR="0018024C" w:rsidRPr="00C6642F" w:rsidRDefault="0018024C" w:rsidP="0018024C">
            <w:pPr>
              <w:keepNext/>
              <w:spacing w:before="1" w:after="1"/>
              <w:rPr>
                <w:b/>
                <w:sz w:val="20"/>
              </w:rPr>
            </w:pPr>
          </w:p>
        </w:tc>
        <w:tc>
          <w:tcPr>
            <w:tcW w:w="649" w:type="pct"/>
            <w:tcBorders>
              <w:top w:val="nil"/>
              <w:left w:val="nil"/>
              <w:bottom w:val="single" w:sz="12" w:space="0" w:color="000000"/>
              <w:right w:val="nil"/>
              <w:tl2br w:val="nil"/>
              <w:tr2bl w:val="nil"/>
            </w:tcBorders>
            <w:vAlign w:val="bottom"/>
          </w:tcPr>
          <w:p w:rsidR="0018024C" w:rsidRPr="00C6642F" w:rsidRDefault="0018024C" w:rsidP="0018024C">
            <w:pPr>
              <w:keepNext/>
              <w:spacing w:before="1" w:after="1"/>
              <w:ind w:right="63"/>
              <w:jc w:val="right"/>
              <w:rPr>
                <w:b/>
                <w:color w:val="000000"/>
                <w:sz w:val="20"/>
              </w:rPr>
            </w:pPr>
            <w:r w:rsidRPr="00C6642F">
              <w:rPr>
                <w:b/>
                <w:color w:val="000000"/>
                <w:sz w:val="20"/>
              </w:rPr>
              <w:t xml:space="preserve"> 268</w:t>
            </w:r>
          </w:p>
        </w:tc>
        <w:tc>
          <w:tcPr>
            <w:tcW w:w="181" w:type="pct"/>
            <w:tcBorders>
              <w:top w:val="nil"/>
              <w:left w:val="nil"/>
              <w:bottom w:val="nil"/>
              <w:right w:val="nil"/>
              <w:tl2br w:val="nil"/>
              <w:tr2bl w:val="nil"/>
            </w:tcBorders>
            <w:vAlign w:val="bottom"/>
          </w:tcPr>
          <w:p w:rsidR="0018024C" w:rsidRPr="00C6642F" w:rsidRDefault="0018024C" w:rsidP="0018024C">
            <w:pPr>
              <w:keepNext/>
              <w:spacing w:before="1" w:after="1"/>
              <w:rPr>
                <w:b/>
                <w:color w:val="000000"/>
                <w:sz w:val="20"/>
              </w:rPr>
            </w:pPr>
          </w:p>
        </w:tc>
        <w:tc>
          <w:tcPr>
            <w:tcW w:w="181" w:type="pct"/>
            <w:tcBorders>
              <w:top w:val="nil"/>
              <w:left w:val="nil"/>
              <w:bottom w:val="single" w:sz="12" w:space="0" w:color="000000"/>
              <w:right w:val="nil"/>
              <w:tl2br w:val="nil"/>
              <w:tr2bl w:val="nil"/>
            </w:tcBorders>
            <w:vAlign w:val="bottom"/>
          </w:tcPr>
          <w:p w:rsidR="0018024C" w:rsidRPr="00C6642F" w:rsidRDefault="0018024C" w:rsidP="0018024C">
            <w:pPr>
              <w:keepNext/>
              <w:spacing w:before="1" w:after="1"/>
              <w:rPr>
                <w:sz w:val="20"/>
              </w:rPr>
            </w:pPr>
          </w:p>
        </w:tc>
        <w:tc>
          <w:tcPr>
            <w:tcW w:w="649" w:type="pct"/>
            <w:tcBorders>
              <w:top w:val="nil"/>
              <w:left w:val="nil"/>
              <w:bottom w:val="single" w:sz="12" w:space="0" w:color="000000"/>
              <w:right w:val="nil"/>
              <w:tl2br w:val="nil"/>
              <w:tr2bl w:val="nil"/>
            </w:tcBorders>
            <w:vAlign w:val="bottom"/>
          </w:tcPr>
          <w:p w:rsidR="0018024C" w:rsidRPr="00C6642F" w:rsidRDefault="0018024C" w:rsidP="0018024C">
            <w:pPr>
              <w:keepNext/>
              <w:spacing w:before="1" w:after="1"/>
              <w:ind w:right="65"/>
              <w:jc w:val="right"/>
              <w:rPr>
                <w:color w:val="000000"/>
                <w:sz w:val="20"/>
              </w:rPr>
            </w:pPr>
            <w:r w:rsidRPr="00C6642F">
              <w:rPr>
                <w:color w:val="000000"/>
                <w:sz w:val="20"/>
              </w:rPr>
              <w:t xml:space="preserve"> 282</w:t>
            </w:r>
          </w:p>
        </w:tc>
      </w:tr>
      <w:tr w:rsidR="0018024C" w:rsidRPr="00C6642F" w:rsidTr="0018024C">
        <w:trPr>
          <w:trHeight w:hRule="exact" w:val="300"/>
        </w:trPr>
        <w:tc>
          <w:tcPr>
            <w:tcW w:w="3159"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81"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64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ind w:right="63"/>
              <w:jc w:val="right"/>
              <w:rPr>
                <w:b/>
                <w:color w:val="000000"/>
                <w:sz w:val="20"/>
              </w:rPr>
            </w:pPr>
            <w:r w:rsidRPr="00C6642F">
              <w:rPr>
                <w:b/>
                <w:color w:val="000000"/>
                <w:sz w:val="20"/>
              </w:rPr>
              <w:t xml:space="preserve"> 891</w:t>
            </w:r>
          </w:p>
        </w:tc>
        <w:tc>
          <w:tcPr>
            <w:tcW w:w="1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color w:val="000000"/>
                <w:sz w:val="20"/>
              </w:rPr>
            </w:pPr>
          </w:p>
        </w:tc>
        <w:tc>
          <w:tcPr>
            <w:tcW w:w="181"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64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ind w:right="65"/>
              <w:jc w:val="right"/>
              <w:rPr>
                <w:color w:val="000000"/>
                <w:sz w:val="20"/>
              </w:rPr>
            </w:pPr>
            <w:r w:rsidRPr="00C6642F">
              <w:rPr>
                <w:color w:val="000000"/>
                <w:sz w:val="20"/>
              </w:rPr>
              <w:t xml:space="preserve"> 994</w:t>
            </w:r>
          </w:p>
        </w:tc>
      </w:tr>
      <w:tr w:rsidR="0018024C" w:rsidRPr="00C6642F" w:rsidTr="0018024C">
        <w:trPr>
          <w:trHeight w:hRule="exact" w:val="300"/>
        </w:trPr>
        <w:tc>
          <w:tcPr>
            <w:tcW w:w="3159" w:type="pct"/>
            <w:tcBorders>
              <w:top w:val="nil"/>
              <w:left w:val="nil"/>
              <w:bottom w:val="nil"/>
              <w:right w:val="nil"/>
              <w:tl2br w:val="nil"/>
              <w:tr2bl w:val="nil"/>
            </w:tcBorders>
            <w:vAlign w:val="bottom"/>
          </w:tcPr>
          <w:p w:rsidR="0018024C" w:rsidRPr="00C6642F" w:rsidRDefault="0018024C" w:rsidP="0018024C">
            <w:pPr>
              <w:keepNext/>
              <w:spacing w:before="1" w:after="1"/>
              <w:rPr>
                <w:color w:val="000000"/>
                <w:sz w:val="20"/>
              </w:rPr>
            </w:pPr>
            <w:r w:rsidRPr="00C6642F">
              <w:rPr>
                <w:color w:val="000000"/>
                <w:sz w:val="20"/>
              </w:rPr>
              <w:t>Less: Excess of average cost over LIFO cost (LIFO reserve)</w:t>
            </w:r>
          </w:p>
        </w:tc>
        <w:tc>
          <w:tcPr>
            <w:tcW w:w="181" w:type="pct"/>
            <w:tcBorders>
              <w:top w:val="nil"/>
              <w:left w:val="nil"/>
              <w:bottom w:val="nil"/>
              <w:right w:val="nil"/>
              <w:tl2br w:val="nil"/>
              <w:tr2bl w:val="nil"/>
            </w:tcBorders>
            <w:vAlign w:val="bottom"/>
          </w:tcPr>
          <w:p w:rsidR="0018024C" w:rsidRPr="00C6642F" w:rsidRDefault="0018024C" w:rsidP="0018024C">
            <w:pPr>
              <w:keepNext/>
              <w:spacing w:before="1" w:after="1"/>
              <w:rPr>
                <w:b/>
                <w:color w:val="000000"/>
                <w:sz w:val="20"/>
              </w:rPr>
            </w:pPr>
          </w:p>
        </w:tc>
        <w:tc>
          <w:tcPr>
            <w:tcW w:w="649" w:type="pct"/>
            <w:tcBorders>
              <w:top w:val="nil"/>
              <w:left w:val="nil"/>
              <w:bottom w:val="nil"/>
              <w:right w:val="nil"/>
              <w:tl2br w:val="nil"/>
              <w:tr2bl w:val="nil"/>
            </w:tcBorders>
            <w:vAlign w:val="bottom"/>
          </w:tcPr>
          <w:p w:rsidR="0018024C" w:rsidRPr="00C6642F" w:rsidRDefault="0018024C" w:rsidP="0018024C">
            <w:pPr>
              <w:keepNext/>
              <w:spacing w:before="1" w:after="1"/>
              <w:jc w:val="right"/>
              <w:rPr>
                <w:b/>
                <w:color w:val="000000"/>
                <w:sz w:val="20"/>
              </w:rPr>
            </w:pPr>
            <w:r w:rsidRPr="00C6642F">
              <w:rPr>
                <w:b/>
                <w:color w:val="000000"/>
                <w:sz w:val="20"/>
              </w:rPr>
              <w:t xml:space="preserve"> (155)</w:t>
            </w:r>
          </w:p>
        </w:tc>
        <w:tc>
          <w:tcPr>
            <w:tcW w:w="181" w:type="pct"/>
            <w:tcBorders>
              <w:top w:val="nil"/>
              <w:left w:val="nil"/>
              <w:bottom w:val="nil"/>
              <w:right w:val="nil"/>
              <w:tl2br w:val="nil"/>
              <w:tr2bl w:val="nil"/>
            </w:tcBorders>
            <w:vAlign w:val="bottom"/>
          </w:tcPr>
          <w:p w:rsidR="0018024C" w:rsidRPr="00C6642F" w:rsidRDefault="0018024C" w:rsidP="0018024C">
            <w:pPr>
              <w:keepNext/>
              <w:spacing w:before="1" w:after="1"/>
              <w:rPr>
                <w:b/>
                <w:color w:val="000000"/>
                <w:sz w:val="20"/>
              </w:rPr>
            </w:pPr>
          </w:p>
        </w:tc>
        <w:tc>
          <w:tcPr>
            <w:tcW w:w="181" w:type="pct"/>
            <w:tcBorders>
              <w:top w:val="nil"/>
              <w:left w:val="nil"/>
              <w:bottom w:val="nil"/>
              <w:right w:val="nil"/>
              <w:tl2br w:val="nil"/>
              <w:tr2bl w:val="nil"/>
            </w:tcBorders>
            <w:vAlign w:val="bottom"/>
          </w:tcPr>
          <w:p w:rsidR="0018024C" w:rsidRPr="00C6642F" w:rsidRDefault="0018024C" w:rsidP="0018024C">
            <w:pPr>
              <w:keepNext/>
              <w:spacing w:before="1" w:after="1"/>
              <w:rPr>
                <w:color w:val="000000"/>
                <w:sz w:val="20"/>
              </w:rPr>
            </w:pPr>
          </w:p>
        </w:tc>
        <w:tc>
          <w:tcPr>
            <w:tcW w:w="649" w:type="pct"/>
            <w:tcBorders>
              <w:top w:val="nil"/>
              <w:left w:val="nil"/>
              <w:bottom w:val="nil"/>
              <w:right w:val="nil"/>
              <w:tl2br w:val="nil"/>
              <w:tr2bl w:val="nil"/>
            </w:tcBorders>
            <w:vAlign w:val="bottom"/>
          </w:tcPr>
          <w:p w:rsidR="0018024C" w:rsidRPr="00C6642F" w:rsidRDefault="0018024C" w:rsidP="0018024C">
            <w:pPr>
              <w:keepNext/>
              <w:spacing w:before="1" w:after="1"/>
              <w:ind w:right="3"/>
              <w:jc w:val="right"/>
              <w:rPr>
                <w:color w:val="000000"/>
                <w:sz w:val="20"/>
              </w:rPr>
            </w:pPr>
            <w:r w:rsidRPr="00C6642F">
              <w:rPr>
                <w:color w:val="000000"/>
                <w:sz w:val="20"/>
              </w:rPr>
              <w:t xml:space="preserve"> (157)</w:t>
            </w:r>
          </w:p>
        </w:tc>
      </w:tr>
      <w:tr w:rsidR="0018024C" w:rsidRPr="00C6642F" w:rsidTr="0018024C">
        <w:trPr>
          <w:trHeight w:hRule="exact" w:val="300"/>
        </w:trPr>
        <w:tc>
          <w:tcPr>
            <w:tcW w:w="3159"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color w:val="000000"/>
                <w:sz w:val="20"/>
              </w:rPr>
            </w:pPr>
            <w:r w:rsidRPr="00C6642F">
              <w:rPr>
                <w:color w:val="000000"/>
                <w:sz w:val="20"/>
              </w:rPr>
              <w:t>Less: Other inventory reserves</w:t>
            </w:r>
          </w:p>
        </w:tc>
        <w:tc>
          <w:tcPr>
            <w:tcW w:w="181"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before="1" w:after="1"/>
              <w:rPr>
                <w:b/>
                <w:color w:val="000000"/>
                <w:sz w:val="20"/>
              </w:rPr>
            </w:pPr>
          </w:p>
        </w:tc>
        <w:tc>
          <w:tcPr>
            <w:tcW w:w="649"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before="1" w:after="1"/>
              <w:jc w:val="right"/>
              <w:rPr>
                <w:b/>
                <w:color w:val="000000"/>
                <w:sz w:val="20"/>
              </w:rPr>
            </w:pPr>
            <w:r w:rsidRPr="00C6642F">
              <w:rPr>
                <w:b/>
                <w:color w:val="000000"/>
                <w:sz w:val="20"/>
              </w:rPr>
              <w:t xml:space="preserve"> (35)</w:t>
            </w:r>
          </w:p>
        </w:tc>
        <w:tc>
          <w:tcPr>
            <w:tcW w:w="1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color w:val="000000"/>
                <w:sz w:val="20"/>
              </w:rPr>
            </w:pPr>
          </w:p>
        </w:tc>
        <w:tc>
          <w:tcPr>
            <w:tcW w:w="181"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before="1" w:after="1"/>
              <w:rPr>
                <w:color w:val="000000"/>
                <w:sz w:val="20"/>
              </w:rPr>
            </w:pPr>
          </w:p>
        </w:tc>
        <w:tc>
          <w:tcPr>
            <w:tcW w:w="649"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before="1" w:after="1"/>
              <w:ind w:right="3"/>
              <w:jc w:val="right"/>
              <w:rPr>
                <w:color w:val="000000"/>
                <w:sz w:val="20"/>
              </w:rPr>
            </w:pPr>
            <w:r w:rsidRPr="00C6642F">
              <w:rPr>
                <w:color w:val="000000"/>
                <w:sz w:val="20"/>
              </w:rPr>
              <w:t xml:space="preserve"> (40)</w:t>
            </w:r>
          </w:p>
        </w:tc>
      </w:tr>
      <w:tr w:rsidR="0018024C" w:rsidRPr="00C6642F" w:rsidTr="0018024C">
        <w:trPr>
          <w:trHeight w:hRule="exact" w:val="300"/>
        </w:trPr>
        <w:tc>
          <w:tcPr>
            <w:tcW w:w="3159" w:type="pct"/>
            <w:tcBorders>
              <w:top w:val="nil"/>
              <w:left w:val="nil"/>
              <w:bottom w:val="nil"/>
              <w:right w:val="nil"/>
              <w:tl2br w:val="nil"/>
              <w:tr2bl w:val="nil"/>
            </w:tcBorders>
            <w:vAlign w:val="bottom"/>
          </w:tcPr>
          <w:p w:rsidR="0018024C" w:rsidRPr="00C6642F" w:rsidRDefault="0018024C" w:rsidP="0018024C">
            <w:pPr>
              <w:keepNext/>
              <w:spacing w:before="1" w:after="1"/>
              <w:rPr>
                <w:rFonts w:ascii="Calibri" w:eastAsia="Calibri" w:hAnsi="Calibri" w:cs="Calibri"/>
                <w:sz w:val="22"/>
              </w:rPr>
            </w:pPr>
          </w:p>
        </w:tc>
        <w:tc>
          <w:tcPr>
            <w:tcW w:w="181"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spacing w:before="1" w:after="1"/>
              <w:rPr>
                <w:b/>
                <w:sz w:val="20"/>
              </w:rPr>
            </w:pPr>
            <w:r w:rsidRPr="00C6642F">
              <w:rPr>
                <w:b/>
                <w:sz w:val="20"/>
              </w:rPr>
              <w:t>$</w:t>
            </w:r>
          </w:p>
        </w:tc>
        <w:tc>
          <w:tcPr>
            <w:tcW w:w="649"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spacing w:before="1" w:after="1"/>
              <w:ind w:right="63"/>
              <w:jc w:val="right"/>
              <w:rPr>
                <w:b/>
                <w:color w:val="000000"/>
                <w:sz w:val="20"/>
              </w:rPr>
            </w:pPr>
            <w:r w:rsidRPr="00C6642F">
              <w:rPr>
                <w:b/>
                <w:color w:val="000000"/>
                <w:sz w:val="20"/>
              </w:rPr>
              <w:t xml:space="preserve"> 701</w:t>
            </w:r>
          </w:p>
        </w:tc>
        <w:tc>
          <w:tcPr>
            <w:tcW w:w="181" w:type="pct"/>
            <w:tcBorders>
              <w:top w:val="nil"/>
              <w:left w:val="nil"/>
              <w:bottom w:val="nil"/>
              <w:right w:val="nil"/>
              <w:tl2br w:val="nil"/>
              <w:tr2bl w:val="nil"/>
            </w:tcBorders>
            <w:vAlign w:val="bottom"/>
          </w:tcPr>
          <w:p w:rsidR="0018024C" w:rsidRPr="00C6642F" w:rsidRDefault="0018024C" w:rsidP="0018024C">
            <w:pPr>
              <w:keepNext/>
              <w:spacing w:before="1" w:after="1"/>
              <w:rPr>
                <w:b/>
                <w:color w:val="000000"/>
                <w:sz w:val="20"/>
              </w:rPr>
            </w:pPr>
          </w:p>
        </w:tc>
        <w:tc>
          <w:tcPr>
            <w:tcW w:w="181"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spacing w:before="1" w:after="1"/>
              <w:rPr>
                <w:sz w:val="20"/>
              </w:rPr>
            </w:pPr>
            <w:r w:rsidRPr="00C6642F">
              <w:rPr>
                <w:sz w:val="20"/>
              </w:rPr>
              <w:t>$</w:t>
            </w:r>
          </w:p>
        </w:tc>
        <w:tc>
          <w:tcPr>
            <w:tcW w:w="649"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spacing w:before="1" w:after="1"/>
              <w:ind w:right="65"/>
              <w:jc w:val="right"/>
              <w:rPr>
                <w:color w:val="000000"/>
                <w:sz w:val="20"/>
              </w:rPr>
            </w:pPr>
            <w:r w:rsidRPr="00C6642F">
              <w:rPr>
                <w:color w:val="000000"/>
                <w:sz w:val="20"/>
              </w:rPr>
              <w:t xml:space="preserve"> 797</w:t>
            </w:r>
          </w:p>
        </w:tc>
      </w:tr>
    </w:tbl>
    <w:p w:rsidR="000121CD" w:rsidRPr="00C6642F" w:rsidRDefault="00590862">
      <w:pPr>
        <w:pStyle w:val="NormalWeb"/>
        <w:spacing w:before="180" w:after="0"/>
        <w:rPr>
          <w:sz w:val="20"/>
          <w:szCs w:val="20"/>
        </w:rPr>
      </w:pPr>
      <w:r w:rsidRPr="00C6642F">
        <w:rPr>
          <w:sz w:val="20"/>
          <w:szCs w:val="20"/>
        </w:rPr>
        <w:t xml:space="preserve">Our inventory quantities were reduced during </w:t>
      </w:r>
      <w:r w:rsidR="00AC55B9" w:rsidRPr="00C6642F">
        <w:rPr>
          <w:sz w:val="20"/>
          <w:szCs w:val="20"/>
        </w:rPr>
        <w:t>2019</w:t>
      </w:r>
      <w:r w:rsidRPr="00C6642F">
        <w:rPr>
          <w:sz w:val="20"/>
          <w:szCs w:val="20"/>
        </w:rPr>
        <w:t>, resulting in a liquidation of a last-in, first out (“LIFO”) inventory layer that was carried at a lower cost prevailing from a prior year, as compared with current costs in the current year (a “LIFO decrement”). A LIFO decrement results in the erosion of layers created in earlier years, and, therefore, a LIFO layer is not created for years that have decrements. For the year</w:t>
      </w:r>
      <w:r w:rsidR="00AC55B9" w:rsidRPr="00C6642F">
        <w:rPr>
          <w:sz w:val="20"/>
          <w:szCs w:val="20"/>
        </w:rPr>
        <w:t>s</w:t>
      </w:r>
      <w:r w:rsidRPr="00C6642F">
        <w:rPr>
          <w:sz w:val="20"/>
          <w:szCs w:val="20"/>
        </w:rPr>
        <w:t xml:space="preserve"> ended December 31, </w:t>
      </w:r>
      <w:r w:rsidR="00AC55B9" w:rsidRPr="00C6642F">
        <w:rPr>
          <w:sz w:val="20"/>
          <w:szCs w:val="20"/>
        </w:rPr>
        <w:t>2019</w:t>
      </w:r>
      <w:r w:rsidRPr="00C6642F">
        <w:rPr>
          <w:sz w:val="20"/>
          <w:szCs w:val="20"/>
        </w:rPr>
        <w:t>, the effect of this LIFO decreased cost of sales by</w:t>
      </w:r>
      <w:r w:rsidR="00AC55B9" w:rsidRPr="00C6642F">
        <w:rPr>
          <w:sz w:val="20"/>
          <w:szCs w:val="20"/>
        </w:rPr>
        <w:t xml:space="preserve"> $5 million</w:t>
      </w:r>
      <w:r w:rsidRPr="00C6642F">
        <w:rPr>
          <w:sz w:val="20"/>
          <w:szCs w:val="20"/>
        </w:rPr>
        <w:t>.</w:t>
      </w:r>
      <w:r w:rsidR="00AC55B9" w:rsidRPr="00C6642F">
        <w:rPr>
          <w:sz w:val="20"/>
          <w:szCs w:val="20"/>
        </w:rPr>
        <w:t xml:space="preserve">  There was no LIFO decrement for the years ended December 31, 2018 and 2017.</w:t>
      </w:r>
    </w:p>
    <w:p w:rsidR="000121CD" w:rsidRDefault="00590862">
      <w:pPr>
        <w:pStyle w:val="NormalWeb"/>
        <w:spacing w:before="180" w:after="0"/>
        <w:rPr>
          <w:sz w:val="20"/>
          <w:szCs w:val="20"/>
        </w:rPr>
      </w:pPr>
      <w:r w:rsidRPr="00C6642F">
        <w:rPr>
          <w:sz w:val="20"/>
          <w:szCs w:val="20"/>
        </w:rPr>
        <w:t>In the fourth quarter of 201</w:t>
      </w:r>
      <w:r w:rsidR="002960CA" w:rsidRPr="00C6642F">
        <w:rPr>
          <w:sz w:val="20"/>
          <w:szCs w:val="20"/>
        </w:rPr>
        <w:t>9</w:t>
      </w:r>
      <w:r w:rsidRPr="00C6642F">
        <w:rPr>
          <w:sz w:val="20"/>
          <w:szCs w:val="20"/>
        </w:rPr>
        <w:t>, we incurred an inventory charge of $</w:t>
      </w:r>
      <w:r w:rsidR="002960CA" w:rsidRPr="00C6642F">
        <w:rPr>
          <w:sz w:val="20"/>
          <w:szCs w:val="20"/>
        </w:rPr>
        <w:t>5</w:t>
      </w:r>
      <w:r w:rsidRPr="00C6642F">
        <w:rPr>
          <w:sz w:val="20"/>
          <w:szCs w:val="20"/>
        </w:rPr>
        <w:t xml:space="preserve"> million associated with </w:t>
      </w:r>
      <w:r w:rsidR="00B34492" w:rsidRPr="00C6642F">
        <w:rPr>
          <w:sz w:val="20"/>
          <w:szCs w:val="20"/>
        </w:rPr>
        <w:t>excess</w:t>
      </w:r>
      <w:r w:rsidR="00755004" w:rsidRPr="00C6642F">
        <w:rPr>
          <w:sz w:val="20"/>
          <w:szCs w:val="20"/>
        </w:rPr>
        <w:t xml:space="preserve"> and obsolete</w:t>
      </w:r>
      <w:r w:rsidR="00B34492" w:rsidRPr="00C6642F">
        <w:rPr>
          <w:sz w:val="20"/>
          <w:szCs w:val="20"/>
        </w:rPr>
        <w:t xml:space="preserve"> inventory</w:t>
      </w:r>
      <w:r w:rsidR="00755004" w:rsidRPr="00C6642F">
        <w:rPr>
          <w:sz w:val="20"/>
          <w:szCs w:val="20"/>
        </w:rPr>
        <w:t xml:space="preserve"> in our International segment</w:t>
      </w:r>
      <w:r w:rsidRPr="00C6642F">
        <w:rPr>
          <w:sz w:val="20"/>
          <w:szCs w:val="20"/>
        </w:rPr>
        <w:t>. This charge reflected adjustments necessary to reduce the carrying value of these products to their net realizable value.</w:t>
      </w:r>
    </w:p>
    <w:p w:rsidR="000121CD" w:rsidRPr="00C6642F" w:rsidRDefault="007D001E">
      <w:pPr>
        <w:pStyle w:val="NormalWeb"/>
        <w:keepNext/>
        <w:spacing w:before="270" w:beforeAutospacing="0" w:after="0" w:afterAutospacing="0"/>
      </w:pPr>
      <w:r w:rsidRPr="00C6642F">
        <w:rPr>
          <w:b/>
          <w:bCs/>
          <w:sz w:val="20"/>
          <w:szCs w:val="20"/>
          <w:u w:val="single"/>
        </w:rPr>
        <w:t xml:space="preserve"> </w:t>
      </w:r>
      <w:r w:rsidR="00590862" w:rsidRPr="00C6642F">
        <w:rPr>
          <w:b/>
          <w:bCs/>
          <w:sz w:val="20"/>
          <w:szCs w:val="20"/>
          <w:u w:val="single"/>
        </w:rPr>
        <w:t xml:space="preserve">NOTE 5—PROPERTY, PLANT AND EQUIPMENT </w:t>
      </w:r>
    </w:p>
    <w:p w:rsidR="000121CD" w:rsidRPr="00C6642F" w:rsidRDefault="00590862">
      <w:pPr>
        <w:pStyle w:val="NormalWeb"/>
        <w:keepNext/>
        <w:spacing w:before="90" w:beforeAutospacing="0" w:after="0" w:afterAutospacing="0"/>
      </w:pPr>
      <w:r w:rsidRPr="00C6642F">
        <w:rPr>
          <w:sz w:val="20"/>
          <w:szCs w:val="20"/>
        </w:rPr>
        <w:t xml:space="preserve">Property, plant and equipment consisted of the following (in millions): </w:t>
      </w:r>
    </w:p>
    <w:p w:rsidR="000121CD" w:rsidRPr="00C6642F" w:rsidRDefault="00590862">
      <w:pPr>
        <w:pStyle w:val="NormalWeb"/>
        <w:keepNext/>
        <w:spacing w:before="0" w:beforeAutospacing="0" w:after="0" w:afterAutospacing="0"/>
        <w:rPr>
          <w:sz w:val="18"/>
          <w:szCs w:val="18"/>
        </w:rPr>
      </w:pPr>
      <w:r w:rsidRPr="00C6642F">
        <w:rPr>
          <w:sz w:val="18"/>
          <w:szCs w:val="18"/>
        </w:rPr>
        <w:t> </w:t>
      </w:r>
    </w:p>
    <w:p w:rsidR="000121CD" w:rsidRPr="00C6642F" w:rsidRDefault="000121CD">
      <w:pPr>
        <w:keepNext/>
        <w:rPr>
          <w:sz w:val="2"/>
        </w:rPr>
      </w:pPr>
    </w:p>
    <w:tbl>
      <w:tblPr>
        <w:tblW w:w="5000" w:type="pct"/>
        <w:tblCellMar>
          <w:left w:w="0" w:type="dxa"/>
          <w:right w:w="0" w:type="dxa"/>
        </w:tblCellMar>
        <w:tblLook w:val="04A0" w:firstRow="1" w:lastRow="0" w:firstColumn="1" w:lastColumn="0" w:noHBand="0" w:noVBand="1"/>
      </w:tblPr>
      <w:tblGrid>
        <w:gridCol w:w="4550"/>
        <w:gridCol w:w="1653"/>
        <w:gridCol w:w="1150"/>
        <w:gridCol w:w="341"/>
        <w:gridCol w:w="1203"/>
        <w:gridCol w:w="359"/>
        <w:gridCol w:w="341"/>
        <w:gridCol w:w="1203"/>
      </w:tblGrid>
      <w:tr w:rsidR="0018024C" w:rsidRPr="00C6642F" w:rsidTr="0018024C">
        <w:trPr>
          <w:trHeight w:hRule="exact" w:val="20"/>
        </w:trPr>
        <w:tc>
          <w:tcPr>
            <w:tcW w:w="2106" w:type="pct"/>
            <w:tcBorders>
              <w:top w:val="nil"/>
              <w:left w:val="nil"/>
              <w:bottom w:val="nil"/>
              <w:right w:val="nil"/>
            </w:tcBorders>
            <w:shd w:val="clear" w:color="auto" w:fill="auto"/>
            <w:vAlign w:val="bottom"/>
          </w:tcPr>
          <w:p w:rsidR="0018024C" w:rsidRPr="00C6642F" w:rsidRDefault="0018024C" w:rsidP="0018024C">
            <w:pPr>
              <w:keepNext/>
              <w:rPr>
                <w:sz w:val="2"/>
              </w:rPr>
            </w:pPr>
          </w:p>
        </w:tc>
        <w:tc>
          <w:tcPr>
            <w:tcW w:w="765" w:type="pct"/>
            <w:tcBorders>
              <w:top w:val="nil"/>
              <w:left w:val="nil"/>
              <w:bottom w:val="nil"/>
              <w:right w:val="nil"/>
            </w:tcBorders>
            <w:shd w:val="clear" w:color="auto" w:fill="auto"/>
            <w:vAlign w:val="bottom"/>
          </w:tcPr>
          <w:p w:rsidR="0018024C" w:rsidRPr="00C6642F" w:rsidRDefault="0018024C" w:rsidP="0018024C">
            <w:pPr>
              <w:keepNext/>
              <w:rPr>
                <w:sz w:val="2"/>
              </w:rPr>
            </w:pPr>
          </w:p>
        </w:tc>
        <w:tc>
          <w:tcPr>
            <w:tcW w:w="532" w:type="pct"/>
            <w:tcBorders>
              <w:top w:val="nil"/>
              <w:left w:val="nil"/>
              <w:bottom w:val="nil"/>
              <w:right w:val="nil"/>
            </w:tcBorders>
            <w:shd w:val="clear" w:color="auto" w:fill="auto"/>
            <w:vAlign w:val="bottom"/>
          </w:tcPr>
          <w:p w:rsidR="0018024C" w:rsidRPr="00C6642F" w:rsidRDefault="0018024C" w:rsidP="0018024C">
            <w:pPr>
              <w:keepNext/>
              <w:rPr>
                <w:sz w:val="2"/>
              </w:rPr>
            </w:pPr>
          </w:p>
        </w:tc>
        <w:tc>
          <w:tcPr>
            <w:tcW w:w="158" w:type="pct"/>
            <w:tcBorders>
              <w:top w:val="nil"/>
              <w:left w:val="nil"/>
              <w:bottom w:val="nil"/>
              <w:right w:val="nil"/>
            </w:tcBorders>
            <w:shd w:val="clear" w:color="auto" w:fill="auto"/>
            <w:vAlign w:val="bottom"/>
          </w:tcPr>
          <w:p w:rsidR="0018024C" w:rsidRPr="00C6642F" w:rsidRDefault="0018024C" w:rsidP="0018024C">
            <w:pPr>
              <w:keepNext/>
              <w:rPr>
                <w:sz w:val="2"/>
              </w:rPr>
            </w:pPr>
          </w:p>
        </w:tc>
        <w:tc>
          <w:tcPr>
            <w:tcW w:w="557" w:type="pct"/>
            <w:tcBorders>
              <w:top w:val="nil"/>
              <w:left w:val="nil"/>
              <w:bottom w:val="nil"/>
              <w:right w:val="nil"/>
            </w:tcBorders>
            <w:shd w:val="clear" w:color="auto" w:fill="auto"/>
            <w:vAlign w:val="bottom"/>
          </w:tcPr>
          <w:p w:rsidR="0018024C" w:rsidRPr="00C6642F" w:rsidRDefault="0018024C" w:rsidP="0018024C">
            <w:pPr>
              <w:keepNext/>
              <w:rPr>
                <w:sz w:val="2"/>
              </w:rPr>
            </w:pPr>
          </w:p>
        </w:tc>
        <w:tc>
          <w:tcPr>
            <w:tcW w:w="166" w:type="pct"/>
            <w:tcBorders>
              <w:top w:val="nil"/>
              <w:left w:val="nil"/>
              <w:bottom w:val="nil"/>
              <w:right w:val="nil"/>
            </w:tcBorders>
            <w:shd w:val="clear" w:color="auto" w:fill="auto"/>
            <w:vAlign w:val="bottom"/>
          </w:tcPr>
          <w:p w:rsidR="0018024C" w:rsidRPr="00C6642F" w:rsidRDefault="0018024C" w:rsidP="0018024C">
            <w:pPr>
              <w:keepNext/>
              <w:rPr>
                <w:sz w:val="2"/>
              </w:rPr>
            </w:pPr>
          </w:p>
        </w:tc>
        <w:tc>
          <w:tcPr>
            <w:tcW w:w="158" w:type="pct"/>
            <w:tcBorders>
              <w:top w:val="nil"/>
              <w:left w:val="nil"/>
              <w:bottom w:val="nil"/>
              <w:right w:val="nil"/>
            </w:tcBorders>
            <w:shd w:val="clear" w:color="auto" w:fill="auto"/>
            <w:vAlign w:val="bottom"/>
          </w:tcPr>
          <w:p w:rsidR="0018024C" w:rsidRPr="00C6642F" w:rsidRDefault="0018024C" w:rsidP="0018024C">
            <w:pPr>
              <w:keepNext/>
              <w:rPr>
                <w:sz w:val="2"/>
              </w:rPr>
            </w:pPr>
          </w:p>
        </w:tc>
        <w:tc>
          <w:tcPr>
            <w:tcW w:w="557" w:type="pct"/>
            <w:tcBorders>
              <w:top w:val="nil"/>
              <w:left w:val="nil"/>
              <w:bottom w:val="nil"/>
              <w:right w:val="nil"/>
            </w:tcBorders>
            <w:shd w:val="clear" w:color="auto" w:fill="auto"/>
            <w:vAlign w:val="bottom"/>
          </w:tcPr>
          <w:p w:rsidR="0018024C" w:rsidRPr="00C6642F" w:rsidRDefault="0018024C" w:rsidP="0018024C">
            <w:pPr>
              <w:keepNext/>
              <w:rPr>
                <w:sz w:val="2"/>
              </w:rPr>
            </w:pPr>
          </w:p>
        </w:tc>
      </w:tr>
      <w:tr w:rsidR="0018024C" w:rsidRPr="00C6642F" w:rsidTr="0018024C">
        <w:trPr>
          <w:trHeight w:hRule="exact" w:val="300"/>
        </w:trPr>
        <w:tc>
          <w:tcPr>
            <w:tcW w:w="2106" w:type="pct"/>
            <w:tcBorders>
              <w:top w:val="nil"/>
              <w:left w:val="nil"/>
              <w:bottom w:val="nil"/>
              <w:right w:val="nil"/>
              <w:tl2br w:val="nil"/>
              <w:tr2bl w:val="nil"/>
            </w:tcBorders>
            <w:shd w:val="clear" w:color="auto" w:fill="auto"/>
            <w:vAlign w:val="bottom"/>
          </w:tcPr>
          <w:p w:rsidR="0018024C" w:rsidRPr="00C6642F" w:rsidRDefault="0018024C" w:rsidP="0018024C">
            <w:pPr>
              <w:keepNext/>
              <w:rPr>
                <w:sz w:val="20"/>
              </w:rPr>
            </w:pPr>
          </w:p>
        </w:tc>
        <w:tc>
          <w:tcPr>
            <w:tcW w:w="765" w:type="pct"/>
            <w:tcBorders>
              <w:top w:val="nil"/>
              <w:left w:val="nil"/>
              <w:bottom w:val="nil"/>
              <w:right w:val="nil"/>
              <w:tl2br w:val="nil"/>
              <w:tr2bl w:val="nil"/>
            </w:tcBorders>
            <w:shd w:val="clear" w:color="auto" w:fill="auto"/>
            <w:vAlign w:val="bottom"/>
          </w:tcPr>
          <w:p w:rsidR="0018024C" w:rsidRPr="00C6642F" w:rsidRDefault="0018024C" w:rsidP="0018024C">
            <w:pPr>
              <w:keepNext/>
              <w:rPr>
                <w:sz w:val="20"/>
              </w:rPr>
            </w:pPr>
          </w:p>
        </w:tc>
        <w:tc>
          <w:tcPr>
            <w:tcW w:w="532" w:type="pct"/>
            <w:tcBorders>
              <w:top w:val="nil"/>
              <w:left w:val="nil"/>
              <w:bottom w:val="nil"/>
              <w:right w:val="nil"/>
              <w:tl2br w:val="nil"/>
              <w:tr2bl w:val="nil"/>
            </w:tcBorders>
            <w:shd w:val="clear" w:color="auto" w:fill="auto"/>
            <w:vAlign w:val="bottom"/>
          </w:tcPr>
          <w:p w:rsidR="0018024C" w:rsidRPr="00C6642F" w:rsidRDefault="0018024C" w:rsidP="0018024C">
            <w:pPr>
              <w:keepNext/>
              <w:rPr>
                <w:sz w:val="20"/>
              </w:rPr>
            </w:pPr>
          </w:p>
        </w:tc>
        <w:tc>
          <w:tcPr>
            <w:tcW w:w="158" w:type="pct"/>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rPr>
                <w:sz w:val="20"/>
              </w:rPr>
            </w:pPr>
          </w:p>
        </w:tc>
        <w:tc>
          <w:tcPr>
            <w:tcW w:w="1" w:type="pct"/>
            <w:gridSpan w:val="4"/>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jc w:val="center"/>
              <w:rPr>
                <w:b/>
                <w:sz w:val="20"/>
              </w:rPr>
            </w:pPr>
            <w:r w:rsidRPr="00C6642F">
              <w:rPr>
                <w:b/>
                <w:sz w:val="20"/>
              </w:rPr>
              <w:t>December 31,</w:t>
            </w:r>
          </w:p>
        </w:tc>
      </w:tr>
      <w:tr w:rsidR="0018024C" w:rsidRPr="00C6642F" w:rsidTr="0018024C">
        <w:trPr>
          <w:trHeight w:hRule="exact" w:val="300"/>
        </w:trPr>
        <w:tc>
          <w:tcPr>
            <w:tcW w:w="2106" w:type="pct"/>
            <w:tcBorders>
              <w:top w:val="nil"/>
              <w:left w:val="nil"/>
              <w:bottom w:val="nil"/>
              <w:right w:val="nil"/>
              <w:tl2br w:val="nil"/>
              <w:tr2bl w:val="nil"/>
            </w:tcBorders>
            <w:shd w:val="clear" w:color="auto" w:fill="auto"/>
            <w:vAlign w:val="bottom"/>
          </w:tcPr>
          <w:p w:rsidR="0018024C" w:rsidRPr="00C6642F" w:rsidRDefault="0018024C" w:rsidP="0018024C">
            <w:pPr>
              <w:keepNext/>
              <w:rPr>
                <w:sz w:val="20"/>
              </w:rPr>
            </w:pPr>
          </w:p>
        </w:tc>
        <w:tc>
          <w:tcPr>
            <w:tcW w:w="765" w:type="pct"/>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jc w:val="center"/>
              <w:rPr>
                <w:b/>
                <w:sz w:val="20"/>
              </w:rPr>
            </w:pPr>
            <w:r w:rsidRPr="00C6642F">
              <w:rPr>
                <w:b/>
                <w:sz w:val="20"/>
              </w:rPr>
              <w:t>Depreciable Life</w:t>
            </w:r>
          </w:p>
        </w:tc>
        <w:tc>
          <w:tcPr>
            <w:tcW w:w="532" w:type="pct"/>
            <w:tcBorders>
              <w:top w:val="nil"/>
              <w:left w:val="nil"/>
              <w:bottom w:val="nil"/>
              <w:right w:val="nil"/>
              <w:tl2br w:val="nil"/>
              <w:tr2bl w:val="nil"/>
            </w:tcBorders>
            <w:shd w:val="clear" w:color="auto" w:fill="auto"/>
            <w:vAlign w:val="bottom"/>
          </w:tcPr>
          <w:p w:rsidR="0018024C" w:rsidRPr="00C6642F" w:rsidRDefault="0018024C" w:rsidP="0018024C">
            <w:pPr>
              <w:keepNext/>
              <w:rPr>
                <w:sz w:val="20"/>
              </w:rPr>
            </w:pPr>
          </w:p>
        </w:tc>
        <w:tc>
          <w:tcPr>
            <w:tcW w:w="158" w:type="pct"/>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rPr>
                <w:sz w:val="20"/>
              </w:rPr>
            </w:pPr>
          </w:p>
        </w:tc>
        <w:tc>
          <w:tcPr>
            <w:tcW w:w="557" w:type="pct"/>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jc w:val="center"/>
              <w:rPr>
                <w:b/>
                <w:sz w:val="20"/>
              </w:rPr>
            </w:pPr>
            <w:r w:rsidRPr="00C6642F">
              <w:rPr>
                <w:b/>
                <w:sz w:val="20"/>
              </w:rPr>
              <w:t>2019</w:t>
            </w:r>
          </w:p>
        </w:tc>
        <w:tc>
          <w:tcPr>
            <w:tcW w:w="166"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jc w:val="center"/>
              <w:rPr>
                <w:sz w:val="20"/>
              </w:rPr>
            </w:pPr>
          </w:p>
        </w:tc>
        <w:tc>
          <w:tcPr>
            <w:tcW w:w="158" w:type="pct"/>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jc w:val="center"/>
              <w:rPr>
                <w:sz w:val="20"/>
              </w:rPr>
            </w:pPr>
          </w:p>
        </w:tc>
        <w:tc>
          <w:tcPr>
            <w:tcW w:w="557" w:type="pct"/>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jc w:val="center"/>
              <w:rPr>
                <w:b/>
                <w:sz w:val="20"/>
              </w:rPr>
            </w:pPr>
            <w:r w:rsidRPr="00C6642F">
              <w:rPr>
                <w:b/>
                <w:sz w:val="20"/>
              </w:rPr>
              <w:t xml:space="preserve"> 2018</w:t>
            </w:r>
          </w:p>
        </w:tc>
      </w:tr>
      <w:tr w:rsidR="0018024C" w:rsidRPr="00C6642F" w:rsidTr="0018024C">
        <w:trPr>
          <w:trHeight w:hRule="exact" w:val="300"/>
        </w:trPr>
        <w:tc>
          <w:tcPr>
            <w:tcW w:w="2106"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r w:rsidRPr="00C6642F">
              <w:rPr>
                <w:sz w:val="20"/>
              </w:rPr>
              <w:t>Land and improvements</w:t>
            </w:r>
          </w:p>
        </w:tc>
        <w:tc>
          <w:tcPr>
            <w:tcW w:w="765"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jc w:val="center"/>
              <w:rPr>
                <w:sz w:val="20"/>
              </w:rPr>
            </w:pPr>
            <w:r w:rsidRPr="00C6642F">
              <w:rPr>
                <w:sz w:val="20"/>
              </w:rPr>
              <w:t>-</w:t>
            </w:r>
          </w:p>
        </w:tc>
        <w:tc>
          <w:tcPr>
            <w:tcW w:w="532"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15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rPr>
                <w:b/>
                <w:sz w:val="20"/>
              </w:rPr>
            </w:pPr>
            <w:r w:rsidRPr="00C6642F">
              <w:rPr>
                <w:b/>
                <w:sz w:val="20"/>
              </w:rPr>
              <w:t>$</w:t>
            </w:r>
          </w:p>
        </w:tc>
        <w:tc>
          <w:tcPr>
            <w:tcW w:w="55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ind w:right="63"/>
              <w:jc w:val="right"/>
              <w:rPr>
                <w:b/>
                <w:sz w:val="20"/>
              </w:rPr>
            </w:pPr>
            <w:r w:rsidRPr="00C6642F">
              <w:rPr>
                <w:b/>
                <w:sz w:val="20"/>
              </w:rPr>
              <w:t xml:space="preserve"> 12</w:t>
            </w:r>
          </w:p>
        </w:tc>
        <w:tc>
          <w:tcPr>
            <w:tcW w:w="166"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15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rPr>
                <w:sz w:val="20"/>
              </w:rPr>
            </w:pPr>
            <w:r w:rsidRPr="00C6642F">
              <w:rPr>
                <w:sz w:val="20"/>
              </w:rPr>
              <w:t>$</w:t>
            </w:r>
          </w:p>
        </w:tc>
        <w:tc>
          <w:tcPr>
            <w:tcW w:w="55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ind w:right="65"/>
              <w:jc w:val="right"/>
              <w:rPr>
                <w:sz w:val="20"/>
              </w:rPr>
            </w:pPr>
            <w:r w:rsidRPr="00C6642F">
              <w:rPr>
                <w:sz w:val="20"/>
              </w:rPr>
              <w:t xml:space="preserve"> 11</w:t>
            </w:r>
          </w:p>
        </w:tc>
      </w:tr>
      <w:tr w:rsidR="0018024C" w:rsidRPr="00C6642F" w:rsidTr="0018024C">
        <w:trPr>
          <w:trHeight w:hRule="exact" w:val="300"/>
        </w:trPr>
        <w:tc>
          <w:tcPr>
            <w:tcW w:w="2106" w:type="pct"/>
            <w:tcBorders>
              <w:top w:val="nil"/>
              <w:left w:val="nil"/>
              <w:bottom w:val="nil"/>
              <w:right w:val="nil"/>
              <w:tl2br w:val="nil"/>
              <w:tr2bl w:val="nil"/>
            </w:tcBorders>
            <w:vAlign w:val="bottom"/>
          </w:tcPr>
          <w:p w:rsidR="0018024C" w:rsidRPr="00C6642F" w:rsidRDefault="0018024C" w:rsidP="0018024C">
            <w:pPr>
              <w:keepNext/>
              <w:rPr>
                <w:sz w:val="20"/>
              </w:rPr>
            </w:pPr>
            <w:r w:rsidRPr="00C6642F">
              <w:rPr>
                <w:sz w:val="20"/>
              </w:rPr>
              <w:t>Building and building improvements</w:t>
            </w:r>
          </w:p>
        </w:tc>
        <w:tc>
          <w:tcPr>
            <w:tcW w:w="765" w:type="pct"/>
            <w:tcBorders>
              <w:top w:val="nil"/>
              <w:left w:val="nil"/>
              <w:bottom w:val="nil"/>
              <w:right w:val="nil"/>
              <w:tl2br w:val="nil"/>
              <w:tr2bl w:val="nil"/>
            </w:tcBorders>
            <w:vAlign w:val="bottom"/>
          </w:tcPr>
          <w:p w:rsidR="0018024C" w:rsidRPr="00C6642F" w:rsidRDefault="0018024C" w:rsidP="0018024C">
            <w:pPr>
              <w:keepNext/>
              <w:jc w:val="center"/>
              <w:rPr>
                <w:sz w:val="20"/>
              </w:rPr>
            </w:pPr>
            <w:r w:rsidRPr="00C6642F">
              <w:rPr>
                <w:sz w:val="20"/>
              </w:rPr>
              <w:t>40 years</w:t>
            </w:r>
          </w:p>
        </w:tc>
        <w:tc>
          <w:tcPr>
            <w:tcW w:w="532" w:type="pct"/>
            <w:tcBorders>
              <w:top w:val="nil"/>
              <w:left w:val="nil"/>
              <w:bottom w:val="nil"/>
              <w:right w:val="nil"/>
              <w:tl2br w:val="nil"/>
              <w:tr2bl w:val="nil"/>
            </w:tcBorders>
            <w:vAlign w:val="bottom"/>
          </w:tcPr>
          <w:p w:rsidR="0018024C" w:rsidRPr="00C6642F" w:rsidRDefault="0018024C" w:rsidP="0018024C">
            <w:pPr>
              <w:keepNext/>
              <w:rPr>
                <w:sz w:val="20"/>
              </w:rPr>
            </w:pPr>
          </w:p>
        </w:tc>
        <w:tc>
          <w:tcPr>
            <w:tcW w:w="158" w:type="pct"/>
            <w:tcBorders>
              <w:top w:val="nil"/>
              <w:left w:val="nil"/>
              <w:bottom w:val="nil"/>
              <w:right w:val="nil"/>
              <w:tl2br w:val="nil"/>
              <w:tr2bl w:val="nil"/>
            </w:tcBorders>
            <w:vAlign w:val="bottom"/>
          </w:tcPr>
          <w:p w:rsidR="0018024C" w:rsidRPr="00C6642F" w:rsidRDefault="0018024C" w:rsidP="0018024C">
            <w:pPr>
              <w:keepNext/>
              <w:rPr>
                <w:b/>
                <w:sz w:val="20"/>
              </w:rPr>
            </w:pPr>
          </w:p>
        </w:tc>
        <w:tc>
          <w:tcPr>
            <w:tcW w:w="557" w:type="pct"/>
            <w:tcBorders>
              <w:top w:val="nil"/>
              <w:left w:val="nil"/>
              <w:bottom w:val="nil"/>
              <w:right w:val="nil"/>
              <w:tl2br w:val="nil"/>
              <w:tr2bl w:val="nil"/>
            </w:tcBorders>
            <w:vAlign w:val="bottom"/>
          </w:tcPr>
          <w:p w:rsidR="0018024C" w:rsidRPr="00C6642F" w:rsidRDefault="0018024C" w:rsidP="0018024C">
            <w:pPr>
              <w:keepNext/>
              <w:ind w:right="63"/>
              <w:jc w:val="right"/>
              <w:rPr>
                <w:b/>
                <w:sz w:val="20"/>
              </w:rPr>
            </w:pPr>
            <w:r w:rsidRPr="00C6642F">
              <w:rPr>
                <w:b/>
                <w:sz w:val="20"/>
              </w:rPr>
              <w:t xml:space="preserve"> 70</w:t>
            </w:r>
          </w:p>
        </w:tc>
        <w:tc>
          <w:tcPr>
            <w:tcW w:w="166" w:type="pct"/>
            <w:tcBorders>
              <w:top w:val="nil"/>
              <w:left w:val="nil"/>
              <w:bottom w:val="nil"/>
              <w:right w:val="nil"/>
              <w:tl2br w:val="nil"/>
              <w:tr2bl w:val="nil"/>
            </w:tcBorders>
            <w:vAlign w:val="bottom"/>
          </w:tcPr>
          <w:p w:rsidR="0018024C" w:rsidRPr="00C6642F" w:rsidRDefault="0018024C" w:rsidP="0018024C">
            <w:pPr>
              <w:keepNext/>
              <w:rPr>
                <w:sz w:val="20"/>
              </w:rPr>
            </w:pPr>
          </w:p>
        </w:tc>
        <w:tc>
          <w:tcPr>
            <w:tcW w:w="158" w:type="pct"/>
            <w:tcBorders>
              <w:top w:val="nil"/>
              <w:left w:val="nil"/>
              <w:bottom w:val="nil"/>
              <w:right w:val="nil"/>
              <w:tl2br w:val="nil"/>
              <w:tr2bl w:val="nil"/>
            </w:tcBorders>
            <w:vAlign w:val="bottom"/>
          </w:tcPr>
          <w:p w:rsidR="0018024C" w:rsidRPr="00C6642F" w:rsidRDefault="0018024C" w:rsidP="0018024C">
            <w:pPr>
              <w:keepNext/>
              <w:rPr>
                <w:sz w:val="20"/>
              </w:rPr>
            </w:pPr>
          </w:p>
        </w:tc>
        <w:tc>
          <w:tcPr>
            <w:tcW w:w="557" w:type="pct"/>
            <w:tcBorders>
              <w:top w:val="nil"/>
              <w:left w:val="nil"/>
              <w:bottom w:val="nil"/>
              <w:right w:val="nil"/>
              <w:tl2br w:val="nil"/>
              <w:tr2bl w:val="nil"/>
            </w:tcBorders>
            <w:vAlign w:val="bottom"/>
          </w:tcPr>
          <w:p w:rsidR="0018024C" w:rsidRPr="00C6642F" w:rsidRDefault="0018024C" w:rsidP="0018024C">
            <w:pPr>
              <w:keepNext/>
              <w:ind w:right="65"/>
              <w:jc w:val="right"/>
              <w:rPr>
                <w:sz w:val="20"/>
              </w:rPr>
            </w:pPr>
            <w:r w:rsidRPr="00C6642F">
              <w:rPr>
                <w:sz w:val="20"/>
              </w:rPr>
              <w:t xml:space="preserve"> 64</w:t>
            </w:r>
          </w:p>
        </w:tc>
      </w:tr>
      <w:tr w:rsidR="0018024C" w:rsidRPr="00C6642F" w:rsidTr="0018024C">
        <w:trPr>
          <w:trHeight w:hRule="exact" w:val="300"/>
        </w:trPr>
        <w:tc>
          <w:tcPr>
            <w:tcW w:w="2106"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r w:rsidRPr="00C6642F">
              <w:rPr>
                <w:sz w:val="20"/>
              </w:rPr>
              <w:t>Machinery and equipment</w:t>
            </w:r>
          </w:p>
        </w:tc>
        <w:tc>
          <w:tcPr>
            <w:tcW w:w="765" w:type="pct"/>
            <w:tcBorders>
              <w:top w:val="nil"/>
              <w:left w:val="nil"/>
              <w:bottom w:val="nil"/>
              <w:right w:val="nil"/>
              <w:tl2br w:val="nil"/>
              <w:tr2bl w:val="nil"/>
            </w:tcBorders>
            <w:shd w:val="clear" w:color="auto" w:fill="CCEEFF"/>
            <w:vAlign w:val="bottom"/>
          </w:tcPr>
          <w:p w:rsidR="0018024C" w:rsidRPr="00C6642F" w:rsidRDefault="0018024C" w:rsidP="0018024C">
            <w:pPr>
              <w:keepNext/>
              <w:jc w:val="center"/>
              <w:rPr>
                <w:sz w:val="20"/>
              </w:rPr>
            </w:pPr>
            <w:r w:rsidRPr="00C6642F">
              <w:rPr>
                <w:sz w:val="20"/>
              </w:rPr>
              <w:t>3 to 10 years</w:t>
            </w:r>
          </w:p>
        </w:tc>
        <w:tc>
          <w:tcPr>
            <w:tcW w:w="532"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158" w:type="pct"/>
            <w:tcBorders>
              <w:top w:val="nil"/>
              <w:left w:val="nil"/>
              <w:bottom w:val="nil"/>
              <w:right w:val="nil"/>
              <w:tl2br w:val="nil"/>
              <w:tr2bl w:val="nil"/>
            </w:tcBorders>
            <w:shd w:val="clear" w:color="auto" w:fill="CCEEFF"/>
            <w:vAlign w:val="bottom"/>
          </w:tcPr>
          <w:p w:rsidR="0018024C" w:rsidRPr="00C6642F" w:rsidRDefault="0018024C" w:rsidP="0018024C">
            <w:pPr>
              <w:keepNext/>
              <w:rPr>
                <w:b/>
                <w:sz w:val="20"/>
              </w:rPr>
            </w:pPr>
          </w:p>
        </w:tc>
        <w:tc>
          <w:tcPr>
            <w:tcW w:w="557" w:type="pct"/>
            <w:tcBorders>
              <w:top w:val="nil"/>
              <w:left w:val="nil"/>
              <w:bottom w:val="nil"/>
              <w:right w:val="nil"/>
              <w:tl2br w:val="nil"/>
              <w:tr2bl w:val="nil"/>
            </w:tcBorders>
            <w:shd w:val="clear" w:color="auto" w:fill="CCEEFF"/>
            <w:vAlign w:val="bottom"/>
          </w:tcPr>
          <w:p w:rsidR="0018024C" w:rsidRPr="00C6642F" w:rsidRDefault="0018024C" w:rsidP="0018024C">
            <w:pPr>
              <w:keepNext/>
              <w:ind w:right="63"/>
              <w:jc w:val="right"/>
              <w:rPr>
                <w:b/>
                <w:sz w:val="20"/>
              </w:rPr>
            </w:pPr>
            <w:r w:rsidRPr="00C6642F">
              <w:rPr>
                <w:b/>
                <w:sz w:val="20"/>
              </w:rPr>
              <w:t xml:space="preserve"> 155</w:t>
            </w:r>
          </w:p>
        </w:tc>
        <w:tc>
          <w:tcPr>
            <w:tcW w:w="166"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158"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557" w:type="pct"/>
            <w:tcBorders>
              <w:top w:val="nil"/>
              <w:left w:val="nil"/>
              <w:bottom w:val="nil"/>
              <w:right w:val="nil"/>
              <w:tl2br w:val="nil"/>
              <w:tr2bl w:val="nil"/>
            </w:tcBorders>
            <w:shd w:val="clear" w:color="auto" w:fill="CCEEFF"/>
            <w:vAlign w:val="bottom"/>
          </w:tcPr>
          <w:p w:rsidR="0018024C" w:rsidRPr="00C6642F" w:rsidRDefault="0018024C" w:rsidP="0018024C">
            <w:pPr>
              <w:keepNext/>
              <w:ind w:right="65"/>
              <w:jc w:val="right"/>
              <w:rPr>
                <w:sz w:val="20"/>
              </w:rPr>
            </w:pPr>
            <w:r w:rsidRPr="00C6642F">
              <w:rPr>
                <w:sz w:val="20"/>
              </w:rPr>
              <w:t xml:space="preserve"> 150</w:t>
            </w:r>
          </w:p>
        </w:tc>
      </w:tr>
      <w:tr w:rsidR="0018024C" w:rsidRPr="00C6642F" w:rsidTr="0018024C">
        <w:trPr>
          <w:trHeight w:hRule="exact" w:val="315"/>
        </w:trPr>
        <w:tc>
          <w:tcPr>
            <w:tcW w:w="2106" w:type="pct"/>
            <w:tcBorders>
              <w:top w:val="nil"/>
              <w:left w:val="nil"/>
              <w:bottom w:val="nil"/>
              <w:right w:val="nil"/>
              <w:tl2br w:val="nil"/>
              <w:tr2bl w:val="nil"/>
            </w:tcBorders>
            <w:vAlign w:val="bottom"/>
          </w:tcPr>
          <w:p w:rsidR="0018024C" w:rsidRPr="00C6642F" w:rsidRDefault="0018024C" w:rsidP="0018024C">
            <w:pPr>
              <w:keepNext/>
              <w:rPr>
                <w:sz w:val="20"/>
              </w:rPr>
            </w:pPr>
            <w:r w:rsidRPr="00C6642F">
              <w:rPr>
                <w:sz w:val="20"/>
              </w:rPr>
              <w:t>Enterprise resource planning software</w:t>
            </w:r>
          </w:p>
        </w:tc>
        <w:tc>
          <w:tcPr>
            <w:tcW w:w="765" w:type="pct"/>
            <w:tcBorders>
              <w:top w:val="nil"/>
              <w:left w:val="nil"/>
              <w:bottom w:val="nil"/>
              <w:right w:val="nil"/>
              <w:tl2br w:val="nil"/>
              <w:tr2bl w:val="nil"/>
            </w:tcBorders>
            <w:vAlign w:val="bottom"/>
          </w:tcPr>
          <w:p w:rsidR="0018024C" w:rsidRPr="00C6642F" w:rsidRDefault="0018024C" w:rsidP="0018024C">
            <w:pPr>
              <w:keepNext/>
              <w:jc w:val="center"/>
              <w:rPr>
                <w:sz w:val="20"/>
              </w:rPr>
            </w:pPr>
            <w:r w:rsidRPr="00C6642F">
              <w:rPr>
                <w:sz w:val="20"/>
              </w:rPr>
              <w:t>10 years</w:t>
            </w:r>
          </w:p>
        </w:tc>
        <w:tc>
          <w:tcPr>
            <w:tcW w:w="532" w:type="pct"/>
            <w:tcBorders>
              <w:top w:val="nil"/>
              <w:left w:val="nil"/>
              <w:bottom w:val="nil"/>
              <w:right w:val="nil"/>
              <w:tl2br w:val="nil"/>
              <w:tr2bl w:val="nil"/>
            </w:tcBorders>
            <w:vAlign w:val="bottom"/>
          </w:tcPr>
          <w:p w:rsidR="0018024C" w:rsidRPr="00C6642F" w:rsidRDefault="0018024C" w:rsidP="0018024C">
            <w:pPr>
              <w:keepNext/>
              <w:rPr>
                <w:sz w:val="20"/>
              </w:rPr>
            </w:pPr>
          </w:p>
        </w:tc>
        <w:tc>
          <w:tcPr>
            <w:tcW w:w="158" w:type="pct"/>
            <w:tcBorders>
              <w:top w:val="nil"/>
              <w:left w:val="nil"/>
              <w:bottom w:val="single" w:sz="12" w:space="0" w:color="000000"/>
              <w:right w:val="nil"/>
              <w:tl2br w:val="nil"/>
              <w:tr2bl w:val="nil"/>
            </w:tcBorders>
            <w:vAlign w:val="bottom"/>
          </w:tcPr>
          <w:p w:rsidR="0018024C" w:rsidRPr="00C6642F" w:rsidRDefault="0018024C" w:rsidP="0018024C">
            <w:pPr>
              <w:keepNext/>
              <w:rPr>
                <w:b/>
                <w:sz w:val="20"/>
              </w:rPr>
            </w:pPr>
          </w:p>
        </w:tc>
        <w:tc>
          <w:tcPr>
            <w:tcW w:w="557" w:type="pct"/>
            <w:tcBorders>
              <w:top w:val="nil"/>
              <w:left w:val="nil"/>
              <w:bottom w:val="single" w:sz="12" w:space="0" w:color="000000"/>
              <w:right w:val="nil"/>
              <w:tl2br w:val="nil"/>
              <w:tr2bl w:val="nil"/>
            </w:tcBorders>
            <w:vAlign w:val="bottom"/>
          </w:tcPr>
          <w:p w:rsidR="0018024C" w:rsidRPr="00C6642F" w:rsidRDefault="0018024C" w:rsidP="0018024C">
            <w:pPr>
              <w:keepNext/>
              <w:ind w:right="63"/>
              <w:jc w:val="right"/>
              <w:rPr>
                <w:b/>
                <w:sz w:val="20"/>
              </w:rPr>
            </w:pPr>
            <w:r w:rsidRPr="00C6642F">
              <w:rPr>
                <w:b/>
                <w:sz w:val="20"/>
              </w:rPr>
              <w:t xml:space="preserve"> 56</w:t>
            </w:r>
          </w:p>
        </w:tc>
        <w:tc>
          <w:tcPr>
            <w:tcW w:w="166" w:type="pct"/>
            <w:tcBorders>
              <w:top w:val="nil"/>
              <w:left w:val="nil"/>
              <w:bottom w:val="nil"/>
              <w:right w:val="nil"/>
              <w:tl2br w:val="nil"/>
              <w:tr2bl w:val="nil"/>
            </w:tcBorders>
            <w:vAlign w:val="bottom"/>
          </w:tcPr>
          <w:p w:rsidR="0018024C" w:rsidRPr="00C6642F" w:rsidRDefault="0018024C" w:rsidP="0018024C">
            <w:pPr>
              <w:keepNext/>
              <w:rPr>
                <w:sz w:val="20"/>
              </w:rPr>
            </w:pPr>
          </w:p>
        </w:tc>
        <w:tc>
          <w:tcPr>
            <w:tcW w:w="158" w:type="pct"/>
            <w:tcBorders>
              <w:top w:val="nil"/>
              <w:left w:val="nil"/>
              <w:bottom w:val="single" w:sz="12" w:space="0" w:color="000000"/>
              <w:right w:val="nil"/>
              <w:tl2br w:val="nil"/>
              <w:tr2bl w:val="nil"/>
            </w:tcBorders>
            <w:vAlign w:val="bottom"/>
          </w:tcPr>
          <w:p w:rsidR="0018024C" w:rsidRPr="00C6642F" w:rsidRDefault="0018024C" w:rsidP="0018024C">
            <w:pPr>
              <w:keepNext/>
              <w:rPr>
                <w:sz w:val="20"/>
              </w:rPr>
            </w:pPr>
          </w:p>
        </w:tc>
        <w:tc>
          <w:tcPr>
            <w:tcW w:w="557" w:type="pct"/>
            <w:tcBorders>
              <w:top w:val="nil"/>
              <w:left w:val="nil"/>
              <w:bottom w:val="single" w:sz="12" w:space="0" w:color="000000"/>
              <w:right w:val="nil"/>
              <w:tl2br w:val="nil"/>
              <w:tr2bl w:val="nil"/>
            </w:tcBorders>
            <w:vAlign w:val="bottom"/>
          </w:tcPr>
          <w:p w:rsidR="0018024C" w:rsidRPr="00C6642F" w:rsidRDefault="0018024C" w:rsidP="0018024C">
            <w:pPr>
              <w:keepNext/>
              <w:ind w:right="65"/>
              <w:jc w:val="right"/>
              <w:rPr>
                <w:sz w:val="20"/>
              </w:rPr>
            </w:pPr>
            <w:r w:rsidRPr="00C6642F">
              <w:rPr>
                <w:sz w:val="20"/>
              </w:rPr>
              <w:t xml:space="preserve"> 56</w:t>
            </w:r>
          </w:p>
        </w:tc>
      </w:tr>
      <w:tr w:rsidR="0018024C" w:rsidRPr="00C6642F" w:rsidTr="0018024C">
        <w:trPr>
          <w:trHeight w:hRule="exact" w:val="300"/>
        </w:trPr>
        <w:tc>
          <w:tcPr>
            <w:tcW w:w="2106"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765" w:type="pct"/>
            <w:tcBorders>
              <w:top w:val="nil"/>
              <w:left w:val="nil"/>
              <w:bottom w:val="nil"/>
              <w:right w:val="nil"/>
              <w:tl2br w:val="nil"/>
              <w:tr2bl w:val="nil"/>
            </w:tcBorders>
            <w:shd w:val="clear" w:color="auto" w:fill="CCEEFF"/>
            <w:vAlign w:val="bottom"/>
          </w:tcPr>
          <w:p w:rsidR="0018024C" w:rsidRPr="00C6642F" w:rsidRDefault="0018024C" w:rsidP="0018024C">
            <w:pPr>
              <w:keepNext/>
              <w:jc w:val="center"/>
              <w:rPr>
                <w:sz w:val="20"/>
              </w:rPr>
            </w:pPr>
          </w:p>
        </w:tc>
        <w:tc>
          <w:tcPr>
            <w:tcW w:w="532"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15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rPr>
                <w:b/>
                <w:sz w:val="20"/>
              </w:rPr>
            </w:pPr>
          </w:p>
        </w:tc>
        <w:tc>
          <w:tcPr>
            <w:tcW w:w="55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ind w:right="63"/>
              <w:jc w:val="right"/>
              <w:rPr>
                <w:b/>
                <w:sz w:val="20"/>
              </w:rPr>
            </w:pPr>
            <w:r w:rsidRPr="00C6642F">
              <w:rPr>
                <w:b/>
                <w:sz w:val="20"/>
              </w:rPr>
              <w:t xml:space="preserve"> 293</w:t>
            </w:r>
          </w:p>
        </w:tc>
        <w:tc>
          <w:tcPr>
            <w:tcW w:w="166"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15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55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ind w:right="65"/>
              <w:jc w:val="right"/>
              <w:rPr>
                <w:sz w:val="20"/>
              </w:rPr>
            </w:pPr>
            <w:r w:rsidRPr="00C6642F">
              <w:rPr>
                <w:sz w:val="20"/>
              </w:rPr>
              <w:t xml:space="preserve"> 281</w:t>
            </w:r>
          </w:p>
        </w:tc>
      </w:tr>
      <w:tr w:rsidR="0018024C" w:rsidRPr="00C6642F" w:rsidTr="0018024C">
        <w:trPr>
          <w:trHeight w:hRule="exact" w:val="300"/>
        </w:trPr>
        <w:tc>
          <w:tcPr>
            <w:tcW w:w="2106" w:type="pct"/>
            <w:tcBorders>
              <w:top w:val="nil"/>
              <w:left w:val="nil"/>
              <w:bottom w:val="nil"/>
              <w:right w:val="nil"/>
              <w:tl2br w:val="nil"/>
              <w:tr2bl w:val="nil"/>
            </w:tcBorders>
            <w:vAlign w:val="bottom"/>
          </w:tcPr>
          <w:p w:rsidR="0018024C" w:rsidRPr="00C6642F" w:rsidRDefault="0018024C" w:rsidP="0018024C">
            <w:pPr>
              <w:keepNext/>
              <w:rPr>
                <w:sz w:val="20"/>
              </w:rPr>
            </w:pPr>
            <w:r w:rsidRPr="00C6642F">
              <w:rPr>
                <w:sz w:val="20"/>
              </w:rPr>
              <w:t>Allowances for depreciation and amortization</w:t>
            </w:r>
          </w:p>
        </w:tc>
        <w:tc>
          <w:tcPr>
            <w:tcW w:w="765" w:type="pct"/>
            <w:tcBorders>
              <w:top w:val="nil"/>
              <w:left w:val="nil"/>
              <w:bottom w:val="nil"/>
              <w:right w:val="nil"/>
              <w:tl2br w:val="nil"/>
              <w:tr2bl w:val="nil"/>
            </w:tcBorders>
            <w:vAlign w:val="bottom"/>
          </w:tcPr>
          <w:p w:rsidR="0018024C" w:rsidRPr="00C6642F" w:rsidRDefault="0018024C" w:rsidP="0018024C">
            <w:pPr>
              <w:keepNext/>
              <w:jc w:val="center"/>
              <w:rPr>
                <w:sz w:val="20"/>
              </w:rPr>
            </w:pPr>
          </w:p>
        </w:tc>
        <w:tc>
          <w:tcPr>
            <w:tcW w:w="532" w:type="pct"/>
            <w:tcBorders>
              <w:top w:val="nil"/>
              <w:left w:val="nil"/>
              <w:bottom w:val="nil"/>
              <w:right w:val="nil"/>
              <w:tl2br w:val="nil"/>
              <w:tr2bl w:val="nil"/>
            </w:tcBorders>
            <w:vAlign w:val="bottom"/>
          </w:tcPr>
          <w:p w:rsidR="0018024C" w:rsidRPr="00C6642F" w:rsidRDefault="0018024C" w:rsidP="0018024C">
            <w:pPr>
              <w:keepNext/>
              <w:rPr>
                <w:sz w:val="20"/>
              </w:rPr>
            </w:pPr>
          </w:p>
        </w:tc>
        <w:tc>
          <w:tcPr>
            <w:tcW w:w="158" w:type="pct"/>
            <w:tcBorders>
              <w:top w:val="nil"/>
              <w:left w:val="nil"/>
              <w:bottom w:val="single" w:sz="12" w:space="0" w:color="000000"/>
              <w:right w:val="nil"/>
              <w:tl2br w:val="nil"/>
              <w:tr2bl w:val="nil"/>
            </w:tcBorders>
            <w:vAlign w:val="bottom"/>
          </w:tcPr>
          <w:p w:rsidR="0018024C" w:rsidRPr="00C6642F" w:rsidRDefault="0018024C" w:rsidP="0018024C">
            <w:pPr>
              <w:keepNext/>
              <w:rPr>
                <w:b/>
                <w:sz w:val="20"/>
              </w:rPr>
            </w:pPr>
          </w:p>
        </w:tc>
        <w:tc>
          <w:tcPr>
            <w:tcW w:w="557" w:type="pct"/>
            <w:tcBorders>
              <w:top w:val="nil"/>
              <w:left w:val="nil"/>
              <w:bottom w:val="single" w:sz="12" w:space="0" w:color="000000"/>
              <w:right w:val="nil"/>
              <w:tl2br w:val="nil"/>
              <w:tr2bl w:val="nil"/>
            </w:tcBorders>
            <w:vAlign w:val="bottom"/>
          </w:tcPr>
          <w:p w:rsidR="0018024C" w:rsidRPr="00C6642F" w:rsidRDefault="0018024C" w:rsidP="0018024C">
            <w:pPr>
              <w:keepNext/>
              <w:jc w:val="right"/>
              <w:rPr>
                <w:b/>
                <w:sz w:val="20"/>
              </w:rPr>
            </w:pPr>
            <w:r w:rsidRPr="00C6642F">
              <w:rPr>
                <w:b/>
                <w:sz w:val="20"/>
              </w:rPr>
              <w:t xml:space="preserve"> (155)</w:t>
            </w:r>
          </w:p>
        </w:tc>
        <w:tc>
          <w:tcPr>
            <w:tcW w:w="166" w:type="pct"/>
            <w:tcBorders>
              <w:top w:val="nil"/>
              <w:left w:val="nil"/>
              <w:bottom w:val="nil"/>
              <w:right w:val="nil"/>
              <w:tl2br w:val="nil"/>
              <w:tr2bl w:val="nil"/>
            </w:tcBorders>
            <w:vAlign w:val="bottom"/>
          </w:tcPr>
          <w:p w:rsidR="0018024C" w:rsidRPr="00C6642F" w:rsidRDefault="0018024C" w:rsidP="0018024C">
            <w:pPr>
              <w:keepNext/>
              <w:rPr>
                <w:sz w:val="20"/>
              </w:rPr>
            </w:pPr>
          </w:p>
        </w:tc>
        <w:tc>
          <w:tcPr>
            <w:tcW w:w="158" w:type="pct"/>
            <w:tcBorders>
              <w:top w:val="nil"/>
              <w:left w:val="nil"/>
              <w:bottom w:val="single" w:sz="12" w:space="0" w:color="000000"/>
              <w:right w:val="nil"/>
              <w:tl2br w:val="nil"/>
              <w:tr2bl w:val="nil"/>
            </w:tcBorders>
            <w:vAlign w:val="bottom"/>
          </w:tcPr>
          <w:p w:rsidR="0018024C" w:rsidRPr="00C6642F" w:rsidRDefault="0018024C" w:rsidP="0018024C">
            <w:pPr>
              <w:keepNext/>
              <w:rPr>
                <w:sz w:val="20"/>
              </w:rPr>
            </w:pPr>
          </w:p>
        </w:tc>
        <w:tc>
          <w:tcPr>
            <w:tcW w:w="557" w:type="pct"/>
            <w:tcBorders>
              <w:top w:val="nil"/>
              <w:left w:val="nil"/>
              <w:bottom w:val="single" w:sz="12" w:space="0" w:color="000000"/>
              <w:right w:val="nil"/>
              <w:tl2br w:val="nil"/>
              <w:tr2bl w:val="nil"/>
            </w:tcBorders>
            <w:vAlign w:val="bottom"/>
          </w:tcPr>
          <w:p w:rsidR="0018024C" w:rsidRPr="00C6642F" w:rsidRDefault="0018024C" w:rsidP="0018024C">
            <w:pPr>
              <w:keepNext/>
              <w:ind w:right="3"/>
              <w:jc w:val="right"/>
              <w:rPr>
                <w:sz w:val="20"/>
              </w:rPr>
            </w:pPr>
            <w:r w:rsidRPr="00C6642F">
              <w:rPr>
                <w:sz w:val="20"/>
              </w:rPr>
              <w:t xml:space="preserve"> (141)</w:t>
            </w:r>
          </w:p>
        </w:tc>
      </w:tr>
      <w:tr w:rsidR="0018024C" w:rsidRPr="00C6642F" w:rsidTr="0018024C">
        <w:trPr>
          <w:trHeight w:hRule="exact" w:val="300"/>
        </w:trPr>
        <w:tc>
          <w:tcPr>
            <w:tcW w:w="2106"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765"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532"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15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rPr>
                <w:b/>
                <w:sz w:val="20"/>
              </w:rPr>
            </w:pPr>
            <w:r w:rsidRPr="00C6642F">
              <w:rPr>
                <w:b/>
                <w:sz w:val="20"/>
              </w:rPr>
              <w:t>$</w:t>
            </w:r>
          </w:p>
        </w:tc>
        <w:tc>
          <w:tcPr>
            <w:tcW w:w="557"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ind w:right="63"/>
              <w:jc w:val="right"/>
              <w:rPr>
                <w:b/>
                <w:sz w:val="20"/>
              </w:rPr>
            </w:pPr>
            <w:r w:rsidRPr="00C6642F">
              <w:rPr>
                <w:b/>
                <w:sz w:val="20"/>
              </w:rPr>
              <w:t xml:space="preserve"> 138</w:t>
            </w:r>
          </w:p>
        </w:tc>
        <w:tc>
          <w:tcPr>
            <w:tcW w:w="166"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15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rPr>
                <w:sz w:val="20"/>
              </w:rPr>
            </w:pPr>
            <w:r w:rsidRPr="00C6642F">
              <w:rPr>
                <w:sz w:val="20"/>
              </w:rPr>
              <w:t>$</w:t>
            </w:r>
          </w:p>
        </w:tc>
        <w:tc>
          <w:tcPr>
            <w:tcW w:w="557"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ind w:right="65"/>
              <w:jc w:val="right"/>
              <w:rPr>
                <w:sz w:val="20"/>
              </w:rPr>
            </w:pPr>
            <w:r w:rsidRPr="00C6642F">
              <w:rPr>
                <w:sz w:val="20"/>
              </w:rPr>
              <w:t xml:space="preserve"> 140</w:t>
            </w:r>
          </w:p>
        </w:tc>
      </w:tr>
    </w:tbl>
    <w:p w:rsidR="000121CD" w:rsidRPr="00C6642F" w:rsidRDefault="000121CD"/>
    <w:p w:rsidR="000121CD" w:rsidRPr="00C6642F" w:rsidRDefault="000121CD">
      <w:pPr>
        <w:rPr>
          <w:sz w:val="2"/>
        </w:rPr>
      </w:pPr>
    </w:p>
    <w:p w:rsidR="000121CD" w:rsidRPr="00C6642F" w:rsidRDefault="000121CD">
      <w:pPr>
        <w:rPr>
          <w:sz w:val="2"/>
        </w:rPr>
      </w:pPr>
    </w:p>
    <w:p w:rsidR="000121CD" w:rsidRPr="00C6642F" w:rsidRDefault="000121CD">
      <w:pPr>
        <w:rPr>
          <w:sz w:val="2"/>
        </w:rPr>
      </w:pPr>
    </w:p>
    <w:p w:rsidR="000121CD" w:rsidRPr="00C6642F" w:rsidRDefault="000121CD">
      <w:pPr>
        <w:rPr>
          <w:sz w:val="2"/>
        </w:rPr>
      </w:pPr>
    </w:p>
    <w:p w:rsidR="000121CD" w:rsidRDefault="00590862">
      <w:pPr>
        <w:rPr>
          <w:sz w:val="20"/>
        </w:rPr>
      </w:pPr>
      <w:r w:rsidRPr="00C6642F">
        <w:rPr>
          <w:sz w:val="20"/>
        </w:rPr>
        <w:t>Building and building improvements include $</w:t>
      </w:r>
      <w:r w:rsidR="00382D2F" w:rsidRPr="00C6642F">
        <w:rPr>
          <w:sz w:val="20"/>
        </w:rPr>
        <w:t>10</w:t>
      </w:r>
      <w:r w:rsidRPr="00C6642F">
        <w:rPr>
          <w:sz w:val="20"/>
        </w:rPr>
        <w:t xml:space="preserve"> million of non-cash leasehold improvements representing lease incentives as of December 31, 201</w:t>
      </w:r>
      <w:r w:rsidR="00382D2F" w:rsidRPr="00C6642F">
        <w:rPr>
          <w:sz w:val="20"/>
        </w:rPr>
        <w:t>9</w:t>
      </w:r>
      <w:r w:rsidRPr="00C6642F">
        <w:rPr>
          <w:sz w:val="20"/>
        </w:rPr>
        <w:t xml:space="preserve"> and December 31, 201</w:t>
      </w:r>
      <w:r w:rsidR="00382D2F" w:rsidRPr="00C6642F">
        <w:rPr>
          <w:sz w:val="20"/>
        </w:rPr>
        <w:t>8</w:t>
      </w:r>
      <w:r w:rsidRPr="00C6642F">
        <w:rPr>
          <w:sz w:val="20"/>
        </w:rPr>
        <w:t>.</w:t>
      </w:r>
    </w:p>
    <w:p w:rsidR="000121CD" w:rsidRDefault="000121CD">
      <w:pPr>
        <w:rPr>
          <w:sz w:val="2"/>
        </w:rPr>
      </w:pPr>
    </w:p>
    <w:p w:rsidR="000121CD" w:rsidRDefault="000121CD">
      <w:pPr>
        <w:rPr>
          <w:sz w:val="2"/>
        </w:rPr>
      </w:pPr>
    </w:p>
    <w:p w:rsidR="000121CD" w:rsidRDefault="000121CD">
      <w:pPr>
        <w:rPr>
          <w:sz w:val="2"/>
        </w:rPr>
      </w:pPr>
    </w:p>
    <w:p w:rsidR="000121CD" w:rsidRDefault="000121CD">
      <w:pPr>
        <w:rPr>
          <w:sz w:val="2"/>
        </w:rPr>
      </w:pPr>
    </w:p>
    <w:p w:rsidR="000121CD" w:rsidRPr="00C6642F" w:rsidRDefault="00590862">
      <w:pPr>
        <w:pStyle w:val="NormalWeb"/>
        <w:keepNext/>
        <w:spacing w:before="270" w:beforeAutospacing="0" w:after="0" w:afterAutospacing="0"/>
      </w:pPr>
      <w:r w:rsidRPr="00C6642F">
        <w:rPr>
          <w:b/>
          <w:bCs/>
          <w:sz w:val="20"/>
          <w:szCs w:val="20"/>
          <w:u w:val="single"/>
        </w:rPr>
        <w:t xml:space="preserve">NOTE 6—GOODWILL AND OTHER INTANGIBLE ASSETS </w:t>
      </w:r>
    </w:p>
    <w:p w:rsidR="000121CD" w:rsidRPr="00C6642F" w:rsidRDefault="00590862">
      <w:pPr>
        <w:pStyle w:val="NormalWeb"/>
        <w:keepNext/>
        <w:spacing w:before="90" w:beforeAutospacing="0" w:after="0" w:afterAutospacing="0"/>
      </w:pPr>
      <w:r w:rsidRPr="00C6642F">
        <w:rPr>
          <w:sz w:val="20"/>
          <w:szCs w:val="20"/>
        </w:rPr>
        <w:t xml:space="preserve">The changes in the carrying amount of goodwill by segment for the years ended </w:t>
      </w:r>
      <w:r w:rsidR="003627E3" w:rsidRPr="00C6642F">
        <w:rPr>
          <w:sz w:val="20"/>
          <w:szCs w:val="20"/>
        </w:rPr>
        <w:t>December 31, 2019, 2018 and 2017</w:t>
      </w:r>
      <w:r w:rsidRPr="00C6642F">
        <w:rPr>
          <w:sz w:val="20"/>
          <w:szCs w:val="20"/>
        </w:rPr>
        <w:t xml:space="preserve"> are as follows (in millions): </w:t>
      </w:r>
    </w:p>
    <w:p w:rsidR="000121CD" w:rsidRPr="00C6642F" w:rsidRDefault="00590862">
      <w:pPr>
        <w:pStyle w:val="NormalWeb"/>
        <w:keepNext/>
        <w:spacing w:before="0" w:beforeAutospacing="0" w:after="0" w:afterAutospacing="0"/>
        <w:rPr>
          <w:sz w:val="18"/>
          <w:szCs w:val="18"/>
        </w:rPr>
      </w:pPr>
      <w:r w:rsidRPr="00C6642F">
        <w:rPr>
          <w:sz w:val="18"/>
          <w:szCs w:val="18"/>
        </w:rPr>
        <w:t> </w:t>
      </w:r>
    </w:p>
    <w:p w:rsidR="000121CD" w:rsidRPr="00C6642F" w:rsidRDefault="000121CD">
      <w:pPr>
        <w:keepNext/>
        <w:rPr>
          <w:sz w:val="2"/>
        </w:rPr>
      </w:pPr>
    </w:p>
    <w:tbl>
      <w:tblPr>
        <w:tblW w:w="5000" w:type="pct"/>
        <w:tblCellMar>
          <w:left w:w="0" w:type="dxa"/>
          <w:right w:w="0" w:type="dxa"/>
        </w:tblCellMar>
        <w:tblLook w:val="04A0" w:firstRow="1" w:lastRow="0" w:firstColumn="1" w:lastColumn="0" w:noHBand="0" w:noVBand="1"/>
      </w:tblPr>
      <w:tblGrid>
        <w:gridCol w:w="3647"/>
        <w:gridCol w:w="218"/>
        <w:gridCol w:w="1439"/>
        <w:gridCol w:w="175"/>
        <w:gridCol w:w="218"/>
        <w:gridCol w:w="1439"/>
        <w:gridCol w:w="175"/>
        <w:gridCol w:w="218"/>
        <w:gridCol w:w="1439"/>
        <w:gridCol w:w="175"/>
        <w:gridCol w:w="218"/>
        <w:gridCol w:w="1439"/>
      </w:tblGrid>
      <w:tr w:rsidR="0018024C" w:rsidRPr="00C6642F" w:rsidTr="0018024C">
        <w:trPr>
          <w:trHeight w:hRule="exact" w:val="20"/>
        </w:trPr>
        <w:tc>
          <w:tcPr>
            <w:tcW w:w="1688"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101"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666"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81"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101"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666"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81"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101"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666"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81"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101"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666"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r>
      <w:tr w:rsidR="0018024C" w:rsidRPr="00C6642F" w:rsidTr="0018024C">
        <w:trPr>
          <w:trHeight w:hRule="exact" w:val="315"/>
        </w:trPr>
        <w:tc>
          <w:tcPr>
            <w:tcW w:w="1688"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spacing w:after="1"/>
              <w:jc w:val="center"/>
              <w:rPr>
                <w:b/>
                <w:sz w:val="20"/>
              </w:rPr>
            </w:pPr>
            <w:r w:rsidRPr="00C6642F">
              <w:rPr>
                <w:b/>
                <w:sz w:val="20"/>
              </w:rPr>
              <w:t>US</w:t>
            </w:r>
          </w:p>
        </w:tc>
        <w:tc>
          <w:tcPr>
            <w:tcW w:w="81"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spacing w:after="1"/>
              <w:jc w:val="center"/>
              <w:rPr>
                <w:b/>
                <w:sz w:val="20"/>
              </w:rPr>
            </w:pPr>
            <w:r w:rsidRPr="00C6642F">
              <w:rPr>
                <w:b/>
                <w:sz w:val="20"/>
              </w:rPr>
              <w:t>Canada</w:t>
            </w:r>
          </w:p>
        </w:tc>
        <w:tc>
          <w:tcPr>
            <w:tcW w:w="81"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spacing w:after="1"/>
              <w:jc w:val="center"/>
              <w:rPr>
                <w:b/>
                <w:sz w:val="20"/>
              </w:rPr>
            </w:pPr>
            <w:r w:rsidRPr="00C6642F">
              <w:rPr>
                <w:b/>
                <w:sz w:val="20"/>
              </w:rPr>
              <w:t>International</w:t>
            </w:r>
          </w:p>
        </w:tc>
        <w:tc>
          <w:tcPr>
            <w:tcW w:w="81"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spacing w:after="1"/>
              <w:jc w:val="center"/>
              <w:rPr>
                <w:b/>
                <w:sz w:val="20"/>
              </w:rPr>
            </w:pPr>
            <w:r w:rsidRPr="00C6642F">
              <w:rPr>
                <w:b/>
                <w:sz w:val="20"/>
              </w:rPr>
              <w:t>Total</w:t>
            </w:r>
          </w:p>
        </w:tc>
      </w:tr>
      <w:tr w:rsidR="0018024C" w:rsidRPr="00C6642F" w:rsidTr="0018024C">
        <w:trPr>
          <w:trHeight w:hRule="exact" w:val="255"/>
        </w:trPr>
        <w:tc>
          <w:tcPr>
            <w:tcW w:w="1688"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Goodwill at December 31, 2016 (1)</w:t>
            </w:r>
          </w:p>
        </w:tc>
        <w:tc>
          <w:tcPr>
            <w:tcW w:w="101"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r w:rsidRPr="00C6642F">
              <w:rPr>
                <w:b/>
                <w:sz w:val="20"/>
              </w:rPr>
              <w:t>$</w:t>
            </w:r>
          </w:p>
        </w:tc>
        <w:tc>
          <w:tcPr>
            <w:tcW w:w="666"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ind w:right="65"/>
              <w:jc w:val="right"/>
              <w:rPr>
                <w:sz w:val="20"/>
              </w:rPr>
            </w:pPr>
            <w:r w:rsidRPr="00C6642F">
              <w:rPr>
                <w:sz w:val="20"/>
              </w:rPr>
              <w:t xml:space="preserve"> 441</w:t>
            </w:r>
          </w:p>
        </w:tc>
        <w:tc>
          <w:tcPr>
            <w:tcW w:w="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101"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w:t>
            </w:r>
          </w:p>
        </w:tc>
        <w:tc>
          <w:tcPr>
            <w:tcW w:w="666"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ind w:right="65"/>
              <w:jc w:val="right"/>
              <w:rPr>
                <w:sz w:val="20"/>
              </w:rPr>
            </w:pPr>
            <w:r w:rsidRPr="00C6642F">
              <w:rPr>
                <w:sz w:val="20"/>
              </w:rPr>
              <w:t xml:space="preserve"> -</w:t>
            </w:r>
          </w:p>
        </w:tc>
        <w:tc>
          <w:tcPr>
            <w:tcW w:w="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101"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w:t>
            </w:r>
          </w:p>
        </w:tc>
        <w:tc>
          <w:tcPr>
            <w:tcW w:w="666"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ind w:right="65"/>
              <w:jc w:val="right"/>
              <w:rPr>
                <w:sz w:val="20"/>
              </w:rPr>
            </w:pPr>
            <w:r w:rsidRPr="00C6642F">
              <w:rPr>
                <w:sz w:val="20"/>
              </w:rPr>
              <w:t xml:space="preserve"> 41</w:t>
            </w:r>
          </w:p>
        </w:tc>
        <w:tc>
          <w:tcPr>
            <w:tcW w:w="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101"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w:t>
            </w:r>
          </w:p>
        </w:tc>
        <w:tc>
          <w:tcPr>
            <w:tcW w:w="666"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ind w:right="65"/>
              <w:jc w:val="right"/>
              <w:rPr>
                <w:sz w:val="20"/>
              </w:rPr>
            </w:pPr>
            <w:r w:rsidRPr="00C6642F">
              <w:rPr>
                <w:sz w:val="20"/>
              </w:rPr>
              <w:t xml:space="preserve"> 482</w:t>
            </w:r>
          </w:p>
        </w:tc>
      </w:tr>
      <w:tr w:rsidR="0018024C" w:rsidRPr="00C6642F" w:rsidTr="0018024C">
        <w:trPr>
          <w:trHeight w:hRule="exact" w:val="255"/>
        </w:trPr>
        <w:tc>
          <w:tcPr>
            <w:tcW w:w="1688" w:type="pct"/>
            <w:tcBorders>
              <w:top w:val="nil"/>
              <w:left w:val="nil"/>
              <w:bottom w:val="nil"/>
              <w:right w:val="nil"/>
              <w:tl2br w:val="nil"/>
              <w:tr2bl w:val="nil"/>
            </w:tcBorders>
            <w:vAlign w:val="bottom"/>
          </w:tcPr>
          <w:p w:rsidR="0018024C" w:rsidRPr="00C6642F" w:rsidRDefault="0018024C" w:rsidP="0018024C">
            <w:pPr>
              <w:keepNext/>
              <w:spacing w:after="1"/>
              <w:ind w:left="360"/>
              <w:rPr>
                <w:sz w:val="20"/>
              </w:rPr>
            </w:pPr>
            <w:r w:rsidRPr="00C6642F">
              <w:rPr>
                <w:sz w:val="20"/>
              </w:rPr>
              <w:t>Effect of foreign currency translation</w:t>
            </w:r>
          </w:p>
        </w:tc>
        <w:tc>
          <w:tcPr>
            <w:tcW w:w="101"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rPr>
                <w:b/>
                <w:sz w:val="20"/>
              </w:rPr>
            </w:pPr>
          </w:p>
        </w:tc>
        <w:tc>
          <w:tcPr>
            <w:tcW w:w="666"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ind w:right="65"/>
              <w:jc w:val="right"/>
              <w:rPr>
                <w:sz w:val="20"/>
              </w:rPr>
            </w:pPr>
            <w:r w:rsidRPr="00C6642F">
              <w:rPr>
                <w:sz w:val="20"/>
              </w:rPr>
              <w:t xml:space="preserve"> -</w:t>
            </w:r>
          </w:p>
        </w:tc>
        <w:tc>
          <w:tcPr>
            <w:tcW w:w="81"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101"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rPr>
                <w:sz w:val="20"/>
              </w:rPr>
            </w:pPr>
          </w:p>
        </w:tc>
        <w:tc>
          <w:tcPr>
            <w:tcW w:w="666"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ind w:right="65"/>
              <w:jc w:val="right"/>
              <w:rPr>
                <w:sz w:val="20"/>
              </w:rPr>
            </w:pPr>
            <w:r w:rsidRPr="00C6642F">
              <w:rPr>
                <w:sz w:val="20"/>
              </w:rPr>
              <w:t xml:space="preserve"> -</w:t>
            </w:r>
          </w:p>
        </w:tc>
        <w:tc>
          <w:tcPr>
            <w:tcW w:w="81"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101"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rPr>
                <w:sz w:val="20"/>
              </w:rPr>
            </w:pPr>
          </w:p>
        </w:tc>
        <w:tc>
          <w:tcPr>
            <w:tcW w:w="666"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ind w:right="65"/>
              <w:jc w:val="right"/>
              <w:rPr>
                <w:sz w:val="20"/>
              </w:rPr>
            </w:pPr>
            <w:r w:rsidRPr="00C6642F">
              <w:rPr>
                <w:sz w:val="20"/>
              </w:rPr>
              <w:t xml:space="preserve"> 4</w:t>
            </w:r>
          </w:p>
        </w:tc>
        <w:tc>
          <w:tcPr>
            <w:tcW w:w="81"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101"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rPr>
                <w:sz w:val="20"/>
              </w:rPr>
            </w:pPr>
          </w:p>
        </w:tc>
        <w:tc>
          <w:tcPr>
            <w:tcW w:w="666"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ind w:right="65"/>
              <w:jc w:val="right"/>
              <w:rPr>
                <w:sz w:val="20"/>
              </w:rPr>
            </w:pPr>
            <w:r w:rsidRPr="00C6642F">
              <w:rPr>
                <w:sz w:val="20"/>
              </w:rPr>
              <w:t xml:space="preserve"> 4</w:t>
            </w:r>
          </w:p>
        </w:tc>
      </w:tr>
      <w:tr w:rsidR="0018024C" w:rsidRPr="00C6642F" w:rsidTr="0018024C">
        <w:trPr>
          <w:trHeight w:hRule="exact" w:val="255"/>
        </w:trPr>
        <w:tc>
          <w:tcPr>
            <w:tcW w:w="1688"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101"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666"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101"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666"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101"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666"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101"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666"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r>
      <w:tr w:rsidR="0018024C" w:rsidRPr="00C6642F" w:rsidTr="0018024C">
        <w:trPr>
          <w:trHeight w:hRule="exact" w:val="255"/>
        </w:trPr>
        <w:tc>
          <w:tcPr>
            <w:tcW w:w="1688" w:type="pct"/>
            <w:tcBorders>
              <w:top w:val="nil"/>
              <w:left w:val="nil"/>
              <w:bottom w:val="nil"/>
              <w:right w:val="nil"/>
              <w:tl2br w:val="nil"/>
              <w:tr2bl w:val="nil"/>
            </w:tcBorders>
            <w:vAlign w:val="bottom"/>
          </w:tcPr>
          <w:p w:rsidR="0018024C" w:rsidRPr="00C6642F" w:rsidRDefault="0018024C" w:rsidP="0018024C">
            <w:pPr>
              <w:keepNext/>
              <w:spacing w:after="1"/>
              <w:rPr>
                <w:sz w:val="20"/>
              </w:rPr>
            </w:pPr>
            <w:r w:rsidRPr="00C6642F">
              <w:rPr>
                <w:sz w:val="20"/>
              </w:rPr>
              <w:t>Goodwill at December 31, 2017</w:t>
            </w:r>
          </w:p>
        </w:tc>
        <w:tc>
          <w:tcPr>
            <w:tcW w:w="101" w:type="pct"/>
            <w:tcBorders>
              <w:top w:val="nil"/>
              <w:left w:val="nil"/>
              <w:bottom w:val="nil"/>
              <w:right w:val="nil"/>
              <w:tl2br w:val="nil"/>
              <w:tr2bl w:val="nil"/>
            </w:tcBorders>
            <w:vAlign w:val="bottom"/>
          </w:tcPr>
          <w:p w:rsidR="0018024C" w:rsidRPr="00C6642F" w:rsidRDefault="0018024C" w:rsidP="0018024C">
            <w:pPr>
              <w:keepNext/>
              <w:spacing w:after="1"/>
              <w:rPr>
                <w:b/>
                <w:sz w:val="20"/>
              </w:rPr>
            </w:pPr>
          </w:p>
        </w:tc>
        <w:tc>
          <w:tcPr>
            <w:tcW w:w="666" w:type="pct"/>
            <w:tcBorders>
              <w:top w:val="nil"/>
              <w:left w:val="nil"/>
              <w:bottom w:val="nil"/>
              <w:right w:val="nil"/>
              <w:tl2br w:val="nil"/>
              <w:tr2bl w:val="nil"/>
            </w:tcBorders>
            <w:vAlign w:val="bottom"/>
          </w:tcPr>
          <w:p w:rsidR="0018024C" w:rsidRPr="00C6642F" w:rsidRDefault="0018024C" w:rsidP="0018024C">
            <w:pPr>
              <w:keepNext/>
              <w:spacing w:after="1"/>
              <w:ind w:right="65"/>
              <w:jc w:val="right"/>
              <w:rPr>
                <w:sz w:val="20"/>
              </w:rPr>
            </w:pPr>
            <w:r w:rsidRPr="00C6642F">
              <w:rPr>
                <w:sz w:val="20"/>
              </w:rPr>
              <w:t xml:space="preserve"> 441</w:t>
            </w:r>
          </w:p>
        </w:tc>
        <w:tc>
          <w:tcPr>
            <w:tcW w:w="81"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101"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666" w:type="pct"/>
            <w:tcBorders>
              <w:top w:val="nil"/>
              <w:left w:val="nil"/>
              <w:bottom w:val="nil"/>
              <w:right w:val="nil"/>
              <w:tl2br w:val="nil"/>
              <w:tr2bl w:val="nil"/>
            </w:tcBorders>
            <w:vAlign w:val="bottom"/>
          </w:tcPr>
          <w:p w:rsidR="0018024C" w:rsidRPr="00C6642F" w:rsidRDefault="0018024C" w:rsidP="0018024C">
            <w:pPr>
              <w:keepNext/>
              <w:spacing w:after="1"/>
              <w:ind w:right="65"/>
              <w:jc w:val="right"/>
              <w:rPr>
                <w:sz w:val="20"/>
              </w:rPr>
            </w:pPr>
            <w:r w:rsidRPr="00C6642F">
              <w:rPr>
                <w:sz w:val="20"/>
              </w:rPr>
              <w:t xml:space="preserve"> -</w:t>
            </w:r>
          </w:p>
        </w:tc>
        <w:tc>
          <w:tcPr>
            <w:tcW w:w="81"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101"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666" w:type="pct"/>
            <w:tcBorders>
              <w:top w:val="nil"/>
              <w:left w:val="nil"/>
              <w:bottom w:val="nil"/>
              <w:right w:val="nil"/>
              <w:tl2br w:val="nil"/>
              <w:tr2bl w:val="nil"/>
            </w:tcBorders>
            <w:vAlign w:val="bottom"/>
          </w:tcPr>
          <w:p w:rsidR="0018024C" w:rsidRPr="00C6642F" w:rsidRDefault="0018024C" w:rsidP="0018024C">
            <w:pPr>
              <w:keepNext/>
              <w:spacing w:after="1"/>
              <w:ind w:right="65"/>
              <w:jc w:val="right"/>
              <w:rPr>
                <w:sz w:val="20"/>
              </w:rPr>
            </w:pPr>
            <w:r w:rsidRPr="00C6642F">
              <w:rPr>
                <w:sz w:val="20"/>
              </w:rPr>
              <w:t xml:space="preserve"> 45</w:t>
            </w:r>
          </w:p>
        </w:tc>
        <w:tc>
          <w:tcPr>
            <w:tcW w:w="81"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101"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666" w:type="pct"/>
            <w:tcBorders>
              <w:top w:val="nil"/>
              <w:left w:val="nil"/>
              <w:bottom w:val="nil"/>
              <w:right w:val="nil"/>
              <w:tl2br w:val="nil"/>
              <w:tr2bl w:val="nil"/>
            </w:tcBorders>
            <w:vAlign w:val="bottom"/>
          </w:tcPr>
          <w:p w:rsidR="0018024C" w:rsidRPr="00C6642F" w:rsidRDefault="0018024C" w:rsidP="0018024C">
            <w:pPr>
              <w:keepNext/>
              <w:spacing w:after="1"/>
              <w:ind w:right="65"/>
              <w:jc w:val="right"/>
              <w:rPr>
                <w:sz w:val="20"/>
              </w:rPr>
            </w:pPr>
            <w:r w:rsidRPr="00C6642F">
              <w:rPr>
                <w:sz w:val="20"/>
              </w:rPr>
              <w:t xml:space="preserve"> 486</w:t>
            </w:r>
          </w:p>
        </w:tc>
      </w:tr>
      <w:tr w:rsidR="0018024C" w:rsidRPr="00C6642F" w:rsidTr="0018024C">
        <w:trPr>
          <w:trHeight w:hRule="exact" w:val="255"/>
        </w:trPr>
        <w:tc>
          <w:tcPr>
            <w:tcW w:w="1688"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ind w:left="360"/>
              <w:rPr>
                <w:sz w:val="20"/>
              </w:rPr>
            </w:pPr>
            <w:r w:rsidRPr="00C6642F">
              <w:rPr>
                <w:sz w:val="20"/>
              </w:rPr>
              <w:t>Effect of foreign currency translation</w:t>
            </w:r>
          </w:p>
        </w:tc>
        <w:tc>
          <w:tcPr>
            <w:tcW w:w="101"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after="1"/>
              <w:rPr>
                <w:b/>
                <w:sz w:val="20"/>
              </w:rPr>
            </w:pPr>
          </w:p>
        </w:tc>
        <w:tc>
          <w:tcPr>
            <w:tcW w:w="666"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after="1"/>
              <w:ind w:right="65"/>
              <w:jc w:val="right"/>
              <w:rPr>
                <w:sz w:val="20"/>
              </w:rPr>
            </w:pPr>
            <w:r w:rsidRPr="00C6642F">
              <w:rPr>
                <w:sz w:val="20"/>
              </w:rPr>
              <w:t xml:space="preserve"> -</w:t>
            </w:r>
          </w:p>
        </w:tc>
        <w:tc>
          <w:tcPr>
            <w:tcW w:w="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101"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after="1"/>
              <w:rPr>
                <w:sz w:val="20"/>
              </w:rPr>
            </w:pPr>
          </w:p>
        </w:tc>
        <w:tc>
          <w:tcPr>
            <w:tcW w:w="666"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after="1"/>
              <w:ind w:right="65"/>
              <w:jc w:val="right"/>
              <w:rPr>
                <w:sz w:val="20"/>
              </w:rPr>
            </w:pPr>
            <w:r w:rsidRPr="00C6642F">
              <w:rPr>
                <w:sz w:val="20"/>
              </w:rPr>
              <w:t xml:space="preserve"> -</w:t>
            </w:r>
          </w:p>
        </w:tc>
        <w:tc>
          <w:tcPr>
            <w:tcW w:w="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101"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after="1"/>
              <w:rPr>
                <w:sz w:val="20"/>
              </w:rPr>
            </w:pPr>
          </w:p>
        </w:tc>
        <w:tc>
          <w:tcPr>
            <w:tcW w:w="666"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after="1"/>
              <w:ind w:right="3"/>
              <w:jc w:val="right"/>
              <w:rPr>
                <w:sz w:val="20"/>
              </w:rPr>
            </w:pPr>
            <w:r w:rsidRPr="00C6642F">
              <w:rPr>
                <w:sz w:val="20"/>
              </w:rPr>
              <w:t xml:space="preserve"> (2)</w:t>
            </w:r>
          </w:p>
        </w:tc>
        <w:tc>
          <w:tcPr>
            <w:tcW w:w="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101"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after="1"/>
              <w:rPr>
                <w:sz w:val="20"/>
              </w:rPr>
            </w:pPr>
          </w:p>
        </w:tc>
        <w:tc>
          <w:tcPr>
            <w:tcW w:w="666"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after="1"/>
              <w:ind w:right="3"/>
              <w:jc w:val="right"/>
              <w:rPr>
                <w:sz w:val="20"/>
              </w:rPr>
            </w:pPr>
            <w:r w:rsidRPr="00C6642F">
              <w:rPr>
                <w:sz w:val="20"/>
              </w:rPr>
              <w:t xml:space="preserve"> (2)</w:t>
            </w:r>
          </w:p>
        </w:tc>
      </w:tr>
      <w:tr w:rsidR="0018024C" w:rsidRPr="00C6642F" w:rsidTr="0018024C">
        <w:trPr>
          <w:trHeight w:hRule="exact" w:val="255"/>
        </w:trPr>
        <w:tc>
          <w:tcPr>
            <w:tcW w:w="1688" w:type="pct"/>
            <w:tcBorders>
              <w:top w:val="nil"/>
              <w:left w:val="nil"/>
              <w:bottom w:val="nil"/>
              <w:right w:val="nil"/>
              <w:tl2br w:val="nil"/>
              <w:tr2bl w:val="nil"/>
            </w:tcBorders>
            <w:vAlign w:val="bottom"/>
          </w:tcPr>
          <w:p w:rsidR="0018024C" w:rsidRPr="00C6642F" w:rsidRDefault="0018024C" w:rsidP="0018024C">
            <w:pPr>
              <w:keepNext/>
              <w:spacing w:after="1"/>
              <w:ind w:left="360"/>
              <w:rPr>
                <w:sz w:val="20"/>
              </w:rPr>
            </w:pPr>
          </w:p>
        </w:tc>
        <w:tc>
          <w:tcPr>
            <w:tcW w:w="101" w:type="pct"/>
            <w:tcBorders>
              <w:top w:val="single" w:sz="0" w:space="0" w:color="000000"/>
              <w:left w:val="nil"/>
              <w:bottom w:val="nil"/>
              <w:right w:val="nil"/>
              <w:tl2br w:val="nil"/>
              <w:tr2bl w:val="nil"/>
            </w:tcBorders>
            <w:vAlign w:val="bottom"/>
          </w:tcPr>
          <w:p w:rsidR="0018024C" w:rsidRPr="00C6642F" w:rsidRDefault="0018024C" w:rsidP="0018024C">
            <w:pPr>
              <w:keepNext/>
              <w:spacing w:after="1"/>
              <w:rPr>
                <w:b/>
                <w:sz w:val="20"/>
              </w:rPr>
            </w:pPr>
          </w:p>
        </w:tc>
        <w:tc>
          <w:tcPr>
            <w:tcW w:w="666" w:type="pct"/>
            <w:tcBorders>
              <w:top w:val="single" w:sz="0" w:space="0" w:color="000000"/>
              <w:left w:val="nil"/>
              <w:bottom w:val="nil"/>
              <w:right w:val="nil"/>
              <w:tl2br w:val="nil"/>
              <w:tr2bl w:val="nil"/>
            </w:tcBorders>
            <w:vAlign w:val="bottom"/>
          </w:tcPr>
          <w:p w:rsidR="0018024C" w:rsidRPr="00C6642F" w:rsidRDefault="0018024C" w:rsidP="0018024C">
            <w:pPr>
              <w:keepNext/>
              <w:spacing w:after="1"/>
              <w:rPr>
                <w:sz w:val="20"/>
              </w:rPr>
            </w:pPr>
          </w:p>
        </w:tc>
        <w:tc>
          <w:tcPr>
            <w:tcW w:w="81" w:type="pct"/>
            <w:tcBorders>
              <w:top w:val="nil"/>
              <w:left w:val="nil"/>
              <w:bottom w:val="nil"/>
              <w:right w:val="nil"/>
              <w:tl2br w:val="nil"/>
              <w:tr2bl w:val="nil"/>
            </w:tcBorders>
            <w:vAlign w:val="bottom"/>
          </w:tcPr>
          <w:p w:rsidR="0018024C" w:rsidRPr="00C6642F" w:rsidRDefault="0018024C" w:rsidP="0018024C">
            <w:pPr>
              <w:keepNext/>
              <w:spacing w:after="1"/>
              <w:rPr>
                <w:b/>
                <w:sz w:val="20"/>
              </w:rPr>
            </w:pPr>
          </w:p>
        </w:tc>
        <w:tc>
          <w:tcPr>
            <w:tcW w:w="101" w:type="pct"/>
            <w:tcBorders>
              <w:top w:val="single" w:sz="0" w:space="0" w:color="000000"/>
              <w:left w:val="nil"/>
              <w:bottom w:val="nil"/>
              <w:right w:val="nil"/>
              <w:tl2br w:val="nil"/>
              <w:tr2bl w:val="nil"/>
            </w:tcBorders>
            <w:vAlign w:val="bottom"/>
          </w:tcPr>
          <w:p w:rsidR="0018024C" w:rsidRPr="00C6642F" w:rsidRDefault="0018024C" w:rsidP="0018024C">
            <w:pPr>
              <w:keepNext/>
              <w:spacing w:after="1"/>
              <w:rPr>
                <w:sz w:val="20"/>
              </w:rPr>
            </w:pPr>
          </w:p>
        </w:tc>
        <w:tc>
          <w:tcPr>
            <w:tcW w:w="666" w:type="pct"/>
            <w:tcBorders>
              <w:top w:val="single" w:sz="0" w:space="0" w:color="000000"/>
              <w:left w:val="nil"/>
              <w:bottom w:val="nil"/>
              <w:right w:val="nil"/>
              <w:tl2br w:val="nil"/>
              <w:tr2bl w:val="nil"/>
            </w:tcBorders>
            <w:vAlign w:val="bottom"/>
          </w:tcPr>
          <w:p w:rsidR="0018024C" w:rsidRPr="00C6642F" w:rsidRDefault="0018024C" w:rsidP="0018024C">
            <w:pPr>
              <w:keepNext/>
              <w:spacing w:after="1"/>
              <w:rPr>
                <w:sz w:val="20"/>
              </w:rPr>
            </w:pPr>
          </w:p>
        </w:tc>
        <w:tc>
          <w:tcPr>
            <w:tcW w:w="81" w:type="pct"/>
            <w:tcBorders>
              <w:top w:val="nil"/>
              <w:left w:val="nil"/>
              <w:bottom w:val="nil"/>
              <w:right w:val="nil"/>
              <w:tl2br w:val="nil"/>
              <w:tr2bl w:val="nil"/>
            </w:tcBorders>
            <w:vAlign w:val="bottom"/>
          </w:tcPr>
          <w:p w:rsidR="0018024C" w:rsidRPr="00C6642F" w:rsidRDefault="0018024C" w:rsidP="0018024C">
            <w:pPr>
              <w:keepNext/>
              <w:spacing w:after="1"/>
              <w:rPr>
                <w:b/>
                <w:sz w:val="20"/>
              </w:rPr>
            </w:pPr>
          </w:p>
        </w:tc>
        <w:tc>
          <w:tcPr>
            <w:tcW w:w="101" w:type="pct"/>
            <w:tcBorders>
              <w:top w:val="single" w:sz="0" w:space="0" w:color="000000"/>
              <w:left w:val="nil"/>
              <w:bottom w:val="nil"/>
              <w:right w:val="nil"/>
              <w:tl2br w:val="nil"/>
              <w:tr2bl w:val="nil"/>
            </w:tcBorders>
            <w:vAlign w:val="bottom"/>
          </w:tcPr>
          <w:p w:rsidR="0018024C" w:rsidRPr="00C6642F" w:rsidRDefault="0018024C" w:rsidP="0018024C">
            <w:pPr>
              <w:keepNext/>
              <w:spacing w:after="1"/>
              <w:rPr>
                <w:sz w:val="20"/>
              </w:rPr>
            </w:pPr>
          </w:p>
        </w:tc>
        <w:tc>
          <w:tcPr>
            <w:tcW w:w="666" w:type="pct"/>
            <w:tcBorders>
              <w:top w:val="single" w:sz="0" w:space="0" w:color="000000"/>
              <w:left w:val="nil"/>
              <w:bottom w:val="nil"/>
              <w:right w:val="nil"/>
              <w:tl2br w:val="nil"/>
              <w:tr2bl w:val="nil"/>
            </w:tcBorders>
            <w:vAlign w:val="bottom"/>
          </w:tcPr>
          <w:p w:rsidR="0018024C" w:rsidRPr="00C6642F" w:rsidRDefault="0018024C" w:rsidP="0018024C">
            <w:pPr>
              <w:keepNext/>
              <w:spacing w:after="1"/>
              <w:rPr>
                <w:b/>
                <w:sz w:val="20"/>
              </w:rPr>
            </w:pPr>
          </w:p>
        </w:tc>
        <w:tc>
          <w:tcPr>
            <w:tcW w:w="81" w:type="pct"/>
            <w:tcBorders>
              <w:top w:val="nil"/>
              <w:left w:val="nil"/>
              <w:bottom w:val="nil"/>
              <w:right w:val="nil"/>
              <w:tl2br w:val="nil"/>
              <w:tr2bl w:val="nil"/>
            </w:tcBorders>
            <w:vAlign w:val="bottom"/>
          </w:tcPr>
          <w:p w:rsidR="0018024C" w:rsidRPr="00C6642F" w:rsidRDefault="0018024C" w:rsidP="0018024C">
            <w:pPr>
              <w:keepNext/>
              <w:spacing w:after="1"/>
              <w:rPr>
                <w:b/>
                <w:sz w:val="20"/>
              </w:rPr>
            </w:pPr>
          </w:p>
        </w:tc>
        <w:tc>
          <w:tcPr>
            <w:tcW w:w="101" w:type="pct"/>
            <w:tcBorders>
              <w:top w:val="single" w:sz="0" w:space="0" w:color="000000"/>
              <w:left w:val="nil"/>
              <w:bottom w:val="nil"/>
              <w:right w:val="nil"/>
              <w:tl2br w:val="nil"/>
              <w:tr2bl w:val="nil"/>
            </w:tcBorders>
            <w:vAlign w:val="bottom"/>
          </w:tcPr>
          <w:p w:rsidR="0018024C" w:rsidRPr="00C6642F" w:rsidRDefault="0018024C" w:rsidP="0018024C">
            <w:pPr>
              <w:keepNext/>
              <w:spacing w:after="1"/>
              <w:rPr>
                <w:sz w:val="20"/>
              </w:rPr>
            </w:pPr>
          </w:p>
        </w:tc>
        <w:tc>
          <w:tcPr>
            <w:tcW w:w="666" w:type="pct"/>
            <w:tcBorders>
              <w:top w:val="single" w:sz="0" w:space="0" w:color="000000"/>
              <w:left w:val="nil"/>
              <w:bottom w:val="nil"/>
              <w:right w:val="nil"/>
              <w:tl2br w:val="nil"/>
              <w:tr2bl w:val="nil"/>
            </w:tcBorders>
            <w:vAlign w:val="bottom"/>
          </w:tcPr>
          <w:p w:rsidR="0018024C" w:rsidRPr="00C6642F" w:rsidRDefault="0018024C" w:rsidP="0018024C">
            <w:pPr>
              <w:keepNext/>
              <w:spacing w:after="1"/>
              <w:rPr>
                <w:b/>
                <w:sz w:val="20"/>
              </w:rPr>
            </w:pPr>
          </w:p>
        </w:tc>
      </w:tr>
      <w:tr w:rsidR="0018024C" w:rsidRPr="00C6642F" w:rsidTr="0018024C">
        <w:trPr>
          <w:trHeight w:hRule="exact" w:val="255"/>
        </w:trPr>
        <w:tc>
          <w:tcPr>
            <w:tcW w:w="1688"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Goodwill at December 31, 2018</w:t>
            </w:r>
          </w:p>
        </w:tc>
        <w:tc>
          <w:tcPr>
            <w:tcW w:w="10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666"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ind w:right="65"/>
              <w:jc w:val="right"/>
              <w:rPr>
                <w:sz w:val="20"/>
              </w:rPr>
            </w:pPr>
            <w:r w:rsidRPr="00C6642F">
              <w:rPr>
                <w:sz w:val="20"/>
              </w:rPr>
              <w:t xml:space="preserve"> 441</w:t>
            </w:r>
          </w:p>
        </w:tc>
        <w:tc>
          <w:tcPr>
            <w:tcW w:w="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10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666"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ind w:right="65"/>
              <w:jc w:val="right"/>
              <w:rPr>
                <w:sz w:val="20"/>
              </w:rPr>
            </w:pPr>
            <w:r w:rsidRPr="00C6642F">
              <w:rPr>
                <w:sz w:val="20"/>
              </w:rPr>
              <w:t xml:space="preserve"> -</w:t>
            </w:r>
          </w:p>
        </w:tc>
        <w:tc>
          <w:tcPr>
            <w:tcW w:w="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10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666"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ind w:right="65"/>
              <w:jc w:val="right"/>
              <w:rPr>
                <w:sz w:val="20"/>
              </w:rPr>
            </w:pPr>
            <w:r w:rsidRPr="00C6642F">
              <w:rPr>
                <w:sz w:val="20"/>
              </w:rPr>
              <w:t xml:space="preserve"> 43</w:t>
            </w:r>
          </w:p>
        </w:tc>
        <w:tc>
          <w:tcPr>
            <w:tcW w:w="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10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666"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ind w:right="65"/>
              <w:jc w:val="right"/>
              <w:rPr>
                <w:sz w:val="20"/>
              </w:rPr>
            </w:pPr>
            <w:r w:rsidRPr="00C6642F">
              <w:rPr>
                <w:sz w:val="20"/>
              </w:rPr>
              <w:t xml:space="preserve"> 484</w:t>
            </w:r>
          </w:p>
        </w:tc>
      </w:tr>
      <w:tr w:rsidR="0018024C" w:rsidRPr="00C6642F" w:rsidTr="0018024C">
        <w:trPr>
          <w:trHeight w:hRule="exact" w:val="255"/>
        </w:trPr>
        <w:tc>
          <w:tcPr>
            <w:tcW w:w="1688" w:type="pct"/>
            <w:tcBorders>
              <w:top w:val="nil"/>
              <w:left w:val="nil"/>
              <w:bottom w:val="nil"/>
              <w:right w:val="nil"/>
              <w:tl2br w:val="nil"/>
              <w:tr2bl w:val="nil"/>
            </w:tcBorders>
            <w:vAlign w:val="bottom"/>
          </w:tcPr>
          <w:p w:rsidR="0018024C" w:rsidRPr="00C6642F" w:rsidRDefault="0018024C" w:rsidP="0018024C">
            <w:pPr>
              <w:keepNext/>
              <w:spacing w:after="1"/>
              <w:ind w:left="360"/>
              <w:rPr>
                <w:sz w:val="20"/>
              </w:rPr>
            </w:pPr>
            <w:r w:rsidRPr="00C6642F">
              <w:rPr>
                <w:sz w:val="20"/>
              </w:rPr>
              <w:t>Effect of foreign currency translation</w:t>
            </w:r>
          </w:p>
        </w:tc>
        <w:tc>
          <w:tcPr>
            <w:tcW w:w="101"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rPr>
                <w:b/>
                <w:sz w:val="20"/>
              </w:rPr>
            </w:pPr>
          </w:p>
        </w:tc>
        <w:tc>
          <w:tcPr>
            <w:tcW w:w="666"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ind w:right="63"/>
              <w:jc w:val="right"/>
              <w:rPr>
                <w:b/>
                <w:sz w:val="20"/>
              </w:rPr>
            </w:pPr>
            <w:r w:rsidRPr="00C6642F">
              <w:rPr>
                <w:b/>
                <w:sz w:val="20"/>
              </w:rPr>
              <w:t xml:space="preserve"> -</w:t>
            </w:r>
          </w:p>
        </w:tc>
        <w:tc>
          <w:tcPr>
            <w:tcW w:w="81" w:type="pct"/>
            <w:tcBorders>
              <w:top w:val="nil"/>
              <w:left w:val="nil"/>
              <w:bottom w:val="nil"/>
              <w:right w:val="nil"/>
              <w:tl2br w:val="nil"/>
              <w:tr2bl w:val="nil"/>
            </w:tcBorders>
            <w:vAlign w:val="bottom"/>
          </w:tcPr>
          <w:p w:rsidR="0018024C" w:rsidRPr="00C6642F" w:rsidRDefault="0018024C" w:rsidP="0018024C">
            <w:pPr>
              <w:keepNext/>
              <w:spacing w:after="1"/>
              <w:rPr>
                <w:b/>
                <w:sz w:val="20"/>
              </w:rPr>
            </w:pPr>
          </w:p>
        </w:tc>
        <w:tc>
          <w:tcPr>
            <w:tcW w:w="101"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rPr>
                <w:sz w:val="20"/>
              </w:rPr>
            </w:pPr>
          </w:p>
        </w:tc>
        <w:tc>
          <w:tcPr>
            <w:tcW w:w="666"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ind w:right="63"/>
              <w:jc w:val="right"/>
              <w:rPr>
                <w:b/>
                <w:sz w:val="20"/>
              </w:rPr>
            </w:pPr>
            <w:r w:rsidRPr="00C6642F">
              <w:rPr>
                <w:b/>
                <w:sz w:val="20"/>
              </w:rPr>
              <w:t xml:space="preserve"> -</w:t>
            </w:r>
          </w:p>
        </w:tc>
        <w:tc>
          <w:tcPr>
            <w:tcW w:w="81" w:type="pct"/>
            <w:tcBorders>
              <w:top w:val="nil"/>
              <w:left w:val="nil"/>
              <w:bottom w:val="nil"/>
              <w:right w:val="nil"/>
              <w:tl2br w:val="nil"/>
              <w:tr2bl w:val="nil"/>
            </w:tcBorders>
            <w:vAlign w:val="bottom"/>
          </w:tcPr>
          <w:p w:rsidR="0018024C" w:rsidRPr="00C6642F" w:rsidRDefault="0018024C" w:rsidP="0018024C">
            <w:pPr>
              <w:keepNext/>
              <w:spacing w:after="1"/>
              <w:rPr>
                <w:b/>
                <w:sz w:val="20"/>
              </w:rPr>
            </w:pPr>
          </w:p>
        </w:tc>
        <w:tc>
          <w:tcPr>
            <w:tcW w:w="101"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rPr>
                <w:sz w:val="20"/>
              </w:rPr>
            </w:pPr>
          </w:p>
        </w:tc>
        <w:tc>
          <w:tcPr>
            <w:tcW w:w="666"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jc w:val="right"/>
              <w:rPr>
                <w:b/>
                <w:sz w:val="20"/>
              </w:rPr>
            </w:pPr>
            <w:r w:rsidRPr="00C6642F">
              <w:rPr>
                <w:b/>
                <w:sz w:val="20"/>
              </w:rPr>
              <w:t xml:space="preserve"> (1)</w:t>
            </w:r>
          </w:p>
        </w:tc>
        <w:tc>
          <w:tcPr>
            <w:tcW w:w="81" w:type="pct"/>
            <w:tcBorders>
              <w:top w:val="nil"/>
              <w:left w:val="nil"/>
              <w:bottom w:val="nil"/>
              <w:right w:val="nil"/>
              <w:tl2br w:val="nil"/>
              <w:tr2bl w:val="nil"/>
            </w:tcBorders>
            <w:vAlign w:val="bottom"/>
          </w:tcPr>
          <w:p w:rsidR="0018024C" w:rsidRPr="00C6642F" w:rsidRDefault="0018024C" w:rsidP="0018024C">
            <w:pPr>
              <w:keepNext/>
              <w:spacing w:after="1"/>
              <w:rPr>
                <w:b/>
                <w:sz w:val="20"/>
              </w:rPr>
            </w:pPr>
          </w:p>
        </w:tc>
        <w:tc>
          <w:tcPr>
            <w:tcW w:w="101"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rPr>
                <w:sz w:val="20"/>
              </w:rPr>
            </w:pPr>
          </w:p>
        </w:tc>
        <w:tc>
          <w:tcPr>
            <w:tcW w:w="666"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jc w:val="right"/>
              <w:rPr>
                <w:b/>
                <w:sz w:val="20"/>
              </w:rPr>
            </w:pPr>
            <w:r w:rsidRPr="00C6642F">
              <w:rPr>
                <w:b/>
                <w:sz w:val="20"/>
              </w:rPr>
              <w:t xml:space="preserve"> (1)</w:t>
            </w:r>
          </w:p>
        </w:tc>
      </w:tr>
      <w:tr w:rsidR="0018024C" w:rsidRPr="00C6642F" w:rsidTr="0018024C">
        <w:trPr>
          <w:trHeight w:hRule="exact" w:val="255"/>
        </w:trPr>
        <w:tc>
          <w:tcPr>
            <w:tcW w:w="1688"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Goodwill at December 31, 2019</w:t>
            </w:r>
          </w:p>
        </w:tc>
        <w:tc>
          <w:tcPr>
            <w:tcW w:w="101"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rPr>
                <w:b/>
                <w:sz w:val="20"/>
              </w:rPr>
            </w:pPr>
            <w:r w:rsidRPr="00C6642F">
              <w:rPr>
                <w:b/>
                <w:sz w:val="20"/>
              </w:rPr>
              <w:t>$</w:t>
            </w:r>
          </w:p>
        </w:tc>
        <w:tc>
          <w:tcPr>
            <w:tcW w:w="666"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ind w:right="63"/>
              <w:jc w:val="right"/>
              <w:rPr>
                <w:b/>
                <w:sz w:val="20"/>
              </w:rPr>
            </w:pPr>
            <w:r w:rsidRPr="00C6642F">
              <w:rPr>
                <w:b/>
                <w:sz w:val="20"/>
              </w:rPr>
              <w:t xml:space="preserve"> 441</w:t>
            </w:r>
          </w:p>
        </w:tc>
        <w:tc>
          <w:tcPr>
            <w:tcW w:w="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101"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w:t>
            </w:r>
          </w:p>
        </w:tc>
        <w:tc>
          <w:tcPr>
            <w:tcW w:w="666"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ind w:right="63"/>
              <w:jc w:val="right"/>
              <w:rPr>
                <w:b/>
                <w:sz w:val="20"/>
              </w:rPr>
            </w:pPr>
            <w:r w:rsidRPr="00C6642F">
              <w:rPr>
                <w:b/>
                <w:sz w:val="20"/>
              </w:rPr>
              <w:t xml:space="preserve"> -</w:t>
            </w:r>
          </w:p>
        </w:tc>
        <w:tc>
          <w:tcPr>
            <w:tcW w:w="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101"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w:t>
            </w:r>
          </w:p>
        </w:tc>
        <w:tc>
          <w:tcPr>
            <w:tcW w:w="666"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ind w:right="63"/>
              <w:jc w:val="right"/>
              <w:rPr>
                <w:b/>
                <w:sz w:val="20"/>
              </w:rPr>
            </w:pPr>
            <w:r w:rsidRPr="00C6642F">
              <w:rPr>
                <w:b/>
                <w:sz w:val="20"/>
              </w:rPr>
              <w:t xml:space="preserve"> 42</w:t>
            </w:r>
          </w:p>
        </w:tc>
        <w:tc>
          <w:tcPr>
            <w:tcW w:w="8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101"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w:t>
            </w:r>
          </w:p>
        </w:tc>
        <w:tc>
          <w:tcPr>
            <w:tcW w:w="666"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ind w:right="63"/>
              <w:jc w:val="right"/>
              <w:rPr>
                <w:b/>
                <w:sz w:val="20"/>
              </w:rPr>
            </w:pPr>
            <w:r w:rsidRPr="00C6642F">
              <w:rPr>
                <w:b/>
                <w:sz w:val="20"/>
              </w:rPr>
              <w:t xml:space="preserve"> 483</w:t>
            </w:r>
          </w:p>
        </w:tc>
      </w:tr>
      <w:tr w:rsidR="0018024C" w:rsidRPr="00C6642F" w:rsidTr="0018024C">
        <w:trPr>
          <w:trHeight w:hRule="exact" w:val="255"/>
        </w:trPr>
        <w:tc>
          <w:tcPr>
            <w:tcW w:w="1688"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101"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sz w:val="20"/>
              </w:rPr>
            </w:pPr>
          </w:p>
        </w:tc>
        <w:tc>
          <w:tcPr>
            <w:tcW w:w="666"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b/>
                <w:sz w:val="20"/>
              </w:rPr>
            </w:pPr>
          </w:p>
        </w:tc>
        <w:tc>
          <w:tcPr>
            <w:tcW w:w="81" w:type="pct"/>
            <w:tcBorders>
              <w:top w:val="nil"/>
              <w:left w:val="nil"/>
              <w:bottom w:val="nil"/>
              <w:right w:val="nil"/>
              <w:tl2br w:val="nil"/>
              <w:tr2bl w:val="nil"/>
            </w:tcBorders>
            <w:vAlign w:val="bottom"/>
          </w:tcPr>
          <w:p w:rsidR="0018024C" w:rsidRPr="00C6642F" w:rsidRDefault="0018024C" w:rsidP="0018024C">
            <w:pPr>
              <w:keepNext/>
              <w:spacing w:after="1"/>
              <w:rPr>
                <w:b/>
                <w:sz w:val="20"/>
              </w:rPr>
            </w:pPr>
          </w:p>
        </w:tc>
        <w:tc>
          <w:tcPr>
            <w:tcW w:w="101"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b/>
                <w:sz w:val="20"/>
              </w:rPr>
            </w:pPr>
          </w:p>
        </w:tc>
        <w:tc>
          <w:tcPr>
            <w:tcW w:w="666"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b/>
                <w:sz w:val="20"/>
              </w:rPr>
            </w:pPr>
          </w:p>
        </w:tc>
        <w:tc>
          <w:tcPr>
            <w:tcW w:w="81" w:type="pct"/>
            <w:tcBorders>
              <w:top w:val="nil"/>
              <w:left w:val="nil"/>
              <w:bottom w:val="nil"/>
              <w:right w:val="nil"/>
              <w:tl2br w:val="nil"/>
              <w:tr2bl w:val="nil"/>
            </w:tcBorders>
            <w:vAlign w:val="bottom"/>
          </w:tcPr>
          <w:p w:rsidR="0018024C" w:rsidRPr="00C6642F" w:rsidRDefault="0018024C" w:rsidP="0018024C">
            <w:pPr>
              <w:keepNext/>
              <w:spacing w:after="1"/>
              <w:rPr>
                <w:b/>
                <w:sz w:val="20"/>
              </w:rPr>
            </w:pPr>
          </w:p>
        </w:tc>
        <w:tc>
          <w:tcPr>
            <w:tcW w:w="101"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b/>
                <w:sz w:val="20"/>
              </w:rPr>
            </w:pPr>
          </w:p>
        </w:tc>
        <w:tc>
          <w:tcPr>
            <w:tcW w:w="666"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b/>
                <w:sz w:val="20"/>
              </w:rPr>
            </w:pPr>
          </w:p>
        </w:tc>
        <w:tc>
          <w:tcPr>
            <w:tcW w:w="81" w:type="pct"/>
            <w:tcBorders>
              <w:top w:val="nil"/>
              <w:left w:val="nil"/>
              <w:bottom w:val="nil"/>
              <w:right w:val="nil"/>
              <w:tl2br w:val="nil"/>
              <w:tr2bl w:val="nil"/>
            </w:tcBorders>
            <w:vAlign w:val="bottom"/>
          </w:tcPr>
          <w:p w:rsidR="0018024C" w:rsidRPr="00C6642F" w:rsidRDefault="0018024C" w:rsidP="0018024C">
            <w:pPr>
              <w:keepNext/>
              <w:spacing w:after="1"/>
              <w:rPr>
                <w:b/>
                <w:sz w:val="20"/>
              </w:rPr>
            </w:pPr>
          </w:p>
        </w:tc>
        <w:tc>
          <w:tcPr>
            <w:tcW w:w="101"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b/>
                <w:sz w:val="20"/>
              </w:rPr>
            </w:pPr>
          </w:p>
        </w:tc>
        <w:tc>
          <w:tcPr>
            <w:tcW w:w="666"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b/>
                <w:sz w:val="20"/>
              </w:rPr>
            </w:pPr>
          </w:p>
        </w:tc>
      </w:tr>
    </w:tbl>
    <w:p w:rsidR="000121CD" w:rsidRPr="00C6642F" w:rsidRDefault="00590862">
      <w:pPr>
        <w:pStyle w:val="rfn"/>
        <w:keepNext/>
        <w:widowControl w:val="0"/>
        <w:pBdr>
          <w:bottom w:val="single" w:sz="6" w:space="3" w:color="auto"/>
        </w:pBdr>
      </w:pPr>
      <w:r w:rsidRPr="00C6642F">
        <w:t> </w:t>
      </w:r>
    </w:p>
    <w:p w:rsidR="000121CD" w:rsidRPr="00C6642F" w:rsidRDefault="00590862">
      <w:pPr>
        <w:pStyle w:val="NormalWeb"/>
        <w:widowControl w:val="0"/>
        <w:numPr>
          <w:ilvl w:val="0"/>
          <w:numId w:val="10"/>
        </w:numPr>
        <w:spacing w:before="0" w:beforeAutospacing="0" w:after="0" w:afterAutospacing="0"/>
        <w:ind w:left="490" w:hanging="490"/>
        <w:rPr>
          <w:sz w:val="20"/>
          <w:szCs w:val="20"/>
        </w:rPr>
      </w:pPr>
      <w:r w:rsidRPr="00C6642F">
        <w:rPr>
          <w:sz w:val="20"/>
          <w:szCs w:val="20"/>
        </w:rPr>
        <w:t>Net of prior years’ accumulated impairment losses of $</w:t>
      </w:r>
      <w:r w:rsidR="00011CD0" w:rsidRPr="00C6642F">
        <w:rPr>
          <w:sz w:val="20"/>
          <w:szCs w:val="20"/>
        </w:rPr>
        <w:t>350</w:t>
      </w:r>
      <w:r w:rsidRPr="00C6642F">
        <w:rPr>
          <w:sz w:val="20"/>
          <w:szCs w:val="20"/>
        </w:rPr>
        <w:t xml:space="preserve"> million</w:t>
      </w:r>
      <w:r w:rsidR="00011CD0" w:rsidRPr="00C6642F">
        <w:rPr>
          <w:sz w:val="20"/>
          <w:szCs w:val="20"/>
        </w:rPr>
        <w:t>,</w:t>
      </w:r>
      <w:r w:rsidRPr="00C6642F">
        <w:rPr>
          <w:sz w:val="20"/>
          <w:szCs w:val="20"/>
        </w:rPr>
        <w:t xml:space="preserve"> $69 million</w:t>
      </w:r>
      <w:r w:rsidR="00011CD0" w:rsidRPr="00C6642F">
        <w:rPr>
          <w:sz w:val="20"/>
          <w:szCs w:val="20"/>
        </w:rPr>
        <w:t xml:space="preserve"> and $183 million</w:t>
      </w:r>
      <w:r w:rsidRPr="00C6642F">
        <w:rPr>
          <w:sz w:val="20"/>
          <w:szCs w:val="20"/>
        </w:rPr>
        <w:t xml:space="preserve"> in the U.S.</w:t>
      </w:r>
      <w:r w:rsidR="00011CD0" w:rsidRPr="00C6642F">
        <w:rPr>
          <w:sz w:val="20"/>
          <w:szCs w:val="20"/>
        </w:rPr>
        <w:t xml:space="preserve">, </w:t>
      </w:r>
      <w:r w:rsidRPr="00C6642F">
        <w:rPr>
          <w:sz w:val="20"/>
          <w:szCs w:val="20"/>
        </w:rPr>
        <w:t>Canadian</w:t>
      </w:r>
      <w:r w:rsidR="00011CD0" w:rsidRPr="00C6642F">
        <w:rPr>
          <w:sz w:val="20"/>
          <w:szCs w:val="20"/>
        </w:rPr>
        <w:t xml:space="preserve"> and International</w:t>
      </w:r>
      <w:r w:rsidRPr="00C6642F">
        <w:rPr>
          <w:sz w:val="20"/>
          <w:szCs w:val="20"/>
        </w:rPr>
        <w:t xml:space="preserve"> segments, respectively.</w:t>
      </w:r>
    </w:p>
    <w:p w:rsidR="000121CD" w:rsidRPr="00C6642F" w:rsidRDefault="00590862">
      <w:pPr>
        <w:pStyle w:val="NormalWeb"/>
        <w:keepNext/>
        <w:spacing w:before="180" w:beforeAutospacing="0" w:after="0" w:afterAutospacing="0"/>
        <w:rPr>
          <w:sz w:val="20"/>
          <w:szCs w:val="20"/>
        </w:rPr>
      </w:pPr>
      <w:r w:rsidRPr="00C6642F">
        <w:rPr>
          <w:sz w:val="20"/>
          <w:szCs w:val="20"/>
        </w:rPr>
        <w:t xml:space="preserve">Other intangible assets by major classification consist of the following (in millions): </w:t>
      </w:r>
    </w:p>
    <w:tbl>
      <w:tblPr>
        <w:tblW w:w="5000" w:type="pct"/>
        <w:tblCellMar>
          <w:left w:w="0" w:type="dxa"/>
          <w:right w:w="0" w:type="dxa"/>
        </w:tblCellMar>
        <w:tblLook w:val="04A0" w:firstRow="1" w:lastRow="0" w:firstColumn="1" w:lastColumn="0" w:noHBand="0" w:noVBand="1"/>
      </w:tblPr>
      <w:tblGrid>
        <w:gridCol w:w="4312"/>
        <w:gridCol w:w="206"/>
        <w:gridCol w:w="258"/>
        <w:gridCol w:w="1700"/>
        <w:gridCol w:w="205"/>
        <w:gridCol w:w="257"/>
        <w:gridCol w:w="1700"/>
        <w:gridCol w:w="205"/>
        <w:gridCol w:w="257"/>
        <w:gridCol w:w="1700"/>
      </w:tblGrid>
      <w:tr w:rsidR="0018024C" w:rsidRPr="00C6642F" w:rsidTr="0018024C">
        <w:trPr>
          <w:trHeight w:hRule="exact" w:val="20"/>
        </w:trPr>
        <w:tc>
          <w:tcPr>
            <w:tcW w:w="1996"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95"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119"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787"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95"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119"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787"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95"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119"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787"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r>
      <w:tr w:rsidR="0018024C" w:rsidRPr="00C6642F" w:rsidTr="0018024C">
        <w:trPr>
          <w:trHeight w:hRule="exact" w:val="255"/>
        </w:trPr>
        <w:tc>
          <w:tcPr>
            <w:tcW w:w="1996"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95"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p>
        </w:tc>
        <w:tc>
          <w:tcPr>
            <w:tcW w:w="119"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p>
        </w:tc>
        <w:tc>
          <w:tcPr>
            <w:tcW w:w="787"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p>
        </w:tc>
        <w:tc>
          <w:tcPr>
            <w:tcW w:w="95"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119"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787"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p>
        </w:tc>
        <w:tc>
          <w:tcPr>
            <w:tcW w:w="95"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119"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787"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p>
        </w:tc>
      </w:tr>
      <w:tr w:rsidR="0018024C" w:rsidRPr="00C6642F" w:rsidTr="0018024C">
        <w:trPr>
          <w:trHeight w:hRule="exact" w:val="255"/>
        </w:trPr>
        <w:tc>
          <w:tcPr>
            <w:tcW w:w="1996"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95"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p>
        </w:tc>
        <w:tc>
          <w:tcPr>
            <w:tcW w:w="119"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p>
        </w:tc>
        <w:tc>
          <w:tcPr>
            <w:tcW w:w="787"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p>
        </w:tc>
        <w:tc>
          <w:tcPr>
            <w:tcW w:w="95"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119"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787"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p>
        </w:tc>
        <w:tc>
          <w:tcPr>
            <w:tcW w:w="95"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119"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787"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p>
        </w:tc>
      </w:tr>
      <w:tr w:rsidR="0018024C" w:rsidRPr="00C6642F" w:rsidTr="0018024C">
        <w:trPr>
          <w:trHeight w:hRule="exact" w:val="300"/>
        </w:trPr>
        <w:tc>
          <w:tcPr>
            <w:tcW w:w="1996"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95"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p>
        </w:tc>
        <w:tc>
          <w:tcPr>
            <w:tcW w:w="119"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p>
        </w:tc>
        <w:tc>
          <w:tcPr>
            <w:tcW w:w="787"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p>
        </w:tc>
        <w:tc>
          <w:tcPr>
            <w:tcW w:w="95"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1" w:type="pct"/>
            <w:gridSpan w:val="2"/>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r w:rsidRPr="00C6642F">
              <w:rPr>
                <w:b/>
                <w:sz w:val="20"/>
              </w:rPr>
              <w:t>Accumulated</w:t>
            </w:r>
          </w:p>
        </w:tc>
        <w:tc>
          <w:tcPr>
            <w:tcW w:w="95"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1" w:type="pct"/>
            <w:gridSpan w:val="2"/>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r w:rsidRPr="00C6642F">
              <w:rPr>
                <w:b/>
                <w:sz w:val="20"/>
              </w:rPr>
              <w:t>Net Book</w:t>
            </w:r>
          </w:p>
        </w:tc>
      </w:tr>
      <w:tr w:rsidR="0018024C" w:rsidRPr="00C6642F" w:rsidTr="0018024C">
        <w:trPr>
          <w:trHeight w:hRule="exact" w:val="315"/>
        </w:trPr>
        <w:tc>
          <w:tcPr>
            <w:tcW w:w="1996"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95"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jc w:val="center"/>
              <w:rPr>
                <w:b/>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spacing w:after="1"/>
              <w:jc w:val="center"/>
              <w:rPr>
                <w:b/>
                <w:sz w:val="20"/>
              </w:rPr>
            </w:pPr>
            <w:r w:rsidRPr="00C6642F">
              <w:rPr>
                <w:b/>
                <w:sz w:val="20"/>
              </w:rPr>
              <w:t>Gross</w:t>
            </w:r>
          </w:p>
        </w:tc>
        <w:tc>
          <w:tcPr>
            <w:tcW w:w="95"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spacing w:after="1"/>
              <w:jc w:val="center"/>
              <w:rPr>
                <w:b/>
                <w:sz w:val="20"/>
              </w:rPr>
            </w:pPr>
            <w:r w:rsidRPr="00C6642F">
              <w:rPr>
                <w:b/>
                <w:sz w:val="20"/>
              </w:rPr>
              <w:t>Amortization</w:t>
            </w:r>
          </w:p>
        </w:tc>
        <w:tc>
          <w:tcPr>
            <w:tcW w:w="95"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spacing w:after="1"/>
              <w:jc w:val="center"/>
              <w:rPr>
                <w:b/>
                <w:sz w:val="20"/>
              </w:rPr>
            </w:pPr>
            <w:r w:rsidRPr="00C6642F">
              <w:rPr>
                <w:b/>
                <w:sz w:val="20"/>
              </w:rPr>
              <w:t>Value</w:t>
            </w:r>
          </w:p>
        </w:tc>
      </w:tr>
      <w:tr w:rsidR="0018024C" w:rsidRPr="00C6642F" w:rsidTr="0018024C">
        <w:trPr>
          <w:trHeight w:hRule="exact" w:val="255"/>
        </w:trPr>
        <w:tc>
          <w:tcPr>
            <w:tcW w:w="1996"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r w:rsidRPr="00C6642F">
              <w:rPr>
                <w:b/>
                <w:sz w:val="20"/>
              </w:rPr>
              <w:t>December 31, 2019</w:t>
            </w:r>
          </w:p>
        </w:tc>
        <w:tc>
          <w:tcPr>
            <w:tcW w:w="9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11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78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9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11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78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9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11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78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r>
      <w:tr w:rsidR="0018024C" w:rsidRPr="00C6642F" w:rsidTr="0018024C">
        <w:trPr>
          <w:trHeight w:hRule="exact" w:val="255"/>
        </w:trPr>
        <w:tc>
          <w:tcPr>
            <w:tcW w:w="1996" w:type="pct"/>
            <w:tcBorders>
              <w:top w:val="nil"/>
              <w:left w:val="nil"/>
              <w:bottom w:val="nil"/>
              <w:right w:val="nil"/>
              <w:tl2br w:val="nil"/>
              <w:tr2bl w:val="nil"/>
            </w:tcBorders>
            <w:vAlign w:val="bottom"/>
          </w:tcPr>
          <w:p w:rsidR="0018024C" w:rsidRPr="00C6642F" w:rsidRDefault="0018024C" w:rsidP="0018024C">
            <w:pPr>
              <w:keepNext/>
              <w:spacing w:after="1"/>
              <w:rPr>
                <w:sz w:val="20"/>
              </w:rPr>
            </w:pPr>
            <w:r w:rsidRPr="00C6642F">
              <w:rPr>
                <w:sz w:val="20"/>
              </w:rPr>
              <w:t>Customer base (1)</w:t>
            </w:r>
          </w:p>
        </w:tc>
        <w:tc>
          <w:tcPr>
            <w:tcW w:w="95" w:type="pct"/>
            <w:tcBorders>
              <w:top w:val="nil"/>
              <w:left w:val="nil"/>
              <w:bottom w:val="nil"/>
              <w:right w:val="nil"/>
              <w:tl2br w:val="nil"/>
              <w:tr2bl w:val="nil"/>
            </w:tcBorders>
            <w:vAlign w:val="bottom"/>
          </w:tcPr>
          <w:p w:rsidR="0018024C" w:rsidRPr="00C6642F" w:rsidRDefault="0018024C" w:rsidP="0018024C">
            <w:pPr>
              <w:keepNext/>
              <w:spacing w:after="1"/>
              <w:jc w:val="center"/>
              <w:rPr>
                <w:b/>
                <w:sz w:val="20"/>
              </w:rPr>
            </w:pPr>
          </w:p>
        </w:tc>
        <w:tc>
          <w:tcPr>
            <w:tcW w:w="119" w:type="pct"/>
            <w:tcBorders>
              <w:top w:val="nil"/>
              <w:left w:val="nil"/>
              <w:bottom w:val="nil"/>
              <w:right w:val="nil"/>
              <w:tl2br w:val="nil"/>
              <w:tr2bl w:val="nil"/>
            </w:tcBorders>
            <w:vAlign w:val="bottom"/>
          </w:tcPr>
          <w:p w:rsidR="0018024C" w:rsidRPr="00C6642F" w:rsidRDefault="0018024C" w:rsidP="0018024C">
            <w:pPr>
              <w:keepNext/>
              <w:spacing w:after="1"/>
              <w:rPr>
                <w:b/>
                <w:sz w:val="20"/>
              </w:rPr>
            </w:pPr>
            <w:r w:rsidRPr="00C6642F">
              <w:rPr>
                <w:b/>
                <w:sz w:val="20"/>
              </w:rPr>
              <w:t>$</w:t>
            </w:r>
          </w:p>
        </w:tc>
        <w:tc>
          <w:tcPr>
            <w:tcW w:w="787" w:type="pct"/>
            <w:tcBorders>
              <w:top w:val="nil"/>
              <w:left w:val="nil"/>
              <w:bottom w:val="nil"/>
              <w:right w:val="nil"/>
              <w:tl2br w:val="nil"/>
              <w:tr2bl w:val="nil"/>
            </w:tcBorders>
            <w:vAlign w:val="bottom"/>
          </w:tcPr>
          <w:p w:rsidR="0018024C" w:rsidRPr="00C6642F" w:rsidRDefault="0018024C" w:rsidP="0018024C">
            <w:pPr>
              <w:keepNext/>
              <w:spacing w:after="1"/>
              <w:ind w:right="63"/>
              <w:jc w:val="right"/>
              <w:rPr>
                <w:b/>
                <w:sz w:val="20"/>
              </w:rPr>
            </w:pPr>
            <w:r w:rsidRPr="00C6642F">
              <w:rPr>
                <w:b/>
                <w:sz w:val="20"/>
              </w:rPr>
              <w:t xml:space="preserve"> 449</w:t>
            </w:r>
          </w:p>
        </w:tc>
        <w:tc>
          <w:tcPr>
            <w:tcW w:w="95" w:type="pct"/>
            <w:tcBorders>
              <w:top w:val="nil"/>
              <w:left w:val="nil"/>
              <w:bottom w:val="nil"/>
              <w:right w:val="nil"/>
              <w:tl2br w:val="nil"/>
              <w:tr2bl w:val="nil"/>
            </w:tcBorders>
            <w:vAlign w:val="bottom"/>
          </w:tcPr>
          <w:p w:rsidR="0018024C" w:rsidRPr="00C6642F" w:rsidRDefault="0018024C" w:rsidP="0018024C">
            <w:pPr>
              <w:keepNext/>
              <w:spacing w:after="1"/>
              <w:rPr>
                <w:b/>
                <w:sz w:val="20"/>
              </w:rPr>
            </w:pPr>
          </w:p>
        </w:tc>
        <w:tc>
          <w:tcPr>
            <w:tcW w:w="119" w:type="pct"/>
            <w:tcBorders>
              <w:top w:val="nil"/>
              <w:left w:val="nil"/>
              <w:bottom w:val="nil"/>
              <w:right w:val="nil"/>
              <w:tl2br w:val="nil"/>
              <w:tr2bl w:val="nil"/>
            </w:tcBorders>
            <w:vAlign w:val="bottom"/>
          </w:tcPr>
          <w:p w:rsidR="0018024C" w:rsidRPr="00C6642F" w:rsidRDefault="0018024C" w:rsidP="0018024C">
            <w:pPr>
              <w:keepNext/>
              <w:spacing w:after="1"/>
              <w:rPr>
                <w:b/>
                <w:sz w:val="20"/>
              </w:rPr>
            </w:pPr>
            <w:r w:rsidRPr="00C6642F">
              <w:rPr>
                <w:b/>
                <w:sz w:val="20"/>
              </w:rPr>
              <w:t>$</w:t>
            </w:r>
          </w:p>
        </w:tc>
        <w:tc>
          <w:tcPr>
            <w:tcW w:w="787" w:type="pct"/>
            <w:tcBorders>
              <w:top w:val="nil"/>
              <w:left w:val="nil"/>
              <w:bottom w:val="nil"/>
              <w:right w:val="nil"/>
              <w:tl2br w:val="nil"/>
              <w:tr2bl w:val="nil"/>
            </w:tcBorders>
            <w:vAlign w:val="bottom"/>
          </w:tcPr>
          <w:p w:rsidR="0018024C" w:rsidRPr="00C6642F" w:rsidRDefault="0018024C" w:rsidP="0018024C">
            <w:pPr>
              <w:keepNext/>
              <w:spacing w:after="1"/>
              <w:jc w:val="right"/>
              <w:rPr>
                <w:b/>
                <w:sz w:val="20"/>
              </w:rPr>
            </w:pPr>
            <w:r w:rsidRPr="00C6642F">
              <w:rPr>
                <w:b/>
                <w:sz w:val="20"/>
              </w:rPr>
              <w:t xml:space="preserve"> (300)</w:t>
            </w:r>
          </w:p>
        </w:tc>
        <w:tc>
          <w:tcPr>
            <w:tcW w:w="95" w:type="pct"/>
            <w:tcBorders>
              <w:top w:val="nil"/>
              <w:left w:val="nil"/>
              <w:bottom w:val="nil"/>
              <w:right w:val="nil"/>
              <w:tl2br w:val="nil"/>
              <w:tr2bl w:val="nil"/>
            </w:tcBorders>
            <w:vAlign w:val="bottom"/>
          </w:tcPr>
          <w:p w:rsidR="0018024C" w:rsidRPr="00C6642F" w:rsidRDefault="0018024C" w:rsidP="0018024C">
            <w:pPr>
              <w:keepNext/>
              <w:spacing w:after="1"/>
              <w:rPr>
                <w:b/>
                <w:sz w:val="20"/>
              </w:rPr>
            </w:pPr>
          </w:p>
        </w:tc>
        <w:tc>
          <w:tcPr>
            <w:tcW w:w="119" w:type="pct"/>
            <w:tcBorders>
              <w:top w:val="nil"/>
              <w:left w:val="nil"/>
              <w:bottom w:val="nil"/>
              <w:right w:val="nil"/>
              <w:tl2br w:val="nil"/>
              <w:tr2bl w:val="nil"/>
            </w:tcBorders>
            <w:vAlign w:val="bottom"/>
          </w:tcPr>
          <w:p w:rsidR="0018024C" w:rsidRPr="00C6642F" w:rsidRDefault="0018024C" w:rsidP="0018024C">
            <w:pPr>
              <w:keepNext/>
              <w:spacing w:after="1"/>
              <w:rPr>
                <w:b/>
                <w:sz w:val="20"/>
              </w:rPr>
            </w:pPr>
            <w:r w:rsidRPr="00C6642F">
              <w:rPr>
                <w:b/>
                <w:sz w:val="20"/>
              </w:rPr>
              <w:t>$</w:t>
            </w:r>
          </w:p>
        </w:tc>
        <w:tc>
          <w:tcPr>
            <w:tcW w:w="787" w:type="pct"/>
            <w:tcBorders>
              <w:top w:val="nil"/>
              <w:left w:val="nil"/>
              <w:bottom w:val="nil"/>
              <w:right w:val="nil"/>
              <w:tl2br w:val="nil"/>
              <w:tr2bl w:val="nil"/>
            </w:tcBorders>
            <w:vAlign w:val="bottom"/>
          </w:tcPr>
          <w:p w:rsidR="0018024C" w:rsidRPr="00C6642F" w:rsidRDefault="0018024C" w:rsidP="0018024C">
            <w:pPr>
              <w:keepNext/>
              <w:spacing w:after="1"/>
              <w:ind w:right="63"/>
              <w:jc w:val="right"/>
              <w:rPr>
                <w:b/>
                <w:sz w:val="20"/>
              </w:rPr>
            </w:pPr>
            <w:r w:rsidRPr="00C6642F">
              <w:rPr>
                <w:b/>
                <w:sz w:val="20"/>
              </w:rPr>
              <w:t xml:space="preserve"> 149</w:t>
            </w:r>
          </w:p>
        </w:tc>
      </w:tr>
      <w:tr w:rsidR="0018024C" w:rsidRPr="00C6642F" w:rsidTr="0018024C">
        <w:trPr>
          <w:trHeight w:hRule="exact" w:val="255"/>
        </w:trPr>
        <w:tc>
          <w:tcPr>
            <w:tcW w:w="1996"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Indefinite lived trade names (2)</w:t>
            </w:r>
          </w:p>
        </w:tc>
        <w:tc>
          <w:tcPr>
            <w:tcW w:w="9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jc w:val="center"/>
              <w:rPr>
                <w:b/>
                <w:sz w:val="20"/>
              </w:rPr>
            </w:pPr>
          </w:p>
        </w:tc>
        <w:tc>
          <w:tcPr>
            <w:tcW w:w="119"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after="1"/>
              <w:rPr>
                <w:b/>
                <w:sz w:val="20"/>
              </w:rPr>
            </w:pPr>
          </w:p>
        </w:tc>
        <w:tc>
          <w:tcPr>
            <w:tcW w:w="787"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after="1"/>
              <w:ind w:right="63"/>
              <w:jc w:val="right"/>
              <w:rPr>
                <w:b/>
                <w:sz w:val="20"/>
              </w:rPr>
            </w:pPr>
            <w:r w:rsidRPr="00C6642F">
              <w:rPr>
                <w:b/>
                <w:sz w:val="20"/>
              </w:rPr>
              <w:t xml:space="preserve"> 132</w:t>
            </w:r>
          </w:p>
        </w:tc>
        <w:tc>
          <w:tcPr>
            <w:tcW w:w="9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119"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after="1"/>
              <w:rPr>
                <w:b/>
                <w:sz w:val="20"/>
              </w:rPr>
            </w:pPr>
          </w:p>
        </w:tc>
        <w:tc>
          <w:tcPr>
            <w:tcW w:w="787"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after="1"/>
              <w:ind w:right="63"/>
              <w:jc w:val="right"/>
              <w:rPr>
                <w:b/>
                <w:sz w:val="20"/>
              </w:rPr>
            </w:pPr>
            <w:r w:rsidRPr="00C6642F">
              <w:rPr>
                <w:b/>
                <w:sz w:val="20"/>
              </w:rPr>
              <w:t xml:space="preserve"> -</w:t>
            </w:r>
          </w:p>
        </w:tc>
        <w:tc>
          <w:tcPr>
            <w:tcW w:w="9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b/>
                <w:sz w:val="20"/>
              </w:rPr>
            </w:pPr>
          </w:p>
        </w:tc>
        <w:tc>
          <w:tcPr>
            <w:tcW w:w="119"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after="1"/>
              <w:rPr>
                <w:b/>
                <w:sz w:val="20"/>
              </w:rPr>
            </w:pPr>
          </w:p>
        </w:tc>
        <w:tc>
          <w:tcPr>
            <w:tcW w:w="787"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spacing w:after="1"/>
              <w:ind w:right="63"/>
              <w:jc w:val="right"/>
              <w:rPr>
                <w:b/>
                <w:sz w:val="20"/>
              </w:rPr>
            </w:pPr>
            <w:r w:rsidRPr="00C6642F">
              <w:rPr>
                <w:b/>
                <w:sz w:val="20"/>
              </w:rPr>
              <w:t xml:space="preserve"> 132</w:t>
            </w:r>
          </w:p>
        </w:tc>
      </w:tr>
      <w:tr w:rsidR="0018024C" w:rsidRPr="00C6642F" w:rsidTr="0018024C">
        <w:trPr>
          <w:trHeight w:hRule="exact" w:val="255"/>
        </w:trPr>
        <w:tc>
          <w:tcPr>
            <w:tcW w:w="1996"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95" w:type="pct"/>
            <w:tcBorders>
              <w:top w:val="nil"/>
              <w:left w:val="nil"/>
              <w:bottom w:val="nil"/>
              <w:right w:val="nil"/>
              <w:tl2br w:val="nil"/>
              <w:tr2bl w:val="nil"/>
            </w:tcBorders>
            <w:vAlign w:val="bottom"/>
          </w:tcPr>
          <w:p w:rsidR="0018024C" w:rsidRPr="00C6642F" w:rsidRDefault="0018024C" w:rsidP="0018024C">
            <w:pPr>
              <w:keepNext/>
              <w:spacing w:after="1"/>
              <w:jc w:val="center"/>
              <w:rPr>
                <w:b/>
                <w:sz w:val="20"/>
              </w:rPr>
            </w:pPr>
          </w:p>
        </w:tc>
        <w:tc>
          <w:tcPr>
            <w:tcW w:w="119"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spacing w:after="1"/>
              <w:rPr>
                <w:b/>
                <w:sz w:val="20"/>
              </w:rPr>
            </w:pPr>
            <w:r w:rsidRPr="00C6642F">
              <w:rPr>
                <w:b/>
                <w:sz w:val="20"/>
              </w:rPr>
              <w:t>$</w:t>
            </w:r>
          </w:p>
        </w:tc>
        <w:tc>
          <w:tcPr>
            <w:tcW w:w="787"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spacing w:after="1"/>
              <w:ind w:right="63"/>
              <w:jc w:val="right"/>
              <w:rPr>
                <w:b/>
                <w:sz w:val="20"/>
              </w:rPr>
            </w:pPr>
            <w:r w:rsidRPr="00C6642F">
              <w:rPr>
                <w:b/>
                <w:sz w:val="20"/>
              </w:rPr>
              <w:t xml:space="preserve"> 581</w:t>
            </w:r>
          </w:p>
        </w:tc>
        <w:tc>
          <w:tcPr>
            <w:tcW w:w="95" w:type="pct"/>
            <w:tcBorders>
              <w:top w:val="nil"/>
              <w:left w:val="nil"/>
              <w:bottom w:val="nil"/>
              <w:right w:val="nil"/>
              <w:tl2br w:val="nil"/>
              <w:tr2bl w:val="nil"/>
            </w:tcBorders>
            <w:vAlign w:val="bottom"/>
          </w:tcPr>
          <w:p w:rsidR="0018024C" w:rsidRPr="00C6642F" w:rsidRDefault="0018024C" w:rsidP="0018024C">
            <w:pPr>
              <w:keepNext/>
              <w:spacing w:after="1"/>
              <w:rPr>
                <w:b/>
                <w:sz w:val="20"/>
              </w:rPr>
            </w:pPr>
          </w:p>
        </w:tc>
        <w:tc>
          <w:tcPr>
            <w:tcW w:w="119"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spacing w:after="1"/>
              <w:rPr>
                <w:b/>
                <w:sz w:val="20"/>
              </w:rPr>
            </w:pPr>
            <w:r w:rsidRPr="00C6642F">
              <w:rPr>
                <w:b/>
                <w:sz w:val="20"/>
              </w:rPr>
              <w:t>$</w:t>
            </w:r>
          </w:p>
        </w:tc>
        <w:tc>
          <w:tcPr>
            <w:tcW w:w="787"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spacing w:after="1"/>
              <w:jc w:val="right"/>
              <w:rPr>
                <w:b/>
                <w:sz w:val="20"/>
              </w:rPr>
            </w:pPr>
            <w:r w:rsidRPr="00C6642F">
              <w:rPr>
                <w:b/>
                <w:sz w:val="20"/>
              </w:rPr>
              <w:t xml:space="preserve"> (300)</w:t>
            </w:r>
          </w:p>
        </w:tc>
        <w:tc>
          <w:tcPr>
            <w:tcW w:w="95" w:type="pct"/>
            <w:tcBorders>
              <w:top w:val="nil"/>
              <w:left w:val="nil"/>
              <w:bottom w:val="nil"/>
              <w:right w:val="nil"/>
              <w:tl2br w:val="nil"/>
              <w:tr2bl w:val="nil"/>
            </w:tcBorders>
            <w:vAlign w:val="bottom"/>
          </w:tcPr>
          <w:p w:rsidR="0018024C" w:rsidRPr="00C6642F" w:rsidRDefault="0018024C" w:rsidP="0018024C">
            <w:pPr>
              <w:keepNext/>
              <w:spacing w:after="1"/>
              <w:rPr>
                <w:b/>
                <w:sz w:val="20"/>
              </w:rPr>
            </w:pPr>
          </w:p>
        </w:tc>
        <w:tc>
          <w:tcPr>
            <w:tcW w:w="119"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spacing w:after="1"/>
              <w:rPr>
                <w:b/>
                <w:sz w:val="20"/>
              </w:rPr>
            </w:pPr>
            <w:r w:rsidRPr="00C6642F">
              <w:rPr>
                <w:b/>
                <w:sz w:val="20"/>
              </w:rPr>
              <w:t>$</w:t>
            </w:r>
          </w:p>
        </w:tc>
        <w:tc>
          <w:tcPr>
            <w:tcW w:w="787"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spacing w:after="1"/>
              <w:ind w:right="63"/>
              <w:jc w:val="right"/>
              <w:rPr>
                <w:b/>
                <w:sz w:val="20"/>
              </w:rPr>
            </w:pPr>
            <w:r w:rsidRPr="00C6642F">
              <w:rPr>
                <w:b/>
                <w:sz w:val="20"/>
              </w:rPr>
              <w:t xml:space="preserve"> 281</w:t>
            </w:r>
          </w:p>
        </w:tc>
      </w:tr>
      <w:tr w:rsidR="0018024C" w:rsidRPr="00C6642F" w:rsidTr="0018024C">
        <w:trPr>
          <w:trHeight w:hRule="exact" w:val="255"/>
        </w:trPr>
        <w:tc>
          <w:tcPr>
            <w:tcW w:w="1996"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9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119" w:type="pct"/>
            <w:tcBorders>
              <w:top w:val="doub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787" w:type="pct"/>
            <w:tcBorders>
              <w:top w:val="doub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9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119" w:type="pct"/>
            <w:tcBorders>
              <w:top w:val="doub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787" w:type="pct"/>
            <w:tcBorders>
              <w:top w:val="doub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9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119" w:type="pct"/>
            <w:tcBorders>
              <w:top w:val="doub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787" w:type="pct"/>
            <w:tcBorders>
              <w:top w:val="double" w:sz="0" w:space="0" w:color="000000"/>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r>
      <w:tr w:rsidR="0018024C" w:rsidRPr="00C6642F" w:rsidTr="0018024C">
        <w:trPr>
          <w:trHeight w:hRule="exact" w:val="255"/>
        </w:trPr>
        <w:tc>
          <w:tcPr>
            <w:tcW w:w="1996" w:type="pct"/>
            <w:tcBorders>
              <w:top w:val="nil"/>
              <w:left w:val="nil"/>
              <w:bottom w:val="nil"/>
              <w:right w:val="nil"/>
              <w:tl2br w:val="nil"/>
              <w:tr2bl w:val="nil"/>
            </w:tcBorders>
            <w:vAlign w:val="bottom"/>
          </w:tcPr>
          <w:p w:rsidR="0018024C" w:rsidRPr="00C6642F" w:rsidRDefault="0018024C" w:rsidP="0018024C">
            <w:pPr>
              <w:keepNext/>
              <w:spacing w:after="1"/>
              <w:rPr>
                <w:b/>
                <w:sz w:val="20"/>
              </w:rPr>
            </w:pPr>
            <w:r w:rsidRPr="00C6642F">
              <w:rPr>
                <w:b/>
                <w:sz w:val="20"/>
              </w:rPr>
              <w:t>December 31, 2018</w:t>
            </w:r>
          </w:p>
        </w:tc>
        <w:tc>
          <w:tcPr>
            <w:tcW w:w="95"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119"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787"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95"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119"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787"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95"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119"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787"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r>
      <w:tr w:rsidR="0018024C" w:rsidRPr="00C6642F" w:rsidTr="0018024C">
        <w:trPr>
          <w:trHeight w:hRule="exact" w:val="255"/>
        </w:trPr>
        <w:tc>
          <w:tcPr>
            <w:tcW w:w="1996"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Customer base (1)</w:t>
            </w:r>
          </w:p>
        </w:tc>
        <w:tc>
          <w:tcPr>
            <w:tcW w:w="9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jc w:val="center"/>
              <w:rPr>
                <w:sz w:val="20"/>
              </w:rPr>
            </w:pPr>
          </w:p>
        </w:tc>
        <w:tc>
          <w:tcPr>
            <w:tcW w:w="119"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w:t>
            </w:r>
          </w:p>
        </w:tc>
        <w:tc>
          <w:tcPr>
            <w:tcW w:w="787"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ind w:right="65"/>
              <w:jc w:val="right"/>
              <w:rPr>
                <w:sz w:val="20"/>
              </w:rPr>
            </w:pPr>
            <w:r w:rsidRPr="00C6642F">
              <w:rPr>
                <w:sz w:val="20"/>
              </w:rPr>
              <w:t xml:space="preserve"> 661</w:t>
            </w:r>
          </w:p>
        </w:tc>
        <w:tc>
          <w:tcPr>
            <w:tcW w:w="9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119"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w:t>
            </w:r>
          </w:p>
        </w:tc>
        <w:tc>
          <w:tcPr>
            <w:tcW w:w="787"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ind w:right="3"/>
              <w:jc w:val="right"/>
              <w:rPr>
                <w:sz w:val="20"/>
              </w:rPr>
            </w:pPr>
            <w:r w:rsidRPr="00C6642F">
              <w:rPr>
                <w:sz w:val="20"/>
              </w:rPr>
              <w:t xml:space="preserve"> (471)</w:t>
            </w:r>
          </w:p>
        </w:tc>
        <w:tc>
          <w:tcPr>
            <w:tcW w:w="9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119"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w:t>
            </w:r>
          </w:p>
        </w:tc>
        <w:tc>
          <w:tcPr>
            <w:tcW w:w="787"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ind w:right="65"/>
              <w:jc w:val="right"/>
              <w:rPr>
                <w:sz w:val="20"/>
              </w:rPr>
            </w:pPr>
            <w:r w:rsidRPr="00C6642F">
              <w:rPr>
                <w:sz w:val="20"/>
              </w:rPr>
              <w:t xml:space="preserve"> 190</w:t>
            </w:r>
          </w:p>
        </w:tc>
      </w:tr>
      <w:tr w:rsidR="0018024C" w:rsidRPr="00C6642F" w:rsidTr="0018024C">
        <w:trPr>
          <w:trHeight w:hRule="exact" w:val="255"/>
        </w:trPr>
        <w:tc>
          <w:tcPr>
            <w:tcW w:w="1996" w:type="pct"/>
            <w:tcBorders>
              <w:top w:val="nil"/>
              <w:left w:val="nil"/>
              <w:bottom w:val="nil"/>
              <w:right w:val="nil"/>
              <w:tl2br w:val="nil"/>
              <w:tr2bl w:val="nil"/>
            </w:tcBorders>
            <w:vAlign w:val="bottom"/>
          </w:tcPr>
          <w:p w:rsidR="0018024C" w:rsidRPr="00C6642F" w:rsidRDefault="0018024C" w:rsidP="0018024C">
            <w:pPr>
              <w:keepNext/>
              <w:spacing w:after="1"/>
              <w:rPr>
                <w:sz w:val="20"/>
              </w:rPr>
            </w:pPr>
            <w:r w:rsidRPr="00C6642F">
              <w:rPr>
                <w:sz w:val="20"/>
              </w:rPr>
              <w:t>Indefinite lived trade names (2)</w:t>
            </w:r>
          </w:p>
        </w:tc>
        <w:tc>
          <w:tcPr>
            <w:tcW w:w="95" w:type="pct"/>
            <w:tcBorders>
              <w:top w:val="nil"/>
              <w:left w:val="nil"/>
              <w:bottom w:val="nil"/>
              <w:right w:val="nil"/>
              <w:tl2br w:val="nil"/>
              <w:tr2bl w:val="nil"/>
            </w:tcBorders>
            <w:vAlign w:val="bottom"/>
          </w:tcPr>
          <w:p w:rsidR="0018024C" w:rsidRPr="00C6642F" w:rsidRDefault="0018024C" w:rsidP="0018024C">
            <w:pPr>
              <w:keepNext/>
              <w:spacing w:after="1"/>
              <w:jc w:val="center"/>
              <w:rPr>
                <w:sz w:val="20"/>
              </w:rPr>
            </w:pPr>
          </w:p>
        </w:tc>
        <w:tc>
          <w:tcPr>
            <w:tcW w:w="119"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rPr>
                <w:sz w:val="20"/>
              </w:rPr>
            </w:pPr>
          </w:p>
        </w:tc>
        <w:tc>
          <w:tcPr>
            <w:tcW w:w="787"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ind w:right="65"/>
              <w:jc w:val="right"/>
              <w:rPr>
                <w:sz w:val="20"/>
              </w:rPr>
            </w:pPr>
            <w:r w:rsidRPr="00C6642F">
              <w:rPr>
                <w:sz w:val="20"/>
              </w:rPr>
              <w:t xml:space="preserve"> 132</w:t>
            </w:r>
          </w:p>
        </w:tc>
        <w:tc>
          <w:tcPr>
            <w:tcW w:w="95"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119"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rPr>
                <w:sz w:val="20"/>
              </w:rPr>
            </w:pPr>
          </w:p>
        </w:tc>
        <w:tc>
          <w:tcPr>
            <w:tcW w:w="787"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ind w:right="63"/>
              <w:jc w:val="right"/>
              <w:rPr>
                <w:b/>
                <w:sz w:val="20"/>
              </w:rPr>
            </w:pPr>
            <w:r w:rsidRPr="00C6642F">
              <w:rPr>
                <w:b/>
                <w:sz w:val="20"/>
              </w:rPr>
              <w:t xml:space="preserve"> -</w:t>
            </w:r>
          </w:p>
        </w:tc>
        <w:tc>
          <w:tcPr>
            <w:tcW w:w="95" w:type="pct"/>
            <w:tcBorders>
              <w:top w:val="nil"/>
              <w:left w:val="nil"/>
              <w:bottom w:val="nil"/>
              <w:right w:val="nil"/>
              <w:tl2br w:val="nil"/>
              <w:tr2bl w:val="nil"/>
            </w:tcBorders>
            <w:vAlign w:val="bottom"/>
          </w:tcPr>
          <w:p w:rsidR="0018024C" w:rsidRPr="00C6642F" w:rsidRDefault="0018024C" w:rsidP="0018024C">
            <w:pPr>
              <w:keepNext/>
              <w:spacing w:after="1"/>
              <w:rPr>
                <w:sz w:val="20"/>
              </w:rPr>
            </w:pPr>
          </w:p>
        </w:tc>
        <w:tc>
          <w:tcPr>
            <w:tcW w:w="119"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rPr>
                <w:sz w:val="20"/>
              </w:rPr>
            </w:pPr>
          </w:p>
        </w:tc>
        <w:tc>
          <w:tcPr>
            <w:tcW w:w="787"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ind w:right="65"/>
              <w:jc w:val="right"/>
              <w:rPr>
                <w:sz w:val="20"/>
              </w:rPr>
            </w:pPr>
            <w:r w:rsidRPr="00C6642F">
              <w:rPr>
                <w:sz w:val="20"/>
              </w:rPr>
              <w:t xml:space="preserve"> 132</w:t>
            </w:r>
          </w:p>
        </w:tc>
      </w:tr>
      <w:tr w:rsidR="0018024C" w:rsidRPr="00C6642F" w:rsidTr="0018024C">
        <w:trPr>
          <w:trHeight w:hRule="exact" w:val="255"/>
        </w:trPr>
        <w:tc>
          <w:tcPr>
            <w:tcW w:w="1996"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9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jc w:val="center"/>
              <w:rPr>
                <w:sz w:val="2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w:t>
            </w:r>
          </w:p>
        </w:tc>
        <w:tc>
          <w:tcPr>
            <w:tcW w:w="787"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ind w:right="65"/>
              <w:jc w:val="right"/>
              <w:rPr>
                <w:sz w:val="20"/>
              </w:rPr>
            </w:pPr>
            <w:r w:rsidRPr="00C6642F">
              <w:rPr>
                <w:sz w:val="20"/>
              </w:rPr>
              <w:t xml:space="preserve"> 793</w:t>
            </w:r>
          </w:p>
        </w:tc>
        <w:tc>
          <w:tcPr>
            <w:tcW w:w="9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w:t>
            </w:r>
          </w:p>
        </w:tc>
        <w:tc>
          <w:tcPr>
            <w:tcW w:w="787"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ind w:right="3"/>
              <w:jc w:val="right"/>
              <w:rPr>
                <w:sz w:val="20"/>
              </w:rPr>
            </w:pPr>
            <w:r w:rsidRPr="00C6642F">
              <w:rPr>
                <w:sz w:val="20"/>
              </w:rPr>
              <w:t xml:space="preserve"> (471)</w:t>
            </w:r>
          </w:p>
        </w:tc>
        <w:tc>
          <w:tcPr>
            <w:tcW w:w="9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sz w:val="2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rPr>
                <w:sz w:val="20"/>
              </w:rPr>
            </w:pPr>
            <w:r w:rsidRPr="00C6642F">
              <w:rPr>
                <w:sz w:val="20"/>
              </w:rPr>
              <w:t>$</w:t>
            </w:r>
          </w:p>
        </w:tc>
        <w:tc>
          <w:tcPr>
            <w:tcW w:w="787"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ind w:right="65"/>
              <w:jc w:val="right"/>
              <w:rPr>
                <w:sz w:val="20"/>
              </w:rPr>
            </w:pPr>
            <w:r w:rsidRPr="00C6642F">
              <w:rPr>
                <w:sz w:val="20"/>
              </w:rPr>
              <w:t xml:space="preserve"> 322</w:t>
            </w:r>
          </w:p>
        </w:tc>
      </w:tr>
    </w:tbl>
    <w:p w:rsidR="000121CD" w:rsidRPr="00C6642F" w:rsidRDefault="00590862" w:rsidP="00802321">
      <w:pPr>
        <w:pStyle w:val="rfn"/>
        <w:keepNext/>
        <w:pBdr>
          <w:bottom w:val="single" w:sz="4" w:space="1" w:color="auto"/>
        </w:pBdr>
      </w:pPr>
      <w:r w:rsidRPr="00C6642F">
        <w:t> </w:t>
      </w:r>
    </w:p>
    <w:p w:rsidR="000121CD" w:rsidRPr="00C6642F" w:rsidRDefault="00590862">
      <w:pPr>
        <w:pStyle w:val="NormalWeb"/>
        <w:keepNext/>
        <w:numPr>
          <w:ilvl w:val="0"/>
          <w:numId w:val="11"/>
        </w:numPr>
        <w:spacing w:before="0" w:beforeAutospacing="0" w:after="0" w:afterAutospacing="0"/>
        <w:rPr>
          <w:sz w:val="20"/>
          <w:szCs w:val="20"/>
        </w:rPr>
      </w:pPr>
      <w:r w:rsidRPr="00C6642F">
        <w:rPr>
          <w:sz w:val="20"/>
          <w:szCs w:val="20"/>
        </w:rPr>
        <w:t>Net of accumulated impairment losses of $</w:t>
      </w:r>
      <w:r w:rsidR="00DD7C39" w:rsidRPr="00C6642F">
        <w:rPr>
          <w:sz w:val="20"/>
          <w:szCs w:val="20"/>
        </w:rPr>
        <w:t>4</w:t>
      </w:r>
      <w:r w:rsidRPr="00C6642F">
        <w:rPr>
          <w:sz w:val="20"/>
          <w:szCs w:val="20"/>
        </w:rPr>
        <w:t>2 million as of December 31, 201</w:t>
      </w:r>
      <w:r w:rsidR="00E156C7" w:rsidRPr="00C6642F">
        <w:rPr>
          <w:sz w:val="20"/>
          <w:szCs w:val="20"/>
        </w:rPr>
        <w:t>9</w:t>
      </w:r>
      <w:r w:rsidRPr="00C6642F">
        <w:rPr>
          <w:sz w:val="20"/>
          <w:szCs w:val="20"/>
        </w:rPr>
        <w:t xml:space="preserve"> and 201</w:t>
      </w:r>
      <w:r w:rsidR="00E156C7" w:rsidRPr="00C6642F">
        <w:rPr>
          <w:sz w:val="20"/>
          <w:szCs w:val="20"/>
        </w:rPr>
        <w:t>8</w:t>
      </w:r>
      <w:r w:rsidRPr="00C6642F">
        <w:rPr>
          <w:sz w:val="20"/>
          <w:szCs w:val="20"/>
        </w:rPr>
        <w:t xml:space="preserve">. </w:t>
      </w:r>
      <w:r w:rsidR="00E6298E" w:rsidRPr="00C6642F">
        <w:rPr>
          <w:sz w:val="20"/>
          <w:szCs w:val="20"/>
        </w:rPr>
        <w:t>In the year ended December 31, 2019, a customer base intangible with an original value of $</w:t>
      </w:r>
      <w:r w:rsidR="003A4CE4" w:rsidRPr="00C6642F">
        <w:rPr>
          <w:sz w:val="20"/>
          <w:szCs w:val="20"/>
        </w:rPr>
        <w:t>212 million was fully amortized.  These amounts were removed from the gross values and accumulated amortization presented here.</w:t>
      </w:r>
    </w:p>
    <w:p w:rsidR="000121CD" w:rsidRPr="00C6642F" w:rsidRDefault="00590862">
      <w:pPr>
        <w:pStyle w:val="NormalWeb"/>
        <w:keepNext/>
        <w:numPr>
          <w:ilvl w:val="0"/>
          <w:numId w:val="11"/>
        </w:numPr>
        <w:spacing w:before="0" w:beforeAutospacing="0" w:after="0" w:afterAutospacing="0"/>
        <w:rPr>
          <w:sz w:val="20"/>
          <w:szCs w:val="20"/>
        </w:rPr>
      </w:pPr>
      <w:r w:rsidRPr="00C6642F">
        <w:rPr>
          <w:sz w:val="20"/>
          <w:szCs w:val="20"/>
        </w:rPr>
        <w:t>Net of accumulated impairment losses of $204 million as of December 31, 201</w:t>
      </w:r>
      <w:r w:rsidR="00E156C7" w:rsidRPr="00C6642F">
        <w:rPr>
          <w:sz w:val="20"/>
          <w:szCs w:val="20"/>
        </w:rPr>
        <w:t>9</w:t>
      </w:r>
      <w:r w:rsidRPr="00C6642F">
        <w:rPr>
          <w:sz w:val="20"/>
          <w:szCs w:val="20"/>
        </w:rPr>
        <w:t xml:space="preserve"> and 201</w:t>
      </w:r>
      <w:r w:rsidR="00E156C7" w:rsidRPr="00C6642F">
        <w:rPr>
          <w:sz w:val="20"/>
          <w:szCs w:val="20"/>
        </w:rPr>
        <w:t>8</w:t>
      </w:r>
      <w:r w:rsidRPr="00C6642F">
        <w:rPr>
          <w:sz w:val="20"/>
          <w:szCs w:val="20"/>
        </w:rPr>
        <w:t>.</w:t>
      </w:r>
    </w:p>
    <w:p w:rsidR="000121CD" w:rsidRPr="00C6642F" w:rsidRDefault="00590862">
      <w:pPr>
        <w:pStyle w:val="NormalWeb"/>
        <w:keepNext/>
        <w:spacing w:before="270" w:beforeAutospacing="0" w:after="0" w:afterAutospacing="0"/>
      </w:pPr>
      <w:r w:rsidRPr="00C6642F">
        <w:rPr>
          <w:b/>
          <w:bCs/>
          <w:sz w:val="20"/>
          <w:szCs w:val="20"/>
          <w:u w:val="single"/>
        </w:rPr>
        <w:t xml:space="preserve">Amortization of Intangible Assets </w:t>
      </w:r>
    </w:p>
    <w:p w:rsidR="000121CD" w:rsidRPr="00C6642F" w:rsidRDefault="00590862">
      <w:pPr>
        <w:pStyle w:val="NormalWeb"/>
        <w:keepNext/>
        <w:spacing w:before="90" w:beforeAutospacing="0" w:after="0" w:afterAutospacing="0"/>
      </w:pPr>
      <w:r w:rsidRPr="00C6642F">
        <w:rPr>
          <w:sz w:val="20"/>
          <w:szCs w:val="20"/>
        </w:rPr>
        <w:t>Total amortization of intangible assets for each of the years ending December 31, 20</w:t>
      </w:r>
      <w:r w:rsidR="00E156C7" w:rsidRPr="00C6642F">
        <w:rPr>
          <w:sz w:val="20"/>
          <w:szCs w:val="20"/>
        </w:rPr>
        <w:t>20</w:t>
      </w:r>
      <w:r w:rsidRPr="00C6642F">
        <w:rPr>
          <w:sz w:val="20"/>
          <w:szCs w:val="20"/>
        </w:rPr>
        <w:t xml:space="preserve"> to 202</w:t>
      </w:r>
      <w:r w:rsidR="00E156C7" w:rsidRPr="00C6642F">
        <w:rPr>
          <w:sz w:val="20"/>
          <w:szCs w:val="20"/>
        </w:rPr>
        <w:t>4</w:t>
      </w:r>
      <w:r w:rsidRPr="00C6642F">
        <w:rPr>
          <w:sz w:val="20"/>
          <w:szCs w:val="20"/>
        </w:rPr>
        <w:t xml:space="preserve"> is currently estimated as follows (in millions): </w:t>
      </w:r>
    </w:p>
    <w:p w:rsidR="000121CD" w:rsidRPr="00C6642F" w:rsidRDefault="00590862">
      <w:pPr>
        <w:pStyle w:val="NormalWeb"/>
        <w:keepNext/>
        <w:spacing w:before="0" w:beforeAutospacing="0" w:after="0" w:afterAutospacing="0"/>
        <w:rPr>
          <w:sz w:val="18"/>
          <w:szCs w:val="18"/>
        </w:rPr>
      </w:pPr>
      <w:r w:rsidRPr="00C6642F">
        <w:rPr>
          <w:sz w:val="18"/>
          <w:szCs w:val="18"/>
        </w:rPr>
        <w:t> </w:t>
      </w:r>
    </w:p>
    <w:tbl>
      <w:tblPr>
        <w:tblW w:w="5000" w:type="pct"/>
        <w:tblCellMar>
          <w:left w:w="0" w:type="dxa"/>
          <w:right w:w="0" w:type="dxa"/>
        </w:tblCellMar>
        <w:tblLook w:val="04A0" w:firstRow="1" w:lastRow="0" w:firstColumn="1" w:lastColumn="0" w:noHBand="0" w:noVBand="1"/>
      </w:tblPr>
      <w:tblGrid>
        <w:gridCol w:w="4499"/>
        <w:gridCol w:w="270"/>
        <w:gridCol w:w="1711"/>
        <w:gridCol w:w="1616"/>
        <w:gridCol w:w="322"/>
        <w:gridCol w:w="2125"/>
        <w:gridCol w:w="257"/>
      </w:tblGrid>
      <w:tr w:rsidR="0018024C" w:rsidRPr="00C6642F" w:rsidTr="0018024C">
        <w:trPr>
          <w:trHeight w:hRule="exact" w:val="20"/>
        </w:trPr>
        <w:tc>
          <w:tcPr>
            <w:tcW w:w="2083" w:type="pct"/>
            <w:tcBorders>
              <w:top w:val="nil"/>
              <w:left w:val="nil"/>
              <w:bottom w:val="nil"/>
              <w:right w:val="nil"/>
            </w:tcBorders>
            <w:shd w:val="clear" w:color="auto" w:fill="auto"/>
            <w:vAlign w:val="bottom"/>
          </w:tcPr>
          <w:p w:rsidR="0018024C" w:rsidRPr="00C6642F" w:rsidRDefault="0018024C" w:rsidP="0018024C">
            <w:pPr>
              <w:keepNext/>
              <w:rPr>
                <w:sz w:val="2"/>
              </w:rPr>
            </w:pPr>
          </w:p>
        </w:tc>
        <w:tc>
          <w:tcPr>
            <w:tcW w:w="125" w:type="pct"/>
            <w:tcBorders>
              <w:top w:val="nil"/>
              <w:left w:val="nil"/>
              <w:bottom w:val="nil"/>
              <w:right w:val="nil"/>
            </w:tcBorders>
            <w:shd w:val="clear" w:color="auto" w:fill="auto"/>
            <w:vAlign w:val="bottom"/>
          </w:tcPr>
          <w:p w:rsidR="0018024C" w:rsidRPr="00C6642F" w:rsidRDefault="0018024C" w:rsidP="0018024C">
            <w:pPr>
              <w:keepNext/>
              <w:rPr>
                <w:sz w:val="2"/>
              </w:rPr>
            </w:pPr>
          </w:p>
        </w:tc>
        <w:tc>
          <w:tcPr>
            <w:tcW w:w="792" w:type="pct"/>
            <w:tcBorders>
              <w:top w:val="nil"/>
              <w:left w:val="nil"/>
              <w:bottom w:val="nil"/>
              <w:right w:val="nil"/>
            </w:tcBorders>
            <w:shd w:val="clear" w:color="auto" w:fill="auto"/>
            <w:vAlign w:val="bottom"/>
          </w:tcPr>
          <w:p w:rsidR="0018024C" w:rsidRPr="00C6642F" w:rsidRDefault="0018024C" w:rsidP="0018024C">
            <w:pPr>
              <w:keepNext/>
              <w:rPr>
                <w:sz w:val="2"/>
              </w:rPr>
            </w:pPr>
          </w:p>
        </w:tc>
        <w:tc>
          <w:tcPr>
            <w:tcW w:w="748" w:type="pct"/>
            <w:tcBorders>
              <w:top w:val="nil"/>
              <w:left w:val="nil"/>
              <w:bottom w:val="nil"/>
              <w:right w:val="nil"/>
            </w:tcBorders>
            <w:shd w:val="clear" w:color="auto" w:fill="auto"/>
            <w:vAlign w:val="bottom"/>
          </w:tcPr>
          <w:p w:rsidR="0018024C" w:rsidRPr="00C6642F" w:rsidRDefault="0018024C" w:rsidP="0018024C">
            <w:pPr>
              <w:keepNext/>
              <w:rPr>
                <w:sz w:val="2"/>
              </w:rPr>
            </w:pPr>
          </w:p>
        </w:tc>
        <w:tc>
          <w:tcPr>
            <w:tcW w:w="149" w:type="pct"/>
            <w:tcBorders>
              <w:top w:val="nil"/>
              <w:left w:val="nil"/>
              <w:bottom w:val="nil"/>
              <w:right w:val="nil"/>
            </w:tcBorders>
            <w:shd w:val="clear" w:color="auto" w:fill="auto"/>
            <w:vAlign w:val="bottom"/>
          </w:tcPr>
          <w:p w:rsidR="0018024C" w:rsidRPr="00C6642F" w:rsidRDefault="0018024C" w:rsidP="0018024C">
            <w:pPr>
              <w:keepNext/>
              <w:rPr>
                <w:sz w:val="2"/>
              </w:rPr>
            </w:pPr>
          </w:p>
        </w:tc>
        <w:tc>
          <w:tcPr>
            <w:tcW w:w="984" w:type="pct"/>
            <w:tcBorders>
              <w:top w:val="nil"/>
              <w:left w:val="nil"/>
              <w:bottom w:val="nil"/>
              <w:right w:val="nil"/>
            </w:tcBorders>
            <w:shd w:val="clear" w:color="auto" w:fill="auto"/>
            <w:vAlign w:val="bottom"/>
          </w:tcPr>
          <w:p w:rsidR="0018024C" w:rsidRPr="00C6642F" w:rsidRDefault="0018024C" w:rsidP="0018024C">
            <w:pPr>
              <w:keepNext/>
              <w:rPr>
                <w:sz w:val="2"/>
              </w:rPr>
            </w:pPr>
          </w:p>
        </w:tc>
        <w:tc>
          <w:tcPr>
            <w:tcW w:w="119" w:type="pct"/>
            <w:tcBorders>
              <w:top w:val="nil"/>
              <w:left w:val="nil"/>
              <w:bottom w:val="nil"/>
              <w:right w:val="nil"/>
            </w:tcBorders>
            <w:shd w:val="clear" w:color="auto" w:fill="auto"/>
            <w:vAlign w:val="bottom"/>
          </w:tcPr>
          <w:p w:rsidR="0018024C" w:rsidRPr="00C6642F" w:rsidRDefault="0018024C" w:rsidP="0018024C">
            <w:pPr>
              <w:keepNext/>
              <w:rPr>
                <w:sz w:val="2"/>
              </w:rPr>
            </w:pPr>
          </w:p>
        </w:tc>
      </w:tr>
      <w:tr w:rsidR="0018024C" w:rsidRPr="00C6642F" w:rsidTr="0018024C">
        <w:trPr>
          <w:trHeight w:hRule="exact" w:val="255"/>
        </w:trPr>
        <w:tc>
          <w:tcPr>
            <w:tcW w:w="2083" w:type="pct"/>
            <w:tcBorders>
              <w:top w:val="nil"/>
              <w:left w:val="nil"/>
              <w:bottom w:val="nil"/>
              <w:right w:val="nil"/>
              <w:tl2br w:val="nil"/>
              <w:tr2bl w:val="nil"/>
            </w:tcBorders>
            <w:shd w:val="clear" w:color="auto" w:fill="CCEEFF"/>
            <w:vAlign w:val="bottom"/>
          </w:tcPr>
          <w:p w:rsidR="0018024C" w:rsidRPr="00C6642F" w:rsidRDefault="0018024C" w:rsidP="0018024C">
            <w:pPr>
              <w:keepNext/>
              <w:jc w:val="center"/>
              <w:rPr>
                <w:sz w:val="20"/>
              </w:rPr>
            </w:pPr>
            <w:r w:rsidRPr="00C6642F">
              <w:rPr>
                <w:sz w:val="20"/>
              </w:rPr>
              <w:t>2020</w:t>
            </w:r>
          </w:p>
        </w:tc>
        <w:tc>
          <w:tcPr>
            <w:tcW w:w="125"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r w:rsidRPr="00C6642F">
              <w:rPr>
                <w:sz w:val="20"/>
              </w:rPr>
              <w:t>$</w:t>
            </w:r>
          </w:p>
        </w:tc>
        <w:tc>
          <w:tcPr>
            <w:tcW w:w="792" w:type="pct"/>
            <w:tcBorders>
              <w:top w:val="nil"/>
              <w:left w:val="nil"/>
              <w:bottom w:val="nil"/>
              <w:right w:val="nil"/>
              <w:tl2br w:val="nil"/>
              <w:tr2bl w:val="nil"/>
            </w:tcBorders>
            <w:shd w:val="clear" w:color="auto" w:fill="CCEEFF"/>
            <w:vAlign w:val="bottom"/>
          </w:tcPr>
          <w:p w:rsidR="0018024C" w:rsidRPr="00C6642F" w:rsidRDefault="0018024C" w:rsidP="0018024C">
            <w:pPr>
              <w:keepNext/>
              <w:ind w:right="65"/>
              <w:jc w:val="right"/>
              <w:rPr>
                <w:sz w:val="20"/>
              </w:rPr>
            </w:pPr>
            <w:r w:rsidRPr="00C6642F">
              <w:rPr>
                <w:sz w:val="20"/>
              </w:rPr>
              <w:t xml:space="preserve"> 27</w:t>
            </w:r>
          </w:p>
        </w:tc>
        <w:tc>
          <w:tcPr>
            <w:tcW w:w="748"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149"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984"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119"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r>
      <w:tr w:rsidR="0018024C" w:rsidRPr="00C6642F" w:rsidTr="0018024C">
        <w:trPr>
          <w:trHeight w:hRule="exact" w:val="255"/>
        </w:trPr>
        <w:tc>
          <w:tcPr>
            <w:tcW w:w="2083" w:type="pct"/>
            <w:tcBorders>
              <w:top w:val="nil"/>
              <w:left w:val="nil"/>
              <w:bottom w:val="nil"/>
              <w:right w:val="nil"/>
              <w:tl2br w:val="nil"/>
              <w:tr2bl w:val="nil"/>
            </w:tcBorders>
            <w:vAlign w:val="bottom"/>
          </w:tcPr>
          <w:p w:rsidR="0018024C" w:rsidRPr="00C6642F" w:rsidRDefault="0018024C" w:rsidP="0018024C">
            <w:pPr>
              <w:keepNext/>
              <w:jc w:val="center"/>
              <w:rPr>
                <w:sz w:val="20"/>
              </w:rPr>
            </w:pPr>
            <w:r w:rsidRPr="00C6642F">
              <w:rPr>
                <w:sz w:val="20"/>
              </w:rPr>
              <w:t>2021</w:t>
            </w:r>
          </w:p>
        </w:tc>
        <w:tc>
          <w:tcPr>
            <w:tcW w:w="125" w:type="pct"/>
            <w:tcBorders>
              <w:top w:val="nil"/>
              <w:left w:val="nil"/>
              <w:bottom w:val="nil"/>
              <w:right w:val="nil"/>
              <w:tl2br w:val="nil"/>
              <w:tr2bl w:val="nil"/>
            </w:tcBorders>
            <w:vAlign w:val="bottom"/>
          </w:tcPr>
          <w:p w:rsidR="0018024C" w:rsidRPr="00C6642F" w:rsidRDefault="0018024C" w:rsidP="0018024C">
            <w:pPr>
              <w:keepNext/>
              <w:rPr>
                <w:sz w:val="20"/>
              </w:rPr>
            </w:pPr>
          </w:p>
        </w:tc>
        <w:tc>
          <w:tcPr>
            <w:tcW w:w="792" w:type="pct"/>
            <w:tcBorders>
              <w:top w:val="nil"/>
              <w:left w:val="nil"/>
              <w:bottom w:val="nil"/>
              <w:right w:val="nil"/>
              <w:tl2br w:val="nil"/>
              <w:tr2bl w:val="nil"/>
            </w:tcBorders>
            <w:vAlign w:val="bottom"/>
          </w:tcPr>
          <w:p w:rsidR="0018024C" w:rsidRPr="00C6642F" w:rsidRDefault="0018024C" w:rsidP="0018024C">
            <w:pPr>
              <w:keepNext/>
              <w:ind w:right="65"/>
              <w:jc w:val="right"/>
              <w:rPr>
                <w:sz w:val="20"/>
              </w:rPr>
            </w:pPr>
            <w:r w:rsidRPr="00C6642F">
              <w:rPr>
                <w:sz w:val="20"/>
              </w:rPr>
              <w:t xml:space="preserve"> 24</w:t>
            </w:r>
          </w:p>
        </w:tc>
        <w:tc>
          <w:tcPr>
            <w:tcW w:w="748" w:type="pct"/>
            <w:tcBorders>
              <w:top w:val="nil"/>
              <w:left w:val="nil"/>
              <w:bottom w:val="nil"/>
              <w:right w:val="nil"/>
              <w:tl2br w:val="nil"/>
              <w:tr2bl w:val="nil"/>
            </w:tcBorders>
            <w:vAlign w:val="bottom"/>
          </w:tcPr>
          <w:p w:rsidR="0018024C" w:rsidRPr="00C6642F" w:rsidRDefault="0018024C" w:rsidP="0018024C">
            <w:pPr>
              <w:keepNext/>
              <w:rPr>
                <w:sz w:val="20"/>
              </w:rPr>
            </w:pPr>
          </w:p>
        </w:tc>
        <w:tc>
          <w:tcPr>
            <w:tcW w:w="149" w:type="pct"/>
            <w:tcBorders>
              <w:top w:val="nil"/>
              <w:left w:val="nil"/>
              <w:bottom w:val="nil"/>
              <w:right w:val="nil"/>
              <w:tl2br w:val="nil"/>
              <w:tr2bl w:val="nil"/>
            </w:tcBorders>
            <w:vAlign w:val="bottom"/>
          </w:tcPr>
          <w:p w:rsidR="0018024C" w:rsidRPr="00C6642F" w:rsidRDefault="0018024C" w:rsidP="0018024C">
            <w:pPr>
              <w:keepNext/>
              <w:rPr>
                <w:sz w:val="20"/>
              </w:rPr>
            </w:pPr>
          </w:p>
        </w:tc>
        <w:tc>
          <w:tcPr>
            <w:tcW w:w="984" w:type="pct"/>
            <w:tcBorders>
              <w:top w:val="nil"/>
              <w:left w:val="nil"/>
              <w:bottom w:val="nil"/>
              <w:right w:val="nil"/>
              <w:tl2br w:val="nil"/>
              <w:tr2bl w:val="nil"/>
            </w:tcBorders>
            <w:vAlign w:val="bottom"/>
          </w:tcPr>
          <w:p w:rsidR="0018024C" w:rsidRPr="00C6642F" w:rsidRDefault="0018024C" w:rsidP="0018024C">
            <w:pPr>
              <w:keepNext/>
              <w:rPr>
                <w:sz w:val="20"/>
              </w:rPr>
            </w:pPr>
          </w:p>
        </w:tc>
        <w:tc>
          <w:tcPr>
            <w:tcW w:w="119" w:type="pct"/>
            <w:tcBorders>
              <w:top w:val="nil"/>
              <w:left w:val="nil"/>
              <w:bottom w:val="nil"/>
              <w:right w:val="nil"/>
              <w:tl2br w:val="nil"/>
              <w:tr2bl w:val="nil"/>
            </w:tcBorders>
            <w:vAlign w:val="bottom"/>
          </w:tcPr>
          <w:p w:rsidR="0018024C" w:rsidRPr="00C6642F" w:rsidRDefault="0018024C" w:rsidP="0018024C">
            <w:pPr>
              <w:keepNext/>
              <w:rPr>
                <w:sz w:val="20"/>
              </w:rPr>
            </w:pPr>
          </w:p>
        </w:tc>
      </w:tr>
      <w:tr w:rsidR="0018024C" w:rsidRPr="00C6642F" w:rsidTr="0018024C">
        <w:trPr>
          <w:trHeight w:hRule="exact" w:val="255"/>
        </w:trPr>
        <w:tc>
          <w:tcPr>
            <w:tcW w:w="2083" w:type="pct"/>
            <w:tcBorders>
              <w:top w:val="nil"/>
              <w:left w:val="nil"/>
              <w:bottom w:val="nil"/>
              <w:right w:val="nil"/>
              <w:tl2br w:val="nil"/>
              <w:tr2bl w:val="nil"/>
            </w:tcBorders>
            <w:shd w:val="clear" w:color="auto" w:fill="CCEEFF"/>
            <w:vAlign w:val="bottom"/>
          </w:tcPr>
          <w:p w:rsidR="0018024C" w:rsidRPr="00C6642F" w:rsidRDefault="0018024C" w:rsidP="0018024C">
            <w:pPr>
              <w:keepNext/>
              <w:jc w:val="center"/>
              <w:rPr>
                <w:sz w:val="20"/>
              </w:rPr>
            </w:pPr>
            <w:r w:rsidRPr="00C6642F">
              <w:rPr>
                <w:sz w:val="20"/>
              </w:rPr>
              <w:t>2022</w:t>
            </w:r>
          </w:p>
        </w:tc>
        <w:tc>
          <w:tcPr>
            <w:tcW w:w="125"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792" w:type="pct"/>
            <w:tcBorders>
              <w:top w:val="nil"/>
              <w:left w:val="nil"/>
              <w:bottom w:val="nil"/>
              <w:right w:val="nil"/>
              <w:tl2br w:val="nil"/>
              <w:tr2bl w:val="nil"/>
            </w:tcBorders>
            <w:shd w:val="clear" w:color="auto" w:fill="CCEEFF"/>
            <w:vAlign w:val="bottom"/>
          </w:tcPr>
          <w:p w:rsidR="0018024C" w:rsidRPr="00C6642F" w:rsidRDefault="0018024C" w:rsidP="0018024C">
            <w:pPr>
              <w:keepNext/>
              <w:ind w:right="65"/>
              <w:jc w:val="right"/>
              <w:rPr>
                <w:sz w:val="20"/>
              </w:rPr>
            </w:pPr>
            <w:r w:rsidRPr="00C6642F">
              <w:rPr>
                <w:sz w:val="20"/>
              </w:rPr>
              <w:t xml:space="preserve"> 21</w:t>
            </w:r>
          </w:p>
        </w:tc>
        <w:tc>
          <w:tcPr>
            <w:tcW w:w="748"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149"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984"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119"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r>
      <w:tr w:rsidR="0018024C" w:rsidRPr="00C6642F" w:rsidTr="0018024C">
        <w:trPr>
          <w:trHeight w:hRule="exact" w:val="255"/>
        </w:trPr>
        <w:tc>
          <w:tcPr>
            <w:tcW w:w="2083" w:type="pct"/>
            <w:tcBorders>
              <w:top w:val="nil"/>
              <w:left w:val="nil"/>
              <w:bottom w:val="nil"/>
              <w:right w:val="nil"/>
              <w:tl2br w:val="nil"/>
              <w:tr2bl w:val="nil"/>
            </w:tcBorders>
            <w:vAlign w:val="bottom"/>
          </w:tcPr>
          <w:p w:rsidR="0018024C" w:rsidRPr="00C6642F" w:rsidRDefault="0018024C" w:rsidP="0018024C">
            <w:pPr>
              <w:keepNext/>
              <w:jc w:val="center"/>
              <w:rPr>
                <w:sz w:val="20"/>
              </w:rPr>
            </w:pPr>
            <w:r w:rsidRPr="00C6642F">
              <w:rPr>
                <w:sz w:val="20"/>
              </w:rPr>
              <w:t>2023</w:t>
            </w:r>
          </w:p>
        </w:tc>
        <w:tc>
          <w:tcPr>
            <w:tcW w:w="125" w:type="pct"/>
            <w:tcBorders>
              <w:top w:val="nil"/>
              <w:left w:val="nil"/>
              <w:bottom w:val="nil"/>
              <w:right w:val="nil"/>
              <w:tl2br w:val="nil"/>
              <w:tr2bl w:val="nil"/>
            </w:tcBorders>
            <w:vAlign w:val="bottom"/>
          </w:tcPr>
          <w:p w:rsidR="0018024C" w:rsidRPr="00C6642F" w:rsidRDefault="0018024C" w:rsidP="0018024C">
            <w:pPr>
              <w:keepNext/>
              <w:rPr>
                <w:sz w:val="20"/>
              </w:rPr>
            </w:pPr>
          </w:p>
        </w:tc>
        <w:tc>
          <w:tcPr>
            <w:tcW w:w="792" w:type="pct"/>
            <w:tcBorders>
              <w:top w:val="nil"/>
              <w:left w:val="nil"/>
              <w:bottom w:val="nil"/>
              <w:right w:val="nil"/>
              <w:tl2br w:val="nil"/>
              <w:tr2bl w:val="nil"/>
            </w:tcBorders>
            <w:vAlign w:val="bottom"/>
          </w:tcPr>
          <w:p w:rsidR="0018024C" w:rsidRPr="00C6642F" w:rsidRDefault="0018024C" w:rsidP="0018024C">
            <w:pPr>
              <w:keepNext/>
              <w:ind w:right="65"/>
              <w:jc w:val="right"/>
              <w:rPr>
                <w:sz w:val="20"/>
              </w:rPr>
            </w:pPr>
            <w:r w:rsidRPr="00C6642F">
              <w:rPr>
                <w:sz w:val="20"/>
              </w:rPr>
              <w:t xml:space="preserve"> 21</w:t>
            </w:r>
          </w:p>
        </w:tc>
        <w:tc>
          <w:tcPr>
            <w:tcW w:w="748" w:type="pct"/>
            <w:tcBorders>
              <w:top w:val="nil"/>
              <w:left w:val="nil"/>
              <w:bottom w:val="nil"/>
              <w:right w:val="nil"/>
              <w:tl2br w:val="nil"/>
              <w:tr2bl w:val="nil"/>
            </w:tcBorders>
            <w:vAlign w:val="bottom"/>
          </w:tcPr>
          <w:p w:rsidR="0018024C" w:rsidRPr="00C6642F" w:rsidRDefault="0018024C" w:rsidP="0018024C">
            <w:pPr>
              <w:keepNext/>
              <w:rPr>
                <w:sz w:val="20"/>
              </w:rPr>
            </w:pPr>
          </w:p>
        </w:tc>
        <w:tc>
          <w:tcPr>
            <w:tcW w:w="149" w:type="pct"/>
            <w:tcBorders>
              <w:top w:val="nil"/>
              <w:left w:val="nil"/>
              <w:bottom w:val="nil"/>
              <w:right w:val="nil"/>
              <w:tl2br w:val="nil"/>
              <w:tr2bl w:val="nil"/>
            </w:tcBorders>
            <w:vAlign w:val="bottom"/>
          </w:tcPr>
          <w:p w:rsidR="0018024C" w:rsidRPr="00C6642F" w:rsidRDefault="0018024C" w:rsidP="0018024C">
            <w:pPr>
              <w:keepNext/>
              <w:rPr>
                <w:sz w:val="20"/>
              </w:rPr>
            </w:pPr>
          </w:p>
        </w:tc>
        <w:tc>
          <w:tcPr>
            <w:tcW w:w="984" w:type="pct"/>
            <w:tcBorders>
              <w:top w:val="nil"/>
              <w:left w:val="nil"/>
              <w:bottom w:val="nil"/>
              <w:right w:val="nil"/>
              <w:tl2br w:val="nil"/>
              <w:tr2bl w:val="nil"/>
            </w:tcBorders>
            <w:vAlign w:val="bottom"/>
          </w:tcPr>
          <w:p w:rsidR="0018024C" w:rsidRPr="00C6642F" w:rsidRDefault="0018024C" w:rsidP="0018024C">
            <w:pPr>
              <w:keepNext/>
              <w:rPr>
                <w:sz w:val="20"/>
              </w:rPr>
            </w:pPr>
          </w:p>
        </w:tc>
        <w:tc>
          <w:tcPr>
            <w:tcW w:w="119" w:type="pct"/>
            <w:tcBorders>
              <w:top w:val="nil"/>
              <w:left w:val="nil"/>
              <w:bottom w:val="nil"/>
              <w:right w:val="nil"/>
              <w:tl2br w:val="nil"/>
              <w:tr2bl w:val="nil"/>
            </w:tcBorders>
            <w:vAlign w:val="bottom"/>
          </w:tcPr>
          <w:p w:rsidR="0018024C" w:rsidRPr="00C6642F" w:rsidRDefault="0018024C" w:rsidP="0018024C">
            <w:pPr>
              <w:keepNext/>
              <w:rPr>
                <w:sz w:val="20"/>
              </w:rPr>
            </w:pPr>
          </w:p>
        </w:tc>
      </w:tr>
      <w:tr w:rsidR="0018024C" w:rsidRPr="00C6642F" w:rsidTr="0018024C">
        <w:trPr>
          <w:trHeight w:hRule="exact" w:val="255"/>
        </w:trPr>
        <w:tc>
          <w:tcPr>
            <w:tcW w:w="2083" w:type="pct"/>
            <w:tcBorders>
              <w:top w:val="nil"/>
              <w:left w:val="nil"/>
              <w:bottom w:val="nil"/>
              <w:right w:val="nil"/>
              <w:tl2br w:val="nil"/>
              <w:tr2bl w:val="nil"/>
            </w:tcBorders>
            <w:shd w:val="clear" w:color="auto" w:fill="CCEEFF"/>
            <w:vAlign w:val="bottom"/>
          </w:tcPr>
          <w:p w:rsidR="0018024C" w:rsidRPr="00C6642F" w:rsidRDefault="0018024C" w:rsidP="0018024C">
            <w:pPr>
              <w:keepNext/>
              <w:jc w:val="center"/>
              <w:rPr>
                <w:sz w:val="20"/>
              </w:rPr>
            </w:pPr>
            <w:r w:rsidRPr="00C6642F">
              <w:rPr>
                <w:sz w:val="20"/>
              </w:rPr>
              <w:t>2024</w:t>
            </w:r>
          </w:p>
        </w:tc>
        <w:tc>
          <w:tcPr>
            <w:tcW w:w="125"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792" w:type="pct"/>
            <w:tcBorders>
              <w:top w:val="nil"/>
              <w:left w:val="nil"/>
              <w:bottom w:val="nil"/>
              <w:right w:val="nil"/>
              <w:tl2br w:val="nil"/>
              <w:tr2bl w:val="nil"/>
            </w:tcBorders>
            <w:shd w:val="clear" w:color="auto" w:fill="CCEEFF"/>
            <w:vAlign w:val="bottom"/>
          </w:tcPr>
          <w:p w:rsidR="0018024C" w:rsidRPr="00C6642F" w:rsidRDefault="0018024C" w:rsidP="0018024C">
            <w:pPr>
              <w:keepNext/>
              <w:ind w:right="65"/>
              <w:jc w:val="right"/>
              <w:rPr>
                <w:sz w:val="20"/>
              </w:rPr>
            </w:pPr>
            <w:r w:rsidRPr="00C6642F">
              <w:rPr>
                <w:sz w:val="20"/>
              </w:rPr>
              <w:t xml:space="preserve"> 20</w:t>
            </w:r>
          </w:p>
        </w:tc>
        <w:tc>
          <w:tcPr>
            <w:tcW w:w="748"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149"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984"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c>
          <w:tcPr>
            <w:tcW w:w="119" w:type="pct"/>
            <w:tcBorders>
              <w:top w:val="nil"/>
              <w:left w:val="nil"/>
              <w:bottom w:val="nil"/>
              <w:right w:val="nil"/>
              <w:tl2br w:val="nil"/>
              <w:tr2bl w:val="nil"/>
            </w:tcBorders>
            <w:shd w:val="clear" w:color="auto" w:fill="CCEEFF"/>
            <w:vAlign w:val="bottom"/>
          </w:tcPr>
          <w:p w:rsidR="0018024C" w:rsidRPr="00C6642F" w:rsidRDefault="0018024C" w:rsidP="0018024C">
            <w:pPr>
              <w:keepNext/>
              <w:rPr>
                <w:sz w:val="20"/>
              </w:rPr>
            </w:pPr>
          </w:p>
        </w:tc>
      </w:tr>
    </w:tbl>
    <w:p w:rsidR="00FC1460" w:rsidRPr="00C6642F" w:rsidRDefault="00FC1460"/>
    <w:p w:rsidR="002C1865" w:rsidRPr="002C1865" w:rsidRDefault="002C1865" w:rsidP="002C1865">
      <w:pPr>
        <w:rPr>
          <w:sz w:val="2"/>
        </w:rPr>
      </w:pPr>
    </w:p>
    <w:p w:rsidR="000121CD" w:rsidRDefault="000121CD">
      <w:pPr>
        <w:rPr>
          <w:sz w:val="2"/>
        </w:rPr>
      </w:pPr>
    </w:p>
    <w:p w:rsidR="000121CD" w:rsidRDefault="000121CD">
      <w:pPr>
        <w:rPr>
          <w:sz w:val="2"/>
        </w:rPr>
      </w:pPr>
    </w:p>
    <w:p w:rsidR="000121CD" w:rsidRDefault="000121CD">
      <w:pPr>
        <w:rPr>
          <w:sz w:val="2"/>
        </w:rPr>
      </w:pPr>
    </w:p>
    <w:p w:rsidR="000121CD" w:rsidRDefault="000121CD">
      <w:pPr>
        <w:rPr>
          <w:sz w:val="2"/>
        </w:rPr>
      </w:pPr>
    </w:p>
    <w:p w:rsidR="000121CD" w:rsidRDefault="000121CD">
      <w:pPr>
        <w:rPr>
          <w:sz w:val="2"/>
        </w:rPr>
      </w:pPr>
    </w:p>
    <w:p w:rsidR="00DF0BDF" w:rsidRPr="00C6642F" w:rsidRDefault="00DF0BDF" w:rsidP="00DF0BDF">
      <w:pPr>
        <w:rPr>
          <w:b/>
          <w:sz w:val="20"/>
          <w:u w:val="single"/>
        </w:rPr>
      </w:pPr>
      <w:r w:rsidRPr="00C6642F">
        <w:rPr>
          <w:b/>
          <w:sz w:val="20"/>
          <w:u w:val="single"/>
        </w:rPr>
        <w:t xml:space="preserve">NOTE </w:t>
      </w:r>
      <w:r w:rsidR="000D0795" w:rsidRPr="00C6642F">
        <w:rPr>
          <w:b/>
          <w:sz w:val="20"/>
          <w:u w:val="single"/>
        </w:rPr>
        <w:t>7</w:t>
      </w:r>
      <w:r w:rsidRPr="00C6642F">
        <w:rPr>
          <w:b/>
          <w:sz w:val="20"/>
          <w:u w:val="single"/>
        </w:rPr>
        <w:t xml:space="preserve"> – LEASES</w:t>
      </w:r>
    </w:p>
    <w:p w:rsidR="00DF0BDF" w:rsidRPr="00C6642F" w:rsidRDefault="00DF0BDF" w:rsidP="00DF0BDF">
      <w:pPr>
        <w:rPr>
          <w:sz w:val="20"/>
        </w:rPr>
      </w:pPr>
    </w:p>
    <w:p w:rsidR="00DF0BDF" w:rsidRPr="00C6642F" w:rsidRDefault="00DF0BDF" w:rsidP="00DF0BDF">
      <w:pPr>
        <w:rPr>
          <w:sz w:val="20"/>
        </w:rPr>
      </w:pPr>
      <w:r w:rsidRPr="00C6642F">
        <w:rPr>
          <w:sz w:val="20"/>
        </w:rPr>
        <w:t xml:space="preserve">We lease certain distribution centers, warehouses, office space, land and equipment. Substantially all of these leases are classified as operating leases. We recognize lease expense on a straight-line basis over the lease term. Leases with an initial term of 12 months or less are not recorded on the balance sheet. </w:t>
      </w:r>
    </w:p>
    <w:p w:rsidR="00DF0BDF" w:rsidRPr="00C6642F" w:rsidRDefault="00DF0BDF" w:rsidP="00DF0BDF">
      <w:pPr>
        <w:rPr>
          <w:sz w:val="20"/>
        </w:rPr>
      </w:pPr>
    </w:p>
    <w:p w:rsidR="00DF0BDF" w:rsidRPr="00C6642F" w:rsidRDefault="00DF0BDF" w:rsidP="00DF0BDF">
      <w:pPr>
        <w:rPr>
          <w:sz w:val="20"/>
        </w:rPr>
      </w:pPr>
      <w:r w:rsidRPr="00C6642F">
        <w:rPr>
          <w:sz w:val="20"/>
        </w:rPr>
        <w:t>Many of our facility leases include one or more options to renew, with renewal terms that can extend the lease term from one year to 15 years with a maximum lease term of 30 years, including renewals. The exercise of lease renewal options is at our sole discretion; therefore, renewals to extend the terms of most leases are not included in our right of use (“ROU”) assets and lease liabilities as they are not reasonably certain of exercise. In the case of our regional distribution centers and certain corporate offices, where the renewal is reasonably certain of exercise, we include the renewal period in our lease term. Leases with escalation adjustments based on an index, such as the consumer price index, are expensed based on current rates. Leases with specified escalation steps are expensed based on the total lease obligation ratably over the life of the lease. The depreciable life of assets and leasehold improvements are limited by the expected lease term. Non-lease components, such as payment of real estate taxes, maintenance, insurance and other operating expenses, have been excluded from the determination of our lease liability.</w:t>
      </w:r>
    </w:p>
    <w:p w:rsidR="00DF0BDF" w:rsidRPr="00C6642F" w:rsidRDefault="00DF0BDF" w:rsidP="00DF0BDF">
      <w:pPr>
        <w:rPr>
          <w:sz w:val="20"/>
        </w:rPr>
      </w:pPr>
    </w:p>
    <w:p w:rsidR="00DF0BDF" w:rsidRPr="00C6642F" w:rsidRDefault="00DF0BDF" w:rsidP="00DF0BDF">
      <w:pPr>
        <w:rPr>
          <w:sz w:val="20"/>
        </w:rPr>
      </w:pPr>
      <w:r w:rsidRPr="00C6642F">
        <w:rPr>
          <w:sz w:val="20"/>
        </w:rPr>
        <w:t>As most of our leases do not provide an implicit rate, we use an incremental borrowing rate based on the information available at the commencement date in determining the present value of the lease payments using a portfolio approach. For leases that commenced prior to the transition date, we used the incremental borrowing rates as of the beginning of the period of adoption, or January 1, 2019.</w:t>
      </w:r>
    </w:p>
    <w:p w:rsidR="00DF0BDF" w:rsidRPr="00C6642F" w:rsidRDefault="00DF0BDF" w:rsidP="00DF0BDF">
      <w:pPr>
        <w:rPr>
          <w:sz w:val="20"/>
        </w:rPr>
      </w:pPr>
    </w:p>
    <w:p w:rsidR="00DF0BDF" w:rsidRPr="00C6642F" w:rsidRDefault="00DF0BDF" w:rsidP="00DF0BDF">
      <w:pPr>
        <w:rPr>
          <w:sz w:val="20"/>
        </w:rPr>
      </w:pPr>
      <w:r w:rsidRPr="00C6642F">
        <w:rPr>
          <w:sz w:val="20"/>
        </w:rPr>
        <w:t>Our lease agreements do not contain any material residual value guarantees or material restrictive covenants.</w:t>
      </w:r>
    </w:p>
    <w:p w:rsidR="00DF0BDF" w:rsidRPr="00C6642F" w:rsidRDefault="00DF0BDF" w:rsidP="00DF0BDF">
      <w:pPr>
        <w:rPr>
          <w:sz w:val="20"/>
        </w:rPr>
      </w:pPr>
    </w:p>
    <w:p w:rsidR="00DF0BDF" w:rsidRPr="00C6642F" w:rsidRDefault="00DF0BDF" w:rsidP="00DF0BDF">
      <w:pPr>
        <w:rPr>
          <w:sz w:val="20"/>
        </w:rPr>
      </w:pPr>
      <w:r w:rsidRPr="00C6642F">
        <w:rPr>
          <w:sz w:val="20"/>
        </w:rPr>
        <w:t>Expense associated with our operating leases was $</w:t>
      </w:r>
      <w:r w:rsidR="00D765DC" w:rsidRPr="00C6642F">
        <w:rPr>
          <w:sz w:val="20"/>
        </w:rPr>
        <w:t>42</w:t>
      </w:r>
      <w:r w:rsidRPr="00C6642F">
        <w:rPr>
          <w:sz w:val="20"/>
        </w:rPr>
        <w:t xml:space="preserve"> million for the</w:t>
      </w:r>
      <w:r w:rsidR="000D0795" w:rsidRPr="00C6642F">
        <w:rPr>
          <w:sz w:val="20"/>
        </w:rPr>
        <w:t xml:space="preserve"> year </w:t>
      </w:r>
      <w:r w:rsidRPr="00C6642F">
        <w:rPr>
          <w:sz w:val="20"/>
        </w:rPr>
        <w:t xml:space="preserve">ended </w:t>
      </w:r>
      <w:r w:rsidR="000D0795" w:rsidRPr="00C6642F">
        <w:rPr>
          <w:sz w:val="20"/>
        </w:rPr>
        <w:t>December 31, 2019</w:t>
      </w:r>
      <w:r w:rsidRPr="00C6642F">
        <w:rPr>
          <w:sz w:val="20"/>
        </w:rPr>
        <w:t>, which is classified in selling, general and administrative expenses. Cash paid for leases recognized as liabilities was $</w:t>
      </w:r>
      <w:r w:rsidR="00D765DC" w:rsidRPr="00C6642F">
        <w:rPr>
          <w:sz w:val="20"/>
        </w:rPr>
        <w:t>46</w:t>
      </w:r>
      <w:r w:rsidRPr="00C6642F">
        <w:rPr>
          <w:sz w:val="20"/>
        </w:rPr>
        <w:t xml:space="preserve"> million</w:t>
      </w:r>
      <w:r w:rsidR="000D0795" w:rsidRPr="00C6642F">
        <w:rPr>
          <w:sz w:val="20"/>
        </w:rPr>
        <w:t xml:space="preserve"> for the year ended</w:t>
      </w:r>
      <w:r w:rsidRPr="00C6642F">
        <w:rPr>
          <w:sz w:val="20"/>
        </w:rPr>
        <w:t xml:space="preserve"> </w:t>
      </w:r>
      <w:r w:rsidR="002C1865" w:rsidRPr="00C6642F">
        <w:rPr>
          <w:sz w:val="20"/>
        </w:rPr>
        <w:t>December</w:t>
      </w:r>
      <w:r w:rsidR="00B46C21" w:rsidRPr="00C6642F">
        <w:rPr>
          <w:sz w:val="20"/>
        </w:rPr>
        <w:t> </w:t>
      </w:r>
      <w:r w:rsidR="002C1865" w:rsidRPr="00C6642F">
        <w:rPr>
          <w:sz w:val="20"/>
        </w:rPr>
        <w:t>31,</w:t>
      </w:r>
      <w:r w:rsidR="00B46C21" w:rsidRPr="00C6642F">
        <w:rPr>
          <w:sz w:val="20"/>
        </w:rPr>
        <w:t> </w:t>
      </w:r>
      <w:r w:rsidR="002C1865" w:rsidRPr="00C6642F">
        <w:rPr>
          <w:sz w:val="20"/>
        </w:rPr>
        <w:t>2019</w:t>
      </w:r>
      <w:r w:rsidRPr="00C6642F">
        <w:rPr>
          <w:sz w:val="20"/>
        </w:rPr>
        <w:t>.</w:t>
      </w:r>
    </w:p>
    <w:p w:rsidR="00DF0BDF" w:rsidRPr="00C6642F" w:rsidRDefault="00DF0BDF" w:rsidP="00DF0BDF">
      <w:pPr>
        <w:rPr>
          <w:sz w:val="20"/>
        </w:rPr>
      </w:pPr>
    </w:p>
    <w:p w:rsidR="00DF0BDF" w:rsidRPr="00C6642F" w:rsidRDefault="00DF0BDF" w:rsidP="00DF0BDF">
      <w:pPr>
        <w:rPr>
          <w:sz w:val="20"/>
        </w:rPr>
      </w:pPr>
    </w:p>
    <w:p w:rsidR="00DF0BDF" w:rsidRPr="00C6642F" w:rsidRDefault="00DF0BDF" w:rsidP="00DF0BDF">
      <w:pPr>
        <w:keepNext/>
        <w:rPr>
          <w:sz w:val="20"/>
          <w:lang w:eastAsia="zh-TW"/>
        </w:rPr>
      </w:pPr>
      <w:r w:rsidRPr="00C6642F">
        <w:rPr>
          <w:sz w:val="20"/>
        </w:rPr>
        <w:t>The maturity of lease liabilities is as follows (in millions):</w:t>
      </w:r>
    </w:p>
    <w:p w:rsidR="00DF0BDF" w:rsidRPr="00C6642F" w:rsidRDefault="00DF0BDF" w:rsidP="00DF0BDF">
      <w:pPr>
        <w:keepNext/>
        <w:rPr>
          <w:sz w:val="20"/>
        </w:rPr>
      </w:pPr>
    </w:p>
    <w:p w:rsidR="00DF0BDF" w:rsidRPr="00C6642F" w:rsidRDefault="00DF0BDF" w:rsidP="000D0795">
      <w:pPr>
        <w:keepNext/>
        <w:rPr>
          <w:sz w:val="2"/>
          <w:lang w:eastAsia="zh-TW"/>
        </w:rPr>
      </w:pPr>
    </w:p>
    <w:tbl>
      <w:tblPr>
        <w:tblW w:w="5000" w:type="pct"/>
        <w:tblCellMar>
          <w:left w:w="0" w:type="dxa"/>
          <w:right w:w="0" w:type="dxa"/>
        </w:tblCellMar>
        <w:tblLook w:val="04A0" w:firstRow="1" w:lastRow="0" w:firstColumn="1" w:lastColumn="0" w:noHBand="0" w:noVBand="1"/>
      </w:tblPr>
      <w:tblGrid>
        <w:gridCol w:w="7515"/>
        <w:gridCol w:w="2296"/>
        <w:gridCol w:w="270"/>
        <w:gridCol w:w="719"/>
      </w:tblGrid>
      <w:tr w:rsidR="0018024C" w:rsidRPr="00C6642F" w:rsidTr="0018024C">
        <w:trPr>
          <w:trHeight w:hRule="exact" w:val="20"/>
        </w:trPr>
        <w:tc>
          <w:tcPr>
            <w:tcW w:w="3479" w:type="pct"/>
            <w:tcBorders>
              <w:top w:val="nil"/>
              <w:left w:val="nil"/>
              <w:bottom w:val="nil"/>
              <w:right w:val="nil"/>
            </w:tcBorders>
            <w:shd w:val="clear" w:color="auto" w:fill="auto"/>
            <w:vAlign w:val="bottom"/>
          </w:tcPr>
          <w:p w:rsidR="0018024C" w:rsidRPr="00C6642F" w:rsidRDefault="0018024C" w:rsidP="0018024C">
            <w:pPr>
              <w:rPr>
                <w:sz w:val="2"/>
              </w:rPr>
            </w:pPr>
          </w:p>
        </w:tc>
        <w:tc>
          <w:tcPr>
            <w:tcW w:w="1063" w:type="pct"/>
            <w:tcBorders>
              <w:top w:val="nil"/>
              <w:left w:val="nil"/>
              <w:bottom w:val="nil"/>
              <w:right w:val="nil"/>
            </w:tcBorders>
            <w:shd w:val="clear" w:color="auto" w:fill="auto"/>
            <w:vAlign w:val="bottom"/>
          </w:tcPr>
          <w:p w:rsidR="0018024C" w:rsidRPr="00C6642F" w:rsidRDefault="0018024C" w:rsidP="0018024C">
            <w:pPr>
              <w:rPr>
                <w:sz w:val="2"/>
              </w:rPr>
            </w:pPr>
          </w:p>
        </w:tc>
        <w:tc>
          <w:tcPr>
            <w:tcW w:w="125" w:type="pct"/>
            <w:tcBorders>
              <w:top w:val="nil"/>
              <w:left w:val="nil"/>
              <w:bottom w:val="nil"/>
              <w:right w:val="nil"/>
            </w:tcBorders>
            <w:shd w:val="clear" w:color="auto" w:fill="auto"/>
            <w:vAlign w:val="bottom"/>
          </w:tcPr>
          <w:p w:rsidR="0018024C" w:rsidRPr="00C6642F" w:rsidRDefault="0018024C" w:rsidP="0018024C">
            <w:pPr>
              <w:rPr>
                <w:sz w:val="2"/>
              </w:rPr>
            </w:pPr>
          </w:p>
        </w:tc>
        <w:tc>
          <w:tcPr>
            <w:tcW w:w="333" w:type="pct"/>
            <w:tcBorders>
              <w:top w:val="nil"/>
              <w:left w:val="nil"/>
              <w:bottom w:val="nil"/>
              <w:right w:val="nil"/>
            </w:tcBorders>
            <w:shd w:val="clear" w:color="auto" w:fill="auto"/>
            <w:vAlign w:val="bottom"/>
          </w:tcPr>
          <w:p w:rsidR="0018024C" w:rsidRPr="00C6642F" w:rsidRDefault="0018024C" w:rsidP="0018024C">
            <w:pPr>
              <w:rPr>
                <w:sz w:val="2"/>
              </w:rPr>
            </w:pPr>
          </w:p>
        </w:tc>
      </w:tr>
      <w:tr w:rsidR="0018024C" w:rsidRPr="00C6642F" w:rsidTr="0018024C">
        <w:trPr>
          <w:trHeight w:hRule="exact" w:val="255"/>
        </w:trPr>
        <w:tc>
          <w:tcPr>
            <w:tcW w:w="3479" w:type="pct"/>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rPr>
                <w:b/>
                <w:sz w:val="20"/>
              </w:rPr>
            </w:pPr>
            <w:r w:rsidRPr="00C6642F">
              <w:rPr>
                <w:b/>
                <w:sz w:val="20"/>
              </w:rPr>
              <w:t>Maturity of Operating Lease Liabilities</w:t>
            </w:r>
          </w:p>
        </w:tc>
        <w:tc>
          <w:tcPr>
            <w:tcW w:w="1063" w:type="pct"/>
            <w:tcBorders>
              <w:top w:val="nil"/>
              <w:left w:val="nil"/>
              <w:bottom w:val="nil"/>
              <w:right w:val="nil"/>
              <w:tl2br w:val="nil"/>
              <w:tr2bl w:val="nil"/>
            </w:tcBorders>
            <w:shd w:val="clear" w:color="auto" w:fill="auto"/>
            <w:vAlign w:val="bottom"/>
          </w:tcPr>
          <w:p w:rsidR="0018024C" w:rsidRPr="00C6642F" w:rsidRDefault="0018024C" w:rsidP="0018024C">
            <w:pPr>
              <w:rPr>
                <w:b/>
                <w:sz w:val="20"/>
              </w:rPr>
            </w:pPr>
          </w:p>
        </w:tc>
        <w:tc>
          <w:tcPr>
            <w:tcW w:w="458" w:type="pct"/>
            <w:gridSpan w:val="2"/>
            <w:tcBorders>
              <w:top w:val="nil"/>
              <w:left w:val="nil"/>
              <w:bottom w:val="nil"/>
              <w:right w:val="nil"/>
              <w:tl2br w:val="nil"/>
              <w:tr2bl w:val="nil"/>
            </w:tcBorders>
            <w:shd w:val="clear" w:color="auto" w:fill="auto"/>
            <w:vAlign w:val="bottom"/>
          </w:tcPr>
          <w:p w:rsidR="0018024C" w:rsidRPr="00C6642F" w:rsidRDefault="0018024C" w:rsidP="0018024C">
            <w:pPr>
              <w:jc w:val="center"/>
              <w:rPr>
                <w:b/>
                <w:sz w:val="20"/>
              </w:rPr>
            </w:pPr>
          </w:p>
        </w:tc>
      </w:tr>
      <w:tr w:rsidR="0018024C" w:rsidRPr="00C6642F" w:rsidTr="0018024C">
        <w:trPr>
          <w:trHeight w:hRule="exact" w:val="255"/>
        </w:trPr>
        <w:tc>
          <w:tcPr>
            <w:tcW w:w="347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rPr>
                <w:sz w:val="20"/>
              </w:rPr>
            </w:pPr>
            <w:r w:rsidRPr="00C6642F">
              <w:rPr>
                <w:sz w:val="20"/>
              </w:rPr>
              <w:t>2020</w:t>
            </w:r>
          </w:p>
        </w:tc>
        <w:tc>
          <w:tcPr>
            <w:tcW w:w="1063" w:type="pct"/>
            <w:tcBorders>
              <w:top w:val="nil"/>
              <w:left w:val="nil"/>
              <w:bottom w:val="nil"/>
              <w:right w:val="nil"/>
              <w:tl2br w:val="nil"/>
              <w:tr2bl w:val="nil"/>
            </w:tcBorders>
            <w:shd w:val="clear" w:color="auto" w:fill="CCEEFF"/>
            <w:vAlign w:val="bottom"/>
          </w:tcPr>
          <w:p w:rsidR="0018024C" w:rsidRPr="00C6642F" w:rsidRDefault="0018024C" w:rsidP="0018024C">
            <w:pPr>
              <w:rPr>
                <w:sz w:val="20"/>
              </w:rPr>
            </w:pPr>
          </w:p>
        </w:tc>
        <w:tc>
          <w:tcPr>
            <w:tcW w:w="125" w:type="pct"/>
            <w:tcBorders>
              <w:top w:val="nil"/>
              <w:left w:val="nil"/>
              <w:bottom w:val="nil"/>
              <w:right w:val="nil"/>
              <w:tl2br w:val="nil"/>
              <w:tr2bl w:val="nil"/>
            </w:tcBorders>
            <w:shd w:val="clear" w:color="auto" w:fill="CCEEFF"/>
            <w:vAlign w:val="bottom"/>
          </w:tcPr>
          <w:p w:rsidR="0018024C" w:rsidRPr="00C6642F" w:rsidRDefault="0018024C" w:rsidP="0018024C">
            <w:pPr>
              <w:rPr>
                <w:b/>
                <w:sz w:val="20"/>
              </w:rPr>
            </w:pPr>
            <w:r w:rsidRPr="00C6642F">
              <w:rPr>
                <w:b/>
                <w:sz w:val="20"/>
              </w:rPr>
              <w:t>$</w:t>
            </w:r>
          </w:p>
        </w:tc>
        <w:tc>
          <w:tcPr>
            <w:tcW w:w="333" w:type="pct"/>
            <w:tcBorders>
              <w:top w:val="nil"/>
              <w:left w:val="nil"/>
              <w:bottom w:val="nil"/>
              <w:right w:val="nil"/>
              <w:tl2br w:val="nil"/>
              <w:tr2bl w:val="nil"/>
            </w:tcBorders>
            <w:shd w:val="clear" w:color="auto" w:fill="CCEEFF"/>
            <w:vAlign w:val="bottom"/>
          </w:tcPr>
          <w:p w:rsidR="0018024C" w:rsidRPr="00C6642F" w:rsidRDefault="0018024C" w:rsidP="0018024C">
            <w:pPr>
              <w:ind w:right="63"/>
              <w:jc w:val="right"/>
              <w:rPr>
                <w:b/>
                <w:sz w:val="20"/>
              </w:rPr>
            </w:pPr>
            <w:r w:rsidRPr="00C6642F">
              <w:rPr>
                <w:b/>
                <w:sz w:val="20"/>
              </w:rPr>
              <w:t xml:space="preserve"> 40</w:t>
            </w:r>
          </w:p>
        </w:tc>
      </w:tr>
      <w:tr w:rsidR="0018024C" w:rsidRPr="00C6642F" w:rsidTr="0018024C">
        <w:trPr>
          <w:trHeight w:hRule="exact" w:val="255"/>
        </w:trPr>
        <w:tc>
          <w:tcPr>
            <w:tcW w:w="3479" w:type="pct"/>
            <w:tcBorders>
              <w:top w:val="nil"/>
              <w:left w:val="nil"/>
              <w:bottom w:val="nil"/>
              <w:right w:val="nil"/>
              <w:tl2br w:val="nil"/>
              <w:tr2bl w:val="nil"/>
            </w:tcBorders>
            <w:vAlign w:val="bottom"/>
          </w:tcPr>
          <w:p w:rsidR="0018024C" w:rsidRPr="00C6642F" w:rsidRDefault="0018024C" w:rsidP="0018024C">
            <w:pPr>
              <w:rPr>
                <w:sz w:val="20"/>
              </w:rPr>
            </w:pPr>
            <w:r w:rsidRPr="00C6642F">
              <w:rPr>
                <w:sz w:val="20"/>
              </w:rPr>
              <w:t>2021</w:t>
            </w:r>
          </w:p>
        </w:tc>
        <w:tc>
          <w:tcPr>
            <w:tcW w:w="1063" w:type="pct"/>
            <w:tcBorders>
              <w:top w:val="nil"/>
              <w:left w:val="nil"/>
              <w:bottom w:val="nil"/>
              <w:right w:val="nil"/>
              <w:tl2br w:val="nil"/>
              <w:tr2bl w:val="nil"/>
            </w:tcBorders>
            <w:vAlign w:val="bottom"/>
          </w:tcPr>
          <w:p w:rsidR="0018024C" w:rsidRPr="00C6642F" w:rsidRDefault="0018024C" w:rsidP="0018024C">
            <w:pPr>
              <w:rPr>
                <w:sz w:val="20"/>
              </w:rPr>
            </w:pPr>
          </w:p>
        </w:tc>
        <w:tc>
          <w:tcPr>
            <w:tcW w:w="125" w:type="pct"/>
            <w:tcBorders>
              <w:top w:val="nil"/>
              <w:left w:val="nil"/>
              <w:bottom w:val="nil"/>
              <w:right w:val="nil"/>
              <w:tl2br w:val="nil"/>
              <w:tr2bl w:val="nil"/>
            </w:tcBorders>
            <w:vAlign w:val="bottom"/>
          </w:tcPr>
          <w:p w:rsidR="0018024C" w:rsidRPr="00C6642F" w:rsidRDefault="0018024C" w:rsidP="0018024C">
            <w:pPr>
              <w:rPr>
                <w:b/>
                <w:sz w:val="20"/>
              </w:rPr>
            </w:pPr>
          </w:p>
        </w:tc>
        <w:tc>
          <w:tcPr>
            <w:tcW w:w="333" w:type="pct"/>
            <w:tcBorders>
              <w:top w:val="nil"/>
              <w:left w:val="nil"/>
              <w:bottom w:val="nil"/>
              <w:right w:val="nil"/>
              <w:tl2br w:val="nil"/>
              <w:tr2bl w:val="nil"/>
            </w:tcBorders>
            <w:vAlign w:val="bottom"/>
          </w:tcPr>
          <w:p w:rsidR="0018024C" w:rsidRPr="00C6642F" w:rsidRDefault="0018024C" w:rsidP="0018024C">
            <w:pPr>
              <w:ind w:right="63"/>
              <w:jc w:val="right"/>
              <w:rPr>
                <w:b/>
                <w:sz w:val="20"/>
              </w:rPr>
            </w:pPr>
            <w:r w:rsidRPr="00C6642F">
              <w:rPr>
                <w:b/>
                <w:sz w:val="20"/>
              </w:rPr>
              <w:t xml:space="preserve"> 35</w:t>
            </w:r>
          </w:p>
        </w:tc>
      </w:tr>
      <w:tr w:rsidR="0018024C" w:rsidRPr="00C6642F" w:rsidTr="0018024C">
        <w:trPr>
          <w:trHeight w:hRule="exact" w:val="255"/>
        </w:trPr>
        <w:tc>
          <w:tcPr>
            <w:tcW w:w="3479" w:type="pct"/>
            <w:tcBorders>
              <w:top w:val="nil"/>
              <w:left w:val="nil"/>
              <w:bottom w:val="nil"/>
              <w:right w:val="nil"/>
              <w:tl2br w:val="nil"/>
              <w:tr2bl w:val="nil"/>
            </w:tcBorders>
            <w:shd w:val="clear" w:color="auto" w:fill="CCEEFF"/>
            <w:vAlign w:val="bottom"/>
          </w:tcPr>
          <w:p w:rsidR="0018024C" w:rsidRPr="00C6642F" w:rsidRDefault="0018024C" w:rsidP="0018024C">
            <w:pPr>
              <w:rPr>
                <w:sz w:val="20"/>
              </w:rPr>
            </w:pPr>
            <w:r w:rsidRPr="00C6642F">
              <w:rPr>
                <w:sz w:val="20"/>
              </w:rPr>
              <w:t>2022</w:t>
            </w:r>
          </w:p>
        </w:tc>
        <w:tc>
          <w:tcPr>
            <w:tcW w:w="1063" w:type="pct"/>
            <w:tcBorders>
              <w:top w:val="nil"/>
              <w:left w:val="nil"/>
              <w:bottom w:val="nil"/>
              <w:right w:val="nil"/>
              <w:tl2br w:val="nil"/>
              <w:tr2bl w:val="nil"/>
            </w:tcBorders>
            <w:shd w:val="clear" w:color="auto" w:fill="CCEEFF"/>
            <w:vAlign w:val="bottom"/>
          </w:tcPr>
          <w:p w:rsidR="0018024C" w:rsidRPr="00C6642F" w:rsidRDefault="0018024C" w:rsidP="0018024C">
            <w:pPr>
              <w:rPr>
                <w:sz w:val="20"/>
              </w:rPr>
            </w:pPr>
          </w:p>
        </w:tc>
        <w:tc>
          <w:tcPr>
            <w:tcW w:w="125" w:type="pct"/>
            <w:tcBorders>
              <w:top w:val="nil"/>
              <w:left w:val="nil"/>
              <w:bottom w:val="nil"/>
              <w:right w:val="nil"/>
              <w:tl2br w:val="nil"/>
              <w:tr2bl w:val="nil"/>
            </w:tcBorders>
            <w:shd w:val="clear" w:color="auto" w:fill="CCEEFF"/>
            <w:vAlign w:val="bottom"/>
          </w:tcPr>
          <w:p w:rsidR="0018024C" w:rsidRPr="00C6642F" w:rsidRDefault="0018024C" w:rsidP="0018024C">
            <w:pPr>
              <w:rPr>
                <w:b/>
                <w:sz w:val="20"/>
              </w:rPr>
            </w:pPr>
          </w:p>
        </w:tc>
        <w:tc>
          <w:tcPr>
            <w:tcW w:w="333" w:type="pct"/>
            <w:tcBorders>
              <w:top w:val="nil"/>
              <w:left w:val="nil"/>
              <w:bottom w:val="nil"/>
              <w:right w:val="nil"/>
              <w:tl2br w:val="nil"/>
              <w:tr2bl w:val="nil"/>
            </w:tcBorders>
            <w:shd w:val="clear" w:color="auto" w:fill="CCEEFF"/>
            <w:vAlign w:val="bottom"/>
          </w:tcPr>
          <w:p w:rsidR="0018024C" w:rsidRPr="00C6642F" w:rsidRDefault="0018024C" w:rsidP="0018024C">
            <w:pPr>
              <w:ind w:right="63"/>
              <w:jc w:val="right"/>
              <w:rPr>
                <w:b/>
                <w:sz w:val="20"/>
              </w:rPr>
            </w:pPr>
            <w:r w:rsidRPr="00C6642F">
              <w:rPr>
                <w:b/>
                <w:sz w:val="20"/>
              </w:rPr>
              <w:t xml:space="preserve"> 27</w:t>
            </w:r>
          </w:p>
        </w:tc>
      </w:tr>
      <w:tr w:rsidR="0018024C" w:rsidRPr="00C6642F" w:rsidTr="0018024C">
        <w:trPr>
          <w:trHeight w:hRule="exact" w:val="255"/>
        </w:trPr>
        <w:tc>
          <w:tcPr>
            <w:tcW w:w="3479" w:type="pct"/>
            <w:tcBorders>
              <w:top w:val="nil"/>
              <w:left w:val="nil"/>
              <w:bottom w:val="nil"/>
              <w:right w:val="nil"/>
              <w:tl2br w:val="nil"/>
              <w:tr2bl w:val="nil"/>
            </w:tcBorders>
            <w:vAlign w:val="bottom"/>
          </w:tcPr>
          <w:p w:rsidR="0018024C" w:rsidRPr="00C6642F" w:rsidRDefault="0018024C" w:rsidP="0018024C">
            <w:pPr>
              <w:rPr>
                <w:sz w:val="20"/>
              </w:rPr>
            </w:pPr>
            <w:r w:rsidRPr="00C6642F">
              <w:rPr>
                <w:sz w:val="20"/>
              </w:rPr>
              <w:t>2023</w:t>
            </w:r>
          </w:p>
        </w:tc>
        <w:tc>
          <w:tcPr>
            <w:tcW w:w="1063" w:type="pct"/>
            <w:tcBorders>
              <w:top w:val="nil"/>
              <w:left w:val="nil"/>
              <w:bottom w:val="nil"/>
              <w:right w:val="nil"/>
              <w:tl2br w:val="nil"/>
              <w:tr2bl w:val="nil"/>
            </w:tcBorders>
            <w:vAlign w:val="bottom"/>
          </w:tcPr>
          <w:p w:rsidR="0018024C" w:rsidRPr="00C6642F" w:rsidRDefault="0018024C" w:rsidP="0018024C">
            <w:pPr>
              <w:rPr>
                <w:sz w:val="20"/>
              </w:rPr>
            </w:pPr>
          </w:p>
        </w:tc>
        <w:tc>
          <w:tcPr>
            <w:tcW w:w="125" w:type="pct"/>
            <w:tcBorders>
              <w:top w:val="nil"/>
              <w:left w:val="nil"/>
              <w:bottom w:val="nil"/>
              <w:right w:val="nil"/>
              <w:tl2br w:val="nil"/>
              <w:tr2bl w:val="nil"/>
            </w:tcBorders>
            <w:vAlign w:val="bottom"/>
          </w:tcPr>
          <w:p w:rsidR="0018024C" w:rsidRPr="00C6642F" w:rsidRDefault="0018024C" w:rsidP="0018024C">
            <w:pPr>
              <w:rPr>
                <w:b/>
                <w:sz w:val="20"/>
              </w:rPr>
            </w:pPr>
          </w:p>
        </w:tc>
        <w:tc>
          <w:tcPr>
            <w:tcW w:w="333" w:type="pct"/>
            <w:tcBorders>
              <w:top w:val="nil"/>
              <w:left w:val="nil"/>
              <w:bottom w:val="nil"/>
              <w:right w:val="nil"/>
              <w:tl2br w:val="nil"/>
              <w:tr2bl w:val="nil"/>
            </w:tcBorders>
            <w:vAlign w:val="bottom"/>
          </w:tcPr>
          <w:p w:rsidR="0018024C" w:rsidRPr="00C6642F" w:rsidRDefault="0018024C" w:rsidP="0018024C">
            <w:pPr>
              <w:ind w:right="63"/>
              <w:jc w:val="right"/>
              <w:rPr>
                <w:b/>
                <w:sz w:val="20"/>
              </w:rPr>
            </w:pPr>
            <w:r w:rsidRPr="00C6642F">
              <w:rPr>
                <w:b/>
                <w:sz w:val="20"/>
              </w:rPr>
              <w:t xml:space="preserve"> 21</w:t>
            </w:r>
          </w:p>
        </w:tc>
      </w:tr>
      <w:tr w:rsidR="0018024C" w:rsidRPr="00C6642F" w:rsidTr="0018024C">
        <w:trPr>
          <w:trHeight w:hRule="exact" w:val="255"/>
        </w:trPr>
        <w:tc>
          <w:tcPr>
            <w:tcW w:w="3479" w:type="pct"/>
            <w:tcBorders>
              <w:top w:val="nil"/>
              <w:left w:val="nil"/>
              <w:bottom w:val="nil"/>
              <w:right w:val="nil"/>
              <w:tl2br w:val="nil"/>
              <w:tr2bl w:val="nil"/>
            </w:tcBorders>
            <w:shd w:val="clear" w:color="auto" w:fill="CCEEFF"/>
            <w:vAlign w:val="bottom"/>
          </w:tcPr>
          <w:p w:rsidR="0018024C" w:rsidRPr="00C6642F" w:rsidRDefault="0018024C" w:rsidP="0018024C">
            <w:pPr>
              <w:rPr>
                <w:sz w:val="20"/>
              </w:rPr>
            </w:pPr>
            <w:r w:rsidRPr="00C6642F">
              <w:rPr>
                <w:sz w:val="20"/>
              </w:rPr>
              <w:t>2024</w:t>
            </w:r>
          </w:p>
        </w:tc>
        <w:tc>
          <w:tcPr>
            <w:tcW w:w="1063" w:type="pct"/>
            <w:tcBorders>
              <w:top w:val="nil"/>
              <w:left w:val="nil"/>
              <w:bottom w:val="nil"/>
              <w:right w:val="nil"/>
              <w:tl2br w:val="nil"/>
              <w:tr2bl w:val="nil"/>
            </w:tcBorders>
            <w:shd w:val="clear" w:color="auto" w:fill="CCEEFF"/>
            <w:vAlign w:val="bottom"/>
          </w:tcPr>
          <w:p w:rsidR="0018024C" w:rsidRPr="00C6642F" w:rsidRDefault="0018024C" w:rsidP="0018024C">
            <w:pPr>
              <w:rPr>
                <w:sz w:val="20"/>
              </w:rPr>
            </w:pPr>
          </w:p>
        </w:tc>
        <w:tc>
          <w:tcPr>
            <w:tcW w:w="125" w:type="pct"/>
            <w:tcBorders>
              <w:top w:val="nil"/>
              <w:left w:val="nil"/>
              <w:bottom w:val="nil"/>
              <w:right w:val="nil"/>
              <w:tl2br w:val="nil"/>
              <w:tr2bl w:val="nil"/>
            </w:tcBorders>
            <w:shd w:val="clear" w:color="auto" w:fill="CCEEFF"/>
            <w:vAlign w:val="bottom"/>
          </w:tcPr>
          <w:p w:rsidR="0018024C" w:rsidRPr="00C6642F" w:rsidRDefault="0018024C" w:rsidP="0018024C">
            <w:pPr>
              <w:rPr>
                <w:b/>
                <w:sz w:val="20"/>
              </w:rPr>
            </w:pPr>
          </w:p>
        </w:tc>
        <w:tc>
          <w:tcPr>
            <w:tcW w:w="333" w:type="pct"/>
            <w:tcBorders>
              <w:top w:val="nil"/>
              <w:left w:val="nil"/>
              <w:bottom w:val="nil"/>
              <w:right w:val="nil"/>
              <w:tl2br w:val="nil"/>
              <w:tr2bl w:val="nil"/>
            </w:tcBorders>
            <w:shd w:val="clear" w:color="auto" w:fill="CCEEFF"/>
            <w:vAlign w:val="bottom"/>
          </w:tcPr>
          <w:p w:rsidR="0018024C" w:rsidRPr="00C6642F" w:rsidRDefault="0018024C" w:rsidP="0018024C">
            <w:pPr>
              <w:ind w:right="63"/>
              <w:jc w:val="right"/>
              <w:rPr>
                <w:b/>
                <w:sz w:val="20"/>
              </w:rPr>
            </w:pPr>
            <w:r w:rsidRPr="00C6642F">
              <w:rPr>
                <w:b/>
                <w:sz w:val="20"/>
              </w:rPr>
              <w:t xml:space="preserve"> 17</w:t>
            </w:r>
          </w:p>
        </w:tc>
      </w:tr>
      <w:tr w:rsidR="0018024C" w:rsidRPr="00C6642F" w:rsidTr="0018024C">
        <w:trPr>
          <w:trHeight w:hRule="exact" w:val="255"/>
        </w:trPr>
        <w:tc>
          <w:tcPr>
            <w:tcW w:w="3479" w:type="pct"/>
            <w:tcBorders>
              <w:top w:val="nil"/>
              <w:left w:val="nil"/>
              <w:bottom w:val="nil"/>
              <w:right w:val="nil"/>
              <w:tl2br w:val="nil"/>
              <w:tr2bl w:val="nil"/>
            </w:tcBorders>
            <w:vAlign w:val="bottom"/>
          </w:tcPr>
          <w:p w:rsidR="0018024C" w:rsidRPr="00C6642F" w:rsidRDefault="0018024C" w:rsidP="0018024C">
            <w:pPr>
              <w:rPr>
                <w:sz w:val="20"/>
              </w:rPr>
            </w:pPr>
            <w:r w:rsidRPr="00C6642F">
              <w:rPr>
                <w:sz w:val="20"/>
              </w:rPr>
              <w:t>After 2024</w:t>
            </w:r>
          </w:p>
        </w:tc>
        <w:tc>
          <w:tcPr>
            <w:tcW w:w="1063" w:type="pct"/>
            <w:tcBorders>
              <w:top w:val="nil"/>
              <w:left w:val="nil"/>
              <w:bottom w:val="nil"/>
              <w:right w:val="nil"/>
              <w:tl2br w:val="nil"/>
              <w:tr2bl w:val="nil"/>
            </w:tcBorders>
            <w:vAlign w:val="bottom"/>
          </w:tcPr>
          <w:p w:rsidR="0018024C" w:rsidRPr="00C6642F" w:rsidRDefault="0018024C" w:rsidP="0018024C">
            <w:pPr>
              <w:rPr>
                <w:sz w:val="20"/>
              </w:rPr>
            </w:pPr>
          </w:p>
        </w:tc>
        <w:tc>
          <w:tcPr>
            <w:tcW w:w="125" w:type="pct"/>
            <w:tcBorders>
              <w:top w:val="nil"/>
              <w:left w:val="nil"/>
              <w:bottom w:val="single" w:sz="12" w:space="0" w:color="000000"/>
              <w:right w:val="nil"/>
              <w:tl2br w:val="nil"/>
              <w:tr2bl w:val="nil"/>
            </w:tcBorders>
            <w:vAlign w:val="bottom"/>
          </w:tcPr>
          <w:p w:rsidR="0018024C" w:rsidRPr="00C6642F" w:rsidRDefault="0018024C" w:rsidP="0018024C">
            <w:pPr>
              <w:rPr>
                <w:b/>
                <w:sz w:val="20"/>
              </w:rPr>
            </w:pPr>
          </w:p>
        </w:tc>
        <w:tc>
          <w:tcPr>
            <w:tcW w:w="333" w:type="pct"/>
            <w:tcBorders>
              <w:top w:val="nil"/>
              <w:left w:val="nil"/>
              <w:bottom w:val="single" w:sz="12" w:space="0" w:color="000000"/>
              <w:right w:val="nil"/>
              <w:tl2br w:val="nil"/>
              <w:tr2bl w:val="nil"/>
            </w:tcBorders>
            <w:vAlign w:val="bottom"/>
          </w:tcPr>
          <w:p w:rsidR="0018024C" w:rsidRPr="00C6642F" w:rsidRDefault="0018024C" w:rsidP="0018024C">
            <w:pPr>
              <w:ind w:right="63"/>
              <w:jc w:val="right"/>
              <w:rPr>
                <w:b/>
                <w:sz w:val="20"/>
              </w:rPr>
            </w:pPr>
            <w:r w:rsidRPr="00C6642F">
              <w:rPr>
                <w:b/>
                <w:sz w:val="20"/>
              </w:rPr>
              <w:t xml:space="preserve"> 192</w:t>
            </w:r>
          </w:p>
        </w:tc>
      </w:tr>
      <w:tr w:rsidR="0018024C" w:rsidRPr="00C6642F" w:rsidTr="0018024C">
        <w:trPr>
          <w:trHeight w:hRule="exact" w:val="255"/>
        </w:trPr>
        <w:tc>
          <w:tcPr>
            <w:tcW w:w="3479" w:type="pct"/>
            <w:tcBorders>
              <w:top w:val="nil"/>
              <w:left w:val="nil"/>
              <w:bottom w:val="nil"/>
              <w:right w:val="nil"/>
              <w:tl2br w:val="nil"/>
              <w:tr2bl w:val="nil"/>
            </w:tcBorders>
            <w:shd w:val="clear" w:color="auto" w:fill="CCEEFF"/>
            <w:vAlign w:val="bottom"/>
          </w:tcPr>
          <w:p w:rsidR="0018024C" w:rsidRPr="00C6642F" w:rsidRDefault="0018024C" w:rsidP="0018024C">
            <w:pPr>
              <w:rPr>
                <w:sz w:val="20"/>
              </w:rPr>
            </w:pPr>
            <w:r w:rsidRPr="00C6642F">
              <w:rPr>
                <w:sz w:val="20"/>
              </w:rPr>
              <w:t>Total lease payments</w:t>
            </w:r>
          </w:p>
        </w:tc>
        <w:tc>
          <w:tcPr>
            <w:tcW w:w="1063" w:type="pct"/>
            <w:tcBorders>
              <w:top w:val="nil"/>
              <w:left w:val="nil"/>
              <w:bottom w:val="nil"/>
              <w:right w:val="nil"/>
              <w:tl2br w:val="nil"/>
              <w:tr2bl w:val="nil"/>
            </w:tcBorders>
            <w:shd w:val="clear" w:color="auto" w:fill="CCEEFF"/>
            <w:vAlign w:val="bottom"/>
          </w:tcPr>
          <w:p w:rsidR="0018024C" w:rsidRPr="00C6642F" w:rsidRDefault="0018024C" w:rsidP="0018024C">
            <w:pPr>
              <w:rPr>
                <w:sz w:val="20"/>
              </w:rPr>
            </w:pPr>
          </w:p>
        </w:tc>
        <w:tc>
          <w:tcPr>
            <w:tcW w:w="125"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rPr>
                <w:b/>
                <w:sz w:val="20"/>
              </w:rPr>
            </w:pPr>
          </w:p>
        </w:tc>
        <w:tc>
          <w:tcPr>
            <w:tcW w:w="333"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ind w:right="63"/>
              <w:jc w:val="right"/>
              <w:rPr>
                <w:b/>
                <w:sz w:val="20"/>
              </w:rPr>
            </w:pPr>
            <w:r w:rsidRPr="00C6642F">
              <w:rPr>
                <w:b/>
                <w:sz w:val="20"/>
              </w:rPr>
              <w:t xml:space="preserve"> 332</w:t>
            </w:r>
          </w:p>
        </w:tc>
      </w:tr>
      <w:tr w:rsidR="0018024C" w:rsidRPr="00C6642F" w:rsidTr="0018024C">
        <w:trPr>
          <w:trHeight w:hRule="exact" w:val="255"/>
        </w:trPr>
        <w:tc>
          <w:tcPr>
            <w:tcW w:w="3479" w:type="pct"/>
            <w:tcBorders>
              <w:top w:val="nil"/>
              <w:left w:val="nil"/>
              <w:bottom w:val="nil"/>
              <w:right w:val="nil"/>
              <w:tl2br w:val="nil"/>
              <w:tr2bl w:val="nil"/>
            </w:tcBorders>
            <w:vAlign w:val="bottom"/>
          </w:tcPr>
          <w:p w:rsidR="0018024C" w:rsidRPr="00C6642F" w:rsidRDefault="0018024C" w:rsidP="0018024C">
            <w:pPr>
              <w:rPr>
                <w:sz w:val="20"/>
              </w:rPr>
            </w:pPr>
            <w:r w:rsidRPr="00C6642F">
              <w:rPr>
                <w:sz w:val="20"/>
              </w:rPr>
              <w:t>Less: Interest</w:t>
            </w:r>
          </w:p>
        </w:tc>
        <w:tc>
          <w:tcPr>
            <w:tcW w:w="1063" w:type="pct"/>
            <w:tcBorders>
              <w:top w:val="nil"/>
              <w:left w:val="nil"/>
              <w:bottom w:val="nil"/>
              <w:right w:val="nil"/>
              <w:tl2br w:val="nil"/>
              <w:tr2bl w:val="nil"/>
            </w:tcBorders>
            <w:vAlign w:val="bottom"/>
          </w:tcPr>
          <w:p w:rsidR="0018024C" w:rsidRPr="00C6642F" w:rsidRDefault="0018024C" w:rsidP="0018024C">
            <w:pPr>
              <w:rPr>
                <w:sz w:val="20"/>
              </w:rPr>
            </w:pPr>
          </w:p>
        </w:tc>
        <w:tc>
          <w:tcPr>
            <w:tcW w:w="125" w:type="pct"/>
            <w:tcBorders>
              <w:top w:val="nil"/>
              <w:left w:val="nil"/>
              <w:bottom w:val="single" w:sz="12" w:space="0" w:color="000000"/>
              <w:right w:val="nil"/>
              <w:tl2br w:val="nil"/>
              <w:tr2bl w:val="nil"/>
            </w:tcBorders>
            <w:vAlign w:val="bottom"/>
          </w:tcPr>
          <w:p w:rsidR="0018024C" w:rsidRPr="00C6642F" w:rsidRDefault="0018024C" w:rsidP="0018024C">
            <w:pPr>
              <w:rPr>
                <w:b/>
                <w:sz w:val="20"/>
              </w:rPr>
            </w:pPr>
          </w:p>
        </w:tc>
        <w:tc>
          <w:tcPr>
            <w:tcW w:w="333" w:type="pct"/>
            <w:tcBorders>
              <w:top w:val="nil"/>
              <w:left w:val="nil"/>
              <w:bottom w:val="single" w:sz="12" w:space="0" w:color="000000"/>
              <w:right w:val="nil"/>
              <w:tl2br w:val="nil"/>
              <w:tr2bl w:val="nil"/>
            </w:tcBorders>
            <w:vAlign w:val="bottom"/>
          </w:tcPr>
          <w:p w:rsidR="0018024C" w:rsidRPr="00C6642F" w:rsidRDefault="0018024C" w:rsidP="0018024C">
            <w:pPr>
              <w:jc w:val="right"/>
              <w:rPr>
                <w:b/>
                <w:sz w:val="20"/>
              </w:rPr>
            </w:pPr>
            <w:r w:rsidRPr="00C6642F">
              <w:rPr>
                <w:b/>
                <w:sz w:val="20"/>
              </w:rPr>
              <w:t xml:space="preserve"> (131)</w:t>
            </w:r>
          </w:p>
        </w:tc>
      </w:tr>
      <w:tr w:rsidR="0018024C" w:rsidRPr="00C6642F" w:rsidTr="0018024C">
        <w:trPr>
          <w:trHeight w:hRule="exact" w:val="255"/>
        </w:trPr>
        <w:tc>
          <w:tcPr>
            <w:tcW w:w="3479" w:type="pct"/>
            <w:tcBorders>
              <w:top w:val="nil"/>
              <w:left w:val="nil"/>
              <w:bottom w:val="nil"/>
              <w:right w:val="nil"/>
              <w:tl2br w:val="nil"/>
              <w:tr2bl w:val="nil"/>
            </w:tcBorders>
            <w:shd w:val="clear" w:color="auto" w:fill="CCEEFF"/>
            <w:vAlign w:val="bottom"/>
          </w:tcPr>
          <w:p w:rsidR="0018024C" w:rsidRPr="00C6642F" w:rsidRDefault="0018024C" w:rsidP="0018024C">
            <w:pPr>
              <w:rPr>
                <w:sz w:val="20"/>
              </w:rPr>
            </w:pPr>
            <w:r w:rsidRPr="00C6642F">
              <w:rPr>
                <w:sz w:val="20"/>
              </w:rPr>
              <w:t>Present value of lease liabilities</w:t>
            </w:r>
          </w:p>
        </w:tc>
        <w:tc>
          <w:tcPr>
            <w:tcW w:w="1063" w:type="pct"/>
            <w:tcBorders>
              <w:top w:val="nil"/>
              <w:left w:val="nil"/>
              <w:bottom w:val="nil"/>
              <w:right w:val="nil"/>
              <w:tl2br w:val="nil"/>
              <w:tr2bl w:val="nil"/>
            </w:tcBorders>
            <w:shd w:val="clear" w:color="auto" w:fill="CCEEFF"/>
            <w:vAlign w:val="bottom"/>
          </w:tcPr>
          <w:p w:rsidR="0018024C" w:rsidRPr="00C6642F" w:rsidRDefault="0018024C" w:rsidP="0018024C">
            <w:pPr>
              <w:rPr>
                <w:sz w:val="20"/>
              </w:rPr>
            </w:pPr>
          </w:p>
        </w:tc>
        <w:tc>
          <w:tcPr>
            <w:tcW w:w="125"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rPr>
                <w:b/>
                <w:sz w:val="20"/>
              </w:rPr>
            </w:pPr>
            <w:r w:rsidRPr="00C6642F">
              <w:rPr>
                <w:b/>
                <w:sz w:val="20"/>
              </w:rPr>
              <w:t>$</w:t>
            </w:r>
          </w:p>
        </w:tc>
        <w:tc>
          <w:tcPr>
            <w:tcW w:w="333"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ind w:right="63"/>
              <w:jc w:val="right"/>
              <w:rPr>
                <w:b/>
                <w:sz w:val="20"/>
              </w:rPr>
            </w:pPr>
            <w:r w:rsidRPr="00C6642F">
              <w:rPr>
                <w:b/>
                <w:sz w:val="20"/>
              </w:rPr>
              <w:t xml:space="preserve"> 201</w:t>
            </w:r>
          </w:p>
        </w:tc>
      </w:tr>
    </w:tbl>
    <w:p w:rsidR="000D0795" w:rsidRPr="00C6642F" w:rsidRDefault="000D0795" w:rsidP="00DF0BDF">
      <w:pPr>
        <w:keepNext/>
        <w:rPr>
          <w:sz w:val="20"/>
          <w:lang w:eastAsia="zh-TW"/>
        </w:rPr>
      </w:pPr>
    </w:p>
    <w:p w:rsidR="00DF0BDF" w:rsidRPr="00C6642F" w:rsidRDefault="00DF0BDF" w:rsidP="00DF0BDF">
      <w:pPr>
        <w:rPr>
          <w:sz w:val="20"/>
        </w:rPr>
      </w:pPr>
      <w:r w:rsidRPr="00C6642F">
        <w:rPr>
          <w:sz w:val="20"/>
        </w:rPr>
        <w:t>Amounts maturing after 202</w:t>
      </w:r>
      <w:r w:rsidR="00264EC4" w:rsidRPr="00C6642F">
        <w:rPr>
          <w:sz w:val="20"/>
        </w:rPr>
        <w:t>4</w:t>
      </w:r>
      <w:r w:rsidRPr="00C6642F">
        <w:rPr>
          <w:sz w:val="20"/>
        </w:rPr>
        <w:t xml:space="preserve"> include expected renewals for leases of regional distribution centers and certain corporate offices through dates up to 2049.</w:t>
      </w:r>
    </w:p>
    <w:p w:rsidR="00DF0BDF" w:rsidRPr="00C6642F" w:rsidRDefault="00DF0BDF" w:rsidP="00DF0BDF">
      <w:pPr>
        <w:rPr>
          <w:sz w:val="20"/>
        </w:rPr>
      </w:pPr>
    </w:p>
    <w:p w:rsidR="00DF0BDF" w:rsidRPr="00C6642F" w:rsidRDefault="00DF0BDF" w:rsidP="00DF0BDF">
      <w:pPr>
        <w:rPr>
          <w:sz w:val="20"/>
        </w:rPr>
      </w:pPr>
      <w:r w:rsidRPr="00C6642F">
        <w:rPr>
          <w:sz w:val="20"/>
        </w:rPr>
        <w:t>The term and discount rate associated with leases are as follows:</w:t>
      </w:r>
    </w:p>
    <w:p w:rsidR="000D0795" w:rsidRPr="00C6642F" w:rsidRDefault="000D0795" w:rsidP="000D0795">
      <w:pPr>
        <w:pStyle w:val="NormalWeb"/>
        <w:keepNext/>
        <w:keepLines/>
        <w:widowControl w:val="0"/>
        <w:spacing w:before="0" w:beforeAutospacing="0" w:after="0" w:afterAutospacing="0"/>
        <w:rPr>
          <w:b/>
          <w:bCs/>
          <w:sz w:val="2"/>
          <w:szCs w:val="20"/>
          <w:u w:val="single"/>
        </w:rPr>
      </w:pPr>
    </w:p>
    <w:tbl>
      <w:tblPr>
        <w:tblW w:w="5000" w:type="pct"/>
        <w:tblCellMar>
          <w:left w:w="0" w:type="dxa"/>
          <w:right w:w="0" w:type="dxa"/>
        </w:tblCellMar>
        <w:tblLook w:val="04A0" w:firstRow="1" w:lastRow="0" w:firstColumn="1" w:lastColumn="0" w:noHBand="0" w:noVBand="1"/>
      </w:tblPr>
      <w:tblGrid>
        <w:gridCol w:w="7515"/>
        <w:gridCol w:w="600"/>
        <w:gridCol w:w="542"/>
        <w:gridCol w:w="2143"/>
      </w:tblGrid>
      <w:tr w:rsidR="0018024C" w:rsidRPr="00C6642F" w:rsidTr="0018024C">
        <w:trPr>
          <w:trHeight w:hRule="exact" w:val="20"/>
        </w:trPr>
        <w:tc>
          <w:tcPr>
            <w:tcW w:w="3479"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c>
          <w:tcPr>
            <w:tcW w:w="278"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c>
          <w:tcPr>
            <w:tcW w:w="251"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c>
          <w:tcPr>
            <w:tcW w:w="992"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r>
      <w:tr w:rsidR="0018024C" w:rsidRPr="00C6642F" w:rsidTr="0018024C">
        <w:trPr>
          <w:trHeight w:hRule="exact" w:val="255"/>
        </w:trPr>
        <w:tc>
          <w:tcPr>
            <w:tcW w:w="3479" w:type="pct"/>
            <w:tcBorders>
              <w:top w:val="nil"/>
              <w:left w:val="nil"/>
              <w:bottom w:val="nil"/>
              <w:right w:val="nil"/>
              <w:tl2br w:val="nil"/>
              <w:tr2bl w:val="nil"/>
            </w:tcBorders>
            <w:shd w:val="clear" w:color="auto" w:fill="auto"/>
            <w:vAlign w:val="bottom"/>
          </w:tcPr>
          <w:p w:rsidR="0018024C" w:rsidRPr="00C6642F" w:rsidRDefault="0018024C" w:rsidP="0018024C">
            <w:pPr>
              <w:spacing w:before="1" w:after="1"/>
              <w:rPr>
                <w:sz w:val="20"/>
              </w:rPr>
            </w:pPr>
          </w:p>
        </w:tc>
        <w:tc>
          <w:tcPr>
            <w:tcW w:w="278" w:type="pct"/>
            <w:tcBorders>
              <w:top w:val="nil"/>
              <w:left w:val="nil"/>
              <w:bottom w:val="nil"/>
              <w:right w:val="nil"/>
              <w:tl2br w:val="nil"/>
              <w:tr2bl w:val="nil"/>
            </w:tcBorders>
            <w:shd w:val="clear" w:color="auto" w:fill="auto"/>
            <w:vAlign w:val="bottom"/>
          </w:tcPr>
          <w:p w:rsidR="0018024C" w:rsidRPr="00C6642F" w:rsidRDefault="0018024C" w:rsidP="0018024C">
            <w:pPr>
              <w:spacing w:before="1" w:after="1"/>
              <w:rPr>
                <w:sz w:val="20"/>
              </w:rPr>
            </w:pPr>
          </w:p>
        </w:tc>
        <w:tc>
          <w:tcPr>
            <w:tcW w:w="1" w:type="pct"/>
            <w:gridSpan w:val="2"/>
            <w:tcBorders>
              <w:top w:val="nil"/>
              <w:left w:val="nil"/>
              <w:bottom w:val="nil"/>
              <w:right w:val="nil"/>
              <w:tl2br w:val="nil"/>
              <w:tr2bl w:val="nil"/>
            </w:tcBorders>
            <w:shd w:val="clear" w:color="auto" w:fill="auto"/>
            <w:vAlign w:val="bottom"/>
          </w:tcPr>
          <w:p w:rsidR="0018024C" w:rsidRPr="00C6642F" w:rsidRDefault="0018024C" w:rsidP="0018024C">
            <w:pPr>
              <w:spacing w:before="1" w:after="1"/>
              <w:jc w:val="center"/>
              <w:rPr>
                <w:b/>
                <w:color w:val="000000"/>
                <w:sz w:val="20"/>
              </w:rPr>
            </w:pPr>
            <w:r w:rsidRPr="00C6642F">
              <w:rPr>
                <w:b/>
                <w:color w:val="000000"/>
                <w:sz w:val="20"/>
              </w:rPr>
              <w:t xml:space="preserve">December 31, </w:t>
            </w:r>
          </w:p>
        </w:tc>
      </w:tr>
      <w:tr w:rsidR="0018024C" w:rsidRPr="00C6642F" w:rsidTr="0018024C">
        <w:trPr>
          <w:trHeight w:hRule="exact" w:val="255"/>
        </w:trPr>
        <w:tc>
          <w:tcPr>
            <w:tcW w:w="3479" w:type="pct"/>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spacing w:before="1" w:after="1"/>
              <w:rPr>
                <w:b/>
                <w:sz w:val="20"/>
              </w:rPr>
            </w:pPr>
            <w:r w:rsidRPr="00C6642F">
              <w:rPr>
                <w:b/>
                <w:sz w:val="20"/>
              </w:rPr>
              <w:t>Operating Lease Term and Discount Rate</w:t>
            </w:r>
          </w:p>
        </w:tc>
        <w:tc>
          <w:tcPr>
            <w:tcW w:w="278" w:type="pct"/>
            <w:tcBorders>
              <w:top w:val="nil"/>
              <w:left w:val="nil"/>
              <w:bottom w:val="nil"/>
              <w:right w:val="nil"/>
              <w:tl2br w:val="nil"/>
              <w:tr2bl w:val="nil"/>
            </w:tcBorders>
            <w:shd w:val="clear" w:color="auto" w:fill="auto"/>
            <w:vAlign w:val="bottom"/>
          </w:tcPr>
          <w:p w:rsidR="0018024C" w:rsidRPr="00C6642F" w:rsidRDefault="0018024C" w:rsidP="0018024C">
            <w:pPr>
              <w:spacing w:before="1"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spacing w:before="1" w:after="1"/>
              <w:jc w:val="center"/>
              <w:rPr>
                <w:b/>
                <w:color w:val="000000"/>
                <w:sz w:val="20"/>
              </w:rPr>
            </w:pPr>
            <w:r w:rsidRPr="00C6642F">
              <w:rPr>
                <w:b/>
                <w:color w:val="000000"/>
                <w:sz w:val="20"/>
              </w:rPr>
              <w:t>2019</w:t>
            </w:r>
          </w:p>
        </w:tc>
      </w:tr>
      <w:tr w:rsidR="0018024C" w:rsidRPr="00C6642F" w:rsidTr="0018024C">
        <w:trPr>
          <w:trHeight w:hRule="exact" w:val="255"/>
        </w:trPr>
        <w:tc>
          <w:tcPr>
            <w:tcW w:w="347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before="1" w:after="1"/>
              <w:rPr>
                <w:sz w:val="20"/>
              </w:rPr>
            </w:pPr>
            <w:r w:rsidRPr="00C6642F">
              <w:rPr>
                <w:sz w:val="20"/>
              </w:rPr>
              <w:t>Weighted-average remaining lease term (years)</w:t>
            </w:r>
          </w:p>
        </w:tc>
        <w:tc>
          <w:tcPr>
            <w:tcW w:w="278"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sz w:val="20"/>
              </w:rPr>
            </w:pPr>
          </w:p>
        </w:tc>
        <w:tc>
          <w:tcPr>
            <w:tcW w:w="251"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before="1" w:after="1"/>
              <w:rPr>
                <w:sz w:val="20"/>
              </w:rPr>
            </w:pPr>
          </w:p>
        </w:tc>
        <w:tc>
          <w:tcPr>
            <w:tcW w:w="99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before="1" w:after="1"/>
              <w:ind w:right="303"/>
              <w:jc w:val="right"/>
              <w:rPr>
                <w:b/>
                <w:sz w:val="20"/>
              </w:rPr>
            </w:pPr>
            <w:r w:rsidRPr="00C6642F">
              <w:rPr>
                <w:b/>
                <w:sz w:val="20"/>
              </w:rPr>
              <w:t>14</w:t>
            </w:r>
          </w:p>
        </w:tc>
      </w:tr>
      <w:tr w:rsidR="0018024C" w:rsidRPr="00C6642F" w:rsidTr="0018024C">
        <w:trPr>
          <w:trHeight w:hRule="exact" w:val="255"/>
        </w:trPr>
        <w:tc>
          <w:tcPr>
            <w:tcW w:w="3479" w:type="pct"/>
            <w:tcBorders>
              <w:top w:val="nil"/>
              <w:left w:val="nil"/>
              <w:bottom w:val="nil"/>
              <w:right w:val="nil"/>
              <w:tl2br w:val="nil"/>
              <w:tr2bl w:val="nil"/>
            </w:tcBorders>
            <w:vAlign w:val="bottom"/>
          </w:tcPr>
          <w:p w:rsidR="0018024C" w:rsidRPr="00C6642F" w:rsidRDefault="0018024C" w:rsidP="0018024C">
            <w:pPr>
              <w:spacing w:before="1" w:after="1"/>
              <w:rPr>
                <w:sz w:val="20"/>
              </w:rPr>
            </w:pPr>
            <w:r w:rsidRPr="00C6642F">
              <w:rPr>
                <w:sz w:val="20"/>
              </w:rPr>
              <w:t>Weighted-average discount rate</w:t>
            </w:r>
          </w:p>
        </w:tc>
        <w:tc>
          <w:tcPr>
            <w:tcW w:w="278" w:type="pct"/>
            <w:tcBorders>
              <w:top w:val="nil"/>
              <w:left w:val="nil"/>
              <w:bottom w:val="nil"/>
              <w:right w:val="nil"/>
              <w:tl2br w:val="nil"/>
              <w:tr2bl w:val="nil"/>
            </w:tcBorders>
            <w:vAlign w:val="bottom"/>
          </w:tcPr>
          <w:p w:rsidR="0018024C" w:rsidRPr="00C6642F" w:rsidRDefault="0018024C" w:rsidP="0018024C">
            <w:pPr>
              <w:spacing w:before="1" w:after="1"/>
              <w:rPr>
                <w:sz w:val="20"/>
              </w:rPr>
            </w:pPr>
          </w:p>
        </w:tc>
        <w:tc>
          <w:tcPr>
            <w:tcW w:w="251" w:type="pct"/>
            <w:tcBorders>
              <w:top w:val="nil"/>
              <w:left w:val="nil"/>
              <w:bottom w:val="nil"/>
              <w:right w:val="nil"/>
              <w:tl2br w:val="nil"/>
              <w:tr2bl w:val="nil"/>
            </w:tcBorders>
            <w:vAlign w:val="bottom"/>
          </w:tcPr>
          <w:p w:rsidR="0018024C" w:rsidRPr="00C6642F" w:rsidRDefault="0018024C" w:rsidP="0018024C">
            <w:pPr>
              <w:spacing w:before="1" w:after="1"/>
              <w:rPr>
                <w:sz w:val="20"/>
              </w:rPr>
            </w:pPr>
          </w:p>
        </w:tc>
        <w:tc>
          <w:tcPr>
            <w:tcW w:w="992" w:type="pct"/>
            <w:tcBorders>
              <w:top w:val="nil"/>
              <w:left w:val="nil"/>
              <w:bottom w:val="nil"/>
              <w:right w:val="nil"/>
              <w:tl2br w:val="nil"/>
              <w:tr2bl w:val="nil"/>
            </w:tcBorders>
            <w:vAlign w:val="bottom"/>
          </w:tcPr>
          <w:p w:rsidR="0018024C" w:rsidRPr="00C6642F" w:rsidRDefault="0018024C" w:rsidP="0018024C">
            <w:pPr>
              <w:spacing w:before="1" w:after="1"/>
              <w:ind w:right="63"/>
              <w:jc w:val="right"/>
              <w:rPr>
                <w:b/>
                <w:sz w:val="20"/>
              </w:rPr>
            </w:pPr>
            <w:r w:rsidRPr="00C6642F">
              <w:rPr>
                <w:b/>
                <w:sz w:val="20"/>
              </w:rPr>
              <w:t>7.0%</w:t>
            </w:r>
          </w:p>
        </w:tc>
      </w:tr>
    </w:tbl>
    <w:p w:rsidR="00FE1A74" w:rsidRPr="00C6642F" w:rsidRDefault="00FE1A74"/>
    <w:p w:rsidR="002C1865" w:rsidRPr="002C1865" w:rsidRDefault="002C1865" w:rsidP="002C1865">
      <w:pPr>
        <w:pStyle w:val="NormalWeb"/>
        <w:keepNext/>
        <w:keepLines/>
        <w:widowControl w:val="0"/>
        <w:spacing w:before="0" w:beforeAutospacing="0" w:after="0" w:afterAutospacing="0"/>
        <w:rPr>
          <w:b/>
          <w:bCs/>
          <w:sz w:val="2"/>
          <w:szCs w:val="20"/>
          <w:u w:val="single"/>
        </w:rPr>
      </w:pPr>
    </w:p>
    <w:p w:rsidR="000121CD" w:rsidRPr="00C6642F" w:rsidRDefault="00590862">
      <w:pPr>
        <w:pStyle w:val="NormalWeb"/>
        <w:keepNext/>
        <w:keepLines/>
        <w:widowControl w:val="0"/>
        <w:spacing w:before="270" w:beforeAutospacing="0" w:after="0" w:afterAutospacing="0"/>
      </w:pPr>
      <w:r w:rsidRPr="00C6642F">
        <w:rPr>
          <w:b/>
          <w:bCs/>
          <w:sz w:val="20"/>
          <w:szCs w:val="20"/>
          <w:u w:val="single"/>
        </w:rPr>
        <w:t xml:space="preserve">NOTE </w:t>
      </w:r>
      <w:r w:rsidR="000D0795" w:rsidRPr="00C6642F">
        <w:rPr>
          <w:b/>
          <w:bCs/>
          <w:sz w:val="20"/>
          <w:szCs w:val="20"/>
          <w:u w:val="single"/>
        </w:rPr>
        <w:t>8</w:t>
      </w:r>
      <w:r w:rsidRPr="00C6642F">
        <w:rPr>
          <w:b/>
          <w:bCs/>
          <w:sz w:val="20"/>
          <w:szCs w:val="20"/>
          <w:u w:val="single"/>
        </w:rPr>
        <w:t xml:space="preserve">—LONG-TERM DEBT </w:t>
      </w:r>
    </w:p>
    <w:p w:rsidR="000121CD" w:rsidRPr="00C6642F" w:rsidRDefault="00590862">
      <w:pPr>
        <w:pStyle w:val="NormalWeb"/>
        <w:keepNext/>
        <w:keepLines/>
        <w:widowControl w:val="0"/>
        <w:spacing w:before="90" w:beforeAutospacing="0" w:after="0" w:afterAutospacing="0"/>
      </w:pPr>
      <w:r w:rsidRPr="00C6642F">
        <w:rPr>
          <w:sz w:val="20"/>
          <w:szCs w:val="20"/>
        </w:rPr>
        <w:t xml:space="preserve">The components of our long-term debt are as follows (in millions): </w:t>
      </w:r>
    </w:p>
    <w:p w:rsidR="000121CD" w:rsidRPr="00C6642F" w:rsidRDefault="00590862">
      <w:pPr>
        <w:pStyle w:val="NormalWeb"/>
        <w:keepNext/>
        <w:keepLines/>
        <w:widowControl w:val="0"/>
        <w:spacing w:before="0" w:beforeAutospacing="0" w:after="0" w:afterAutospacing="0"/>
        <w:rPr>
          <w:sz w:val="18"/>
          <w:szCs w:val="18"/>
        </w:rPr>
      </w:pPr>
      <w:r w:rsidRPr="00C6642F">
        <w:rPr>
          <w:sz w:val="18"/>
          <w:szCs w:val="18"/>
        </w:rPr>
        <w:t> </w:t>
      </w:r>
    </w:p>
    <w:tbl>
      <w:tblPr>
        <w:tblW w:w="5000" w:type="pct"/>
        <w:tblCellMar>
          <w:left w:w="0" w:type="dxa"/>
          <w:right w:w="0" w:type="dxa"/>
        </w:tblCellMar>
        <w:tblLook w:val="04A0" w:firstRow="1" w:lastRow="0" w:firstColumn="1" w:lastColumn="0" w:noHBand="0" w:noVBand="1"/>
      </w:tblPr>
      <w:tblGrid>
        <w:gridCol w:w="7534"/>
        <w:gridCol w:w="285"/>
        <w:gridCol w:w="1184"/>
        <w:gridCol w:w="330"/>
        <w:gridCol w:w="285"/>
        <w:gridCol w:w="1182"/>
      </w:tblGrid>
      <w:tr w:rsidR="0018024C" w:rsidRPr="00C6642F" w:rsidTr="0018024C">
        <w:trPr>
          <w:trHeight w:hRule="exact" w:val="20"/>
        </w:trPr>
        <w:tc>
          <w:tcPr>
            <w:tcW w:w="3488"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32"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548"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53"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32"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547"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r>
      <w:tr w:rsidR="0018024C" w:rsidRPr="00C6642F" w:rsidTr="0018024C">
        <w:trPr>
          <w:trHeight w:hRule="exact" w:val="300"/>
        </w:trPr>
        <w:tc>
          <w:tcPr>
            <w:tcW w:w="3488"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sz w:val="20"/>
              </w:rPr>
            </w:pPr>
          </w:p>
        </w:tc>
        <w:tc>
          <w:tcPr>
            <w:tcW w:w="132" w:type="pct"/>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rPr>
                <w:sz w:val="20"/>
              </w:rPr>
            </w:pPr>
          </w:p>
        </w:tc>
        <w:tc>
          <w:tcPr>
            <w:tcW w:w="1" w:type="pct"/>
            <w:gridSpan w:val="4"/>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sz w:val="20"/>
              </w:rPr>
            </w:pPr>
            <w:r w:rsidRPr="00C6642F">
              <w:rPr>
                <w:b/>
                <w:sz w:val="20"/>
              </w:rPr>
              <w:t>December 31,</w:t>
            </w:r>
          </w:p>
        </w:tc>
      </w:tr>
      <w:tr w:rsidR="0018024C" w:rsidRPr="00C6642F" w:rsidTr="0018024C">
        <w:trPr>
          <w:trHeight w:hRule="exact" w:val="300"/>
        </w:trPr>
        <w:tc>
          <w:tcPr>
            <w:tcW w:w="3488"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sz w:val="20"/>
              </w:rPr>
            </w:pPr>
            <w:r w:rsidRPr="00C6642F">
              <w:rPr>
                <w:b/>
                <w:sz w:val="20"/>
              </w:rPr>
              <w:t>2019</w:t>
            </w:r>
          </w:p>
        </w:tc>
        <w:tc>
          <w:tcPr>
            <w:tcW w:w="153"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sz w:val="20"/>
              </w:rPr>
            </w:pPr>
            <w:r w:rsidRPr="00C6642F">
              <w:rPr>
                <w:b/>
                <w:sz w:val="20"/>
              </w:rPr>
              <w:t xml:space="preserve"> 2018</w:t>
            </w:r>
          </w:p>
        </w:tc>
      </w:tr>
      <w:tr w:rsidR="0018024C" w:rsidRPr="00C6642F" w:rsidTr="0018024C">
        <w:trPr>
          <w:trHeight w:hRule="exact" w:val="300"/>
        </w:trPr>
        <w:tc>
          <w:tcPr>
            <w:tcW w:w="348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r w:rsidRPr="00C6642F">
              <w:rPr>
                <w:sz w:val="20"/>
              </w:rPr>
              <w:t xml:space="preserve">Senior Secured Term Loan B, net of discount and issuance costs of </w:t>
            </w:r>
            <w:r w:rsidRPr="00C6642F">
              <w:rPr>
                <w:color w:val="000000"/>
                <w:sz w:val="20"/>
              </w:rPr>
              <w:t>$2</w:t>
            </w:r>
            <w:r w:rsidRPr="00C6642F">
              <w:rPr>
                <w:sz w:val="20"/>
              </w:rPr>
              <w:t xml:space="preserve"> and $3, respectively</w:t>
            </w:r>
          </w:p>
        </w:tc>
        <w:tc>
          <w:tcPr>
            <w:tcW w:w="13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sz w:val="20"/>
              </w:rPr>
            </w:pPr>
            <w:r w:rsidRPr="00C6642F">
              <w:rPr>
                <w:b/>
                <w:sz w:val="20"/>
              </w:rPr>
              <w:t>$</w:t>
            </w:r>
          </w:p>
        </w:tc>
        <w:tc>
          <w:tcPr>
            <w:tcW w:w="54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sz w:val="20"/>
              </w:rPr>
            </w:pPr>
            <w:r w:rsidRPr="00C6642F">
              <w:rPr>
                <w:b/>
                <w:sz w:val="20"/>
              </w:rPr>
              <w:t xml:space="preserve"> 390</w:t>
            </w:r>
          </w:p>
        </w:tc>
        <w:tc>
          <w:tcPr>
            <w:tcW w:w="153"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3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r w:rsidRPr="00C6642F">
              <w:rPr>
                <w:sz w:val="20"/>
              </w:rPr>
              <w:t>$</w:t>
            </w:r>
          </w:p>
        </w:tc>
        <w:tc>
          <w:tcPr>
            <w:tcW w:w="54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sz w:val="20"/>
              </w:rPr>
            </w:pPr>
            <w:r w:rsidRPr="00C6642F">
              <w:rPr>
                <w:sz w:val="20"/>
              </w:rPr>
              <w:t xml:space="preserve"> 393</w:t>
            </w:r>
          </w:p>
        </w:tc>
      </w:tr>
      <w:tr w:rsidR="0018024C" w:rsidRPr="00C6642F" w:rsidTr="0018024C">
        <w:trPr>
          <w:trHeight w:hRule="exact" w:val="300"/>
        </w:trPr>
        <w:tc>
          <w:tcPr>
            <w:tcW w:w="3488"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r w:rsidRPr="00C6642F">
              <w:rPr>
                <w:sz w:val="20"/>
              </w:rPr>
              <w:t>Global ABL Facility</w:t>
            </w:r>
          </w:p>
        </w:tc>
        <w:tc>
          <w:tcPr>
            <w:tcW w:w="132"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b/>
                <w:sz w:val="20"/>
              </w:rPr>
            </w:pPr>
          </w:p>
        </w:tc>
        <w:tc>
          <w:tcPr>
            <w:tcW w:w="54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3"/>
              <w:jc w:val="right"/>
              <w:rPr>
                <w:b/>
                <w:sz w:val="20"/>
              </w:rPr>
            </w:pPr>
            <w:r w:rsidRPr="00C6642F">
              <w:rPr>
                <w:b/>
                <w:sz w:val="20"/>
              </w:rPr>
              <w:t xml:space="preserve"> 161</w:t>
            </w:r>
          </w:p>
        </w:tc>
        <w:tc>
          <w:tcPr>
            <w:tcW w:w="153"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32"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sz w:val="20"/>
              </w:rPr>
            </w:pPr>
          </w:p>
        </w:tc>
        <w:tc>
          <w:tcPr>
            <w:tcW w:w="547"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5"/>
              <w:jc w:val="right"/>
              <w:rPr>
                <w:sz w:val="20"/>
              </w:rPr>
            </w:pPr>
            <w:r w:rsidRPr="00C6642F">
              <w:rPr>
                <w:sz w:val="20"/>
              </w:rPr>
              <w:t xml:space="preserve"> 291</w:t>
            </w:r>
          </w:p>
        </w:tc>
      </w:tr>
      <w:tr w:rsidR="0018024C" w:rsidRPr="00C6642F" w:rsidTr="0018024C">
        <w:trPr>
          <w:trHeight w:hRule="exact" w:val="300"/>
        </w:trPr>
        <w:tc>
          <w:tcPr>
            <w:tcW w:w="348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3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sz w:val="20"/>
              </w:rPr>
            </w:pPr>
          </w:p>
        </w:tc>
        <w:tc>
          <w:tcPr>
            <w:tcW w:w="54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sz w:val="20"/>
              </w:rPr>
            </w:pPr>
            <w:r w:rsidRPr="00C6642F">
              <w:rPr>
                <w:b/>
                <w:sz w:val="20"/>
              </w:rPr>
              <w:t xml:space="preserve"> 551</w:t>
            </w:r>
          </w:p>
        </w:tc>
        <w:tc>
          <w:tcPr>
            <w:tcW w:w="153"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3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54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sz w:val="20"/>
              </w:rPr>
            </w:pPr>
            <w:r w:rsidRPr="00C6642F">
              <w:rPr>
                <w:sz w:val="20"/>
              </w:rPr>
              <w:t xml:space="preserve"> 684</w:t>
            </w:r>
          </w:p>
        </w:tc>
      </w:tr>
      <w:tr w:rsidR="0018024C" w:rsidRPr="00C6642F" w:rsidTr="0018024C">
        <w:trPr>
          <w:trHeight w:hRule="exact" w:val="300"/>
        </w:trPr>
        <w:tc>
          <w:tcPr>
            <w:tcW w:w="3488"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r w:rsidRPr="00C6642F">
              <w:rPr>
                <w:sz w:val="20"/>
              </w:rPr>
              <w:t>Less: current portion</w:t>
            </w:r>
          </w:p>
        </w:tc>
        <w:tc>
          <w:tcPr>
            <w:tcW w:w="132"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b/>
                <w:sz w:val="20"/>
              </w:rPr>
            </w:pPr>
          </w:p>
        </w:tc>
        <w:tc>
          <w:tcPr>
            <w:tcW w:w="54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3"/>
              <w:jc w:val="right"/>
              <w:rPr>
                <w:b/>
                <w:sz w:val="20"/>
              </w:rPr>
            </w:pPr>
            <w:r w:rsidRPr="00C6642F">
              <w:rPr>
                <w:b/>
                <w:sz w:val="20"/>
              </w:rPr>
              <w:t xml:space="preserve"> 4</w:t>
            </w:r>
          </w:p>
        </w:tc>
        <w:tc>
          <w:tcPr>
            <w:tcW w:w="153"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32"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sz w:val="20"/>
              </w:rPr>
            </w:pPr>
          </w:p>
        </w:tc>
        <w:tc>
          <w:tcPr>
            <w:tcW w:w="547"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5"/>
              <w:jc w:val="right"/>
              <w:rPr>
                <w:sz w:val="20"/>
              </w:rPr>
            </w:pPr>
            <w:r w:rsidRPr="00C6642F">
              <w:rPr>
                <w:sz w:val="20"/>
              </w:rPr>
              <w:t xml:space="preserve"> 4</w:t>
            </w:r>
          </w:p>
        </w:tc>
      </w:tr>
      <w:tr w:rsidR="0018024C" w:rsidRPr="00C6642F" w:rsidTr="0018024C">
        <w:trPr>
          <w:trHeight w:hRule="exact" w:val="300"/>
        </w:trPr>
        <w:tc>
          <w:tcPr>
            <w:tcW w:w="348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32"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b/>
                <w:sz w:val="20"/>
              </w:rPr>
            </w:pPr>
            <w:r w:rsidRPr="00C6642F">
              <w:rPr>
                <w:b/>
                <w:sz w:val="20"/>
              </w:rPr>
              <w:t>$</w:t>
            </w:r>
          </w:p>
        </w:tc>
        <w:tc>
          <w:tcPr>
            <w:tcW w:w="54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sz w:val="20"/>
              </w:rPr>
            </w:pPr>
            <w:r w:rsidRPr="00C6642F">
              <w:rPr>
                <w:b/>
                <w:sz w:val="20"/>
              </w:rPr>
              <w:t xml:space="preserve"> 547</w:t>
            </w:r>
          </w:p>
        </w:tc>
        <w:tc>
          <w:tcPr>
            <w:tcW w:w="153"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32"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sz w:val="20"/>
              </w:rPr>
            </w:pPr>
            <w:r w:rsidRPr="00C6642F">
              <w:rPr>
                <w:sz w:val="20"/>
              </w:rPr>
              <w:t>$</w:t>
            </w:r>
          </w:p>
        </w:tc>
        <w:tc>
          <w:tcPr>
            <w:tcW w:w="547"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5"/>
              <w:jc w:val="right"/>
              <w:rPr>
                <w:sz w:val="20"/>
              </w:rPr>
            </w:pPr>
            <w:r w:rsidRPr="00C6642F">
              <w:rPr>
                <w:sz w:val="20"/>
              </w:rPr>
              <w:t xml:space="preserve"> 680</w:t>
            </w:r>
          </w:p>
        </w:tc>
      </w:tr>
    </w:tbl>
    <w:p w:rsidR="000121CD" w:rsidRPr="00C6642F" w:rsidRDefault="00590862">
      <w:pPr>
        <w:pStyle w:val="NormalWeb"/>
        <w:keepNext/>
        <w:keepLines/>
        <w:widowControl w:val="0"/>
        <w:spacing w:before="180" w:beforeAutospacing="0" w:after="0" w:afterAutospacing="0"/>
      </w:pPr>
      <w:r w:rsidRPr="00C6642F">
        <w:rPr>
          <w:b/>
          <w:bCs/>
          <w:sz w:val="20"/>
          <w:szCs w:val="20"/>
          <w:u w:val="single"/>
        </w:rPr>
        <w:t>Senior Secured Term Loan B</w:t>
      </w:r>
      <w:r w:rsidRPr="00C6642F">
        <w:rPr>
          <w:b/>
          <w:bCs/>
          <w:sz w:val="20"/>
          <w:szCs w:val="20"/>
        </w:rPr>
        <w:t xml:space="preserve">: </w:t>
      </w:r>
      <w:r w:rsidRPr="00C6642F">
        <w:rPr>
          <w:sz w:val="20"/>
          <w:szCs w:val="20"/>
        </w:rPr>
        <w:t>In May 2018, we entered into Refinancing Amendment No. 2 relating to the Term Loan Credit Agreement, dated as of November 9, 2012, by and among the Company, MRC Global (US) Inc., as the borrower, the other subsidiaries of the Company from time to time party thereto as guarantors, the several lenders from time to time party thereto, Bank of America, N.A., as administrative agent, and U.S. Bank National Association, as collateral trustee. Pursuant to the amendment, the parties agreed to appoint JPMorgan Chase Bank, N.A. as the new administrative agent for the lenders. As amended, the Term Loan Agreement provides for a $400 million seven</w:t>
      </w:r>
      <w:r w:rsidR="005B0DD6" w:rsidRPr="00C6642F">
        <w:rPr>
          <w:sz w:val="20"/>
          <w:szCs w:val="20"/>
        </w:rPr>
        <w:t xml:space="preserve"> </w:t>
      </w:r>
      <w:r w:rsidRPr="00C6642F">
        <w:rPr>
          <w:sz w:val="20"/>
          <w:szCs w:val="20"/>
        </w:rPr>
        <w:t>year Term Loan B (the “Term Loan”), which matures September</w:t>
      </w:r>
      <w:r w:rsidR="0018024C" w:rsidRPr="00C6642F">
        <w:rPr>
          <w:sz w:val="20"/>
          <w:szCs w:val="20"/>
        </w:rPr>
        <w:t xml:space="preserve"> 22,</w:t>
      </w:r>
      <w:r w:rsidRPr="00C6642F">
        <w:rPr>
          <w:sz w:val="20"/>
          <w:szCs w:val="20"/>
        </w:rPr>
        <w:t xml:space="preserve"> 2024. Pursuant to this amendment, the Company and the other parties thereto agreed to reduce the interest rate margin applicable to term loans, in the case of loans incurring interest based on the base rate, from 250 basis points to 200 basis points, and in the case of loans incurring interest based on LIBOR, from 350 basis points to 300 basis points. The parties to the amendment also agreed to reduce the base rate ‘floor’ from 2.00% to 1.00% and to reduce the LIBOR ‘floor’ from 1.00% to 0.00%. The parties also reset the prepayment premium applicable to voluntary prepayments of the term loans such that repayments made in connection with certain re-pricing transactions will be subject to a 1% premium if made during the first six</w:t>
      </w:r>
      <w:r w:rsidR="005B0DD6" w:rsidRPr="00C6642F">
        <w:rPr>
          <w:sz w:val="20"/>
          <w:szCs w:val="20"/>
        </w:rPr>
        <w:t xml:space="preserve"> </w:t>
      </w:r>
      <w:r w:rsidRPr="00C6642F">
        <w:rPr>
          <w:sz w:val="20"/>
          <w:szCs w:val="20"/>
        </w:rPr>
        <w:t>months following the date of the amendment. Except as described above, the terms of the Term Loan Agreement generally were not modified as a result of the amendment.</w:t>
      </w:r>
    </w:p>
    <w:p w:rsidR="000121CD" w:rsidRPr="00C6642F" w:rsidRDefault="00590862">
      <w:pPr>
        <w:pStyle w:val="NormalWeb"/>
        <w:widowControl w:val="0"/>
        <w:spacing w:before="180" w:beforeAutospacing="0" w:after="0" w:afterAutospacing="0"/>
      </w:pPr>
      <w:r w:rsidRPr="00C6642F">
        <w:rPr>
          <w:i/>
          <w:iCs/>
          <w:sz w:val="20"/>
          <w:szCs w:val="20"/>
        </w:rPr>
        <w:t>Accordion.</w:t>
      </w:r>
      <w:r w:rsidRPr="00C6642F">
        <w:rPr>
          <w:sz w:val="20"/>
          <w:szCs w:val="20"/>
        </w:rPr>
        <w:t xml:space="preserve"> The Term Loan allows for incremental increases up to an aggregate of $200 million, plus an additional amount such that the Company’s first lien leverage ratio (the ratio of the Company’s Consolidated EBITDA (as defined under the Term Loan Agreement) to senior secured debt)</w:t>
      </w:r>
      <w:r w:rsidR="00B53A64" w:rsidRPr="00C6642F">
        <w:rPr>
          <w:sz w:val="20"/>
          <w:szCs w:val="20"/>
        </w:rPr>
        <w:t>,</w:t>
      </w:r>
      <w:r w:rsidRPr="00C6642F">
        <w:rPr>
          <w:sz w:val="20"/>
          <w:szCs w:val="20"/>
        </w:rPr>
        <w:t xml:space="preserve"> net of up to $75 million of unrestricted cash</w:t>
      </w:r>
      <w:r w:rsidR="00B53A64" w:rsidRPr="00C6642F">
        <w:rPr>
          <w:sz w:val="20"/>
          <w:szCs w:val="20"/>
        </w:rPr>
        <w:t>,</w:t>
      </w:r>
      <w:r w:rsidRPr="00C6642F">
        <w:rPr>
          <w:sz w:val="20"/>
          <w:szCs w:val="20"/>
        </w:rPr>
        <w:t xml:space="preserve"> would not exceed 4.00 to 1.00.</w:t>
      </w:r>
    </w:p>
    <w:p w:rsidR="000121CD" w:rsidRPr="00C6642F" w:rsidRDefault="00590862">
      <w:pPr>
        <w:pStyle w:val="NormalWeb"/>
        <w:widowControl w:val="0"/>
        <w:spacing w:before="180" w:beforeAutospacing="0" w:after="0" w:afterAutospacing="0"/>
      </w:pPr>
      <w:r w:rsidRPr="00C6642F">
        <w:rPr>
          <w:i/>
          <w:iCs/>
          <w:sz w:val="20"/>
          <w:szCs w:val="20"/>
        </w:rPr>
        <w:t>Maturity.</w:t>
      </w:r>
      <w:r w:rsidRPr="00C6642F">
        <w:rPr>
          <w:sz w:val="20"/>
          <w:szCs w:val="20"/>
        </w:rPr>
        <w:t xml:space="preserve"> The scheduled maturity date of the Term Loan is September 22, 2024. The Term Loan will amortize in equal quarterly installments at 1% a year with the payment of the balance at maturity. </w:t>
      </w:r>
    </w:p>
    <w:p w:rsidR="000121CD" w:rsidRPr="00C6642F" w:rsidRDefault="00590862">
      <w:pPr>
        <w:pStyle w:val="NormalWeb"/>
        <w:widowControl w:val="0"/>
        <w:spacing w:before="180" w:beforeAutospacing="0" w:after="0" w:afterAutospacing="0"/>
      </w:pPr>
      <w:r w:rsidRPr="00C6642F">
        <w:rPr>
          <w:i/>
          <w:iCs/>
          <w:sz w:val="20"/>
          <w:szCs w:val="20"/>
        </w:rPr>
        <w:t>Guarantees</w:t>
      </w:r>
      <w:r w:rsidRPr="00C6642F">
        <w:rPr>
          <w:sz w:val="20"/>
          <w:szCs w:val="20"/>
        </w:rPr>
        <w:t xml:space="preserve">. The Company and all of the U.S. borrower’s current and future wholly owned material U.S. subsidiaries guaranteed the Term Loan subject to certain exceptions. </w:t>
      </w:r>
    </w:p>
    <w:p w:rsidR="000121CD" w:rsidRPr="00C6642F" w:rsidRDefault="00590862">
      <w:pPr>
        <w:pStyle w:val="NormalWeb"/>
        <w:widowControl w:val="0"/>
        <w:spacing w:before="180" w:beforeAutospacing="0" w:after="0" w:afterAutospacing="0"/>
      </w:pPr>
      <w:r w:rsidRPr="00C6642F">
        <w:rPr>
          <w:i/>
          <w:iCs/>
          <w:sz w:val="20"/>
          <w:szCs w:val="20"/>
        </w:rPr>
        <w:t>Security.</w:t>
      </w:r>
      <w:r w:rsidRPr="00C6642F">
        <w:rPr>
          <w:sz w:val="20"/>
          <w:szCs w:val="20"/>
        </w:rPr>
        <w:t xml:space="preserve"> The Term Loan is secured by a first lien on all of the Company’s assets and the assets of its domestic subsidiaries, subject to certain exceptions and other than the collateral securing the Global ABL Facility (which includes accounts receivable, inventory and related assets, collectively, the “ABL collateral”), and by a second lien on the ABL collateral. In addition, a pledge secures the Term Loan of all the capital stock of the Company’s domestic subsidiaries and 65% of the capital stock of its first tier foreign subsidiaries, subject to certain exceptions. </w:t>
      </w:r>
    </w:p>
    <w:p w:rsidR="000121CD" w:rsidRPr="00C6642F" w:rsidRDefault="00590862">
      <w:pPr>
        <w:pStyle w:val="NormalWeb"/>
        <w:widowControl w:val="0"/>
        <w:spacing w:before="180" w:beforeAutospacing="0" w:after="0" w:afterAutospacing="0"/>
        <w:rPr>
          <w:sz w:val="20"/>
          <w:szCs w:val="20"/>
        </w:rPr>
      </w:pPr>
      <w:r w:rsidRPr="00C6642F">
        <w:rPr>
          <w:i/>
          <w:iCs/>
          <w:sz w:val="20"/>
          <w:szCs w:val="20"/>
        </w:rPr>
        <w:t>Interest Rates and Fees.</w:t>
      </w:r>
      <w:r w:rsidRPr="00C6642F">
        <w:rPr>
          <w:sz w:val="20"/>
          <w:szCs w:val="20"/>
        </w:rPr>
        <w:t xml:space="preserve"> The Company has the option to pay interest at a base rate, subject to a floor of 1.00%, plus an applicable margin, or at a rate based on LIBOR, subject to a floor of 0.00%, plus an applicable margin. The applicable margin for base rate loans is 200 basis points, and the applicable margin for LIBOR loans is 300 basis points. </w:t>
      </w:r>
    </w:p>
    <w:p w:rsidR="000121CD" w:rsidRPr="00C6642F" w:rsidRDefault="00590862">
      <w:pPr>
        <w:pStyle w:val="NormalWeb"/>
        <w:widowControl w:val="0"/>
        <w:spacing w:before="180" w:beforeAutospacing="0" w:after="0" w:afterAutospacing="0"/>
      </w:pPr>
      <w:r w:rsidRPr="00C6642F">
        <w:rPr>
          <w:i/>
          <w:iCs/>
          <w:sz w:val="20"/>
          <w:szCs w:val="20"/>
        </w:rPr>
        <w:t>Mandatory Prepayment</w:t>
      </w:r>
      <w:r w:rsidRPr="00C6642F">
        <w:rPr>
          <w:sz w:val="20"/>
          <w:szCs w:val="20"/>
        </w:rPr>
        <w:t>. The Company is required to repay the Term Loan with certain asset sale</w:t>
      </w:r>
      <w:r w:rsidR="00844D54" w:rsidRPr="00C6642F">
        <w:rPr>
          <w:sz w:val="20"/>
          <w:szCs w:val="20"/>
        </w:rPr>
        <w:t>,</w:t>
      </w:r>
      <w:r w:rsidRPr="00C6642F">
        <w:rPr>
          <w:sz w:val="20"/>
          <w:szCs w:val="20"/>
        </w:rPr>
        <w:t xml:space="preserve"> insurance </w:t>
      </w:r>
      <w:r w:rsidR="001970BC" w:rsidRPr="00C6642F">
        <w:rPr>
          <w:sz w:val="20"/>
          <w:szCs w:val="20"/>
        </w:rPr>
        <w:t>and</w:t>
      </w:r>
      <w:r w:rsidRPr="00C6642F">
        <w:rPr>
          <w:sz w:val="20"/>
          <w:szCs w:val="20"/>
        </w:rPr>
        <w:t xml:space="preserve"> debt proceeds</w:t>
      </w:r>
      <w:r w:rsidR="00EF5810" w:rsidRPr="00C6642F">
        <w:rPr>
          <w:sz w:val="20"/>
          <w:szCs w:val="20"/>
        </w:rPr>
        <w:t>.</w:t>
      </w:r>
      <w:r w:rsidRPr="00C6642F">
        <w:rPr>
          <w:sz w:val="20"/>
          <w:szCs w:val="20"/>
        </w:rPr>
        <w:t xml:space="preserve"> </w:t>
      </w:r>
      <w:r w:rsidR="001970BC" w:rsidRPr="00C6642F">
        <w:rPr>
          <w:sz w:val="20"/>
          <w:szCs w:val="20"/>
        </w:rPr>
        <w:t xml:space="preserve">In addition, on an annual basis, the Company is required to repay an amount equal to </w:t>
      </w:r>
      <w:r w:rsidRPr="00C6642F">
        <w:rPr>
          <w:sz w:val="20"/>
          <w:szCs w:val="20"/>
        </w:rPr>
        <w:t>50% of excess cash flow</w:t>
      </w:r>
      <w:r w:rsidR="001970BC" w:rsidRPr="00C6642F">
        <w:rPr>
          <w:sz w:val="20"/>
          <w:szCs w:val="20"/>
        </w:rPr>
        <w:t>, as defined in the Term Loan agreement,</w:t>
      </w:r>
      <w:r w:rsidRPr="00C6642F">
        <w:rPr>
          <w:sz w:val="20"/>
          <w:szCs w:val="20"/>
        </w:rPr>
        <w:t xml:space="preserve"> reducing to 25% if the Company’s senior secured leverage ratio is no more than 2.75 to 1.00</w:t>
      </w:r>
      <w:r w:rsidR="00943593" w:rsidRPr="00C6642F">
        <w:rPr>
          <w:sz w:val="20"/>
          <w:szCs w:val="20"/>
        </w:rPr>
        <w:t>.  No payment of excess cash flow is required</w:t>
      </w:r>
      <w:r w:rsidRPr="00C6642F">
        <w:rPr>
          <w:sz w:val="20"/>
          <w:szCs w:val="20"/>
        </w:rPr>
        <w:t xml:space="preserve"> if the Company’s senior secured leverage ratio is </w:t>
      </w:r>
      <w:r w:rsidR="00943593" w:rsidRPr="00C6642F">
        <w:rPr>
          <w:sz w:val="20"/>
          <w:szCs w:val="20"/>
        </w:rPr>
        <w:t>less</w:t>
      </w:r>
      <w:r w:rsidRPr="00C6642F">
        <w:rPr>
          <w:sz w:val="20"/>
          <w:szCs w:val="20"/>
        </w:rPr>
        <w:t xml:space="preserve"> than</w:t>
      </w:r>
      <w:r w:rsidR="009F575D" w:rsidRPr="00C6642F">
        <w:rPr>
          <w:sz w:val="20"/>
          <w:szCs w:val="20"/>
        </w:rPr>
        <w:t xml:space="preserve"> or equal to</w:t>
      </w:r>
      <w:r w:rsidRPr="00C6642F">
        <w:rPr>
          <w:sz w:val="20"/>
          <w:szCs w:val="20"/>
        </w:rPr>
        <w:t xml:space="preserve"> 2.50 to 1.00.  </w:t>
      </w:r>
    </w:p>
    <w:p w:rsidR="000121CD" w:rsidRPr="00C6642F" w:rsidRDefault="00590862">
      <w:pPr>
        <w:pStyle w:val="NormalWeb"/>
        <w:widowControl w:val="0"/>
        <w:spacing w:before="180" w:beforeAutospacing="0" w:after="0" w:afterAutospacing="0"/>
      </w:pPr>
      <w:r w:rsidRPr="00C6642F">
        <w:rPr>
          <w:i/>
          <w:iCs/>
          <w:sz w:val="20"/>
          <w:szCs w:val="20"/>
        </w:rPr>
        <w:t>Restrictive Covenants.</w:t>
      </w:r>
      <w:r w:rsidRPr="00C6642F">
        <w:rPr>
          <w:sz w:val="20"/>
          <w:szCs w:val="20"/>
        </w:rPr>
        <w:t xml:space="preserve"> The Term Loan does not include any financial maintenance covenants. </w:t>
      </w:r>
    </w:p>
    <w:p w:rsidR="000121CD" w:rsidRPr="00C6642F" w:rsidRDefault="00590862">
      <w:pPr>
        <w:pStyle w:val="NormalWeb"/>
        <w:keepNext/>
        <w:spacing w:before="180" w:beforeAutospacing="0" w:after="0" w:afterAutospacing="0"/>
      </w:pPr>
      <w:r w:rsidRPr="00C6642F">
        <w:rPr>
          <w:sz w:val="20"/>
          <w:szCs w:val="20"/>
        </w:rPr>
        <w:t xml:space="preserve">The Term Loan contains restrictive covenants (in each case, subject to exclusions) that limit, among other things, the ability of the Company and its restricted subsidiaries to: </w:t>
      </w:r>
    </w:p>
    <w:p w:rsidR="000121CD" w:rsidRPr="00C6642F" w:rsidRDefault="00590862">
      <w:pPr>
        <w:pStyle w:val="NormalWeb"/>
        <w:keepNext/>
        <w:numPr>
          <w:ilvl w:val="0"/>
          <w:numId w:val="27"/>
        </w:numPr>
        <w:spacing w:before="90" w:beforeAutospacing="0" w:after="0" w:afterAutospacing="0"/>
        <w:rPr>
          <w:sz w:val="20"/>
          <w:szCs w:val="20"/>
        </w:rPr>
      </w:pPr>
      <w:r w:rsidRPr="00C6642F">
        <w:rPr>
          <w:sz w:val="20"/>
          <w:szCs w:val="20"/>
        </w:rPr>
        <w:t xml:space="preserve">make investments, including acquisitions; </w:t>
      </w:r>
    </w:p>
    <w:p w:rsidR="000121CD" w:rsidRPr="00C6642F" w:rsidRDefault="00590862">
      <w:pPr>
        <w:pStyle w:val="NormalWeb"/>
        <w:keepNext/>
        <w:numPr>
          <w:ilvl w:val="0"/>
          <w:numId w:val="27"/>
        </w:numPr>
        <w:spacing w:before="90" w:beforeAutospacing="0" w:after="0" w:afterAutospacing="0"/>
        <w:rPr>
          <w:sz w:val="20"/>
          <w:szCs w:val="20"/>
        </w:rPr>
      </w:pPr>
      <w:r w:rsidRPr="00C6642F">
        <w:rPr>
          <w:sz w:val="20"/>
          <w:szCs w:val="20"/>
        </w:rPr>
        <w:t xml:space="preserve">prepay certain indebtedness; </w:t>
      </w:r>
    </w:p>
    <w:p w:rsidR="000121CD" w:rsidRPr="00C6642F" w:rsidRDefault="00590862">
      <w:pPr>
        <w:pStyle w:val="NormalWeb"/>
        <w:keepNext/>
        <w:numPr>
          <w:ilvl w:val="0"/>
          <w:numId w:val="27"/>
        </w:numPr>
        <w:spacing w:before="90" w:beforeAutospacing="0" w:after="0" w:afterAutospacing="0"/>
        <w:rPr>
          <w:sz w:val="20"/>
          <w:szCs w:val="20"/>
        </w:rPr>
      </w:pPr>
      <w:r w:rsidRPr="00C6642F">
        <w:rPr>
          <w:sz w:val="20"/>
          <w:szCs w:val="20"/>
        </w:rPr>
        <w:t xml:space="preserve">grant liens; </w:t>
      </w:r>
    </w:p>
    <w:p w:rsidR="000121CD" w:rsidRPr="00C6642F" w:rsidRDefault="00590862">
      <w:pPr>
        <w:pStyle w:val="NormalWeb"/>
        <w:keepNext/>
        <w:numPr>
          <w:ilvl w:val="0"/>
          <w:numId w:val="27"/>
        </w:numPr>
        <w:spacing w:before="90" w:beforeAutospacing="0" w:after="0" w:afterAutospacing="0"/>
        <w:rPr>
          <w:sz w:val="20"/>
          <w:szCs w:val="20"/>
        </w:rPr>
      </w:pPr>
      <w:r w:rsidRPr="00C6642F">
        <w:rPr>
          <w:sz w:val="20"/>
          <w:szCs w:val="20"/>
        </w:rPr>
        <w:t xml:space="preserve">incur additional indebtedness; </w:t>
      </w:r>
    </w:p>
    <w:p w:rsidR="000121CD" w:rsidRPr="00C6642F" w:rsidRDefault="00590862">
      <w:pPr>
        <w:pStyle w:val="NormalWeb"/>
        <w:keepNext/>
        <w:numPr>
          <w:ilvl w:val="0"/>
          <w:numId w:val="27"/>
        </w:numPr>
        <w:spacing w:before="90" w:beforeAutospacing="0" w:after="0" w:afterAutospacing="0"/>
        <w:rPr>
          <w:sz w:val="20"/>
          <w:szCs w:val="20"/>
        </w:rPr>
      </w:pPr>
      <w:r w:rsidRPr="00C6642F">
        <w:rPr>
          <w:sz w:val="20"/>
          <w:szCs w:val="20"/>
        </w:rPr>
        <w:t xml:space="preserve">sell assets; </w:t>
      </w:r>
    </w:p>
    <w:p w:rsidR="000121CD" w:rsidRPr="00C6642F" w:rsidRDefault="00590862">
      <w:pPr>
        <w:pStyle w:val="NormalWeb"/>
        <w:keepNext/>
        <w:numPr>
          <w:ilvl w:val="0"/>
          <w:numId w:val="27"/>
        </w:numPr>
        <w:spacing w:before="90" w:beforeAutospacing="0" w:after="0" w:afterAutospacing="0"/>
        <w:rPr>
          <w:sz w:val="20"/>
          <w:szCs w:val="20"/>
        </w:rPr>
      </w:pPr>
      <w:r w:rsidRPr="00C6642F">
        <w:rPr>
          <w:sz w:val="20"/>
          <w:szCs w:val="20"/>
        </w:rPr>
        <w:t xml:space="preserve">make fundamental changes to our business; </w:t>
      </w:r>
    </w:p>
    <w:p w:rsidR="000121CD" w:rsidRPr="00C6642F" w:rsidRDefault="00590862">
      <w:pPr>
        <w:pStyle w:val="NormalWeb"/>
        <w:keepNext/>
        <w:numPr>
          <w:ilvl w:val="0"/>
          <w:numId w:val="27"/>
        </w:numPr>
        <w:spacing w:before="90" w:beforeAutospacing="0" w:after="0" w:afterAutospacing="0"/>
        <w:rPr>
          <w:sz w:val="20"/>
          <w:szCs w:val="20"/>
        </w:rPr>
      </w:pPr>
      <w:r w:rsidRPr="00C6642F">
        <w:rPr>
          <w:sz w:val="20"/>
          <w:szCs w:val="20"/>
        </w:rPr>
        <w:t xml:space="preserve">enter into transactions with affiliates; and </w:t>
      </w:r>
    </w:p>
    <w:p w:rsidR="000121CD" w:rsidRPr="00C6642F" w:rsidRDefault="00590862">
      <w:pPr>
        <w:pStyle w:val="NormalWeb"/>
        <w:keepNext/>
        <w:numPr>
          <w:ilvl w:val="0"/>
          <w:numId w:val="27"/>
        </w:numPr>
        <w:spacing w:before="90" w:beforeAutospacing="0" w:after="0" w:afterAutospacing="0"/>
        <w:rPr>
          <w:sz w:val="20"/>
          <w:szCs w:val="20"/>
        </w:rPr>
      </w:pPr>
      <w:r w:rsidRPr="00C6642F">
        <w:rPr>
          <w:sz w:val="20"/>
          <w:szCs w:val="20"/>
        </w:rPr>
        <w:t xml:space="preserve">pay dividends. </w:t>
      </w:r>
    </w:p>
    <w:p w:rsidR="000121CD" w:rsidRPr="00C6642F" w:rsidRDefault="00590862">
      <w:pPr>
        <w:pStyle w:val="NormalWeb"/>
        <w:widowControl w:val="0"/>
        <w:spacing w:before="180" w:beforeAutospacing="0" w:after="0" w:afterAutospacing="0"/>
      </w:pPr>
      <w:r w:rsidRPr="00C6642F">
        <w:rPr>
          <w:sz w:val="20"/>
          <w:szCs w:val="20"/>
        </w:rPr>
        <w:t>The Term Loan also contains other customary restrictive covenants. The covenants are subject to various baskets and materiality thresholds, with certain of the baskets permitted by the restrictions on the repayment of subordinated indebtedness, restricted payments and investments being available only when the senior secured leverage ratio of the Company and its restricted subsidiaries is less than 3.75</w:t>
      </w:r>
      <w:r w:rsidR="00CB4BA9" w:rsidRPr="00C6642F">
        <w:rPr>
          <w:sz w:val="20"/>
          <w:szCs w:val="20"/>
        </w:rPr>
        <w:t xml:space="preserve"> to </w:t>
      </w:r>
      <w:r w:rsidRPr="00C6642F">
        <w:rPr>
          <w:sz w:val="20"/>
          <w:szCs w:val="20"/>
        </w:rPr>
        <w:t xml:space="preserve">1.00. </w:t>
      </w:r>
    </w:p>
    <w:p w:rsidR="000121CD" w:rsidRPr="00C6642F" w:rsidRDefault="00590862">
      <w:pPr>
        <w:pStyle w:val="NormalWeb"/>
        <w:widowControl w:val="0"/>
        <w:spacing w:before="180" w:beforeAutospacing="0" w:after="0" w:afterAutospacing="0"/>
      </w:pPr>
      <w:r w:rsidRPr="00C6642F">
        <w:rPr>
          <w:sz w:val="20"/>
          <w:szCs w:val="20"/>
        </w:rPr>
        <w:t>The Term Loan provides that the Company and its restricted subsidiaries may incur any first lien indebtedness that is</w:t>
      </w:r>
      <w:r w:rsidRPr="00C6642F">
        <w:rPr>
          <w:iCs/>
          <w:sz w:val="20"/>
          <w:szCs w:val="20"/>
        </w:rPr>
        <w:t xml:space="preserve"> </w:t>
      </w:r>
      <w:r w:rsidRPr="00C6642F">
        <w:rPr>
          <w:i/>
          <w:iCs/>
          <w:sz w:val="20"/>
          <w:szCs w:val="20"/>
        </w:rPr>
        <w:t>pari passu</w:t>
      </w:r>
      <w:r w:rsidRPr="00C6642F">
        <w:rPr>
          <w:sz w:val="20"/>
          <w:szCs w:val="20"/>
        </w:rPr>
        <w:t xml:space="preserve"> to the Term Loan so long as the pro forma senior secured leverage ratio of the Company and its restricted subsidiaries is less than or equal to 4.00</w:t>
      </w:r>
      <w:r w:rsidR="00B53A64" w:rsidRPr="00C6642F">
        <w:rPr>
          <w:sz w:val="20"/>
          <w:szCs w:val="20"/>
        </w:rPr>
        <w:t xml:space="preserve"> to </w:t>
      </w:r>
      <w:r w:rsidRPr="00C6642F">
        <w:rPr>
          <w:sz w:val="20"/>
          <w:szCs w:val="20"/>
        </w:rPr>
        <w:t>1.00. The Company and its restricted subsidiaries may incur any second lien indebtedness so long as the pro forma junior secured leverage ratio of the Company and its restricted subsidiaries is less than or equal to 4.75</w:t>
      </w:r>
      <w:r w:rsidR="00B53A64" w:rsidRPr="00C6642F">
        <w:rPr>
          <w:sz w:val="20"/>
          <w:szCs w:val="20"/>
        </w:rPr>
        <w:t xml:space="preserve"> to </w:t>
      </w:r>
      <w:r w:rsidRPr="00C6642F">
        <w:rPr>
          <w:sz w:val="20"/>
          <w:szCs w:val="20"/>
        </w:rPr>
        <w:t>1.00. The Company and its restricted subsidiaries may incur any unsecured indebtedness so long as the total leverage ratio of the Company and its restricted subsidiaries is less than or equal to 5.00</w:t>
      </w:r>
      <w:r w:rsidR="00B53A64" w:rsidRPr="00C6642F">
        <w:rPr>
          <w:sz w:val="20"/>
          <w:szCs w:val="20"/>
        </w:rPr>
        <w:t xml:space="preserve"> to</w:t>
      </w:r>
      <w:r w:rsidRPr="00C6642F">
        <w:rPr>
          <w:sz w:val="20"/>
          <w:szCs w:val="20"/>
        </w:rPr>
        <w:t>1.00 or the pro forma consolidated interest coverage ratio of the Company and its restricted subsidiaries is greater than or equal to 2.00 to</w:t>
      </w:r>
      <w:r w:rsidR="00B53A64" w:rsidRPr="00C6642F">
        <w:rPr>
          <w:sz w:val="20"/>
          <w:szCs w:val="20"/>
        </w:rPr>
        <w:t xml:space="preserve"> </w:t>
      </w:r>
      <w:r w:rsidRPr="00C6642F">
        <w:rPr>
          <w:sz w:val="20"/>
          <w:szCs w:val="20"/>
        </w:rPr>
        <w:t xml:space="preserve">1.00. Additionally, under the Term Loan, the Company and its restricted subsidiaries may incur indebtedness under the Global ABL Facility (or any replacement facility) in an amount not to exceed the greater of $1.3 billion and a borrowing base (equal to, subject to certain exceptions, 85% of all accounts receivable and 65% of the book value of all inventory owned by the Company and its restricted subsidiaries). </w:t>
      </w:r>
    </w:p>
    <w:p w:rsidR="000121CD" w:rsidRPr="00C6642F" w:rsidRDefault="00590862">
      <w:pPr>
        <w:pStyle w:val="NormalWeb"/>
        <w:widowControl w:val="0"/>
        <w:spacing w:before="180" w:beforeAutospacing="0" w:after="0" w:afterAutospacing="0"/>
        <w:rPr>
          <w:sz w:val="20"/>
          <w:szCs w:val="20"/>
        </w:rPr>
      </w:pPr>
      <w:r w:rsidRPr="00C6642F">
        <w:rPr>
          <w:sz w:val="20"/>
          <w:szCs w:val="20"/>
        </w:rPr>
        <w:t xml:space="preserve">The Term Loan contains certain customary representations and warranties, affirmative covenants and events of default, including, among other things, payment defaults, breaches of representations and warranties, covenant defaults, cross-defaults to certain indebtedness, certain events of bankruptcy, certain events under ERISA, judgment defaults, actual or asserted failure of any material guaranty or security documents supporting the Term Loan to be in full force and effect and change of control. If such an event of default occurs, the Agent under the Term Loan is entitled to take various actions, including the acceleration of amounts due under the Term Loan and all other actions that a secured creditor is permitted to take following a default. </w:t>
      </w:r>
    </w:p>
    <w:p w:rsidR="000121CD" w:rsidRPr="00C6642F" w:rsidRDefault="00590862">
      <w:pPr>
        <w:pStyle w:val="NormalWeb"/>
        <w:widowControl w:val="0"/>
        <w:spacing w:before="180" w:beforeAutospacing="0" w:after="0" w:afterAutospacing="0"/>
      </w:pPr>
      <w:r w:rsidRPr="00C6642F">
        <w:rPr>
          <w:b/>
          <w:bCs/>
          <w:sz w:val="20"/>
          <w:szCs w:val="20"/>
          <w:u w:val="single"/>
        </w:rPr>
        <w:t>Global ABL Credit Facility</w:t>
      </w:r>
      <w:r w:rsidRPr="00C6642F">
        <w:rPr>
          <w:b/>
          <w:bCs/>
          <w:sz w:val="20"/>
          <w:szCs w:val="20"/>
        </w:rPr>
        <w:t xml:space="preserve">: </w:t>
      </w:r>
      <w:r w:rsidRPr="00C6642F">
        <w:rPr>
          <w:sz w:val="20"/>
          <w:szCs w:val="20"/>
        </w:rPr>
        <w:t xml:space="preserve">: In September 2017, the Company entered into a Third Amended and Restated Loan, Security and Guarantee Agreement (the “Global ABL Facility”) by and among the Company, the subsidiaries of the Company from time to time party thereto as borrowers and guarantors, the several lenders from time to time party thereto and Bank of America, N.A. as administrative agent, security trustee and collateral agent. As part of the amendment, the multi-currency global asset-based revolving credit facility was re-sized to $800 million from $1.05 billion and the maturity was extended to September 2022 from July 2019. This facility is comprised of $675 million in revolver commitments in the United States, $65 million in Canada, $18 million in Norway, $15 million in Australia, $13 million in the Netherlands, $7 million in the United Kingdom and $7 million in Belgium. It contains an accordion feature that allows us to increase the principal amount of the facility by up to $200 million, subject to securing additional lender commitments. </w:t>
      </w:r>
    </w:p>
    <w:p w:rsidR="000121CD" w:rsidRPr="00C6642F" w:rsidRDefault="00590862">
      <w:pPr>
        <w:pStyle w:val="NormalWeb"/>
        <w:widowControl w:val="0"/>
        <w:spacing w:before="180" w:beforeAutospacing="0" w:after="0" w:afterAutospacing="0"/>
      </w:pPr>
      <w:r w:rsidRPr="00C6642F">
        <w:rPr>
          <w:i/>
          <w:iCs/>
          <w:sz w:val="20"/>
          <w:szCs w:val="20"/>
        </w:rPr>
        <w:t>Guarantees</w:t>
      </w:r>
      <w:r w:rsidRPr="00C6642F">
        <w:rPr>
          <w:sz w:val="20"/>
          <w:szCs w:val="20"/>
        </w:rPr>
        <w:t>. Each of our current and future wholly owned material U.S. subsidiaries and MRC Global Inc. guarantees the obligations of our borrower subsidiaries under the Global ABL Facility. Additionally, each of our non-U.S. borrower subsidiaries guarantees the obligations of our other non-U.S. borrower subsidiaries under the Global ABL Facility. No non-U.S. subsidiary guarantees the U.S. tranche, and no property of our non-U.S. subsidiaries secures the U.S. tranche.</w:t>
      </w:r>
    </w:p>
    <w:p w:rsidR="000121CD" w:rsidRPr="00C6642F" w:rsidRDefault="00590862">
      <w:pPr>
        <w:pStyle w:val="NormalWeb"/>
        <w:widowControl w:val="0"/>
        <w:spacing w:before="180" w:beforeAutospacing="0" w:after="0" w:afterAutospacing="0"/>
      </w:pPr>
      <w:r w:rsidRPr="00C6642F">
        <w:rPr>
          <w:i/>
          <w:iCs/>
          <w:sz w:val="20"/>
          <w:szCs w:val="20"/>
        </w:rPr>
        <w:t>Security.</w:t>
      </w:r>
      <w:r w:rsidRPr="00C6642F">
        <w:rPr>
          <w:sz w:val="20"/>
          <w:szCs w:val="20"/>
        </w:rPr>
        <w:t xml:space="preserve"> Obligations under the U.S. tranche are primarily secured, subject to certain exceptions, by a first-priority security interest in the accounts receivable, inventory and related assets of our wholly owned, material U.S. subsidiaries. The security interest in accounts receivable, inventory and related assets of the U.S. borrower subsidiaries ranks prior to the security interest in this collateral which secures the Term Loan. The obligations of any of our non-U.S. borrower subsidiaries are primarily secured, subject to certain exceptions, by a first-priority security interest in the accounts receivable, inventory and related assets of the non-U.S. subsidiary and our wholly owned material U.S. subsidiaries. </w:t>
      </w:r>
    </w:p>
    <w:p w:rsidR="000121CD" w:rsidRPr="00C6642F" w:rsidRDefault="00590862">
      <w:pPr>
        <w:pStyle w:val="NormalWeb"/>
        <w:widowControl w:val="0"/>
        <w:spacing w:before="180" w:beforeAutospacing="0" w:after="0" w:afterAutospacing="0"/>
        <w:rPr>
          <w:sz w:val="20"/>
          <w:szCs w:val="20"/>
        </w:rPr>
      </w:pPr>
      <w:r w:rsidRPr="00C6642F">
        <w:rPr>
          <w:i/>
          <w:iCs/>
          <w:sz w:val="20"/>
          <w:szCs w:val="20"/>
        </w:rPr>
        <w:t>Borrowing Bases.</w:t>
      </w:r>
      <w:r w:rsidRPr="00C6642F">
        <w:rPr>
          <w:sz w:val="20"/>
          <w:szCs w:val="20"/>
        </w:rPr>
        <w:t xml:space="preserve"> Each of our non-U.S. borrower subsidiaries has a separate standalone borrowing base that limits the non-U.S. subsidiary’s ability to borrow under its respective tranche, provided that the non-U.S. subsidiaries may utilize excess availability under the U.S. tranche to borrow amounts in excess of their respective borrowing bases (but not to exceed the applicable commitment amount for the foreign subsidiary’s jurisdiction), which utilization will reduce availability under the U.S. tranche dollar for dollar. </w:t>
      </w:r>
    </w:p>
    <w:p w:rsidR="000121CD" w:rsidRPr="00C6642F" w:rsidRDefault="00590862">
      <w:pPr>
        <w:pStyle w:val="NormalWeb"/>
        <w:widowControl w:val="0"/>
        <w:spacing w:before="180" w:beforeAutospacing="0" w:after="0" w:afterAutospacing="0"/>
      </w:pPr>
      <w:r w:rsidRPr="00C6642F">
        <w:rPr>
          <w:sz w:val="20"/>
          <w:szCs w:val="20"/>
        </w:rPr>
        <w:t xml:space="preserve">Subject to the foregoing, our ability to borrow in each jurisdiction, other than Belgium, under the Global ABL Facility is limited by a borrowing base in that jurisdiction equal to 85% of eligible receivables, plus the lesser of 70% of eligible inventory and 85% of appraised net orderly liquidation value of the inventory. In Belgium, our borrowing is limited by a borrowing base determined under Belgian law. </w:t>
      </w:r>
    </w:p>
    <w:p w:rsidR="000121CD" w:rsidRPr="00C6642F" w:rsidRDefault="00590862">
      <w:pPr>
        <w:pStyle w:val="NormalWeb"/>
        <w:widowControl w:val="0"/>
        <w:spacing w:before="180" w:beforeAutospacing="0" w:after="0" w:afterAutospacing="0"/>
        <w:rPr>
          <w:sz w:val="20"/>
          <w:szCs w:val="20"/>
        </w:rPr>
      </w:pPr>
      <w:r w:rsidRPr="00C6642F">
        <w:rPr>
          <w:i/>
          <w:iCs/>
          <w:sz w:val="20"/>
          <w:szCs w:val="20"/>
        </w:rPr>
        <w:t>Interest Rates.</w:t>
      </w:r>
      <w:r w:rsidRPr="00C6642F">
        <w:rPr>
          <w:sz w:val="20"/>
          <w:szCs w:val="20"/>
        </w:rPr>
        <w:t xml:space="preserve"> U.S. borrowings under the facility bear interest at LIBOR plus a margin varying between 1.25% and 1.75% based on our fixed charge coverage ratio. Canadian borrowings under the facility bear interest at the Canadian Dollar Bankers’ Acceptances Rate (“BA Rate”) plus a margin varying between 1.25% and 1.75% based on our fixed charge coverage ratio. Borrowings by our foreign borrower subsidiaries bear interest at a benchmark rate, which varies based on the currency in which such borrowings are made, plus a margin varying between 1.25% and 1.75% based on our fixed charge coverage ratio. </w:t>
      </w:r>
    </w:p>
    <w:p w:rsidR="000121CD" w:rsidRPr="00C6642F" w:rsidRDefault="00590862">
      <w:pPr>
        <w:pStyle w:val="NormalWeb"/>
        <w:widowControl w:val="0"/>
        <w:spacing w:before="180" w:beforeAutospacing="0" w:after="0" w:afterAutospacing="0"/>
        <w:rPr>
          <w:sz w:val="20"/>
          <w:szCs w:val="20"/>
        </w:rPr>
      </w:pPr>
      <w:r w:rsidRPr="00C6642F">
        <w:rPr>
          <w:bCs/>
          <w:i/>
          <w:sz w:val="20"/>
          <w:szCs w:val="20"/>
        </w:rPr>
        <w:t>Excess Availability</w:t>
      </w:r>
      <w:r w:rsidRPr="00C6642F">
        <w:rPr>
          <w:bCs/>
          <w:sz w:val="20"/>
          <w:szCs w:val="20"/>
        </w:rPr>
        <w:t>.</w:t>
      </w:r>
      <w:r w:rsidRPr="00C6642F">
        <w:rPr>
          <w:sz w:val="20"/>
          <w:szCs w:val="20"/>
        </w:rPr>
        <w:t xml:space="preserve"> At </w:t>
      </w:r>
      <w:r w:rsidR="003627E3" w:rsidRPr="00C6642F">
        <w:rPr>
          <w:sz w:val="20"/>
          <w:szCs w:val="20"/>
        </w:rPr>
        <w:t>December 31, 2019</w:t>
      </w:r>
      <w:r w:rsidRPr="00C6642F">
        <w:rPr>
          <w:sz w:val="20"/>
          <w:szCs w:val="20"/>
        </w:rPr>
        <w:t>, availability under our revolving credit facilities was $</w:t>
      </w:r>
      <w:r w:rsidR="00780609" w:rsidRPr="00C6642F">
        <w:rPr>
          <w:sz w:val="20"/>
          <w:szCs w:val="20"/>
        </w:rPr>
        <w:t>451</w:t>
      </w:r>
      <w:r w:rsidRPr="00C6642F">
        <w:rPr>
          <w:sz w:val="20"/>
          <w:szCs w:val="20"/>
        </w:rPr>
        <w:t xml:space="preserve"> million. </w:t>
      </w:r>
    </w:p>
    <w:p w:rsidR="000121CD" w:rsidRPr="00C6642F" w:rsidRDefault="00590862">
      <w:pPr>
        <w:pStyle w:val="NormalWeb"/>
        <w:widowControl w:val="0"/>
        <w:spacing w:before="180" w:beforeAutospacing="0" w:after="0" w:afterAutospacing="0"/>
        <w:rPr>
          <w:sz w:val="20"/>
          <w:szCs w:val="20"/>
        </w:rPr>
      </w:pPr>
      <w:r w:rsidRPr="00C6642F">
        <w:rPr>
          <w:b/>
          <w:bCs/>
          <w:sz w:val="20"/>
          <w:szCs w:val="20"/>
          <w:u w:val="single"/>
        </w:rPr>
        <w:t>Interest on Borrowings</w:t>
      </w:r>
      <w:r w:rsidRPr="00C6642F">
        <w:rPr>
          <w:b/>
          <w:bCs/>
          <w:sz w:val="20"/>
          <w:szCs w:val="20"/>
        </w:rPr>
        <w:t xml:space="preserve">: </w:t>
      </w:r>
      <w:r w:rsidRPr="00C6642F">
        <w:rPr>
          <w:sz w:val="20"/>
          <w:szCs w:val="20"/>
        </w:rPr>
        <w:t xml:space="preserve">The interest rates on our borrowings outstanding at </w:t>
      </w:r>
      <w:r w:rsidR="003627E3" w:rsidRPr="00C6642F">
        <w:rPr>
          <w:sz w:val="20"/>
          <w:szCs w:val="20"/>
        </w:rPr>
        <w:t>December 31, 2019 and 2018</w:t>
      </w:r>
      <w:r w:rsidRPr="00C6642F">
        <w:rPr>
          <w:sz w:val="20"/>
          <w:szCs w:val="20"/>
        </w:rPr>
        <w:t>, including a floating to fixed interest rate swap and amortization of debt issuance costs, were as follows:</w:t>
      </w:r>
    </w:p>
    <w:tbl>
      <w:tblPr>
        <w:tblW w:w="5000" w:type="pct"/>
        <w:tblCellMar>
          <w:left w:w="0" w:type="dxa"/>
          <w:right w:w="0" w:type="dxa"/>
        </w:tblCellMar>
        <w:tblLook w:val="04A0" w:firstRow="1" w:lastRow="0" w:firstColumn="1" w:lastColumn="0" w:noHBand="0" w:noVBand="1"/>
      </w:tblPr>
      <w:tblGrid>
        <w:gridCol w:w="7534"/>
        <w:gridCol w:w="285"/>
        <w:gridCol w:w="1184"/>
        <w:gridCol w:w="330"/>
        <w:gridCol w:w="285"/>
        <w:gridCol w:w="1182"/>
      </w:tblGrid>
      <w:tr w:rsidR="0018024C" w:rsidRPr="00C6642F" w:rsidTr="0018024C">
        <w:trPr>
          <w:trHeight w:hRule="exact" w:val="20"/>
        </w:trPr>
        <w:tc>
          <w:tcPr>
            <w:tcW w:w="3488"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c>
          <w:tcPr>
            <w:tcW w:w="132"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c>
          <w:tcPr>
            <w:tcW w:w="548"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c>
          <w:tcPr>
            <w:tcW w:w="153"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c>
          <w:tcPr>
            <w:tcW w:w="132"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c>
          <w:tcPr>
            <w:tcW w:w="547"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r>
      <w:tr w:rsidR="0018024C" w:rsidRPr="00C6642F" w:rsidTr="0018024C">
        <w:trPr>
          <w:trHeight w:hRule="exact" w:val="300"/>
        </w:trPr>
        <w:tc>
          <w:tcPr>
            <w:tcW w:w="3488" w:type="pct"/>
            <w:tcBorders>
              <w:top w:val="nil"/>
              <w:left w:val="nil"/>
              <w:bottom w:val="nil"/>
              <w:right w:val="nil"/>
              <w:tl2br w:val="nil"/>
              <w:tr2bl w:val="nil"/>
            </w:tcBorders>
            <w:shd w:val="clear" w:color="auto" w:fill="auto"/>
            <w:vAlign w:val="bottom"/>
          </w:tcPr>
          <w:p w:rsidR="0018024C" w:rsidRPr="00C6642F" w:rsidRDefault="0018024C" w:rsidP="0018024C">
            <w:pPr>
              <w:spacing w:before="1" w:after="1"/>
              <w:rPr>
                <w:rFonts w:ascii="Calibri" w:eastAsia="Calibri" w:hAnsi="Calibri" w:cs="Calibri"/>
                <w:sz w:val="22"/>
              </w:rPr>
            </w:pPr>
          </w:p>
        </w:tc>
        <w:tc>
          <w:tcPr>
            <w:tcW w:w="132" w:type="pct"/>
            <w:tcBorders>
              <w:top w:val="nil"/>
              <w:left w:val="nil"/>
              <w:bottom w:val="nil"/>
              <w:right w:val="nil"/>
              <w:tl2br w:val="nil"/>
              <w:tr2bl w:val="nil"/>
            </w:tcBorders>
            <w:shd w:val="clear" w:color="auto" w:fill="auto"/>
            <w:vAlign w:val="bottom"/>
          </w:tcPr>
          <w:p w:rsidR="0018024C" w:rsidRPr="00C6642F" w:rsidRDefault="0018024C" w:rsidP="0018024C">
            <w:pPr>
              <w:spacing w:before="1" w:after="1"/>
              <w:rPr>
                <w:rFonts w:ascii="Calibri" w:eastAsia="Calibri" w:hAnsi="Calibri" w:cs="Calibri"/>
                <w:sz w:val="22"/>
              </w:rPr>
            </w:pPr>
          </w:p>
        </w:tc>
        <w:tc>
          <w:tcPr>
            <w:tcW w:w="1" w:type="pct"/>
            <w:gridSpan w:val="4"/>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spacing w:before="1" w:after="1"/>
              <w:jc w:val="center"/>
              <w:rPr>
                <w:b/>
                <w:sz w:val="20"/>
              </w:rPr>
            </w:pPr>
            <w:r w:rsidRPr="00C6642F">
              <w:rPr>
                <w:b/>
                <w:sz w:val="20"/>
              </w:rPr>
              <w:t>December 31,</w:t>
            </w:r>
          </w:p>
        </w:tc>
      </w:tr>
      <w:tr w:rsidR="0018024C" w:rsidRPr="00C6642F" w:rsidTr="0018024C">
        <w:trPr>
          <w:trHeight w:hRule="exact" w:val="300"/>
        </w:trPr>
        <w:tc>
          <w:tcPr>
            <w:tcW w:w="3488" w:type="pct"/>
            <w:tcBorders>
              <w:top w:val="nil"/>
              <w:left w:val="nil"/>
              <w:bottom w:val="nil"/>
              <w:right w:val="nil"/>
              <w:tl2br w:val="nil"/>
              <w:tr2bl w:val="nil"/>
            </w:tcBorders>
            <w:shd w:val="clear" w:color="auto" w:fill="auto"/>
            <w:vAlign w:val="bottom"/>
          </w:tcPr>
          <w:p w:rsidR="0018024C" w:rsidRPr="00C6642F" w:rsidRDefault="0018024C" w:rsidP="0018024C">
            <w:pPr>
              <w:spacing w:before="1" w:after="1"/>
              <w:rPr>
                <w:rFonts w:ascii="Calibri" w:eastAsia="Calibri" w:hAnsi="Calibri" w:cs="Calibri"/>
                <w:sz w:val="22"/>
              </w:rPr>
            </w:pPr>
          </w:p>
        </w:tc>
        <w:tc>
          <w:tcPr>
            <w:tcW w:w="132" w:type="pct"/>
            <w:tcBorders>
              <w:top w:val="nil"/>
              <w:left w:val="nil"/>
              <w:bottom w:val="nil"/>
              <w:right w:val="nil"/>
              <w:tl2br w:val="nil"/>
              <w:tr2bl w:val="nil"/>
            </w:tcBorders>
            <w:shd w:val="clear" w:color="auto" w:fill="auto"/>
            <w:vAlign w:val="bottom"/>
          </w:tcPr>
          <w:p w:rsidR="0018024C" w:rsidRPr="00C6642F" w:rsidRDefault="0018024C" w:rsidP="0018024C">
            <w:pPr>
              <w:spacing w:before="1" w:after="1"/>
              <w:rPr>
                <w:rFonts w:ascii="Calibri" w:eastAsia="Calibri" w:hAnsi="Calibri" w:cs="Calibri"/>
                <w:sz w:val="22"/>
              </w:rPr>
            </w:pPr>
          </w:p>
        </w:tc>
        <w:tc>
          <w:tcPr>
            <w:tcW w:w="548" w:type="pct"/>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spacing w:before="1" w:after="1"/>
              <w:jc w:val="center"/>
              <w:rPr>
                <w:b/>
                <w:sz w:val="20"/>
              </w:rPr>
            </w:pPr>
            <w:r w:rsidRPr="00C6642F">
              <w:rPr>
                <w:b/>
                <w:sz w:val="20"/>
              </w:rPr>
              <w:t>2019</w:t>
            </w:r>
          </w:p>
        </w:tc>
        <w:tc>
          <w:tcPr>
            <w:tcW w:w="153"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spacing w:before="1" w:after="1"/>
              <w:jc w:val="center"/>
              <w:rPr>
                <w:sz w:val="20"/>
              </w:rPr>
            </w:pPr>
          </w:p>
        </w:tc>
        <w:tc>
          <w:tcPr>
            <w:tcW w:w="132"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spacing w:before="1" w:after="1"/>
              <w:jc w:val="center"/>
              <w:rPr>
                <w:sz w:val="20"/>
              </w:rPr>
            </w:pPr>
          </w:p>
        </w:tc>
        <w:tc>
          <w:tcPr>
            <w:tcW w:w="547" w:type="pct"/>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spacing w:before="1" w:after="1"/>
              <w:jc w:val="center"/>
              <w:rPr>
                <w:b/>
                <w:sz w:val="20"/>
              </w:rPr>
            </w:pPr>
            <w:r w:rsidRPr="00C6642F">
              <w:rPr>
                <w:b/>
                <w:sz w:val="20"/>
              </w:rPr>
              <w:t xml:space="preserve"> 2018</w:t>
            </w:r>
          </w:p>
        </w:tc>
      </w:tr>
      <w:tr w:rsidR="0018024C" w:rsidRPr="00C6642F" w:rsidTr="0018024C">
        <w:trPr>
          <w:trHeight w:hRule="exact" w:val="300"/>
        </w:trPr>
        <w:tc>
          <w:tcPr>
            <w:tcW w:w="3488"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sz w:val="20"/>
              </w:rPr>
            </w:pPr>
            <w:r w:rsidRPr="00C6642F">
              <w:rPr>
                <w:sz w:val="20"/>
              </w:rPr>
              <w:t>Senior Secured Term Loan B</w:t>
            </w:r>
          </w:p>
        </w:tc>
        <w:tc>
          <w:tcPr>
            <w:tcW w:w="132"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sz w:val="20"/>
              </w:rPr>
            </w:pPr>
          </w:p>
        </w:tc>
        <w:tc>
          <w:tcPr>
            <w:tcW w:w="54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before="1" w:after="1"/>
              <w:ind w:right="63"/>
              <w:jc w:val="right"/>
              <w:rPr>
                <w:b/>
                <w:sz w:val="20"/>
              </w:rPr>
            </w:pPr>
            <w:r w:rsidRPr="00C6642F">
              <w:rPr>
                <w:b/>
                <w:sz w:val="20"/>
              </w:rPr>
              <w:t>5.50%</w:t>
            </w:r>
          </w:p>
        </w:tc>
        <w:tc>
          <w:tcPr>
            <w:tcW w:w="153"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sz w:val="20"/>
              </w:rPr>
            </w:pPr>
          </w:p>
        </w:tc>
        <w:tc>
          <w:tcPr>
            <w:tcW w:w="132"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sz w:val="20"/>
              </w:rPr>
            </w:pPr>
          </w:p>
        </w:tc>
        <w:tc>
          <w:tcPr>
            <w:tcW w:w="54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before="1" w:after="1"/>
              <w:ind w:right="65"/>
              <w:jc w:val="right"/>
              <w:rPr>
                <w:sz w:val="20"/>
              </w:rPr>
            </w:pPr>
            <w:r w:rsidRPr="00C6642F">
              <w:rPr>
                <w:sz w:val="20"/>
              </w:rPr>
              <w:t>5.76%</w:t>
            </w:r>
          </w:p>
        </w:tc>
      </w:tr>
      <w:tr w:rsidR="0018024C" w:rsidRPr="00C6642F" w:rsidTr="0018024C">
        <w:trPr>
          <w:trHeight w:hRule="exact" w:val="300"/>
        </w:trPr>
        <w:tc>
          <w:tcPr>
            <w:tcW w:w="3488" w:type="pct"/>
            <w:tcBorders>
              <w:top w:val="nil"/>
              <w:left w:val="nil"/>
              <w:bottom w:val="nil"/>
              <w:right w:val="nil"/>
              <w:tl2br w:val="nil"/>
              <w:tr2bl w:val="nil"/>
            </w:tcBorders>
            <w:vAlign w:val="bottom"/>
          </w:tcPr>
          <w:p w:rsidR="0018024C" w:rsidRPr="00C6642F" w:rsidRDefault="0018024C" w:rsidP="0018024C">
            <w:pPr>
              <w:spacing w:before="1" w:after="1"/>
              <w:rPr>
                <w:sz w:val="20"/>
              </w:rPr>
            </w:pPr>
            <w:r w:rsidRPr="00C6642F">
              <w:rPr>
                <w:sz w:val="20"/>
              </w:rPr>
              <w:t xml:space="preserve">Global ABL Facility </w:t>
            </w:r>
          </w:p>
        </w:tc>
        <w:tc>
          <w:tcPr>
            <w:tcW w:w="132" w:type="pct"/>
            <w:tcBorders>
              <w:top w:val="nil"/>
              <w:left w:val="nil"/>
              <w:bottom w:val="nil"/>
              <w:right w:val="nil"/>
              <w:tl2br w:val="nil"/>
              <w:tr2bl w:val="nil"/>
            </w:tcBorders>
            <w:vAlign w:val="bottom"/>
          </w:tcPr>
          <w:p w:rsidR="0018024C" w:rsidRPr="00C6642F" w:rsidRDefault="0018024C" w:rsidP="0018024C">
            <w:pPr>
              <w:spacing w:before="1" w:after="1"/>
              <w:rPr>
                <w:sz w:val="20"/>
              </w:rPr>
            </w:pPr>
          </w:p>
        </w:tc>
        <w:tc>
          <w:tcPr>
            <w:tcW w:w="548" w:type="pct"/>
            <w:tcBorders>
              <w:top w:val="nil"/>
              <w:left w:val="nil"/>
              <w:bottom w:val="nil"/>
              <w:right w:val="nil"/>
              <w:tl2br w:val="nil"/>
              <w:tr2bl w:val="nil"/>
            </w:tcBorders>
            <w:vAlign w:val="bottom"/>
          </w:tcPr>
          <w:p w:rsidR="0018024C" w:rsidRPr="00C6642F" w:rsidRDefault="0018024C" w:rsidP="0018024C">
            <w:pPr>
              <w:spacing w:before="1" w:after="1"/>
              <w:ind w:right="63"/>
              <w:jc w:val="right"/>
              <w:rPr>
                <w:b/>
                <w:sz w:val="20"/>
              </w:rPr>
            </w:pPr>
            <w:r w:rsidRPr="00C6642F">
              <w:rPr>
                <w:b/>
                <w:sz w:val="20"/>
              </w:rPr>
              <w:t>3.47%</w:t>
            </w:r>
          </w:p>
        </w:tc>
        <w:tc>
          <w:tcPr>
            <w:tcW w:w="153" w:type="pct"/>
            <w:tcBorders>
              <w:top w:val="nil"/>
              <w:left w:val="nil"/>
              <w:bottom w:val="nil"/>
              <w:right w:val="nil"/>
              <w:tl2br w:val="nil"/>
              <w:tr2bl w:val="nil"/>
            </w:tcBorders>
            <w:vAlign w:val="bottom"/>
          </w:tcPr>
          <w:p w:rsidR="0018024C" w:rsidRPr="00C6642F" w:rsidRDefault="0018024C" w:rsidP="0018024C">
            <w:pPr>
              <w:spacing w:before="1" w:after="1"/>
              <w:rPr>
                <w:sz w:val="20"/>
              </w:rPr>
            </w:pPr>
          </w:p>
        </w:tc>
        <w:tc>
          <w:tcPr>
            <w:tcW w:w="132" w:type="pct"/>
            <w:tcBorders>
              <w:top w:val="nil"/>
              <w:left w:val="nil"/>
              <w:bottom w:val="nil"/>
              <w:right w:val="nil"/>
              <w:tl2br w:val="nil"/>
              <w:tr2bl w:val="nil"/>
            </w:tcBorders>
            <w:vAlign w:val="bottom"/>
          </w:tcPr>
          <w:p w:rsidR="0018024C" w:rsidRPr="00C6642F" w:rsidRDefault="0018024C" w:rsidP="0018024C">
            <w:pPr>
              <w:spacing w:before="1" w:after="1"/>
              <w:rPr>
                <w:sz w:val="20"/>
              </w:rPr>
            </w:pPr>
          </w:p>
        </w:tc>
        <w:tc>
          <w:tcPr>
            <w:tcW w:w="547" w:type="pct"/>
            <w:tcBorders>
              <w:top w:val="nil"/>
              <w:left w:val="nil"/>
              <w:bottom w:val="nil"/>
              <w:right w:val="nil"/>
              <w:tl2br w:val="nil"/>
              <w:tr2bl w:val="nil"/>
            </w:tcBorders>
            <w:vAlign w:val="bottom"/>
          </w:tcPr>
          <w:p w:rsidR="0018024C" w:rsidRPr="00C6642F" w:rsidRDefault="0018024C" w:rsidP="0018024C">
            <w:pPr>
              <w:spacing w:before="1" w:after="1"/>
              <w:ind w:right="65"/>
              <w:jc w:val="right"/>
              <w:rPr>
                <w:sz w:val="20"/>
              </w:rPr>
            </w:pPr>
            <w:r w:rsidRPr="00C6642F">
              <w:rPr>
                <w:sz w:val="20"/>
              </w:rPr>
              <w:t>3.95%</w:t>
            </w:r>
          </w:p>
        </w:tc>
      </w:tr>
      <w:tr w:rsidR="0018024C" w:rsidRPr="00C6642F" w:rsidTr="0018024C">
        <w:trPr>
          <w:trHeight w:hRule="exact" w:val="300"/>
        </w:trPr>
        <w:tc>
          <w:tcPr>
            <w:tcW w:w="3488"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sz w:val="20"/>
              </w:rPr>
            </w:pPr>
            <w:r w:rsidRPr="00C6642F">
              <w:rPr>
                <w:sz w:val="20"/>
              </w:rPr>
              <w:t>Weighted average interest rate</w:t>
            </w:r>
          </w:p>
        </w:tc>
        <w:tc>
          <w:tcPr>
            <w:tcW w:w="132"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sz w:val="20"/>
              </w:rPr>
            </w:pPr>
          </w:p>
        </w:tc>
        <w:tc>
          <w:tcPr>
            <w:tcW w:w="548"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ind w:right="63"/>
              <w:jc w:val="right"/>
              <w:rPr>
                <w:b/>
                <w:sz w:val="20"/>
              </w:rPr>
            </w:pPr>
            <w:r w:rsidRPr="00C6642F">
              <w:rPr>
                <w:b/>
                <w:sz w:val="20"/>
              </w:rPr>
              <w:t>4.91%</w:t>
            </w:r>
          </w:p>
        </w:tc>
        <w:tc>
          <w:tcPr>
            <w:tcW w:w="153"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sz w:val="20"/>
              </w:rPr>
            </w:pPr>
          </w:p>
        </w:tc>
        <w:tc>
          <w:tcPr>
            <w:tcW w:w="132"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sz w:val="20"/>
              </w:rPr>
            </w:pPr>
          </w:p>
        </w:tc>
        <w:tc>
          <w:tcPr>
            <w:tcW w:w="547"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ind w:right="65"/>
              <w:jc w:val="right"/>
              <w:rPr>
                <w:sz w:val="20"/>
              </w:rPr>
            </w:pPr>
            <w:r w:rsidRPr="00C6642F">
              <w:rPr>
                <w:sz w:val="20"/>
              </w:rPr>
              <w:t>4.99%</w:t>
            </w:r>
          </w:p>
        </w:tc>
      </w:tr>
    </w:tbl>
    <w:p w:rsidR="000121CD" w:rsidRPr="00C6642F" w:rsidRDefault="00590862">
      <w:pPr>
        <w:pStyle w:val="NormalWeb"/>
        <w:keepNext/>
        <w:keepLines/>
        <w:spacing w:before="180" w:beforeAutospacing="0" w:after="0" w:afterAutospacing="0"/>
      </w:pPr>
      <w:r w:rsidRPr="00C6642F">
        <w:rPr>
          <w:b/>
          <w:bCs/>
          <w:sz w:val="20"/>
          <w:szCs w:val="20"/>
          <w:u w:val="single"/>
        </w:rPr>
        <w:t>Maturities of Long-Term Debt</w:t>
      </w:r>
      <w:r w:rsidRPr="00C6642F">
        <w:rPr>
          <w:b/>
          <w:bCs/>
          <w:sz w:val="20"/>
          <w:szCs w:val="20"/>
        </w:rPr>
        <w:t>:</w:t>
      </w:r>
      <w:r w:rsidRPr="00C6642F">
        <w:rPr>
          <w:sz w:val="20"/>
          <w:szCs w:val="20"/>
        </w:rPr>
        <w:t xml:space="preserve"> At </w:t>
      </w:r>
      <w:r w:rsidR="003627E3" w:rsidRPr="00C6642F">
        <w:rPr>
          <w:sz w:val="20"/>
          <w:szCs w:val="20"/>
        </w:rPr>
        <w:t>December 31, 2019</w:t>
      </w:r>
      <w:r w:rsidRPr="00C6642F">
        <w:rPr>
          <w:sz w:val="20"/>
          <w:szCs w:val="20"/>
        </w:rPr>
        <w:t xml:space="preserve">, annual maturities of long-term debt during the next five years are as follows (in millions): </w:t>
      </w:r>
    </w:p>
    <w:p w:rsidR="000121CD" w:rsidRPr="00C6642F" w:rsidRDefault="00590862">
      <w:pPr>
        <w:pStyle w:val="NormalWeb"/>
        <w:keepNext/>
        <w:keepLines/>
        <w:spacing w:before="0" w:beforeAutospacing="0" w:after="0" w:afterAutospacing="0"/>
        <w:rPr>
          <w:sz w:val="18"/>
          <w:szCs w:val="18"/>
        </w:rPr>
      </w:pPr>
      <w:r w:rsidRPr="00C6642F">
        <w:rPr>
          <w:sz w:val="18"/>
          <w:szCs w:val="18"/>
        </w:rPr>
        <w:t> </w:t>
      </w:r>
    </w:p>
    <w:p w:rsidR="000121CD" w:rsidRPr="00C6642F" w:rsidRDefault="000121CD">
      <w:pPr>
        <w:keepNext/>
        <w:keepLines/>
        <w:rPr>
          <w:sz w:val="2"/>
        </w:rPr>
      </w:pPr>
    </w:p>
    <w:tbl>
      <w:tblPr>
        <w:tblW w:w="5000" w:type="pct"/>
        <w:jc w:val="center"/>
        <w:tblCellMar>
          <w:left w:w="0" w:type="dxa"/>
          <w:right w:w="0" w:type="dxa"/>
        </w:tblCellMar>
        <w:tblLook w:val="04A0" w:firstRow="1" w:lastRow="0" w:firstColumn="1" w:lastColumn="0" w:noHBand="0" w:noVBand="1"/>
      </w:tblPr>
      <w:tblGrid>
        <w:gridCol w:w="8191"/>
        <w:gridCol w:w="270"/>
        <w:gridCol w:w="542"/>
        <w:gridCol w:w="330"/>
        <w:gridCol w:w="285"/>
        <w:gridCol w:w="1182"/>
      </w:tblGrid>
      <w:tr w:rsidR="0018024C" w:rsidRPr="00C6642F" w:rsidTr="0018024C">
        <w:trPr>
          <w:trHeight w:hRule="exact" w:val="20"/>
          <w:jc w:val="center"/>
        </w:trPr>
        <w:tc>
          <w:tcPr>
            <w:tcW w:w="3792" w:type="pct"/>
            <w:tcBorders>
              <w:top w:val="nil"/>
              <w:left w:val="nil"/>
              <w:bottom w:val="nil"/>
              <w:right w:val="nil"/>
            </w:tcBorders>
            <w:shd w:val="clear" w:color="auto" w:fill="auto"/>
            <w:vAlign w:val="bottom"/>
          </w:tcPr>
          <w:p w:rsidR="0018024C" w:rsidRPr="00C6642F" w:rsidRDefault="0018024C" w:rsidP="0018024C">
            <w:pPr>
              <w:rPr>
                <w:sz w:val="2"/>
              </w:rPr>
            </w:pPr>
          </w:p>
        </w:tc>
        <w:tc>
          <w:tcPr>
            <w:tcW w:w="125" w:type="pct"/>
            <w:tcBorders>
              <w:top w:val="nil"/>
              <w:left w:val="nil"/>
              <w:bottom w:val="nil"/>
              <w:right w:val="nil"/>
            </w:tcBorders>
            <w:shd w:val="clear" w:color="auto" w:fill="auto"/>
            <w:vAlign w:val="bottom"/>
          </w:tcPr>
          <w:p w:rsidR="0018024C" w:rsidRPr="00C6642F" w:rsidRDefault="0018024C" w:rsidP="0018024C">
            <w:pPr>
              <w:rPr>
                <w:sz w:val="2"/>
              </w:rPr>
            </w:pPr>
          </w:p>
        </w:tc>
        <w:tc>
          <w:tcPr>
            <w:tcW w:w="251" w:type="pct"/>
            <w:tcBorders>
              <w:top w:val="nil"/>
              <w:left w:val="nil"/>
              <w:bottom w:val="nil"/>
              <w:right w:val="nil"/>
            </w:tcBorders>
            <w:shd w:val="clear" w:color="auto" w:fill="auto"/>
            <w:vAlign w:val="bottom"/>
          </w:tcPr>
          <w:p w:rsidR="0018024C" w:rsidRPr="00C6642F" w:rsidRDefault="0018024C" w:rsidP="0018024C">
            <w:pPr>
              <w:rPr>
                <w:sz w:val="2"/>
              </w:rPr>
            </w:pPr>
          </w:p>
        </w:tc>
        <w:tc>
          <w:tcPr>
            <w:tcW w:w="153" w:type="pct"/>
            <w:tcBorders>
              <w:top w:val="nil"/>
              <w:left w:val="nil"/>
              <w:bottom w:val="nil"/>
              <w:right w:val="nil"/>
            </w:tcBorders>
            <w:shd w:val="clear" w:color="auto" w:fill="auto"/>
            <w:vAlign w:val="bottom"/>
          </w:tcPr>
          <w:p w:rsidR="0018024C" w:rsidRPr="00C6642F" w:rsidRDefault="0018024C" w:rsidP="0018024C">
            <w:pPr>
              <w:rPr>
                <w:sz w:val="2"/>
              </w:rPr>
            </w:pPr>
          </w:p>
        </w:tc>
        <w:tc>
          <w:tcPr>
            <w:tcW w:w="132" w:type="pct"/>
            <w:tcBorders>
              <w:top w:val="nil"/>
              <w:left w:val="nil"/>
              <w:bottom w:val="nil"/>
              <w:right w:val="nil"/>
            </w:tcBorders>
            <w:shd w:val="clear" w:color="auto" w:fill="auto"/>
            <w:vAlign w:val="bottom"/>
          </w:tcPr>
          <w:p w:rsidR="0018024C" w:rsidRPr="00C6642F" w:rsidRDefault="0018024C" w:rsidP="0018024C">
            <w:pPr>
              <w:rPr>
                <w:sz w:val="2"/>
              </w:rPr>
            </w:pPr>
          </w:p>
        </w:tc>
        <w:tc>
          <w:tcPr>
            <w:tcW w:w="547" w:type="pct"/>
            <w:tcBorders>
              <w:top w:val="nil"/>
              <w:left w:val="nil"/>
              <w:bottom w:val="nil"/>
              <w:right w:val="nil"/>
            </w:tcBorders>
            <w:shd w:val="clear" w:color="auto" w:fill="auto"/>
            <w:vAlign w:val="bottom"/>
          </w:tcPr>
          <w:p w:rsidR="0018024C" w:rsidRPr="00C6642F" w:rsidRDefault="0018024C" w:rsidP="0018024C">
            <w:pPr>
              <w:rPr>
                <w:sz w:val="2"/>
              </w:rPr>
            </w:pPr>
          </w:p>
        </w:tc>
      </w:tr>
      <w:tr w:rsidR="0018024C" w:rsidRPr="00C6642F" w:rsidTr="0018024C">
        <w:trPr>
          <w:trHeight w:hRule="exact" w:val="300"/>
          <w:jc w:val="center"/>
        </w:trPr>
        <w:tc>
          <w:tcPr>
            <w:tcW w:w="3792" w:type="pct"/>
            <w:tcBorders>
              <w:top w:val="nil"/>
              <w:left w:val="nil"/>
              <w:bottom w:val="nil"/>
              <w:right w:val="nil"/>
              <w:tl2br w:val="nil"/>
              <w:tr2bl w:val="nil"/>
            </w:tcBorders>
            <w:shd w:val="clear" w:color="auto" w:fill="CCEEFF"/>
            <w:vAlign w:val="bottom"/>
          </w:tcPr>
          <w:p w:rsidR="0018024C" w:rsidRPr="00C6642F" w:rsidRDefault="0018024C" w:rsidP="0018024C">
            <w:pPr>
              <w:jc w:val="center"/>
              <w:rPr>
                <w:sz w:val="20"/>
              </w:rPr>
            </w:pPr>
            <w:r w:rsidRPr="00C6642F">
              <w:rPr>
                <w:sz w:val="20"/>
              </w:rPr>
              <w:t>2020</w:t>
            </w:r>
          </w:p>
        </w:tc>
        <w:tc>
          <w:tcPr>
            <w:tcW w:w="125" w:type="pct"/>
            <w:tcBorders>
              <w:top w:val="nil"/>
              <w:left w:val="nil"/>
              <w:bottom w:val="nil"/>
              <w:right w:val="nil"/>
              <w:tl2br w:val="nil"/>
              <w:tr2bl w:val="nil"/>
            </w:tcBorders>
            <w:shd w:val="clear" w:color="auto" w:fill="CCEEFF"/>
            <w:vAlign w:val="bottom"/>
          </w:tcPr>
          <w:p w:rsidR="0018024C" w:rsidRPr="00C6642F" w:rsidRDefault="0018024C" w:rsidP="0018024C">
            <w:pPr>
              <w:jc w:val="center"/>
              <w:rPr>
                <w:sz w:val="20"/>
              </w:rPr>
            </w:pPr>
            <w:r w:rsidRPr="00C6642F">
              <w:rPr>
                <w:sz w:val="20"/>
              </w:rPr>
              <w:t>$</w:t>
            </w:r>
          </w:p>
        </w:tc>
        <w:tc>
          <w:tcPr>
            <w:tcW w:w="251" w:type="pct"/>
            <w:tcBorders>
              <w:top w:val="nil"/>
              <w:left w:val="nil"/>
              <w:bottom w:val="nil"/>
              <w:right w:val="nil"/>
              <w:tl2br w:val="nil"/>
              <w:tr2bl w:val="nil"/>
            </w:tcBorders>
            <w:shd w:val="clear" w:color="auto" w:fill="CCEEFF"/>
            <w:vAlign w:val="bottom"/>
          </w:tcPr>
          <w:p w:rsidR="0018024C" w:rsidRPr="00C6642F" w:rsidRDefault="0018024C" w:rsidP="0018024C">
            <w:pPr>
              <w:ind w:right="65"/>
              <w:jc w:val="right"/>
              <w:rPr>
                <w:sz w:val="20"/>
              </w:rPr>
            </w:pPr>
            <w:r w:rsidRPr="00C6642F">
              <w:rPr>
                <w:sz w:val="20"/>
              </w:rPr>
              <w:t xml:space="preserve"> 4</w:t>
            </w:r>
          </w:p>
        </w:tc>
        <w:tc>
          <w:tcPr>
            <w:tcW w:w="153" w:type="pct"/>
            <w:tcBorders>
              <w:top w:val="nil"/>
              <w:left w:val="nil"/>
              <w:bottom w:val="nil"/>
              <w:right w:val="nil"/>
              <w:tl2br w:val="nil"/>
              <w:tr2bl w:val="nil"/>
            </w:tcBorders>
            <w:shd w:val="clear" w:color="auto" w:fill="CCEEFF"/>
            <w:vAlign w:val="bottom"/>
          </w:tcPr>
          <w:p w:rsidR="0018024C" w:rsidRPr="00C6642F" w:rsidRDefault="0018024C" w:rsidP="0018024C">
            <w:pPr>
              <w:rPr>
                <w:sz w:val="20"/>
              </w:rPr>
            </w:pPr>
          </w:p>
        </w:tc>
        <w:tc>
          <w:tcPr>
            <w:tcW w:w="132" w:type="pct"/>
            <w:tcBorders>
              <w:top w:val="nil"/>
              <w:left w:val="nil"/>
              <w:bottom w:val="nil"/>
              <w:right w:val="nil"/>
              <w:tl2br w:val="nil"/>
              <w:tr2bl w:val="nil"/>
            </w:tcBorders>
            <w:shd w:val="clear" w:color="auto" w:fill="CCEEFF"/>
            <w:vAlign w:val="bottom"/>
          </w:tcPr>
          <w:p w:rsidR="0018024C" w:rsidRPr="00C6642F" w:rsidRDefault="0018024C" w:rsidP="0018024C">
            <w:pPr>
              <w:rPr>
                <w:sz w:val="20"/>
              </w:rPr>
            </w:pPr>
          </w:p>
        </w:tc>
        <w:tc>
          <w:tcPr>
            <w:tcW w:w="547" w:type="pct"/>
            <w:tcBorders>
              <w:top w:val="nil"/>
              <w:left w:val="nil"/>
              <w:bottom w:val="nil"/>
              <w:right w:val="nil"/>
              <w:tl2br w:val="nil"/>
              <w:tr2bl w:val="nil"/>
            </w:tcBorders>
            <w:shd w:val="clear" w:color="auto" w:fill="CCEEFF"/>
            <w:vAlign w:val="bottom"/>
          </w:tcPr>
          <w:p w:rsidR="0018024C" w:rsidRPr="00C6642F" w:rsidRDefault="0018024C" w:rsidP="0018024C">
            <w:pPr>
              <w:rPr>
                <w:sz w:val="20"/>
              </w:rPr>
            </w:pPr>
          </w:p>
        </w:tc>
      </w:tr>
      <w:tr w:rsidR="0018024C" w:rsidRPr="00C6642F" w:rsidTr="0018024C">
        <w:trPr>
          <w:trHeight w:hRule="exact" w:val="300"/>
          <w:jc w:val="center"/>
        </w:trPr>
        <w:tc>
          <w:tcPr>
            <w:tcW w:w="3792" w:type="pct"/>
            <w:tcBorders>
              <w:top w:val="nil"/>
              <w:left w:val="nil"/>
              <w:bottom w:val="nil"/>
              <w:right w:val="nil"/>
              <w:tl2br w:val="nil"/>
              <w:tr2bl w:val="nil"/>
            </w:tcBorders>
            <w:vAlign w:val="bottom"/>
          </w:tcPr>
          <w:p w:rsidR="0018024C" w:rsidRPr="00C6642F" w:rsidRDefault="0018024C" w:rsidP="0018024C">
            <w:pPr>
              <w:jc w:val="center"/>
              <w:rPr>
                <w:sz w:val="20"/>
              </w:rPr>
            </w:pPr>
            <w:r w:rsidRPr="00C6642F">
              <w:rPr>
                <w:sz w:val="20"/>
              </w:rPr>
              <w:t>2021</w:t>
            </w:r>
          </w:p>
        </w:tc>
        <w:tc>
          <w:tcPr>
            <w:tcW w:w="125" w:type="pct"/>
            <w:tcBorders>
              <w:top w:val="nil"/>
              <w:left w:val="nil"/>
              <w:bottom w:val="nil"/>
              <w:right w:val="nil"/>
              <w:tl2br w:val="nil"/>
              <w:tr2bl w:val="nil"/>
            </w:tcBorders>
            <w:vAlign w:val="bottom"/>
          </w:tcPr>
          <w:p w:rsidR="0018024C" w:rsidRPr="00C6642F" w:rsidRDefault="0018024C" w:rsidP="0018024C">
            <w:pPr>
              <w:jc w:val="center"/>
              <w:rPr>
                <w:sz w:val="20"/>
              </w:rPr>
            </w:pPr>
          </w:p>
        </w:tc>
        <w:tc>
          <w:tcPr>
            <w:tcW w:w="251" w:type="pct"/>
            <w:tcBorders>
              <w:top w:val="nil"/>
              <w:left w:val="nil"/>
              <w:bottom w:val="nil"/>
              <w:right w:val="nil"/>
              <w:tl2br w:val="nil"/>
              <w:tr2bl w:val="nil"/>
            </w:tcBorders>
            <w:vAlign w:val="bottom"/>
          </w:tcPr>
          <w:p w:rsidR="0018024C" w:rsidRPr="00C6642F" w:rsidRDefault="0018024C" w:rsidP="0018024C">
            <w:pPr>
              <w:ind w:right="65"/>
              <w:jc w:val="right"/>
              <w:rPr>
                <w:sz w:val="20"/>
              </w:rPr>
            </w:pPr>
            <w:r w:rsidRPr="00C6642F">
              <w:rPr>
                <w:sz w:val="20"/>
              </w:rPr>
              <w:t xml:space="preserve"> 4</w:t>
            </w:r>
          </w:p>
        </w:tc>
        <w:tc>
          <w:tcPr>
            <w:tcW w:w="153" w:type="pct"/>
            <w:tcBorders>
              <w:top w:val="nil"/>
              <w:left w:val="nil"/>
              <w:bottom w:val="nil"/>
              <w:right w:val="nil"/>
              <w:tl2br w:val="nil"/>
              <w:tr2bl w:val="nil"/>
            </w:tcBorders>
            <w:vAlign w:val="bottom"/>
          </w:tcPr>
          <w:p w:rsidR="0018024C" w:rsidRPr="00C6642F" w:rsidRDefault="0018024C" w:rsidP="0018024C">
            <w:pPr>
              <w:rPr>
                <w:sz w:val="20"/>
              </w:rPr>
            </w:pPr>
          </w:p>
        </w:tc>
        <w:tc>
          <w:tcPr>
            <w:tcW w:w="132" w:type="pct"/>
            <w:tcBorders>
              <w:top w:val="nil"/>
              <w:left w:val="nil"/>
              <w:bottom w:val="nil"/>
              <w:right w:val="nil"/>
              <w:tl2br w:val="nil"/>
              <w:tr2bl w:val="nil"/>
            </w:tcBorders>
            <w:vAlign w:val="bottom"/>
          </w:tcPr>
          <w:p w:rsidR="0018024C" w:rsidRPr="00C6642F" w:rsidRDefault="0018024C" w:rsidP="0018024C">
            <w:pPr>
              <w:rPr>
                <w:sz w:val="20"/>
              </w:rPr>
            </w:pPr>
          </w:p>
        </w:tc>
        <w:tc>
          <w:tcPr>
            <w:tcW w:w="547" w:type="pct"/>
            <w:tcBorders>
              <w:top w:val="nil"/>
              <w:left w:val="nil"/>
              <w:bottom w:val="nil"/>
              <w:right w:val="nil"/>
              <w:tl2br w:val="nil"/>
              <w:tr2bl w:val="nil"/>
            </w:tcBorders>
            <w:vAlign w:val="bottom"/>
          </w:tcPr>
          <w:p w:rsidR="0018024C" w:rsidRPr="00C6642F" w:rsidRDefault="0018024C" w:rsidP="0018024C">
            <w:pPr>
              <w:rPr>
                <w:sz w:val="20"/>
              </w:rPr>
            </w:pPr>
          </w:p>
        </w:tc>
      </w:tr>
      <w:tr w:rsidR="0018024C" w:rsidRPr="00C6642F" w:rsidTr="0018024C">
        <w:trPr>
          <w:trHeight w:hRule="exact" w:val="300"/>
          <w:jc w:val="center"/>
        </w:trPr>
        <w:tc>
          <w:tcPr>
            <w:tcW w:w="3792" w:type="pct"/>
            <w:tcBorders>
              <w:top w:val="nil"/>
              <w:left w:val="nil"/>
              <w:bottom w:val="nil"/>
              <w:right w:val="nil"/>
              <w:tl2br w:val="nil"/>
              <w:tr2bl w:val="nil"/>
            </w:tcBorders>
            <w:shd w:val="clear" w:color="auto" w:fill="CCEEFF"/>
            <w:vAlign w:val="bottom"/>
          </w:tcPr>
          <w:p w:rsidR="0018024C" w:rsidRPr="00C6642F" w:rsidRDefault="0018024C" w:rsidP="0018024C">
            <w:pPr>
              <w:jc w:val="center"/>
              <w:rPr>
                <w:sz w:val="20"/>
              </w:rPr>
            </w:pPr>
            <w:r w:rsidRPr="00C6642F">
              <w:rPr>
                <w:sz w:val="20"/>
              </w:rPr>
              <w:t>2022</w:t>
            </w:r>
          </w:p>
        </w:tc>
        <w:tc>
          <w:tcPr>
            <w:tcW w:w="125" w:type="pct"/>
            <w:tcBorders>
              <w:top w:val="nil"/>
              <w:left w:val="nil"/>
              <w:bottom w:val="nil"/>
              <w:right w:val="nil"/>
              <w:tl2br w:val="nil"/>
              <w:tr2bl w:val="nil"/>
            </w:tcBorders>
            <w:shd w:val="clear" w:color="auto" w:fill="CCEEFF"/>
            <w:vAlign w:val="bottom"/>
          </w:tcPr>
          <w:p w:rsidR="0018024C" w:rsidRPr="00C6642F" w:rsidRDefault="0018024C" w:rsidP="0018024C">
            <w:pPr>
              <w:jc w:val="center"/>
              <w:rPr>
                <w:sz w:val="20"/>
              </w:rPr>
            </w:pPr>
          </w:p>
        </w:tc>
        <w:tc>
          <w:tcPr>
            <w:tcW w:w="251" w:type="pct"/>
            <w:tcBorders>
              <w:top w:val="nil"/>
              <w:left w:val="nil"/>
              <w:bottom w:val="nil"/>
              <w:right w:val="nil"/>
              <w:tl2br w:val="nil"/>
              <w:tr2bl w:val="nil"/>
            </w:tcBorders>
            <w:shd w:val="clear" w:color="auto" w:fill="CCEEFF"/>
            <w:vAlign w:val="bottom"/>
          </w:tcPr>
          <w:p w:rsidR="0018024C" w:rsidRPr="00C6642F" w:rsidRDefault="0018024C" w:rsidP="0018024C">
            <w:pPr>
              <w:ind w:right="65"/>
              <w:jc w:val="right"/>
              <w:rPr>
                <w:sz w:val="20"/>
              </w:rPr>
            </w:pPr>
            <w:r w:rsidRPr="00C6642F">
              <w:rPr>
                <w:sz w:val="20"/>
              </w:rPr>
              <w:t xml:space="preserve"> 165</w:t>
            </w:r>
          </w:p>
        </w:tc>
        <w:tc>
          <w:tcPr>
            <w:tcW w:w="153" w:type="pct"/>
            <w:tcBorders>
              <w:top w:val="nil"/>
              <w:left w:val="nil"/>
              <w:bottom w:val="nil"/>
              <w:right w:val="nil"/>
              <w:tl2br w:val="nil"/>
              <w:tr2bl w:val="nil"/>
            </w:tcBorders>
            <w:shd w:val="clear" w:color="auto" w:fill="CCEEFF"/>
            <w:vAlign w:val="bottom"/>
          </w:tcPr>
          <w:p w:rsidR="0018024C" w:rsidRPr="00C6642F" w:rsidRDefault="0018024C" w:rsidP="0018024C">
            <w:pPr>
              <w:rPr>
                <w:rFonts w:ascii="Calibri" w:eastAsia="Calibri" w:hAnsi="Calibri" w:cs="Calibri"/>
                <w:sz w:val="22"/>
              </w:rPr>
            </w:pPr>
          </w:p>
        </w:tc>
        <w:tc>
          <w:tcPr>
            <w:tcW w:w="132" w:type="pct"/>
            <w:tcBorders>
              <w:top w:val="nil"/>
              <w:left w:val="nil"/>
              <w:bottom w:val="nil"/>
              <w:right w:val="nil"/>
              <w:tl2br w:val="nil"/>
              <w:tr2bl w:val="nil"/>
            </w:tcBorders>
            <w:shd w:val="clear" w:color="auto" w:fill="CCEEFF"/>
            <w:vAlign w:val="bottom"/>
          </w:tcPr>
          <w:p w:rsidR="0018024C" w:rsidRPr="00C6642F" w:rsidRDefault="0018024C" w:rsidP="0018024C">
            <w:pPr>
              <w:rPr>
                <w:rFonts w:ascii="Calibri" w:eastAsia="Calibri" w:hAnsi="Calibri" w:cs="Calibri"/>
                <w:sz w:val="22"/>
              </w:rPr>
            </w:pPr>
          </w:p>
        </w:tc>
        <w:tc>
          <w:tcPr>
            <w:tcW w:w="547" w:type="pct"/>
            <w:tcBorders>
              <w:top w:val="nil"/>
              <w:left w:val="nil"/>
              <w:bottom w:val="nil"/>
              <w:right w:val="nil"/>
              <w:tl2br w:val="nil"/>
              <w:tr2bl w:val="nil"/>
            </w:tcBorders>
            <w:shd w:val="clear" w:color="auto" w:fill="CCEEFF"/>
            <w:vAlign w:val="bottom"/>
          </w:tcPr>
          <w:p w:rsidR="0018024C" w:rsidRPr="00C6642F" w:rsidRDefault="0018024C" w:rsidP="0018024C">
            <w:pPr>
              <w:rPr>
                <w:rFonts w:ascii="Calibri" w:eastAsia="Calibri" w:hAnsi="Calibri" w:cs="Calibri"/>
                <w:sz w:val="22"/>
              </w:rPr>
            </w:pPr>
          </w:p>
        </w:tc>
      </w:tr>
      <w:tr w:rsidR="0018024C" w:rsidRPr="00C6642F" w:rsidTr="0018024C">
        <w:trPr>
          <w:trHeight w:hRule="exact" w:val="300"/>
          <w:jc w:val="center"/>
        </w:trPr>
        <w:tc>
          <w:tcPr>
            <w:tcW w:w="3792" w:type="pct"/>
            <w:tcBorders>
              <w:top w:val="nil"/>
              <w:left w:val="nil"/>
              <w:bottom w:val="nil"/>
              <w:right w:val="nil"/>
              <w:tl2br w:val="nil"/>
              <w:tr2bl w:val="nil"/>
            </w:tcBorders>
            <w:vAlign w:val="bottom"/>
          </w:tcPr>
          <w:p w:rsidR="0018024C" w:rsidRPr="00C6642F" w:rsidRDefault="0018024C" w:rsidP="0018024C">
            <w:pPr>
              <w:jc w:val="center"/>
              <w:rPr>
                <w:sz w:val="20"/>
              </w:rPr>
            </w:pPr>
            <w:r w:rsidRPr="00C6642F">
              <w:rPr>
                <w:sz w:val="20"/>
              </w:rPr>
              <w:t>2023</w:t>
            </w:r>
          </w:p>
        </w:tc>
        <w:tc>
          <w:tcPr>
            <w:tcW w:w="125" w:type="pct"/>
            <w:tcBorders>
              <w:top w:val="nil"/>
              <w:left w:val="nil"/>
              <w:bottom w:val="nil"/>
              <w:right w:val="nil"/>
              <w:tl2br w:val="nil"/>
              <w:tr2bl w:val="nil"/>
            </w:tcBorders>
            <w:vAlign w:val="bottom"/>
          </w:tcPr>
          <w:p w:rsidR="0018024C" w:rsidRPr="00C6642F" w:rsidRDefault="0018024C" w:rsidP="0018024C">
            <w:pPr>
              <w:jc w:val="center"/>
              <w:rPr>
                <w:sz w:val="20"/>
              </w:rPr>
            </w:pPr>
          </w:p>
        </w:tc>
        <w:tc>
          <w:tcPr>
            <w:tcW w:w="251" w:type="pct"/>
            <w:tcBorders>
              <w:top w:val="nil"/>
              <w:left w:val="nil"/>
              <w:bottom w:val="nil"/>
              <w:right w:val="nil"/>
              <w:tl2br w:val="nil"/>
              <w:tr2bl w:val="nil"/>
            </w:tcBorders>
            <w:vAlign w:val="bottom"/>
          </w:tcPr>
          <w:p w:rsidR="0018024C" w:rsidRPr="00C6642F" w:rsidRDefault="0018024C" w:rsidP="0018024C">
            <w:pPr>
              <w:ind w:right="65"/>
              <w:jc w:val="right"/>
              <w:rPr>
                <w:sz w:val="20"/>
              </w:rPr>
            </w:pPr>
            <w:r w:rsidRPr="00C6642F">
              <w:rPr>
                <w:sz w:val="20"/>
              </w:rPr>
              <w:t xml:space="preserve"> 4</w:t>
            </w:r>
          </w:p>
        </w:tc>
        <w:tc>
          <w:tcPr>
            <w:tcW w:w="153" w:type="pct"/>
            <w:tcBorders>
              <w:top w:val="nil"/>
              <w:left w:val="nil"/>
              <w:bottom w:val="nil"/>
              <w:right w:val="nil"/>
              <w:tl2br w:val="nil"/>
              <w:tr2bl w:val="nil"/>
            </w:tcBorders>
            <w:vAlign w:val="bottom"/>
          </w:tcPr>
          <w:p w:rsidR="0018024C" w:rsidRPr="00C6642F" w:rsidRDefault="0018024C" w:rsidP="0018024C">
            <w:pPr>
              <w:rPr>
                <w:rFonts w:ascii="Calibri" w:eastAsia="Calibri" w:hAnsi="Calibri" w:cs="Calibri"/>
                <w:sz w:val="22"/>
              </w:rPr>
            </w:pPr>
          </w:p>
        </w:tc>
        <w:tc>
          <w:tcPr>
            <w:tcW w:w="132" w:type="pct"/>
            <w:tcBorders>
              <w:top w:val="nil"/>
              <w:left w:val="nil"/>
              <w:bottom w:val="nil"/>
              <w:right w:val="nil"/>
              <w:tl2br w:val="nil"/>
              <w:tr2bl w:val="nil"/>
            </w:tcBorders>
            <w:vAlign w:val="bottom"/>
          </w:tcPr>
          <w:p w:rsidR="0018024C" w:rsidRPr="00C6642F" w:rsidRDefault="0018024C" w:rsidP="0018024C">
            <w:pPr>
              <w:rPr>
                <w:rFonts w:ascii="Calibri" w:eastAsia="Calibri" w:hAnsi="Calibri" w:cs="Calibri"/>
                <w:sz w:val="22"/>
              </w:rPr>
            </w:pPr>
          </w:p>
        </w:tc>
        <w:tc>
          <w:tcPr>
            <w:tcW w:w="547" w:type="pct"/>
            <w:tcBorders>
              <w:top w:val="nil"/>
              <w:left w:val="nil"/>
              <w:bottom w:val="nil"/>
              <w:right w:val="nil"/>
              <w:tl2br w:val="nil"/>
              <w:tr2bl w:val="nil"/>
            </w:tcBorders>
            <w:vAlign w:val="bottom"/>
          </w:tcPr>
          <w:p w:rsidR="0018024C" w:rsidRPr="00C6642F" w:rsidRDefault="0018024C" w:rsidP="0018024C">
            <w:pPr>
              <w:rPr>
                <w:rFonts w:ascii="Calibri" w:eastAsia="Calibri" w:hAnsi="Calibri" w:cs="Calibri"/>
                <w:sz w:val="22"/>
              </w:rPr>
            </w:pPr>
          </w:p>
        </w:tc>
      </w:tr>
      <w:tr w:rsidR="0018024C" w:rsidRPr="00C6642F" w:rsidTr="0018024C">
        <w:trPr>
          <w:trHeight w:hRule="exact" w:val="300"/>
          <w:jc w:val="center"/>
        </w:trPr>
        <w:tc>
          <w:tcPr>
            <w:tcW w:w="3792" w:type="pct"/>
            <w:tcBorders>
              <w:top w:val="nil"/>
              <w:left w:val="nil"/>
              <w:bottom w:val="nil"/>
              <w:right w:val="nil"/>
              <w:tl2br w:val="nil"/>
              <w:tr2bl w:val="nil"/>
            </w:tcBorders>
            <w:shd w:val="clear" w:color="auto" w:fill="CCEEFF"/>
            <w:vAlign w:val="bottom"/>
          </w:tcPr>
          <w:p w:rsidR="0018024C" w:rsidRPr="00C6642F" w:rsidRDefault="0018024C" w:rsidP="0018024C">
            <w:pPr>
              <w:jc w:val="center"/>
              <w:rPr>
                <w:sz w:val="20"/>
              </w:rPr>
            </w:pPr>
            <w:r w:rsidRPr="00C6642F">
              <w:rPr>
                <w:sz w:val="20"/>
              </w:rPr>
              <w:t>2024</w:t>
            </w:r>
          </w:p>
        </w:tc>
        <w:tc>
          <w:tcPr>
            <w:tcW w:w="125" w:type="pct"/>
            <w:tcBorders>
              <w:top w:val="nil"/>
              <w:left w:val="nil"/>
              <w:bottom w:val="nil"/>
              <w:right w:val="nil"/>
              <w:tl2br w:val="nil"/>
              <w:tr2bl w:val="nil"/>
            </w:tcBorders>
            <w:shd w:val="clear" w:color="auto" w:fill="CCEEFF"/>
            <w:vAlign w:val="bottom"/>
          </w:tcPr>
          <w:p w:rsidR="0018024C" w:rsidRPr="00C6642F" w:rsidRDefault="0018024C" w:rsidP="0018024C">
            <w:pPr>
              <w:jc w:val="center"/>
              <w:rPr>
                <w:sz w:val="20"/>
              </w:rPr>
            </w:pPr>
          </w:p>
        </w:tc>
        <w:tc>
          <w:tcPr>
            <w:tcW w:w="251" w:type="pct"/>
            <w:tcBorders>
              <w:top w:val="nil"/>
              <w:left w:val="nil"/>
              <w:bottom w:val="nil"/>
              <w:right w:val="nil"/>
              <w:tl2br w:val="nil"/>
              <w:tr2bl w:val="nil"/>
            </w:tcBorders>
            <w:shd w:val="clear" w:color="auto" w:fill="CCEEFF"/>
            <w:vAlign w:val="bottom"/>
          </w:tcPr>
          <w:p w:rsidR="0018024C" w:rsidRPr="00C6642F" w:rsidRDefault="0018024C" w:rsidP="0018024C">
            <w:pPr>
              <w:ind w:right="65"/>
              <w:jc w:val="right"/>
              <w:rPr>
                <w:sz w:val="20"/>
              </w:rPr>
            </w:pPr>
            <w:r w:rsidRPr="00C6642F">
              <w:rPr>
                <w:sz w:val="20"/>
              </w:rPr>
              <w:t xml:space="preserve"> 374</w:t>
            </w:r>
          </w:p>
        </w:tc>
        <w:tc>
          <w:tcPr>
            <w:tcW w:w="153" w:type="pct"/>
            <w:tcBorders>
              <w:top w:val="nil"/>
              <w:left w:val="nil"/>
              <w:bottom w:val="nil"/>
              <w:right w:val="nil"/>
              <w:tl2br w:val="nil"/>
              <w:tr2bl w:val="nil"/>
            </w:tcBorders>
            <w:shd w:val="clear" w:color="auto" w:fill="CCEEFF"/>
            <w:vAlign w:val="bottom"/>
          </w:tcPr>
          <w:p w:rsidR="0018024C" w:rsidRPr="00C6642F" w:rsidRDefault="0018024C" w:rsidP="0018024C">
            <w:pPr>
              <w:rPr>
                <w:rFonts w:ascii="Calibri" w:eastAsia="Calibri" w:hAnsi="Calibri" w:cs="Calibri"/>
                <w:sz w:val="22"/>
              </w:rPr>
            </w:pPr>
          </w:p>
        </w:tc>
        <w:tc>
          <w:tcPr>
            <w:tcW w:w="132" w:type="pct"/>
            <w:tcBorders>
              <w:top w:val="nil"/>
              <w:left w:val="nil"/>
              <w:bottom w:val="nil"/>
              <w:right w:val="nil"/>
              <w:tl2br w:val="nil"/>
              <w:tr2bl w:val="nil"/>
            </w:tcBorders>
            <w:shd w:val="clear" w:color="auto" w:fill="CCEEFF"/>
            <w:vAlign w:val="bottom"/>
          </w:tcPr>
          <w:p w:rsidR="0018024C" w:rsidRPr="00C6642F" w:rsidRDefault="0018024C" w:rsidP="0018024C">
            <w:pPr>
              <w:rPr>
                <w:rFonts w:ascii="Calibri" w:eastAsia="Calibri" w:hAnsi="Calibri" w:cs="Calibri"/>
                <w:sz w:val="22"/>
              </w:rPr>
            </w:pPr>
          </w:p>
        </w:tc>
        <w:tc>
          <w:tcPr>
            <w:tcW w:w="547" w:type="pct"/>
            <w:tcBorders>
              <w:top w:val="nil"/>
              <w:left w:val="nil"/>
              <w:bottom w:val="nil"/>
              <w:right w:val="nil"/>
              <w:tl2br w:val="nil"/>
              <w:tr2bl w:val="nil"/>
            </w:tcBorders>
            <w:shd w:val="clear" w:color="auto" w:fill="CCEEFF"/>
            <w:vAlign w:val="bottom"/>
          </w:tcPr>
          <w:p w:rsidR="0018024C" w:rsidRPr="00C6642F" w:rsidRDefault="0018024C" w:rsidP="0018024C">
            <w:pPr>
              <w:rPr>
                <w:rFonts w:ascii="Calibri" w:eastAsia="Calibri" w:hAnsi="Calibri" w:cs="Calibri"/>
                <w:sz w:val="22"/>
              </w:rPr>
            </w:pPr>
          </w:p>
        </w:tc>
      </w:tr>
      <w:tr w:rsidR="0018024C" w:rsidRPr="00C6642F" w:rsidTr="0018024C">
        <w:trPr>
          <w:trHeight w:hRule="exact" w:val="300"/>
          <w:jc w:val="center"/>
        </w:trPr>
        <w:tc>
          <w:tcPr>
            <w:tcW w:w="3792" w:type="pct"/>
            <w:tcBorders>
              <w:top w:val="nil"/>
              <w:left w:val="nil"/>
              <w:bottom w:val="nil"/>
              <w:right w:val="nil"/>
              <w:tl2br w:val="nil"/>
              <w:tr2bl w:val="nil"/>
            </w:tcBorders>
            <w:vAlign w:val="bottom"/>
          </w:tcPr>
          <w:p w:rsidR="0018024C" w:rsidRPr="00C6642F" w:rsidRDefault="0018024C" w:rsidP="0018024C">
            <w:pPr>
              <w:jc w:val="center"/>
              <w:rPr>
                <w:sz w:val="20"/>
              </w:rPr>
            </w:pPr>
            <w:r w:rsidRPr="00C6642F">
              <w:rPr>
                <w:sz w:val="20"/>
              </w:rPr>
              <w:t>Thereafter</w:t>
            </w:r>
          </w:p>
        </w:tc>
        <w:tc>
          <w:tcPr>
            <w:tcW w:w="125" w:type="pct"/>
            <w:tcBorders>
              <w:top w:val="nil"/>
              <w:left w:val="nil"/>
              <w:bottom w:val="nil"/>
              <w:right w:val="nil"/>
              <w:tl2br w:val="nil"/>
              <w:tr2bl w:val="nil"/>
            </w:tcBorders>
            <w:vAlign w:val="bottom"/>
          </w:tcPr>
          <w:p w:rsidR="0018024C" w:rsidRPr="00C6642F" w:rsidRDefault="0018024C" w:rsidP="0018024C">
            <w:pPr>
              <w:jc w:val="center"/>
              <w:rPr>
                <w:sz w:val="20"/>
              </w:rPr>
            </w:pPr>
          </w:p>
        </w:tc>
        <w:tc>
          <w:tcPr>
            <w:tcW w:w="251" w:type="pct"/>
            <w:tcBorders>
              <w:top w:val="nil"/>
              <w:left w:val="nil"/>
              <w:bottom w:val="nil"/>
              <w:right w:val="nil"/>
              <w:tl2br w:val="nil"/>
              <w:tr2bl w:val="nil"/>
            </w:tcBorders>
            <w:vAlign w:val="bottom"/>
          </w:tcPr>
          <w:p w:rsidR="0018024C" w:rsidRPr="00C6642F" w:rsidRDefault="0018024C" w:rsidP="0018024C">
            <w:pPr>
              <w:ind w:right="65"/>
              <w:jc w:val="right"/>
              <w:rPr>
                <w:sz w:val="20"/>
              </w:rPr>
            </w:pPr>
            <w:r w:rsidRPr="00C6642F">
              <w:rPr>
                <w:sz w:val="20"/>
              </w:rPr>
              <w:t xml:space="preserve"> -</w:t>
            </w:r>
          </w:p>
        </w:tc>
        <w:tc>
          <w:tcPr>
            <w:tcW w:w="153" w:type="pct"/>
            <w:tcBorders>
              <w:top w:val="nil"/>
              <w:left w:val="nil"/>
              <w:bottom w:val="nil"/>
              <w:right w:val="nil"/>
              <w:tl2br w:val="nil"/>
              <w:tr2bl w:val="nil"/>
            </w:tcBorders>
            <w:vAlign w:val="bottom"/>
          </w:tcPr>
          <w:p w:rsidR="0018024C" w:rsidRPr="00C6642F" w:rsidRDefault="0018024C" w:rsidP="0018024C">
            <w:pPr>
              <w:rPr>
                <w:rFonts w:ascii="Calibri" w:eastAsia="Calibri" w:hAnsi="Calibri" w:cs="Calibri"/>
                <w:sz w:val="22"/>
              </w:rPr>
            </w:pPr>
          </w:p>
        </w:tc>
        <w:tc>
          <w:tcPr>
            <w:tcW w:w="132" w:type="pct"/>
            <w:tcBorders>
              <w:top w:val="nil"/>
              <w:left w:val="nil"/>
              <w:bottom w:val="nil"/>
              <w:right w:val="nil"/>
              <w:tl2br w:val="nil"/>
              <w:tr2bl w:val="nil"/>
            </w:tcBorders>
            <w:vAlign w:val="bottom"/>
          </w:tcPr>
          <w:p w:rsidR="0018024C" w:rsidRPr="00C6642F" w:rsidRDefault="0018024C" w:rsidP="0018024C">
            <w:pPr>
              <w:rPr>
                <w:rFonts w:ascii="Calibri" w:eastAsia="Calibri" w:hAnsi="Calibri" w:cs="Calibri"/>
                <w:sz w:val="22"/>
              </w:rPr>
            </w:pPr>
          </w:p>
        </w:tc>
        <w:tc>
          <w:tcPr>
            <w:tcW w:w="547" w:type="pct"/>
            <w:tcBorders>
              <w:top w:val="nil"/>
              <w:left w:val="nil"/>
              <w:bottom w:val="nil"/>
              <w:right w:val="nil"/>
              <w:tl2br w:val="nil"/>
              <w:tr2bl w:val="nil"/>
            </w:tcBorders>
            <w:vAlign w:val="bottom"/>
          </w:tcPr>
          <w:p w:rsidR="0018024C" w:rsidRPr="00C6642F" w:rsidRDefault="0018024C" w:rsidP="0018024C">
            <w:pPr>
              <w:rPr>
                <w:rFonts w:ascii="Calibri" w:eastAsia="Calibri" w:hAnsi="Calibri" w:cs="Calibri"/>
                <w:sz w:val="22"/>
              </w:rPr>
            </w:pPr>
          </w:p>
        </w:tc>
      </w:tr>
    </w:tbl>
    <w:p w:rsidR="00E479AC" w:rsidRPr="00C6642F" w:rsidRDefault="00E479AC"/>
    <w:p w:rsidR="00E479AC" w:rsidRPr="00E479AC" w:rsidRDefault="00E479AC" w:rsidP="00E479AC">
      <w:pPr>
        <w:rPr>
          <w:sz w:val="2"/>
        </w:rPr>
      </w:pPr>
    </w:p>
    <w:p w:rsidR="000121CD" w:rsidRDefault="000121CD">
      <w:pPr>
        <w:rPr>
          <w:sz w:val="2"/>
        </w:rPr>
      </w:pPr>
    </w:p>
    <w:p w:rsidR="000121CD" w:rsidRDefault="000121CD">
      <w:pPr>
        <w:rPr>
          <w:sz w:val="2"/>
        </w:rPr>
      </w:pPr>
    </w:p>
    <w:p w:rsidR="000121CD" w:rsidRPr="00C6642F" w:rsidRDefault="00590862" w:rsidP="00E479AC">
      <w:pPr>
        <w:pStyle w:val="NormalWeb"/>
        <w:keepNext/>
        <w:spacing w:before="0" w:beforeAutospacing="0" w:after="0" w:afterAutospacing="0"/>
        <w:rPr>
          <w:b/>
          <w:bCs/>
          <w:sz w:val="20"/>
          <w:szCs w:val="20"/>
          <w:u w:val="single"/>
        </w:rPr>
      </w:pPr>
      <w:r w:rsidRPr="00C6642F">
        <w:rPr>
          <w:b/>
          <w:bCs/>
          <w:sz w:val="20"/>
          <w:szCs w:val="20"/>
          <w:u w:val="single"/>
        </w:rPr>
        <w:t xml:space="preserve">NOTE </w:t>
      </w:r>
      <w:r w:rsidR="000D0795" w:rsidRPr="00C6642F">
        <w:rPr>
          <w:b/>
          <w:bCs/>
          <w:sz w:val="20"/>
          <w:szCs w:val="20"/>
          <w:u w:val="single"/>
        </w:rPr>
        <w:t>9</w:t>
      </w:r>
      <w:r w:rsidRPr="00C6642F">
        <w:rPr>
          <w:b/>
          <w:bCs/>
          <w:sz w:val="20"/>
          <w:szCs w:val="20"/>
          <w:u w:val="single"/>
        </w:rPr>
        <w:t xml:space="preserve">—DERIVATIVE FINANCIAL INSTRUMENTS </w:t>
      </w:r>
    </w:p>
    <w:p w:rsidR="000121CD" w:rsidRPr="00C6642F" w:rsidRDefault="00590862">
      <w:pPr>
        <w:pStyle w:val="NormalWeb"/>
        <w:keepNext/>
        <w:spacing w:before="180" w:beforeAutospacing="0" w:after="0" w:afterAutospacing="0"/>
        <w:rPr>
          <w:sz w:val="20"/>
          <w:szCs w:val="20"/>
        </w:rPr>
      </w:pPr>
      <w:r w:rsidRPr="00C6642F">
        <w:rPr>
          <w:sz w:val="20"/>
          <w:szCs w:val="20"/>
        </w:rPr>
        <w:t xml:space="preserve">We use derivative financial instruments to help manage our exposure to interest rate risk and fluctuations in foreign currencies. </w:t>
      </w:r>
    </w:p>
    <w:p w:rsidR="000121CD" w:rsidRPr="00C6642F" w:rsidRDefault="00590862">
      <w:pPr>
        <w:pStyle w:val="NormalWeb"/>
        <w:keepNext/>
        <w:keepLines/>
        <w:spacing w:before="180" w:beforeAutospacing="0" w:after="0" w:afterAutospacing="0"/>
        <w:rPr>
          <w:sz w:val="20"/>
          <w:szCs w:val="20"/>
        </w:rPr>
      </w:pPr>
      <w:r w:rsidRPr="00C6642F">
        <w:rPr>
          <w:b/>
          <w:bCs/>
          <w:sz w:val="20"/>
          <w:szCs w:val="20"/>
          <w:u w:val="single"/>
        </w:rPr>
        <w:t>Interest Rate Swap</w:t>
      </w:r>
      <w:r w:rsidRPr="00C6642F">
        <w:rPr>
          <w:b/>
          <w:bCs/>
          <w:sz w:val="20"/>
          <w:szCs w:val="20"/>
        </w:rPr>
        <w:t xml:space="preserve">: </w:t>
      </w:r>
      <w:r w:rsidRPr="00C6642F">
        <w:rPr>
          <w:sz w:val="20"/>
          <w:szCs w:val="20"/>
        </w:rPr>
        <w:t>In March 2018, we entered into a five</w:t>
      </w:r>
      <w:r w:rsidR="00B635BE" w:rsidRPr="00C6642F">
        <w:rPr>
          <w:sz w:val="20"/>
          <w:szCs w:val="20"/>
        </w:rPr>
        <w:t xml:space="preserve"> </w:t>
      </w:r>
      <w:r w:rsidRPr="00C6642F">
        <w:rPr>
          <w:sz w:val="20"/>
          <w:szCs w:val="20"/>
        </w:rPr>
        <w:t>year interest rate swap that became effective on March 31, 2018, with a notional amount of $250 million from which we receive payments at 1-month LIBOR and make monthly payments at a fixed rate of 2.7145% with settlement and reset dates on or near the last business day of each month until maturity. The fair value of the swap at inception was zero. The fair value of the interest rate swap was a liability of $</w:t>
      </w:r>
      <w:r w:rsidR="00F12CB3" w:rsidRPr="00C6642F">
        <w:rPr>
          <w:sz w:val="20"/>
          <w:szCs w:val="20"/>
        </w:rPr>
        <w:t>9</w:t>
      </w:r>
      <w:r w:rsidRPr="00C6642F">
        <w:rPr>
          <w:sz w:val="20"/>
          <w:szCs w:val="20"/>
        </w:rPr>
        <w:t> million</w:t>
      </w:r>
      <w:r w:rsidR="00F12CB3" w:rsidRPr="00C6642F">
        <w:rPr>
          <w:sz w:val="20"/>
          <w:szCs w:val="20"/>
        </w:rPr>
        <w:t xml:space="preserve"> and $3 million</w:t>
      </w:r>
      <w:r w:rsidRPr="00C6642F">
        <w:rPr>
          <w:sz w:val="20"/>
          <w:szCs w:val="20"/>
        </w:rPr>
        <w:t xml:space="preserve"> as of December 31, 201</w:t>
      </w:r>
      <w:r w:rsidR="00E156C7" w:rsidRPr="00C6642F">
        <w:rPr>
          <w:sz w:val="20"/>
          <w:szCs w:val="20"/>
        </w:rPr>
        <w:t>9</w:t>
      </w:r>
      <w:r w:rsidR="00F12CB3" w:rsidRPr="00C6642F">
        <w:rPr>
          <w:sz w:val="20"/>
          <w:szCs w:val="20"/>
        </w:rPr>
        <w:t xml:space="preserve"> and December 31, 2018, respectively</w:t>
      </w:r>
      <w:r w:rsidRPr="00C6642F">
        <w:rPr>
          <w:sz w:val="20"/>
          <w:szCs w:val="20"/>
        </w:rPr>
        <w:t>.</w:t>
      </w:r>
    </w:p>
    <w:p w:rsidR="000121CD" w:rsidRPr="00C6642F" w:rsidRDefault="00590862">
      <w:pPr>
        <w:pStyle w:val="NormalWeb"/>
        <w:keepNext/>
        <w:spacing w:before="180" w:beforeAutospacing="0" w:after="0" w:afterAutospacing="0"/>
        <w:rPr>
          <w:sz w:val="20"/>
          <w:szCs w:val="20"/>
        </w:rPr>
      </w:pPr>
      <w:r w:rsidRPr="00C6642F">
        <w:rPr>
          <w:b/>
          <w:bCs/>
          <w:sz w:val="20"/>
          <w:szCs w:val="20"/>
          <w:u w:val="single"/>
        </w:rPr>
        <w:t>Foreign Exchange Forward and Option Contracts</w:t>
      </w:r>
      <w:r w:rsidRPr="00C6642F">
        <w:rPr>
          <w:b/>
          <w:bCs/>
          <w:sz w:val="20"/>
          <w:szCs w:val="20"/>
        </w:rPr>
        <w:t>:</w:t>
      </w:r>
      <w:r w:rsidRPr="00C6642F">
        <w:rPr>
          <w:b/>
          <w:bCs/>
        </w:rPr>
        <w:t xml:space="preserve"> </w:t>
      </w:r>
      <w:r w:rsidRPr="00C6642F">
        <w:rPr>
          <w:bCs/>
          <w:sz w:val="20"/>
          <w:szCs w:val="20"/>
        </w:rPr>
        <w:t xml:space="preserve">All of our foreign exchange derivative instruments are freestanding. We have not designated our foreign exchange derivatives as hedges and, accordingly, changes in their fair market value are recorded in earnings. </w:t>
      </w:r>
      <w:r w:rsidRPr="00C6642F">
        <w:rPr>
          <w:sz w:val="20"/>
          <w:szCs w:val="20"/>
        </w:rPr>
        <w:t xml:space="preserve">Foreign exchange forward contracts are reported at fair value utilizing the Level 2 inputs, as the fair value is based on broker quotes for the same or similar derivative instruments. The fair value of foreign exchange derivative instruments recorded in our consolidated balance sheets at </w:t>
      </w:r>
      <w:r w:rsidR="003627E3" w:rsidRPr="00C6642F">
        <w:rPr>
          <w:sz w:val="20"/>
          <w:szCs w:val="20"/>
        </w:rPr>
        <w:t>December 31, 2019</w:t>
      </w:r>
      <w:r w:rsidRPr="00C6642F">
        <w:rPr>
          <w:sz w:val="20"/>
          <w:szCs w:val="20"/>
        </w:rPr>
        <w:t xml:space="preserve"> and </w:t>
      </w:r>
      <w:r w:rsidR="003627E3" w:rsidRPr="00C6642F">
        <w:rPr>
          <w:sz w:val="20"/>
          <w:szCs w:val="20"/>
        </w:rPr>
        <w:t>2018</w:t>
      </w:r>
      <w:r w:rsidR="00B53A64" w:rsidRPr="00C6642F">
        <w:rPr>
          <w:sz w:val="20"/>
          <w:szCs w:val="20"/>
        </w:rPr>
        <w:t xml:space="preserve"> was not material. </w:t>
      </w:r>
      <w:r w:rsidRPr="00C6642F">
        <w:rPr>
          <w:sz w:val="20"/>
          <w:szCs w:val="20"/>
        </w:rPr>
        <w:t>The total notional amount of outstanding forward foreign exchange contracts was approximately $2</w:t>
      </w:r>
      <w:r w:rsidR="00F43D27" w:rsidRPr="00C6642F">
        <w:rPr>
          <w:sz w:val="20"/>
          <w:szCs w:val="20"/>
        </w:rPr>
        <w:t>1</w:t>
      </w:r>
      <w:r w:rsidRPr="00C6642F">
        <w:rPr>
          <w:sz w:val="20"/>
          <w:szCs w:val="20"/>
        </w:rPr>
        <w:t xml:space="preserve"> million and $</w:t>
      </w:r>
      <w:r w:rsidR="00E156C7" w:rsidRPr="00C6642F">
        <w:rPr>
          <w:sz w:val="20"/>
          <w:szCs w:val="20"/>
        </w:rPr>
        <w:t>22</w:t>
      </w:r>
      <w:r w:rsidRPr="00C6642F">
        <w:rPr>
          <w:sz w:val="20"/>
          <w:szCs w:val="20"/>
        </w:rPr>
        <w:t xml:space="preserve"> million at </w:t>
      </w:r>
      <w:r w:rsidR="003627E3" w:rsidRPr="00C6642F">
        <w:rPr>
          <w:sz w:val="20"/>
          <w:szCs w:val="20"/>
        </w:rPr>
        <w:t>December 31, 2019</w:t>
      </w:r>
      <w:r w:rsidRPr="00C6642F">
        <w:rPr>
          <w:sz w:val="20"/>
          <w:szCs w:val="20"/>
        </w:rPr>
        <w:t xml:space="preserve"> and </w:t>
      </w:r>
      <w:r w:rsidR="003627E3" w:rsidRPr="00C6642F">
        <w:rPr>
          <w:sz w:val="20"/>
          <w:szCs w:val="20"/>
        </w:rPr>
        <w:t>2018</w:t>
      </w:r>
      <w:r w:rsidRPr="00C6642F">
        <w:rPr>
          <w:sz w:val="20"/>
          <w:szCs w:val="20"/>
        </w:rPr>
        <w:t>, respectively.</w:t>
      </w:r>
    </w:p>
    <w:p w:rsidR="000121CD" w:rsidRPr="00C6642F" w:rsidRDefault="00590862">
      <w:pPr>
        <w:pStyle w:val="NormalWeb"/>
        <w:keepNext/>
        <w:spacing w:before="180" w:beforeAutospacing="0" w:after="0" w:afterAutospacing="0"/>
        <w:rPr>
          <w:sz w:val="20"/>
          <w:szCs w:val="20"/>
        </w:rPr>
      </w:pPr>
      <w:r w:rsidRPr="00C6642F">
        <w:rPr>
          <w:sz w:val="20"/>
          <w:szCs w:val="20"/>
        </w:rPr>
        <w:t xml:space="preserve">We recognized a </w:t>
      </w:r>
      <w:r w:rsidR="00F12CB3" w:rsidRPr="00C6642F">
        <w:rPr>
          <w:sz w:val="20"/>
          <w:szCs w:val="20"/>
        </w:rPr>
        <w:t>loss</w:t>
      </w:r>
      <w:r w:rsidRPr="00C6642F">
        <w:rPr>
          <w:sz w:val="20"/>
          <w:szCs w:val="20"/>
        </w:rPr>
        <w:t xml:space="preserve"> of $</w:t>
      </w:r>
      <w:r w:rsidR="0018024C" w:rsidRPr="00C6642F">
        <w:rPr>
          <w:sz w:val="20"/>
          <w:szCs w:val="20"/>
        </w:rPr>
        <w:t>0</w:t>
      </w:r>
      <w:r w:rsidRPr="00C6642F">
        <w:rPr>
          <w:sz w:val="20"/>
          <w:szCs w:val="20"/>
        </w:rPr>
        <w:t xml:space="preserve"> million in the year ended December 31, 201</w:t>
      </w:r>
      <w:r w:rsidR="00E156C7" w:rsidRPr="00C6642F">
        <w:rPr>
          <w:sz w:val="20"/>
          <w:szCs w:val="20"/>
        </w:rPr>
        <w:t>9</w:t>
      </w:r>
      <w:r w:rsidRPr="00C6642F">
        <w:rPr>
          <w:sz w:val="20"/>
          <w:szCs w:val="20"/>
        </w:rPr>
        <w:t xml:space="preserve">, a </w:t>
      </w:r>
      <w:r w:rsidR="00E156C7" w:rsidRPr="00C6642F">
        <w:rPr>
          <w:sz w:val="20"/>
          <w:szCs w:val="20"/>
        </w:rPr>
        <w:t>gain</w:t>
      </w:r>
      <w:r w:rsidRPr="00C6642F">
        <w:rPr>
          <w:sz w:val="20"/>
          <w:szCs w:val="20"/>
        </w:rPr>
        <w:t xml:space="preserve"> of $1 million in the year ended December</w:t>
      </w:r>
      <w:r w:rsidR="00E156C7" w:rsidRPr="00C6642F">
        <w:rPr>
          <w:sz w:val="20"/>
          <w:szCs w:val="20"/>
        </w:rPr>
        <w:t> </w:t>
      </w:r>
      <w:r w:rsidRPr="00C6642F">
        <w:rPr>
          <w:sz w:val="20"/>
          <w:szCs w:val="20"/>
        </w:rPr>
        <w:t>31,</w:t>
      </w:r>
      <w:r w:rsidR="00E156C7" w:rsidRPr="00C6642F">
        <w:rPr>
          <w:sz w:val="20"/>
          <w:szCs w:val="20"/>
        </w:rPr>
        <w:t> </w:t>
      </w:r>
      <w:r w:rsidRPr="00C6642F">
        <w:rPr>
          <w:sz w:val="20"/>
          <w:szCs w:val="20"/>
        </w:rPr>
        <w:t>201</w:t>
      </w:r>
      <w:r w:rsidR="00E156C7" w:rsidRPr="00C6642F">
        <w:rPr>
          <w:sz w:val="20"/>
          <w:szCs w:val="20"/>
        </w:rPr>
        <w:t>8</w:t>
      </w:r>
      <w:r w:rsidRPr="00C6642F">
        <w:rPr>
          <w:sz w:val="20"/>
          <w:szCs w:val="20"/>
        </w:rPr>
        <w:t xml:space="preserve"> and a </w:t>
      </w:r>
      <w:r w:rsidR="00E156C7" w:rsidRPr="00C6642F">
        <w:rPr>
          <w:sz w:val="20"/>
          <w:szCs w:val="20"/>
        </w:rPr>
        <w:t>loss</w:t>
      </w:r>
      <w:r w:rsidRPr="00C6642F">
        <w:rPr>
          <w:sz w:val="20"/>
          <w:szCs w:val="20"/>
        </w:rPr>
        <w:t xml:space="preserve"> of $1 million in the year ended December 31, 201</w:t>
      </w:r>
      <w:r w:rsidR="00E156C7" w:rsidRPr="00C6642F">
        <w:rPr>
          <w:sz w:val="20"/>
          <w:szCs w:val="20"/>
        </w:rPr>
        <w:t>7</w:t>
      </w:r>
      <w:r w:rsidRPr="00C6642F">
        <w:rPr>
          <w:sz w:val="20"/>
          <w:szCs w:val="20"/>
        </w:rPr>
        <w:t xml:space="preserve"> in our consolidated statements of operations related to our derivative instruments.  </w:t>
      </w:r>
    </w:p>
    <w:p w:rsidR="000121CD" w:rsidRDefault="000121CD">
      <w:pPr>
        <w:rPr>
          <w:sz w:val="2"/>
        </w:rPr>
      </w:pPr>
    </w:p>
    <w:p w:rsidR="000121CD" w:rsidRDefault="000121CD">
      <w:pPr>
        <w:rPr>
          <w:sz w:val="2"/>
        </w:rPr>
      </w:pPr>
    </w:p>
    <w:p w:rsidR="000121CD" w:rsidRDefault="000121CD">
      <w:pPr>
        <w:rPr>
          <w:sz w:val="2"/>
        </w:rPr>
      </w:pPr>
    </w:p>
    <w:p w:rsidR="000121CD" w:rsidRDefault="000121CD">
      <w:pPr>
        <w:pStyle w:val="NormalWeb"/>
        <w:keepNext/>
        <w:spacing w:before="0" w:beforeAutospacing="0" w:after="0" w:afterAutospacing="0"/>
        <w:rPr>
          <w:b/>
          <w:bCs/>
          <w:sz w:val="2"/>
          <w:szCs w:val="20"/>
          <w:u w:val="single"/>
        </w:rPr>
      </w:pPr>
    </w:p>
    <w:p w:rsidR="000121CD" w:rsidRPr="00C6642F" w:rsidRDefault="00590862">
      <w:pPr>
        <w:pStyle w:val="NormalWeb"/>
        <w:keepNext/>
        <w:spacing w:before="270" w:beforeAutospacing="0" w:after="0" w:afterAutospacing="0"/>
        <w:rPr>
          <w:bCs/>
          <w:sz w:val="20"/>
          <w:szCs w:val="20"/>
        </w:rPr>
      </w:pPr>
      <w:r w:rsidRPr="00C6642F">
        <w:rPr>
          <w:b/>
          <w:bCs/>
          <w:sz w:val="20"/>
          <w:szCs w:val="20"/>
          <w:u w:val="single"/>
        </w:rPr>
        <w:t xml:space="preserve">NOTE </w:t>
      </w:r>
      <w:r w:rsidR="000D0795" w:rsidRPr="00C6642F">
        <w:rPr>
          <w:b/>
          <w:bCs/>
          <w:sz w:val="20"/>
          <w:szCs w:val="20"/>
          <w:u w:val="single"/>
        </w:rPr>
        <w:t>10</w:t>
      </w:r>
      <w:r w:rsidRPr="00C6642F">
        <w:rPr>
          <w:b/>
          <w:bCs/>
          <w:sz w:val="20"/>
          <w:szCs w:val="20"/>
          <w:u w:val="single"/>
        </w:rPr>
        <w:t xml:space="preserve">—INCOME TAXES </w:t>
      </w:r>
    </w:p>
    <w:p w:rsidR="000121CD" w:rsidRPr="00C6642F" w:rsidRDefault="00590862">
      <w:pPr>
        <w:pStyle w:val="NormalWeb"/>
        <w:keepLines/>
        <w:spacing w:before="90" w:beforeAutospacing="0" w:after="0" w:afterAutospacing="0"/>
        <w:rPr>
          <w:sz w:val="20"/>
          <w:szCs w:val="20"/>
        </w:rPr>
      </w:pPr>
      <w:r w:rsidRPr="00C6642F">
        <w:rPr>
          <w:sz w:val="20"/>
          <w:szCs w:val="20"/>
        </w:rPr>
        <w:t xml:space="preserve">The components of our income (loss) before income taxes were (in millions): </w:t>
      </w:r>
    </w:p>
    <w:p w:rsidR="000121CD" w:rsidRPr="00C6642F" w:rsidRDefault="000121CD">
      <w:pPr>
        <w:pStyle w:val="NormalWeb"/>
        <w:keepLines/>
        <w:spacing w:before="0" w:beforeAutospacing="0" w:after="0" w:afterAutospacing="0"/>
        <w:rPr>
          <w:sz w:val="2"/>
          <w:szCs w:val="18"/>
        </w:rPr>
      </w:pPr>
    </w:p>
    <w:p w:rsidR="000121CD" w:rsidRPr="00C6642F" w:rsidRDefault="000121CD">
      <w:pPr>
        <w:pStyle w:val="NormalWeb"/>
        <w:keepLines/>
        <w:spacing w:before="0" w:beforeAutospacing="0" w:after="0" w:afterAutospacing="0"/>
        <w:rPr>
          <w:sz w:val="2"/>
          <w:szCs w:val="18"/>
        </w:rPr>
      </w:pPr>
    </w:p>
    <w:tbl>
      <w:tblPr>
        <w:tblW w:w="5000" w:type="pct"/>
        <w:tblCellMar>
          <w:left w:w="0" w:type="dxa"/>
          <w:right w:w="0" w:type="dxa"/>
        </w:tblCellMar>
        <w:tblLook w:val="04A0" w:firstRow="1" w:lastRow="0" w:firstColumn="1" w:lastColumn="0" w:noHBand="0" w:noVBand="1"/>
      </w:tblPr>
      <w:tblGrid>
        <w:gridCol w:w="5887"/>
        <w:gridCol w:w="320"/>
        <w:gridCol w:w="1207"/>
        <w:gridCol w:w="168"/>
        <w:gridCol w:w="320"/>
        <w:gridCol w:w="1207"/>
        <w:gridCol w:w="168"/>
        <w:gridCol w:w="320"/>
        <w:gridCol w:w="1203"/>
      </w:tblGrid>
      <w:tr w:rsidR="0018024C" w:rsidRPr="00C6642F" w:rsidTr="0018024C">
        <w:trPr>
          <w:trHeight w:hRule="exact" w:val="20"/>
        </w:trPr>
        <w:tc>
          <w:tcPr>
            <w:tcW w:w="2725" w:type="pct"/>
            <w:tcBorders>
              <w:top w:val="nil"/>
              <w:left w:val="nil"/>
              <w:bottom w:val="nil"/>
              <w:right w:val="nil"/>
            </w:tcBorders>
            <w:shd w:val="clear" w:color="auto" w:fill="auto"/>
            <w:vAlign w:val="bottom"/>
          </w:tcPr>
          <w:p w:rsidR="0018024C" w:rsidRPr="00C6642F" w:rsidRDefault="0018024C" w:rsidP="0018024C">
            <w:pPr>
              <w:keepLines/>
              <w:spacing w:before="1" w:after="1"/>
              <w:rPr>
                <w:sz w:val="2"/>
              </w:rPr>
            </w:pPr>
          </w:p>
        </w:tc>
        <w:tc>
          <w:tcPr>
            <w:tcW w:w="148" w:type="pct"/>
            <w:tcBorders>
              <w:top w:val="nil"/>
              <w:left w:val="nil"/>
              <w:bottom w:val="nil"/>
              <w:right w:val="nil"/>
            </w:tcBorders>
            <w:shd w:val="clear" w:color="auto" w:fill="auto"/>
            <w:vAlign w:val="bottom"/>
          </w:tcPr>
          <w:p w:rsidR="0018024C" w:rsidRPr="00C6642F" w:rsidRDefault="0018024C" w:rsidP="0018024C">
            <w:pPr>
              <w:keepLines/>
              <w:spacing w:before="1" w:after="1"/>
              <w:rPr>
                <w:sz w:val="2"/>
              </w:rPr>
            </w:pPr>
          </w:p>
        </w:tc>
        <w:tc>
          <w:tcPr>
            <w:tcW w:w="559" w:type="pct"/>
            <w:tcBorders>
              <w:top w:val="nil"/>
              <w:left w:val="nil"/>
              <w:bottom w:val="nil"/>
              <w:right w:val="nil"/>
            </w:tcBorders>
            <w:shd w:val="clear" w:color="auto" w:fill="auto"/>
            <w:vAlign w:val="bottom"/>
          </w:tcPr>
          <w:p w:rsidR="0018024C" w:rsidRPr="00C6642F" w:rsidRDefault="0018024C" w:rsidP="0018024C">
            <w:pPr>
              <w:keepLines/>
              <w:spacing w:before="1" w:after="1"/>
              <w:rPr>
                <w:sz w:val="2"/>
              </w:rPr>
            </w:pPr>
          </w:p>
        </w:tc>
        <w:tc>
          <w:tcPr>
            <w:tcW w:w="78" w:type="pct"/>
            <w:tcBorders>
              <w:top w:val="nil"/>
              <w:left w:val="nil"/>
              <w:bottom w:val="nil"/>
              <w:right w:val="nil"/>
            </w:tcBorders>
            <w:shd w:val="clear" w:color="auto" w:fill="auto"/>
            <w:vAlign w:val="bottom"/>
          </w:tcPr>
          <w:p w:rsidR="0018024C" w:rsidRPr="00C6642F" w:rsidRDefault="0018024C" w:rsidP="0018024C">
            <w:pPr>
              <w:keepLines/>
              <w:spacing w:before="1" w:after="1"/>
              <w:rPr>
                <w:sz w:val="2"/>
              </w:rPr>
            </w:pPr>
          </w:p>
        </w:tc>
        <w:tc>
          <w:tcPr>
            <w:tcW w:w="148" w:type="pct"/>
            <w:tcBorders>
              <w:top w:val="nil"/>
              <w:left w:val="nil"/>
              <w:bottom w:val="nil"/>
              <w:right w:val="nil"/>
            </w:tcBorders>
            <w:shd w:val="clear" w:color="auto" w:fill="auto"/>
            <w:vAlign w:val="bottom"/>
          </w:tcPr>
          <w:p w:rsidR="0018024C" w:rsidRPr="00C6642F" w:rsidRDefault="0018024C" w:rsidP="0018024C">
            <w:pPr>
              <w:keepLines/>
              <w:spacing w:before="1" w:after="1"/>
              <w:rPr>
                <w:sz w:val="2"/>
              </w:rPr>
            </w:pPr>
          </w:p>
        </w:tc>
        <w:tc>
          <w:tcPr>
            <w:tcW w:w="559" w:type="pct"/>
            <w:tcBorders>
              <w:top w:val="nil"/>
              <w:left w:val="nil"/>
              <w:bottom w:val="nil"/>
              <w:right w:val="nil"/>
            </w:tcBorders>
            <w:shd w:val="clear" w:color="auto" w:fill="auto"/>
            <w:vAlign w:val="bottom"/>
          </w:tcPr>
          <w:p w:rsidR="0018024C" w:rsidRPr="00C6642F" w:rsidRDefault="0018024C" w:rsidP="0018024C">
            <w:pPr>
              <w:keepLines/>
              <w:spacing w:before="1" w:after="1"/>
              <w:rPr>
                <w:sz w:val="2"/>
              </w:rPr>
            </w:pPr>
          </w:p>
        </w:tc>
        <w:tc>
          <w:tcPr>
            <w:tcW w:w="78" w:type="pct"/>
            <w:tcBorders>
              <w:top w:val="nil"/>
              <w:left w:val="nil"/>
              <w:bottom w:val="nil"/>
              <w:right w:val="nil"/>
            </w:tcBorders>
            <w:shd w:val="clear" w:color="auto" w:fill="auto"/>
            <w:vAlign w:val="bottom"/>
          </w:tcPr>
          <w:p w:rsidR="0018024C" w:rsidRPr="00C6642F" w:rsidRDefault="0018024C" w:rsidP="0018024C">
            <w:pPr>
              <w:keepLines/>
              <w:spacing w:before="1" w:after="1"/>
              <w:rPr>
                <w:sz w:val="2"/>
              </w:rPr>
            </w:pPr>
          </w:p>
        </w:tc>
        <w:tc>
          <w:tcPr>
            <w:tcW w:w="148" w:type="pct"/>
            <w:tcBorders>
              <w:top w:val="nil"/>
              <w:left w:val="nil"/>
              <w:bottom w:val="nil"/>
              <w:right w:val="nil"/>
            </w:tcBorders>
            <w:shd w:val="clear" w:color="auto" w:fill="auto"/>
            <w:vAlign w:val="bottom"/>
          </w:tcPr>
          <w:p w:rsidR="0018024C" w:rsidRPr="00C6642F" w:rsidRDefault="0018024C" w:rsidP="0018024C">
            <w:pPr>
              <w:keepLines/>
              <w:spacing w:before="1" w:after="1"/>
              <w:rPr>
                <w:sz w:val="2"/>
              </w:rPr>
            </w:pPr>
          </w:p>
        </w:tc>
        <w:tc>
          <w:tcPr>
            <w:tcW w:w="557" w:type="pct"/>
            <w:tcBorders>
              <w:top w:val="nil"/>
              <w:left w:val="nil"/>
              <w:bottom w:val="nil"/>
              <w:right w:val="nil"/>
            </w:tcBorders>
            <w:shd w:val="clear" w:color="auto" w:fill="auto"/>
            <w:vAlign w:val="bottom"/>
          </w:tcPr>
          <w:p w:rsidR="0018024C" w:rsidRPr="00C6642F" w:rsidRDefault="0018024C" w:rsidP="0018024C">
            <w:pPr>
              <w:keepLines/>
              <w:spacing w:before="1" w:after="1"/>
              <w:rPr>
                <w:sz w:val="2"/>
              </w:rPr>
            </w:pPr>
          </w:p>
        </w:tc>
      </w:tr>
      <w:tr w:rsidR="0018024C" w:rsidRPr="00C6642F" w:rsidTr="0018024C">
        <w:trPr>
          <w:trHeight w:hRule="exact" w:val="315"/>
        </w:trPr>
        <w:tc>
          <w:tcPr>
            <w:tcW w:w="2725" w:type="pct"/>
            <w:tcBorders>
              <w:top w:val="nil"/>
              <w:left w:val="nil"/>
              <w:bottom w:val="nil"/>
              <w:right w:val="nil"/>
              <w:tl2br w:val="nil"/>
              <w:tr2bl w:val="nil"/>
            </w:tcBorders>
            <w:shd w:val="clear" w:color="auto" w:fill="auto"/>
            <w:vAlign w:val="bottom"/>
          </w:tcPr>
          <w:p w:rsidR="0018024C" w:rsidRPr="00C6642F" w:rsidRDefault="0018024C" w:rsidP="0018024C">
            <w:pPr>
              <w:keepLines/>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Lines/>
              <w:spacing w:before="1" w:after="1"/>
              <w:jc w:val="center"/>
              <w:rPr>
                <w:b/>
                <w:sz w:val="20"/>
              </w:rPr>
            </w:pPr>
            <w:r w:rsidRPr="00C6642F">
              <w:rPr>
                <w:b/>
                <w:sz w:val="20"/>
              </w:rPr>
              <w:t>Year Ended December 31,</w:t>
            </w:r>
          </w:p>
        </w:tc>
      </w:tr>
      <w:tr w:rsidR="0018024C" w:rsidRPr="00C6642F" w:rsidTr="0018024C">
        <w:trPr>
          <w:trHeight w:hRule="exact" w:val="315"/>
        </w:trPr>
        <w:tc>
          <w:tcPr>
            <w:tcW w:w="2725" w:type="pct"/>
            <w:tcBorders>
              <w:top w:val="nil"/>
              <w:left w:val="nil"/>
              <w:bottom w:val="nil"/>
              <w:right w:val="nil"/>
              <w:tl2br w:val="nil"/>
              <w:tr2bl w:val="nil"/>
            </w:tcBorders>
            <w:shd w:val="clear" w:color="auto" w:fill="auto"/>
            <w:vAlign w:val="bottom"/>
          </w:tcPr>
          <w:p w:rsidR="0018024C" w:rsidRPr="00C6642F" w:rsidRDefault="0018024C" w:rsidP="0018024C">
            <w:pPr>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Lines/>
              <w:spacing w:before="1" w:after="1"/>
              <w:jc w:val="center"/>
              <w:rPr>
                <w:b/>
                <w:sz w:val="20"/>
              </w:rPr>
            </w:pPr>
            <w:r w:rsidRPr="00C6642F">
              <w:rPr>
                <w:b/>
                <w:sz w:val="20"/>
              </w:rPr>
              <w:t>2019</w:t>
            </w:r>
          </w:p>
        </w:tc>
        <w:tc>
          <w:tcPr>
            <w:tcW w:w="78"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Lines/>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Lines/>
              <w:spacing w:before="1" w:after="1"/>
              <w:jc w:val="center"/>
              <w:rPr>
                <w:b/>
                <w:sz w:val="20"/>
              </w:rPr>
            </w:pPr>
            <w:r w:rsidRPr="00C6642F">
              <w:rPr>
                <w:b/>
                <w:sz w:val="20"/>
              </w:rPr>
              <w:t>2018</w:t>
            </w:r>
          </w:p>
        </w:tc>
        <w:tc>
          <w:tcPr>
            <w:tcW w:w="78"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Lines/>
              <w:spacing w:before="1" w:after="1"/>
              <w:jc w:val="center"/>
              <w:rPr>
                <w:b/>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Lines/>
              <w:spacing w:before="1" w:after="1"/>
              <w:jc w:val="center"/>
              <w:rPr>
                <w:b/>
                <w:sz w:val="20"/>
              </w:rPr>
            </w:pPr>
            <w:r w:rsidRPr="00C6642F">
              <w:rPr>
                <w:b/>
                <w:sz w:val="20"/>
              </w:rPr>
              <w:t>2017</w:t>
            </w:r>
          </w:p>
        </w:tc>
      </w:tr>
      <w:tr w:rsidR="0018024C" w:rsidRPr="00C6642F" w:rsidTr="0018024C">
        <w:trPr>
          <w:trHeight w:hRule="exact" w:val="255"/>
        </w:trPr>
        <w:tc>
          <w:tcPr>
            <w:tcW w:w="2725" w:type="pct"/>
            <w:tcBorders>
              <w:top w:val="nil"/>
              <w:left w:val="nil"/>
              <w:bottom w:val="nil"/>
              <w:right w:val="nil"/>
              <w:tl2br w:val="nil"/>
              <w:tr2bl w:val="nil"/>
            </w:tcBorders>
            <w:shd w:val="clear" w:color="auto" w:fill="CCEEFF"/>
            <w:vAlign w:val="bottom"/>
          </w:tcPr>
          <w:p w:rsidR="0018024C" w:rsidRPr="00C6642F" w:rsidRDefault="0018024C" w:rsidP="0018024C">
            <w:pPr>
              <w:keepLines/>
              <w:spacing w:before="1" w:after="1"/>
              <w:rPr>
                <w:sz w:val="20"/>
              </w:rPr>
            </w:pPr>
            <w:r w:rsidRPr="00C6642F">
              <w:rPr>
                <w:sz w:val="20"/>
              </w:rPr>
              <w:t>United States</w:t>
            </w:r>
          </w:p>
        </w:tc>
        <w:tc>
          <w:tcPr>
            <w:tcW w:w="14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Lines/>
              <w:spacing w:before="1" w:after="1"/>
              <w:rPr>
                <w:b/>
                <w:sz w:val="20"/>
              </w:rPr>
            </w:pPr>
            <w:r w:rsidRPr="00C6642F">
              <w:rPr>
                <w:b/>
                <w:sz w:val="20"/>
              </w:rPr>
              <w:t>$</w:t>
            </w:r>
          </w:p>
        </w:tc>
        <w:tc>
          <w:tcPr>
            <w:tcW w:w="55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Lines/>
              <w:spacing w:before="1" w:after="1"/>
              <w:ind w:right="63"/>
              <w:jc w:val="right"/>
              <w:rPr>
                <w:b/>
                <w:sz w:val="20"/>
              </w:rPr>
            </w:pPr>
            <w:r w:rsidRPr="00C6642F">
              <w:rPr>
                <w:b/>
                <w:sz w:val="20"/>
              </w:rPr>
              <w:t xml:space="preserve"> 86</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keepLines/>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Lines/>
              <w:spacing w:before="1" w:after="1"/>
              <w:rPr>
                <w:sz w:val="20"/>
              </w:rPr>
            </w:pPr>
            <w:r w:rsidRPr="00C6642F">
              <w:rPr>
                <w:sz w:val="20"/>
              </w:rPr>
              <w:t>$</w:t>
            </w:r>
          </w:p>
        </w:tc>
        <w:tc>
          <w:tcPr>
            <w:tcW w:w="55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Lines/>
              <w:spacing w:before="1" w:after="1"/>
              <w:ind w:right="65"/>
              <w:jc w:val="right"/>
              <w:rPr>
                <w:sz w:val="20"/>
              </w:rPr>
            </w:pPr>
            <w:r w:rsidRPr="00C6642F">
              <w:rPr>
                <w:sz w:val="20"/>
              </w:rPr>
              <w:t xml:space="preserve"> 95</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keepLines/>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Lines/>
              <w:spacing w:before="1" w:after="1"/>
              <w:rPr>
                <w:sz w:val="20"/>
              </w:rPr>
            </w:pPr>
            <w:r w:rsidRPr="00C6642F">
              <w:rPr>
                <w:sz w:val="20"/>
              </w:rPr>
              <w:t>$</w:t>
            </w:r>
          </w:p>
        </w:tc>
        <w:tc>
          <w:tcPr>
            <w:tcW w:w="55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Lines/>
              <w:spacing w:before="1" w:after="1"/>
              <w:ind w:right="65"/>
              <w:jc w:val="right"/>
              <w:rPr>
                <w:sz w:val="20"/>
              </w:rPr>
            </w:pPr>
            <w:r w:rsidRPr="00C6642F">
              <w:rPr>
                <w:sz w:val="20"/>
              </w:rPr>
              <w:t xml:space="preserve"> 49</w:t>
            </w:r>
          </w:p>
        </w:tc>
      </w:tr>
      <w:tr w:rsidR="0018024C" w:rsidRPr="00C6642F" w:rsidTr="0018024C">
        <w:trPr>
          <w:trHeight w:hRule="exact" w:val="255"/>
        </w:trPr>
        <w:tc>
          <w:tcPr>
            <w:tcW w:w="2725" w:type="pct"/>
            <w:tcBorders>
              <w:top w:val="nil"/>
              <w:left w:val="nil"/>
              <w:bottom w:val="nil"/>
              <w:right w:val="nil"/>
              <w:tl2br w:val="nil"/>
              <w:tr2bl w:val="nil"/>
            </w:tcBorders>
            <w:vAlign w:val="bottom"/>
          </w:tcPr>
          <w:p w:rsidR="0018024C" w:rsidRPr="00C6642F" w:rsidRDefault="0018024C" w:rsidP="0018024C">
            <w:pPr>
              <w:keepLines/>
              <w:spacing w:before="1" w:after="1"/>
              <w:rPr>
                <w:sz w:val="20"/>
              </w:rPr>
            </w:pPr>
            <w:r w:rsidRPr="00C6642F">
              <w:rPr>
                <w:sz w:val="20"/>
              </w:rPr>
              <w:t>Foreign</w:t>
            </w:r>
          </w:p>
        </w:tc>
        <w:tc>
          <w:tcPr>
            <w:tcW w:w="148" w:type="pct"/>
            <w:tcBorders>
              <w:top w:val="nil"/>
              <w:left w:val="nil"/>
              <w:bottom w:val="single" w:sz="12" w:space="0" w:color="000000"/>
              <w:right w:val="nil"/>
              <w:tl2br w:val="nil"/>
              <w:tr2bl w:val="nil"/>
            </w:tcBorders>
            <w:vAlign w:val="bottom"/>
          </w:tcPr>
          <w:p w:rsidR="0018024C" w:rsidRPr="00C6642F" w:rsidRDefault="0018024C" w:rsidP="0018024C">
            <w:pPr>
              <w:keepLines/>
              <w:spacing w:before="1" w:after="1"/>
              <w:rPr>
                <w:b/>
                <w:sz w:val="20"/>
              </w:rPr>
            </w:pPr>
          </w:p>
        </w:tc>
        <w:tc>
          <w:tcPr>
            <w:tcW w:w="559" w:type="pct"/>
            <w:tcBorders>
              <w:top w:val="nil"/>
              <w:left w:val="nil"/>
              <w:bottom w:val="single" w:sz="12" w:space="0" w:color="000000"/>
              <w:right w:val="nil"/>
              <w:tl2br w:val="nil"/>
              <w:tr2bl w:val="nil"/>
            </w:tcBorders>
            <w:vAlign w:val="bottom"/>
          </w:tcPr>
          <w:p w:rsidR="0018024C" w:rsidRPr="00C6642F" w:rsidRDefault="0018024C" w:rsidP="0018024C">
            <w:pPr>
              <w:keepLines/>
              <w:spacing w:before="1" w:after="1"/>
              <w:jc w:val="right"/>
              <w:rPr>
                <w:b/>
                <w:sz w:val="20"/>
              </w:rPr>
            </w:pPr>
            <w:r w:rsidRPr="00C6642F">
              <w:rPr>
                <w:b/>
                <w:sz w:val="20"/>
              </w:rPr>
              <w:t xml:space="preserve"> (20)</w:t>
            </w:r>
          </w:p>
        </w:tc>
        <w:tc>
          <w:tcPr>
            <w:tcW w:w="78" w:type="pct"/>
            <w:tcBorders>
              <w:top w:val="nil"/>
              <w:left w:val="nil"/>
              <w:bottom w:val="nil"/>
              <w:right w:val="nil"/>
              <w:tl2br w:val="nil"/>
              <w:tr2bl w:val="nil"/>
            </w:tcBorders>
            <w:vAlign w:val="bottom"/>
          </w:tcPr>
          <w:p w:rsidR="0018024C" w:rsidRPr="00C6642F" w:rsidRDefault="0018024C" w:rsidP="0018024C">
            <w:pPr>
              <w:keepLines/>
              <w:spacing w:before="1" w:after="1"/>
              <w:rPr>
                <w:sz w:val="20"/>
              </w:rPr>
            </w:pPr>
          </w:p>
        </w:tc>
        <w:tc>
          <w:tcPr>
            <w:tcW w:w="148" w:type="pct"/>
            <w:tcBorders>
              <w:top w:val="nil"/>
              <w:left w:val="nil"/>
              <w:bottom w:val="single" w:sz="12" w:space="0" w:color="000000"/>
              <w:right w:val="nil"/>
              <w:tl2br w:val="nil"/>
              <w:tr2bl w:val="nil"/>
            </w:tcBorders>
            <w:vAlign w:val="bottom"/>
          </w:tcPr>
          <w:p w:rsidR="0018024C" w:rsidRPr="00C6642F" w:rsidRDefault="0018024C" w:rsidP="0018024C">
            <w:pPr>
              <w:keepLines/>
              <w:spacing w:before="1" w:after="1"/>
              <w:rPr>
                <w:sz w:val="20"/>
              </w:rPr>
            </w:pPr>
          </w:p>
        </w:tc>
        <w:tc>
          <w:tcPr>
            <w:tcW w:w="559" w:type="pct"/>
            <w:tcBorders>
              <w:top w:val="nil"/>
              <w:left w:val="nil"/>
              <w:bottom w:val="single" w:sz="12" w:space="0" w:color="000000"/>
              <w:right w:val="nil"/>
              <w:tl2br w:val="nil"/>
              <w:tr2bl w:val="nil"/>
            </w:tcBorders>
            <w:vAlign w:val="bottom"/>
          </w:tcPr>
          <w:p w:rsidR="0018024C" w:rsidRPr="00C6642F" w:rsidRDefault="0018024C" w:rsidP="0018024C">
            <w:pPr>
              <w:keepLines/>
              <w:spacing w:before="1" w:after="1"/>
              <w:ind w:right="65"/>
              <w:jc w:val="right"/>
              <w:rPr>
                <w:sz w:val="20"/>
              </w:rPr>
            </w:pPr>
            <w:r w:rsidRPr="00C6642F">
              <w:rPr>
                <w:sz w:val="20"/>
              </w:rPr>
              <w:t xml:space="preserve"> -</w:t>
            </w:r>
          </w:p>
        </w:tc>
        <w:tc>
          <w:tcPr>
            <w:tcW w:w="78" w:type="pct"/>
            <w:tcBorders>
              <w:top w:val="nil"/>
              <w:left w:val="nil"/>
              <w:bottom w:val="nil"/>
              <w:right w:val="nil"/>
              <w:tl2br w:val="nil"/>
              <w:tr2bl w:val="nil"/>
            </w:tcBorders>
            <w:vAlign w:val="bottom"/>
          </w:tcPr>
          <w:p w:rsidR="0018024C" w:rsidRPr="00C6642F" w:rsidRDefault="0018024C" w:rsidP="0018024C">
            <w:pPr>
              <w:keepLines/>
              <w:spacing w:before="1" w:after="1"/>
              <w:rPr>
                <w:sz w:val="20"/>
              </w:rPr>
            </w:pPr>
          </w:p>
        </w:tc>
        <w:tc>
          <w:tcPr>
            <w:tcW w:w="148" w:type="pct"/>
            <w:tcBorders>
              <w:top w:val="nil"/>
              <w:left w:val="nil"/>
              <w:bottom w:val="single" w:sz="12" w:space="0" w:color="000000"/>
              <w:right w:val="nil"/>
              <w:tl2br w:val="nil"/>
              <w:tr2bl w:val="nil"/>
            </w:tcBorders>
            <w:vAlign w:val="bottom"/>
          </w:tcPr>
          <w:p w:rsidR="0018024C" w:rsidRPr="00C6642F" w:rsidRDefault="0018024C" w:rsidP="0018024C">
            <w:pPr>
              <w:keepLines/>
              <w:spacing w:before="1" w:after="1"/>
              <w:rPr>
                <w:sz w:val="20"/>
              </w:rPr>
            </w:pPr>
          </w:p>
        </w:tc>
        <w:tc>
          <w:tcPr>
            <w:tcW w:w="557" w:type="pct"/>
            <w:tcBorders>
              <w:top w:val="nil"/>
              <w:left w:val="nil"/>
              <w:bottom w:val="single" w:sz="12" w:space="0" w:color="000000"/>
              <w:right w:val="nil"/>
              <w:tl2br w:val="nil"/>
              <w:tr2bl w:val="nil"/>
            </w:tcBorders>
            <w:vAlign w:val="bottom"/>
          </w:tcPr>
          <w:p w:rsidR="0018024C" w:rsidRPr="00C6642F" w:rsidRDefault="0018024C" w:rsidP="0018024C">
            <w:pPr>
              <w:keepLines/>
              <w:spacing w:before="1" w:after="1"/>
              <w:ind w:right="3"/>
              <w:jc w:val="right"/>
              <w:rPr>
                <w:sz w:val="20"/>
              </w:rPr>
            </w:pPr>
            <w:r w:rsidRPr="00C6642F">
              <w:rPr>
                <w:sz w:val="20"/>
              </w:rPr>
              <w:t xml:space="preserve"> (42)</w:t>
            </w:r>
          </w:p>
        </w:tc>
      </w:tr>
      <w:tr w:rsidR="0018024C" w:rsidRPr="00C6642F" w:rsidTr="0018024C">
        <w:trPr>
          <w:trHeight w:hRule="exact" w:val="255"/>
        </w:trPr>
        <w:tc>
          <w:tcPr>
            <w:tcW w:w="2725" w:type="pct"/>
            <w:tcBorders>
              <w:top w:val="nil"/>
              <w:left w:val="nil"/>
              <w:bottom w:val="nil"/>
              <w:right w:val="nil"/>
              <w:tl2br w:val="nil"/>
              <w:tr2bl w:val="nil"/>
            </w:tcBorders>
            <w:shd w:val="clear" w:color="auto" w:fill="CCEEFF"/>
            <w:vAlign w:val="bottom"/>
          </w:tcPr>
          <w:p w:rsidR="0018024C" w:rsidRPr="00C6642F" w:rsidRDefault="0018024C" w:rsidP="0018024C">
            <w:pPr>
              <w:keepLines/>
              <w:spacing w:before="1" w:after="1"/>
              <w:rPr>
                <w:sz w:val="2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Lines/>
              <w:spacing w:before="1" w:after="1"/>
              <w:rPr>
                <w:b/>
                <w:sz w:val="20"/>
              </w:rPr>
            </w:pPr>
            <w:r w:rsidRPr="00C6642F">
              <w:rPr>
                <w:b/>
                <w:sz w:val="20"/>
              </w:rPr>
              <w:t>$</w:t>
            </w:r>
          </w:p>
        </w:tc>
        <w:tc>
          <w:tcPr>
            <w:tcW w:w="559"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Lines/>
              <w:spacing w:before="1" w:after="1"/>
              <w:ind w:right="63"/>
              <w:jc w:val="right"/>
              <w:rPr>
                <w:b/>
                <w:sz w:val="20"/>
              </w:rPr>
            </w:pPr>
            <w:r w:rsidRPr="00C6642F">
              <w:rPr>
                <w:b/>
                <w:sz w:val="20"/>
              </w:rPr>
              <w:t xml:space="preserve"> 66</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keepLines/>
              <w:spacing w:before="1" w:after="1"/>
              <w:rPr>
                <w:sz w:val="2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Lines/>
              <w:spacing w:before="1" w:after="1"/>
              <w:rPr>
                <w:sz w:val="20"/>
              </w:rPr>
            </w:pPr>
            <w:r w:rsidRPr="00C6642F">
              <w:rPr>
                <w:sz w:val="20"/>
              </w:rPr>
              <w:t>$</w:t>
            </w:r>
          </w:p>
        </w:tc>
        <w:tc>
          <w:tcPr>
            <w:tcW w:w="559"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Lines/>
              <w:spacing w:before="1" w:after="1"/>
              <w:ind w:right="65"/>
              <w:jc w:val="right"/>
              <w:rPr>
                <w:sz w:val="20"/>
              </w:rPr>
            </w:pPr>
            <w:r w:rsidRPr="00C6642F">
              <w:rPr>
                <w:sz w:val="20"/>
              </w:rPr>
              <w:t xml:space="preserve"> 95</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keepLines/>
              <w:spacing w:before="1" w:after="1"/>
              <w:rPr>
                <w:sz w:val="2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Lines/>
              <w:spacing w:before="1" w:after="1"/>
              <w:rPr>
                <w:sz w:val="20"/>
              </w:rPr>
            </w:pPr>
            <w:r w:rsidRPr="00C6642F">
              <w:rPr>
                <w:sz w:val="20"/>
              </w:rPr>
              <w:t>$</w:t>
            </w:r>
          </w:p>
        </w:tc>
        <w:tc>
          <w:tcPr>
            <w:tcW w:w="557"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Lines/>
              <w:spacing w:before="1" w:after="1"/>
              <w:ind w:right="65"/>
              <w:jc w:val="right"/>
              <w:rPr>
                <w:sz w:val="20"/>
              </w:rPr>
            </w:pPr>
            <w:r w:rsidRPr="00C6642F">
              <w:rPr>
                <w:sz w:val="20"/>
              </w:rPr>
              <w:t xml:space="preserve"> 7</w:t>
            </w:r>
          </w:p>
        </w:tc>
      </w:tr>
    </w:tbl>
    <w:p w:rsidR="00FC1460" w:rsidRPr="00C6642F" w:rsidRDefault="00FC1460"/>
    <w:p w:rsidR="000121CD" w:rsidRPr="00C6642F" w:rsidRDefault="00590862" w:rsidP="00F43D27">
      <w:pPr>
        <w:pStyle w:val="NormalWeb"/>
        <w:widowControl w:val="0"/>
        <w:spacing w:before="180" w:beforeAutospacing="0" w:after="0" w:afterAutospacing="0"/>
        <w:rPr>
          <w:sz w:val="20"/>
          <w:szCs w:val="20"/>
        </w:rPr>
      </w:pPr>
      <w:r w:rsidRPr="00C6642F">
        <w:rPr>
          <w:sz w:val="20"/>
          <w:szCs w:val="20"/>
        </w:rPr>
        <w:t xml:space="preserve">Income taxes included in the consolidated statements of operations consist of (in millions): </w:t>
      </w:r>
    </w:p>
    <w:tbl>
      <w:tblPr>
        <w:tblW w:w="5000" w:type="pct"/>
        <w:tblCellMar>
          <w:left w:w="0" w:type="dxa"/>
          <w:right w:w="0" w:type="dxa"/>
        </w:tblCellMar>
        <w:tblLook w:val="04A0" w:firstRow="1" w:lastRow="0" w:firstColumn="1" w:lastColumn="0" w:noHBand="0" w:noVBand="1"/>
      </w:tblPr>
      <w:tblGrid>
        <w:gridCol w:w="5887"/>
        <w:gridCol w:w="320"/>
        <w:gridCol w:w="1207"/>
        <w:gridCol w:w="168"/>
        <w:gridCol w:w="320"/>
        <w:gridCol w:w="1207"/>
        <w:gridCol w:w="168"/>
        <w:gridCol w:w="320"/>
        <w:gridCol w:w="1203"/>
      </w:tblGrid>
      <w:tr w:rsidR="0018024C" w:rsidRPr="00C6642F" w:rsidTr="0018024C">
        <w:trPr>
          <w:trHeight w:hRule="exact" w:val="20"/>
        </w:trPr>
        <w:tc>
          <w:tcPr>
            <w:tcW w:w="2725" w:type="pct"/>
            <w:tcBorders>
              <w:top w:val="nil"/>
              <w:left w:val="nil"/>
              <w:bottom w:val="nil"/>
              <w:right w:val="nil"/>
            </w:tcBorders>
            <w:shd w:val="clear" w:color="auto" w:fill="auto"/>
            <w:vAlign w:val="bottom"/>
          </w:tcPr>
          <w:p w:rsidR="0018024C" w:rsidRPr="00C6642F" w:rsidRDefault="0018024C" w:rsidP="0018024C">
            <w:pPr>
              <w:widowControl w:val="0"/>
              <w:spacing w:before="1" w:after="1"/>
              <w:rPr>
                <w:sz w:val="2"/>
              </w:rPr>
            </w:pPr>
          </w:p>
        </w:tc>
        <w:tc>
          <w:tcPr>
            <w:tcW w:w="148" w:type="pct"/>
            <w:tcBorders>
              <w:top w:val="nil"/>
              <w:left w:val="nil"/>
              <w:bottom w:val="nil"/>
              <w:right w:val="nil"/>
            </w:tcBorders>
            <w:shd w:val="clear" w:color="auto" w:fill="auto"/>
            <w:vAlign w:val="bottom"/>
          </w:tcPr>
          <w:p w:rsidR="0018024C" w:rsidRPr="00C6642F" w:rsidRDefault="0018024C" w:rsidP="0018024C">
            <w:pPr>
              <w:widowControl w:val="0"/>
              <w:spacing w:before="1" w:after="1"/>
              <w:rPr>
                <w:sz w:val="2"/>
              </w:rPr>
            </w:pPr>
          </w:p>
        </w:tc>
        <w:tc>
          <w:tcPr>
            <w:tcW w:w="559" w:type="pct"/>
            <w:tcBorders>
              <w:top w:val="nil"/>
              <w:left w:val="nil"/>
              <w:bottom w:val="nil"/>
              <w:right w:val="nil"/>
            </w:tcBorders>
            <w:shd w:val="clear" w:color="auto" w:fill="auto"/>
            <w:vAlign w:val="bottom"/>
          </w:tcPr>
          <w:p w:rsidR="0018024C" w:rsidRPr="00C6642F" w:rsidRDefault="0018024C" w:rsidP="0018024C">
            <w:pPr>
              <w:widowControl w:val="0"/>
              <w:spacing w:before="1" w:after="1"/>
              <w:rPr>
                <w:sz w:val="2"/>
              </w:rPr>
            </w:pPr>
          </w:p>
        </w:tc>
        <w:tc>
          <w:tcPr>
            <w:tcW w:w="78" w:type="pct"/>
            <w:tcBorders>
              <w:top w:val="nil"/>
              <w:left w:val="nil"/>
              <w:bottom w:val="nil"/>
              <w:right w:val="nil"/>
            </w:tcBorders>
            <w:shd w:val="clear" w:color="auto" w:fill="auto"/>
            <w:vAlign w:val="bottom"/>
          </w:tcPr>
          <w:p w:rsidR="0018024C" w:rsidRPr="00C6642F" w:rsidRDefault="0018024C" w:rsidP="0018024C">
            <w:pPr>
              <w:widowControl w:val="0"/>
              <w:spacing w:before="1" w:after="1"/>
              <w:rPr>
                <w:sz w:val="2"/>
              </w:rPr>
            </w:pPr>
          </w:p>
        </w:tc>
        <w:tc>
          <w:tcPr>
            <w:tcW w:w="148" w:type="pct"/>
            <w:tcBorders>
              <w:top w:val="nil"/>
              <w:left w:val="nil"/>
              <w:bottom w:val="nil"/>
              <w:right w:val="nil"/>
            </w:tcBorders>
            <w:shd w:val="clear" w:color="auto" w:fill="auto"/>
            <w:vAlign w:val="bottom"/>
          </w:tcPr>
          <w:p w:rsidR="0018024C" w:rsidRPr="00C6642F" w:rsidRDefault="0018024C" w:rsidP="0018024C">
            <w:pPr>
              <w:widowControl w:val="0"/>
              <w:spacing w:before="1" w:after="1"/>
              <w:rPr>
                <w:sz w:val="2"/>
              </w:rPr>
            </w:pPr>
          </w:p>
        </w:tc>
        <w:tc>
          <w:tcPr>
            <w:tcW w:w="559" w:type="pct"/>
            <w:tcBorders>
              <w:top w:val="nil"/>
              <w:left w:val="nil"/>
              <w:bottom w:val="nil"/>
              <w:right w:val="nil"/>
            </w:tcBorders>
            <w:shd w:val="clear" w:color="auto" w:fill="auto"/>
            <w:vAlign w:val="bottom"/>
          </w:tcPr>
          <w:p w:rsidR="0018024C" w:rsidRPr="00C6642F" w:rsidRDefault="0018024C" w:rsidP="0018024C">
            <w:pPr>
              <w:widowControl w:val="0"/>
              <w:spacing w:before="1" w:after="1"/>
              <w:rPr>
                <w:sz w:val="2"/>
              </w:rPr>
            </w:pPr>
          </w:p>
        </w:tc>
        <w:tc>
          <w:tcPr>
            <w:tcW w:w="78" w:type="pct"/>
            <w:tcBorders>
              <w:top w:val="nil"/>
              <w:left w:val="nil"/>
              <w:bottom w:val="nil"/>
              <w:right w:val="nil"/>
            </w:tcBorders>
            <w:shd w:val="clear" w:color="auto" w:fill="auto"/>
            <w:vAlign w:val="bottom"/>
          </w:tcPr>
          <w:p w:rsidR="0018024C" w:rsidRPr="00C6642F" w:rsidRDefault="0018024C" w:rsidP="0018024C">
            <w:pPr>
              <w:widowControl w:val="0"/>
              <w:spacing w:before="1" w:after="1"/>
              <w:rPr>
                <w:sz w:val="2"/>
              </w:rPr>
            </w:pPr>
          </w:p>
        </w:tc>
        <w:tc>
          <w:tcPr>
            <w:tcW w:w="148" w:type="pct"/>
            <w:tcBorders>
              <w:top w:val="nil"/>
              <w:left w:val="nil"/>
              <w:bottom w:val="nil"/>
              <w:right w:val="nil"/>
            </w:tcBorders>
            <w:shd w:val="clear" w:color="auto" w:fill="auto"/>
            <w:vAlign w:val="bottom"/>
          </w:tcPr>
          <w:p w:rsidR="0018024C" w:rsidRPr="00C6642F" w:rsidRDefault="0018024C" w:rsidP="0018024C">
            <w:pPr>
              <w:widowControl w:val="0"/>
              <w:spacing w:before="1" w:after="1"/>
              <w:rPr>
                <w:sz w:val="2"/>
              </w:rPr>
            </w:pPr>
          </w:p>
        </w:tc>
        <w:tc>
          <w:tcPr>
            <w:tcW w:w="557" w:type="pct"/>
            <w:tcBorders>
              <w:top w:val="nil"/>
              <w:left w:val="nil"/>
              <w:bottom w:val="nil"/>
              <w:right w:val="nil"/>
            </w:tcBorders>
            <w:shd w:val="clear" w:color="auto" w:fill="auto"/>
            <w:vAlign w:val="bottom"/>
          </w:tcPr>
          <w:p w:rsidR="0018024C" w:rsidRPr="00C6642F" w:rsidRDefault="0018024C" w:rsidP="0018024C">
            <w:pPr>
              <w:widowControl w:val="0"/>
              <w:spacing w:before="1" w:after="1"/>
              <w:rPr>
                <w:sz w:val="2"/>
              </w:rPr>
            </w:pPr>
          </w:p>
        </w:tc>
      </w:tr>
      <w:tr w:rsidR="0018024C" w:rsidRPr="00C6642F" w:rsidTr="0018024C">
        <w:trPr>
          <w:trHeight w:hRule="exact" w:val="315"/>
        </w:trPr>
        <w:tc>
          <w:tcPr>
            <w:tcW w:w="2725" w:type="pct"/>
            <w:tcBorders>
              <w:top w:val="nil"/>
              <w:left w:val="nil"/>
              <w:bottom w:val="nil"/>
              <w:right w:val="nil"/>
              <w:tl2br w:val="nil"/>
              <w:tr2bl w:val="nil"/>
            </w:tcBorders>
            <w:shd w:val="clear" w:color="auto" w:fill="auto"/>
            <w:vAlign w:val="bottom"/>
          </w:tcPr>
          <w:p w:rsidR="0018024C" w:rsidRPr="00C6642F" w:rsidRDefault="0018024C" w:rsidP="0018024C">
            <w:pPr>
              <w:widowControl w:val="0"/>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widowControl w:val="0"/>
              <w:spacing w:before="1" w:after="1"/>
              <w:jc w:val="center"/>
              <w:rPr>
                <w:b/>
                <w:sz w:val="20"/>
              </w:rPr>
            </w:pPr>
            <w:r w:rsidRPr="00C6642F">
              <w:rPr>
                <w:b/>
                <w:sz w:val="20"/>
              </w:rPr>
              <w:t>Year Ended December 31,</w:t>
            </w:r>
          </w:p>
        </w:tc>
      </w:tr>
      <w:tr w:rsidR="0018024C" w:rsidRPr="00C6642F" w:rsidTr="0018024C">
        <w:trPr>
          <w:trHeight w:hRule="exact" w:val="315"/>
        </w:trPr>
        <w:tc>
          <w:tcPr>
            <w:tcW w:w="2725" w:type="pct"/>
            <w:tcBorders>
              <w:top w:val="nil"/>
              <w:left w:val="nil"/>
              <w:bottom w:val="nil"/>
              <w:right w:val="nil"/>
              <w:tl2br w:val="nil"/>
              <w:tr2bl w:val="nil"/>
            </w:tcBorders>
            <w:shd w:val="clear" w:color="auto" w:fill="auto"/>
            <w:vAlign w:val="bottom"/>
          </w:tcPr>
          <w:p w:rsidR="0018024C" w:rsidRPr="00C6642F" w:rsidRDefault="0018024C" w:rsidP="0018024C">
            <w:pPr>
              <w:widowControl w:val="0"/>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widowControl w:val="0"/>
              <w:spacing w:before="1" w:after="1"/>
              <w:jc w:val="center"/>
              <w:rPr>
                <w:b/>
                <w:sz w:val="20"/>
              </w:rPr>
            </w:pPr>
            <w:r w:rsidRPr="00C6642F">
              <w:rPr>
                <w:b/>
                <w:sz w:val="20"/>
              </w:rPr>
              <w:t>2019</w:t>
            </w:r>
          </w:p>
        </w:tc>
        <w:tc>
          <w:tcPr>
            <w:tcW w:w="78"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widowControl w:val="0"/>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widowControl w:val="0"/>
              <w:spacing w:before="1" w:after="1"/>
              <w:jc w:val="center"/>
              <w:rPr>
                <w:b/>
                <w:sz w:val="20"/>
              </w:rPr>
            </w:pPr>
            <w:r w:rsidRPr="00C6642F">
              <w:rPr>
                <w:b/>
                <w:sz w:val="20"/>
              </w:rPr>
              <w:t>2018</w:t>
            </w:r>
          </w:p>
        </w:tc>
        <w:tc>
          <w:tcPr>
            <w:tcW w:w="78"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widowControl w:val="0"/>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widowControl w:val="0"/>
              <w:spacing w:before="1" w:after="1"/>
              <w:jc w:val="center"/>
              <w:rPr>
                <w:b/>
                <w:sz w:val="20"/>
              </w:rPr>
            </w:pPr>
            <w:r w:rsidRPr="00C6642F">
              <w:rPr>
                <w:b/>
                <w:sz w:val="20"/>
              </w:rPr>
              <w:t>2017</w:t>
            </w:r>
          </w:p>
        </w:tc>
      </w:tr>
      <w:tr w:rsidR="0018024C" w:rsidRPr="00C6642F" w:rsidTr="0018024C">
        <w:trPr>
          <w:trHeight w:hRule="exact" w:val="255"/>
        </w:trPr>
        <w:tc>
          <w:tcPr>
            <w:tcW w:w="2725"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r w:rsidRPr="00C6642F">
              <w:rPr>
                <w:sz w:val="20"/>
              </w:rPr>
              <w:t xml:space="preserve">Current: </w:t>
            </w:r>
          </w:p>
        </w:tc>
        <w:tc>
          <w:tcPr>
            <w:tcW w:w="14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widowControl w:val="0"/>
              <w:spacing w:before="1" w:after="1"/>
              <w:rPr>
                <w:b/>
                <w:sz w:val="20"/>
              </w:rPr>
            </w:pPr>
          </w:p>
        </w:tc>
        <w:tc>
          <w:tcPr>
            <w:tcW w:w="55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55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55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r>
      <w:tr w:rsidR="0018024C" w:rsidRPr="00C6642F" w:rsidTr="0018024C">
        <w:trPr>
          <w:trHeight w:hRule="exact" w:val="255"/>
        </w:trPr>
        <w:tc>
          <w:tcPr>
            <w:tcW w:w="2725" w:type="pct"/>
            <w:tcBorders>
              <w:top w:val="nil"/>
              <w:left w:val="nil"/>
              <w:bottom w:val="nil"/>
              <w:right w:val="nil"/>
              <w:tl2br w:val="nil"/>
              <w:tr2bl w:val="nil"/>
            </w:tcBorders>
            <w:vAlign w:val="bottom"/>
          </w:tcPr>
          <w:p w:rsidR="0018024C" w:rsidRPr="00C6642F" w:rsidRDefault="0018024C" w:rsidP="0018024C">
            <w:pPr>
              <w:widowControl w:val="0"/>
              <w:spacing w:before="1" w:after="1"/>
              <w:ind w:left="360"/>
              <w:rPr>
                <w:sz w:val="20"/>
              </w:rPr>
            </w:pPr>
            <w:r w:rsidRPr="00C6642F">
              <w:rPr>
                <w:sz w:val="20"/>
              </w:rPr>
              <w:t>Federal</w:t>
            </w:r>
          </w:p>
        </w:tc>
        <w:tc>
          <w:tcPr>
            <w:tcW w:w="148" w:type="pct"/>
            <w:tcBorders>
              <w:top w:val="nil"/>
              <w:left w:val="nil"/>
              <w:bottom w:val="nil"/>
              <w:right w:val="nil"/>
              <w:tl2br w:val="nil"/>
              <w:tr2bl w:val="nil"/>
            </w:tcBorders>
            <w:vAlign w:val="bottom"/>
          </w:tcPr>
          <w:p w:rsidR="0018024C" w:rsidRPr="00C6642F" w:rsidRDefault="0018024C" w:rsidP="0018024C">
            <w:pPr>
              <w:widowControl w:val="0"/>
              <w:spacing w:before="1" w:after="1"/>
              <w:rPr>
                <w:b/>
                <w:sz w:val="20"/>
              </w:rPr>
            </w:pPr>
            <w:r w:rsidRPr="00C6642F">
              <w:rPr>
                <w:b/>
                <w:sz w:val="20"/>
              </w:rPr>
              <w:t>$</w:t>
            </w:r>
          </w:p>
        </w:tc>
        <w:tc>
          <w:tcPr>
            <w:tcW w:w="559" w:type="pct"/>
            <w:tcBorders>
              <w:top w:val="nil"/>
              <w:left w:val="nil"/>
              <w:bottom w:val="nil"/>
              <w:right w:val="nil"/>
              <w:tl2br w:val="nil"/>
              <w:tr2bl w:val="nil"/>
            </w:tcBorders>
            <w:vAlign w:val="bottom"/>
          </w:tcPr>
          <w:p w:rsidR="0018024C" w:rsidRPr="00C6642F" w:rsidRDefault="0018024C" w:rsidP="0018024C">
            <w:pPr>
              <w:widowControl w:val="0"/>
              <w:spacing w:before="1" w:after="1"/>
              <w:ind w:right="63"/>
              <w:jc w:val="right"/>
              <w:rPr>
                <w:b/>
                <w:sz w:val="20"/>
              </w:rPr>
            </w:pPr>
            <w:r w:rsidRPr="00C6642F">
              <w:rPr>
                <w:b/>
                <w:sz w:val="20"/>
              </w:rPr>
              <w:t xml:space="preserve"> 22</w:t>
            </w:r>
          </w:p>
        </w:tc>
        <w:tc>
          <w:tcPr>
            <w:tcW w:w="78" w:type="pct"/>
            <w:tcBorders>
              <w:top w:val="nil"/>
              <w:left w:val="nil"/>
              <w:bottom w:val="nil"/>
              <w:right w:val="nil"/>
              <w:tl2br w:val="nil"/>
              <w:tr2bl w:val="nil"/>
            </w:tcBorders>
            <w:vAlign w:val="bottom"/>
          </w:tcPr>
          <w:p w:rsidR="0018024C" w:rsidRPr="00C6642F" w:rsidRDefault="0018024C" w:rsidP="0018024C">
            <w:pPr>
              <w:widowControl w:val="0"/>
              <w:spacing w:before="1" w:after="1"/>
              <w:rPr>
                <w:sz w:val="20"/>
              </w:rPr>
            </w:pPr>
          </w:p>
        </w:tc>
        <w:tc>
          <w:tcPr>
            <w:tcW w:w="148" w:type="pct"/>
            <w:tcBorders>
              <w:top w:val="nil"/>
              <w:left w:val="nil"/>
              <w:bottom w:val="nil"/>
              <w:right w:val="nil"/>
              <w:tl2br w:val="nil"/>
              <w:tr2bl w:val="nil"/>
            </w:tcBorders>
            <w:vAlign w:val="bottom"/>
          </w:tcPr>
          <w:p w:rsidR="0018024C" w:rsidRPr="00C6642F" w:rsidRDefault="0018024C" w:rsidP="0018024C">
            <w:pPr>
              <w:widowControl w:val="0"/>
              <w:spacing w:before="1" w:after="1"/>
              <w:rPr>
                <w:sz w:val="20"/>
              </w:rPr>
            </w:pPr>
            <w:r w:rsidRPr="00C6642F">
              <w:rPr>
                <w:sz w:val="20"/>
              </w:rPr>
              <w:t>$</w:t>
            </w:r>
          </w:p>
        </w:tc>
        <w:tc>
          <w:tcPr>
            <w:tcW w:w="559" w:type="pct"/>
            <w:tcBorders>
              <w:top w:val="nil"/>
              <w:left w:val="nil"/>
              <w:bottom w:val="nil"/>
              <w:right w:val="nil"/>
              <w:tl2br w:val="nil"/>
              <w:tr2bl w:val="nil"/>
            </w:tcBorders>
            <w:vAlign w:val="bottom"/>
          </w:tcPr>
          <w:p w:rsidR="0018024C" w:rsidRPr="00C6642F" w:rsidRDefault="0018024C" w:rsidP="0018024C">
            <w:pPr>
              <w:widowControl w:val="0"/>
              <w:spacing w:before="1" w:after="1"/>
              <w:ind w:right="65"/>
              <w:jc w:val="right"/>
              <w:rPr>
                <w:sz w:val="20"/>
              </w:rPr>
            </w:pPr>
            <w:r w:rsidRPr="00C6642F">
              <w:rPr>
                <w:sz w:val="20"/>
              </w:rPr>
              <w:t xml:space="preserve"> 21</w:t>
            </w:r>
          </w:p>
        </w:tc>
        <w:tc>
          <w:tcPr>
            <w:tcW w:w="78" w:type="pct"/>
            <w:tcBorders>
              <w:top w:val="nil"/>
              <w:left w:val="nil"/>
              <w:bottom w:val="nil"/>
              <w:right w:val="nil"/>
              <w:tl2br w:val="nil"/>
              <w:tr2bl w:val="nil"/>
            </w:tcBorders>
            <w:vAlign w:val="bottom"/>
          </w:tcPr>
          <w:p w:rsidR="0018024C" w:rsidRPr="00C6642F" w:rsidRDefault="0018024C" w:rsidP="0018024C">
            <w:pPr>
              <w:widowControl w:val="0"/>
              <w:spacing w:before="1" w:after="1"/>
              <w:rPr>
                <w:sz w:val="20"/>
              </w:rPr>
            </w:pPr>
          </w:p>
        </w:tc>
        <w:tc>
          <w:tcPr>
            <w:tcW w:w="148" w:type="pct"/>
            <w:tcBorders>
              <w:top w:val="nil"/>
              <w:left w:val="nil"/>
              <w:bottom w:val="nil"/>
              <w:right w:val="nil"/>
              <w:tl2br w:val="nil"/>
              <w:tr2bl w:val="nil"/>
            </w:tcBorders>
            <w:vAlign w:val="bottom"/>
          </w:tcPr>
          <w:p w:rsidR="0018024C" w:rsidRPr="00C6642F" w:rsidRDefault="0018024C" w:rsidP="0018024C">
            <w:pPr>
              <w:widowControl w:val="0"/>
              <w:spacing w:before="1" w:after="1"/>
              <w:rPr>
                <w:sz w:val="20"/>
              </w:rPr>
            </w:pPr>
            <w:r w:rsidRPr="00C6642F">
              <w:rPr>
                <w:sz w:val="20"/>
              </w:rPr>
              <w:t>$</w:t>
            </w:r>
          </w:p>
        </w:tc>
        <w:tc>
          <w:tcPr>
            <w:tcW w:w="557" w:type="pct"/>
            <w:tcBorders>
              <w:top w:val="nil"/>
              <w:left w:val="nil"/>
              <w:bottom w:val="nil"/>
              <w:right w:val="nil"/>
              <w:tl2br w:val="nil"/>
              <w:tr2bl w:val="nil"/>
            </w:tcBorders>
            <w:vAlign w:val="bottom"/>
          </w:tcPr>
          <w:p w:rsidR="0018024C" w:rsidRPr="00C6642F" w:rsidRDefault="0018024C" w:rsidP="0018024C">
            <w:pPr>
              <w:widowControl w:val="0"/>
              <w:spacing w:before="1" w:after="1"/>
              <w:ind w:right="65"/>
              <w:jc w:val="right"/>
              <w:rPr>
                <w:sz w:val="20"/>
              </w:rPr>
            </w:pPr>
            <w:r w:rsidRPr="00C6642F">
              <w:rPr>
                <w:sz w:val="20"/>
              </w:rPr>
              <w:t xml:space="preserve"> 26</w:t>
            </w:r>
          </w:p>
        </w:tc>
      </w:tr>
      <w:tr w:rsidR="0018024C" w:rsidRPr="00C6642F" w:rsidTr="0018024C">
        <w:trPr>
          <w:trHeight w:hRule="exact" w:val="255"/>
        </w:trPr>
        <w:tc>
          <w:tcPr>
            <w:tcW w:w="2725"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ind w:left="360"/>
              <w:rPr>
                <w:sz w:val="20"/>
              </w:rPr>
            </w:pPr>
            <w:r w:rsidRPr="00C6642F">
              <w:rPr>
                <w:sz w:val="20"/>
              </w:rPr>
              <w:t>State</w:t>
            </w:r>
          </w:p>
        </w:tc>
        <w:tc>
          <w:tcPr>
            <w:tcW w:w="14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ind w:left="360"/>
              <w:rPr>
                <w:b/>
                <w:sz w:val="20"/>
              </w:rPr>
            </w:pPr>
          </w:p>
        </w:tc>
        <w:tc>
          <w:tcPr>
            <w:tcW w:w="559"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ind w:right="63"/>
              <w:jc w:val="right"/>
              <w:rPr>
                <w:b/>
                <w:sz w:val="20"/>
              </w:rPr>
            </w:pPr>
            <w:r w:rsidRPr="00C6642F">
              <w:rPr>
                <w:b/>
                <w:sz w:val="20"/>
              </w:rPr>
              <w:t xml:space="preserve"> 6</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14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ind w:left="360"/>
              <w:rPr>
                <w:sz w:val="20"/>
              </w:rPr>
            </w:pPr>
          </w:p>
        </w:tc>
        <w:tc>
          <w:tcPr>
            <w:tcW w:w="559"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ind w:right="65"/>
              <w:jc w:val="right"/>
              <w:rPr>
                <w:sz w:val="20"/>
              </w:rPr>
            </w:pPr>
            <w:r w:rsidRPr="00C6642F">
              <w:rPr>
                <w:sz w:val="20"/>
              </w:rPr>
              <w:t xml:space="preserve"> 1</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14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ind w:left="360"/>
              <w:rPr>
                <w:sz w:val="20"/>
              </w:rPr>
            </w:pPr>
          </w:p>
        </w:tc>
        <w:tc>
          <w:tcPr>
            <w:tcW w:w="557"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ind w:right="65"/>
              <w:jc w:val="right"/>
              <w:rPr>
                <w:sz w:val="20"/>
              </w:rPr>
            </w:pPr>
            <w:r w:rsidRPr="00C6642F">
              <w:rPr>
                <w:sz w:val="20"/>
              </w:rPr>
              <w:t xml:space="preserve"> 5</w:t>
            </w:r>
          </w:p>
        </w:tc>
      </w:tr>
      <w:tr w:rsidR="0018024C" w:rsidRPr="00C6642F" w:rsidTr="0018024C">
        <w:trPr>
          <w:trHeight w:hRule="exact" w:val="255"/>
        </w:trPr>
        <w:tc>
          <w:tcPr>
            <w:tcW w:w="2725" w:type="pct"/>
            <w:tcBorders>
              <w:top w:val="nil"/>
              <w:left w:val="nil"/>
              <w:bottom w:val="nil"/>
              <w:right w:val="nil"/>
              <w:tl2br w:val="nil"/>
              <w:tr2bl w:val="nil"/>
            </w:tcBorders>
            <w:vAlign w:val="bottom"/>
          </w:tcPr>
          <w:p w:rsidR="0018024C" w:rsidRPr="00C6642F" w:rsidRDefault="0018024C" w:rsidP="0018024C">
            <w:pPr>
              <w:widowControl w:val="0"/>
              <w:spacing w:before="1" w:after="1"/>
              <w:ind w:left="360"/>
              <w:rPr>
                <w:sz w:val="20"/>
              </w:rPr>
            </w:pPr>
            <w:r w:rsidRPr="00C6642F">
              <w:rPr>
                <w:sz w:val="20"/>
              </w:rPr>
              <w:t>Foreign</w:t>
            </w:r>
          </w:p>
        </w:tc>
        <w:tc>
          <w:tcPr>
            <w:tcW w:w="148" w:type="pct"/>
            <w:tcBorders>
              <w:top w:val="nil"/>
              <w:left w:val="nil"/>
              <w:bottom w:val="single" w:sz="12" w:space="0" w:color="000000"/>
              <w:right w:val="nil"/>
              <w:tl2br w:val="nil"/>
              <w:tr2bl w:val="nil"/>
            </w:tcBorders>
            <w:vAlign w:val="bottom"/>
          </w:tcPr>
          <w:p w:rsidR="0018024C" w:rsidRPr="00C6642F" w:rsidRDefault="0018024C" w:rsidP="0018024C">
            <w:pPr>
              <w:widowControl w:val="0"/>
              <w:spacing w:before="1" w:after="1"/>
              <w:ind w:left="360"/>
              <w:rPr>
                <w:b/>
                <w:sz w:val="20"/>
              </w:rPr>
            </w:pPr>
          </w:p>
        </w:tc>
        <w:tc>
          <w:tcPr>
            <w:tcW w:w="559" w:type="pct"/>
            <w:tcBorders>
              <w:top w:val="nil"/>
              <w:left w:val="nil"/>
              <w:bottom w:val="single" w:sz="12" w:space="0" w:color="000000"/>
              <w:right w:val="nil"/>
              <w:tl2br w:val="nil"/>
              <w:tr2bl w:val="nil"/>
            </w:tcBorders>
            <w:vAlign w:val="bottom"/>
          </w:tcPr>
          <w:p w:rsidR="0018024C" w:rsidRPr="00C6642F" w:rsidRDefault="0018024C" w:rsidP="0018024C">
            <w:pPr>
              <w:widowControl w:val="0"/>
              <w:spacing w:before="1" w:after="1"/>
              <w:ind w:right="63"/>
              <w:jc w:val="right"/>
              <w:rPr>
                <w:b/>
                <w:sz w:val="20"/>
              </w:rPr>
            </w:pPr>
            <w:r w:rsidRPr="00C6642F">
              <w:rPr>
                <w:b/>
                <w:sz w:val="20"/>
              </w:rPr>
              <w:t xml:space="preserve"> 4</w:t>
            </w:r>
          </w:p>
        </w:tc>
        <w:tc>
          <w:tcPr>
            <w:tcW w:w="78" w:type="pct"/>
            <w:tcBorders>
              <w:top w:val="nil"/>
              <w:left w:val="nil"/>
              <w:bottom w:val="nil"/>
              <w:right w:val="nil"/>
              <w:tl2br w:val="nil"/>
              <w:tr2bl w:val="nil"/>
            </w:tcBorders>
            <w:vAlign w:val="bottom"/>
          </w:tcPr>
          <w:p w:rsidR="0018024C" w:rsidRPr="00C6642F" w:rsidRDefault="0018024C" w:rsidP="0018024C">
            <w:pPr>
              <w:widowControl w:val="0"/>
              <w:spacing w:before="1" w:after="1"/>
              <w:rPr>
                <w:sz w:val="20"/>
              </w:rPr>
            </w:pPr>
          </w:p>
        </w:tc>
        <w:tc>
          <w:tcPr>
            <w:tcW w:w="148" w:type="pct"/>
            <w:tcBorders>
              <w:top w:val="nil"/>
              <w:left w:val="nil"/>
              <w:bottom w:val="single" w:sz="12" w:space="0" w:color="000000"/>
              <w:right w:val="nil"/>
              <w:tl2br w:val="nil"/>
              <w:tr2bl w:val="nil"/>
            </w:tcBorders>
            <w:vAlign w:val="bottom"/>
          </w:tcPr>
          <w:p w:rsidR="0018024C" w:rsidRPr="00C6642F" w:rsidRDefault="0018024C" w:rsidP="0018024C">
            <w:pPr>
              <w:widowControl w:val="0"/>
              <w:spacing w:before="1" w:after="1"/>
              <w:ind w:left="360"/>
              <w:rPr>
                <w:sz w:val="20"/>
              </w:rPr>
            </w:pPr>
          </w:p>
        </w:tc>
        <w:tc>
          <w:tcPr>
            <w:tcW w:w="559" w:type="pct"/>
            <w:tcBorders>
              <w:top w:val="nil"/>
              <w:left w:val="nil"/>
              <w:bottom w:val="single" w:sz="12" w:space="0" w:color="000000"/>
              <w:right w:val="nil"/>
              <w:tl2br w:val="nil"/>
              <w:tr2bl w:val="nil"/>
            </w:tcBorders>
            <w:vAlign w:val="bottom"/>
          </w:tcPr>
          <w:p w:rsidR="0018024C" w:rsidRPr="00C6642F" w:rsidRDefault="0018024C" w:rsidP="0018024C">
            <w:pPr>
              <w:widowControl w:val="0"/>
              <w:spacing w:before="1" w:after="1"/>
              <w:ind w:right="65"/>
              <w:jc w:val="right"/>
              <w:rPr>
                <w:sz w:val="20"/>
              </w:rPr>
            </w:pPr>
            <w:r w:rsidRPr="00C6642F">
              <w:rPr>
                <w:sz w:val="20"/>
              </w:rPr>
              <w:t xml:space="preserve"> 8</w:t>
            </w:r>
          </w:p>
        </w:tc>
        <w:tc>
          <w:tcPr>
            <w:tcW w:w="78" w:type="pct"/>
            <w:tcBorders>
              <w:top w:val="nil"/>
              <w:left w:val="nil"/>
              <w:bottom w:val="nil"/>
              <w:right w:val="nil"/>
              <w:tl2br w:val="nil"/>
              <w:tr2bl w:val="nil"/>
            </w:tcBorders>
            <w:vAlign w:val="bottom"/>
          </w:tcPr>
          <w:p w:rsidR="0018024C" w:rsidRPr="00C6642F" w:rsidRDefault="0018024C" w:rsidP="0018024C">
            <w:pPr>
              <w:widowControl w:val="0"/>
              <w:spacing w:before="1" w:after="1"/>
              <w:rPr>
                <w:sz w:val="20"/>
              </w:rPr>
            </w:pPr>
          </w:p>
        </w:tc>
        <w:tc>
          <w:tcPr>
            <w:tcW w:w="148" w:type="pct"/>
            <w:tcBorders>
              <w:top w:val="nil"/>
              <w:left w:val="nil"/>
              <w:bottom w:val="single" w:sz="12" w:space="0" w:color="000000"/>
              <w:right w:val="nil"/>
              <w:tl2br w:val="nil"/>
              <w:tr2bl w:val="nil"/>
            </w:tcBorders>
            <w:vAlign w:val="bottom"/>
          </w:tcPr>
          <w:p w:rsidR="0018024C" w:rsidRPr="00C6642F" w:rsidRDefault="0018024C" w:rsidP="0018024C">
            <w:pPr>
              <w:widowControl w:val="0"/>
              <w:spacing w:before="1" w:after="1"/>
              <w:ind w:left="360"/>
              <w:rPr>
                <w:sz w:val="20"/>
              </w:rPr>
            </w:pPr>
          </w:p>
        </w:tc>
        <w:tc>
          <w:tcPr>
            <w:tcW w:w="557" w:type="pct"/>
            <w:tcBorders>
              <w:top w:val="nil"/>
              <w:left w:val="nil"/>
              <w:bottom w:val="single" w:sz="12" w:space="0" w:color="000000"/>
              <w:right w:val="nil"/>
              <w:tl2br w:val="nil"/>
              <w:tr2bl w:val="nil"/>
            </w:tcBorders>
            <w:vAlign w:val="bottom"/>
          </w:tcPr>
          <w:p w:rsidR="0018024C" w:rsidRPr="00C6642F" w:rsidRDefault="0018024C" w:rsidP="0018024C">
            <w:pPr>
              <w:widowControl w:val="0"/>
              <w:spacing w:before="1" w:after="1"/>
              <w:ind w:right="65"/>
              <w:jc w:val="right"/>
              <w:rPr>
                <w:sz w:val="20"/>
              </w:rPr>
            </w:pPr>
            <w:r w:rsidRPr="00C6642F">
              <w:rPr>
                <w:sz w:val="20"/>
              </w:rPr>
              <w:t xml:space="preserve"> 4</w:t>
            </w:r>
          </w:p>
        </w:tc>
      </w:tr>
      <w:tr w:rsidR="0018024C" w:rsidRPr="00C6642F" w:rsidTr="0018024C">
        <w:trPr>
          <w:trHeight w:hRule="exact" w:val="300"/>
        </w:trPr>
        <w:tc>
          <w:tcPr>
            <w:tcW w:w="2725"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18024C" w:rsidRPr="00C6642F" w:rsidRDefault="0018024C" w:rsidP="0018024C">
            <w:pPr>
              <w:widowControl w:val="0"/>
              <w:spacing w:before="1" w:after="1"/>
              <w:rPr>
                <w:b/>
                <w:sz w:val="20"/>
              </w:rPr>
            </w:pPr>
          </w:p>
        </w:tc>
        <w:tc>
          <w:tcPr>
            <w:tcW w:w="559" w:type="pct"/>
            <w:tcBorders>
              <w:top w:val="single" w:sz="0" w:space="0" w:color="000000"/>
              <w:left w:val="nil"/>
              <w:bottom w:val="single" w:sz="12" w:space="0" w:color="000000"/>
              <w:right w:val="nil"/>
              <w:tl2br w:val="nil"/>
              <w:tr2bl w:val="nil"/>
            </w:tcBorders>
            <w:shd w:val="clear" w:color="auto" w:fill="CCEEFF"/>
            <w:vAlign w:val="bottom"/>
          </w:tcPr>
          <w:p w:rsidR="0018024C" w:rsidRPr="00C6642F" w:rsidRDefault="0018024C" w:rsidP="0018024C">
            <w:pPr>
              <w:widowControl w:val="0"/>
              <w:spacing w:before="1" w:after="1"/>
              <w:ind w:right="63"/>
              <w:jc w:val="right"/>
              <w:rPr>
                <w:b/>
                <w:sz w:val="20"/>
              </w:rPr>
            </w:pPr>
            <w:r w:rsidRPr="00C6642F">
              <w:rPr>
                <w:b/>
                <w:sz w:val="20"/>
              </w:rPr>
              <w:t xml:space="preserve"> 32</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559" w:type="pct"/>
            <w:tcBorders>
              <w:top w:val="single" w:sz="0" w:space="0" w:color="000000"/>
              <w:left w:val="nil"/>
              <w:bottom w:val="single" w:sz="12" w:space="0" w:color="000000"/>
              <w:right w:val="nil"/>
              <w:tl2br w:val="nil"/>
              <w:tr2bl w:val="nil"/>
            </w:tcBorders>
            <w:shd w:val="clear" w:color="auto" w:fill="CCEEFF"/>
            <w:vAlign w:val="bottom"/>
          </w:tcPr>
          <w:p w:rsidR="0018024C" w:rsidRPr="00C6642F" w:rsidRDefault="0018024C" w:rsidP="0018024C">
            <w:pPr>
              <w:widowControl w:val="0"/>
              <w:spacing w:before="1" w:after="1"/>
              <w:ind w:right="65"/>
              <w:jc w:val="right"/>
              <w:rPr>
                <w:sz w:val="20"/>
              </w:rPr>
            </w:pPr>
            <w:r w:rsidRPr="00C6642F">
              <w:rPr>
                <w:sz w:val="20"/>
              </w:rPr>
              <w:t xml:space="preserve"> 30</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557" w:type="pct"/>
            <w:tcBorders>
              <w:top w:val="single" w:sz="0" w:space="0" w:color="000000"/>
              <w:left w:val="nil"/>
              <w:bottom w:val="single" w:sz="12" w:space="0" w:color="000000"/>
              <w:right w:val="nil"/>
              <w:tl2br w:val="nil"/>
              <w:tr2bl w:val="nil"/>
            </w:tcBorders>
            <w:shd w:val="clear" w:color="auto" w:fill="CCEEFF"/>
            <w:vAlign w:val="bottom"/>
          </w:tcPr>
          <w:p w:rsidR="0018024C" w:rsidRPr="00C6642F" w:rsidRDefault="0018024C" w:rsidP="0018024C">
            <w:pPr>
              <w:widowControl w:val="0"/>
              <w:spacing w:before="1" w:after="1"/>
              <w:ind w:right="65"/>
              <w:jc w:val="right"/>
              <w:rPr>
                <w:sz w:val="20"/>
              </w:rPr>
            </w:pPr>
            <w:r w:rsidRPr="00C6642F">
              <w:rPr>
                <w:sz w:val="20"/>
              </w:rPr>
              <w:t xml:space="preserve"> 35</w:t>
            </w:r>
          </w:p>
        </w:tc>
      </w:tr>
      <w:tr w:rsidR="0018024C" w:rsidRPr="00C6642F" w:rsidTr="0018024C">
        <w:trPr>
          <w:trHeight w:hRule="exact" w:val="255"/>
        </w:trPr>
        <w:tc>
          <w:tcPr>
            <w:tcW w:w="2725" w:type="pct"/>
            <w:tcBorders>
              <w:top w:val="nil"/>
              <w:left w:val="nil"/>
              <w:bottom w:val="nil"/>
              <w:right w:val="nil"/>
              <w:tl2br w:val="nil"/>
              <w:tr2bl w:val="nil"/>
            </w:tcBorders>
            <w:vAlign w:val="bottom"/>
          </w:tcPr>
          <w:p w:rsidR="0018024C" w:rsidRPr="00C6642F" w:rsidRDefault="0018024C" w:rsidP="0018024C">
            <w:pPr>
              <w:widowControl w:val="0"/>
              <w:spacing w:before="1" w:after="1"/>
              <w:rPr>
                <w:sz w:val="20"/>
              </w:rPr>
            </w:pPr>
          </w:p>
        </w:tc>
        <w:tc>
          <w:tcPr>
            <w:tcW w:w="148" w:type="pct"/>
            <w:tcBorders>
              <w:top w:val="single" w:sz="0" w:space="0" w:color="000000"/>
              <w:left w:val="nil"/>
              <w:bottom w:val="nil"/>
              <w:right w:val="nil"/>
              <w:tl2br w:val="nil"/>
              <w:tr2bl w:val="nil"/>
            </w:tcBorders>
            <w:vAlign w:val="bottom"/>
          </w:tcPr>
          <w:p w:rsidR="0018024C" w:rsidRPr="00C6642F" w:rsidRDefault="0018024C" w:rsidP="0018024C">
            <w:pPr>
              <w:widowControl w:val="0"/>
              <w:spacing w:before="1" w:after="1"/>
              <w:rPr>
                <w:b/>
                <w:sz w:val="20"/>
              </w:rPr>
            </w:pPr>
          </w:p>
        </w:tc>
        <w:tc>
          <w:tcPr>
            <w:tcW w:w="559" w:type="pct"/>
            <w:tcBorders>
              <w:top w:val="single" w:sz="0" w:space="0" w:color="000000"/>
              <w:left w:val="nil"/>
              <w:bottom w:val="nil"/>
              <w:right w:val="nil"/>
              <w:tl2br w:val="nil"/>
              <w:tr2bl w:val="nil"/>
            </w:tcBorders>
            <w:vAlign w:val="bottom"/>
          </w:tcPr>
          <w:p w:rsidR="0018024C" w:rsidRPr="00C6642F" w:rsidRDefault="0018024C" w:rsidP="0018024C">
            <w:pPr>
              <w:widowControl w:val="0"/>
              <w:spacing w:before="1" w:after="1"/>
              <w:rPr>
                <w:b/>
                <w:sz w:val="20"/>
              </w:rPr>
            </w:pPr>
          </w:p>
        </w:tc>
        <w:tc>
          <w:tcPr>
            <w:tcW w:w="78" w:type="pct"/>
            <w:tcBorders>
              <w:top w:val="nil"/>
              <w:left w:val="nil"/>
              <w:bottom w:val="nil"/>
              <w:right w:val="nil"/>
              <w:tl2br w:val="nil"/>
              <w:tr2bl w:val="nil"/>
            </w:tcBorders>
            <w:vAlign w:val="bottom"/>
          </w:tcPr>
          <w:p w:rsidR="0018024C" w:rsidRPr="00C6642F" w:rsidRDefault="0018024C" w:rsidP="0018024C">
            <w:pPr>
              <w:widowControl w:val="0"/>
              <w:spacing w:before="1" w:after="1"/>
              <w:rPr>
                <w:sz w:val="20"/>
              </w:rPr>
            </w:pPr>
          </w:p>
        </w:tc>
        <w:tc>
          <w:tcPr>
            <w:tcW w:w="148" w:type="pct"/>
            <w:tcBorders>
              <w:top w:val="single" w:sz="0" w:space="0" w:color="000000"/>
              <w:left w:val="nil"/>
              <w:bottom w:val="nil"/>
              <w:right w:val="nil"/>
              <w:tl2br w:val="nil"/>
              <w:tr2bl w:val="nil"/>
            </w:tcBorders>
            <w:vAlign w:val="bottom"/>
          </w:tcPr>
          <w:p w:rsidR="0018024C" w:rsidRPr="00C6642F" w:rsidRDefault="0018024C" w:rsidP="0018024C">
            <w:pPr>
              <w:widowControl w:val="0"/>
              <w:spacing w:before="1" w:after="1"/>
              <w:rPr>
                <w:sz w:val="20"/>
              </w:rPr>
            </w:pPr>
          </w:p>
        </w:tc>
        <w:tc>
          <w:tcPr>
            <w:tcW w:w="559" w:type="pct"/>
            <w:tcBorders>
              <w:top w:val="single" w:sz="0" w:space="0" w:color="000000"/>
              <w:left w:val="nil"/>
              <w:bottom w:val="nil"/>
              <w:right w:val="nil"/>
              <w:tl2br w:val="nil"/>
              <w:tr2bl w:val="nil"/>
            </w:tcBorders>
            <w:vAlign w:val="bottom"/>
          </w:tcPr>
          <w:p w:rsidR="0018024C" w:rsidRPr="00C6642F" w:rsidRDefault="0018024C" w:rsidP="0018024C">
            <w:pPr>
              <w:widowControl w:val="0"/>
              <w:spacing w:before="1" w:after="1"/>
              <w:rPr>
                <w:sz w:val="20"/>
              </w:rPr>
            </w:pPr>
          </w:p>
        </w:tc>
        <w:tc>
          <w:tcPr>
            <w:tcW w:w="78" w:type="pct"/>
            <w:tcBorders>
              <w:top w:val="nil"/>
              <w:left w:val="nil"/>
              <w:bottom w:val="nil"/>
              <w:right w:val="nil"/>
              <w:tl2br w:val="nil"/>
              <w:tr2bl w:val="nil"/>
            </w:tcBorders>
            <w:vAlign w:val="bottom"/>
          </w:tcPr>
          <w:p w:rsidR="0018024C" w:rsidRPr="00C6642F" w:rsidRDefault="0018024C" w:rsidP="0018024C">
            <w:pPr>
              <w:widowControl w:val="0"/>
              <w:spacing w:before="1" w:after="1"/>
              <w:rPr>
                <w:sz w:val="20"/>
              </w:rPr>
            </w:pPr>
          </w:p>
        </w:tc>
        <w:tc>
          <w:tcPr>
            <w:tcW w:w="148" w:type="pct"/>
            <w:tcBorders>
              <w:top w:val="single" w:sz="0" w:space="0" w:color="000000"/>
              <w:left w:val="nil"/>
              <w:bottom w:val="nil"/>
              <w:right w:val="nil"/>
              <w:tl2br w:val="nil"/>
              <w:tr2bl w:val="nil"/>
            </w:tcBorders>
            <w:vAlign w:val="bottom"/>
          </w:tcPr>
          <w:p w:rsidR="0018024C" w:rsidRPr="00C6642F" w:rsidRDefault="0018024C" w:rsidP="0018024C">
            <w:pPr>
              <w:widowControl w:val="0"/>
              <w:spacing w:before="1" w:after="1"/>
              <w:rPr>
                <w:sz w:val="20"/>
              </w:rPr>
            </w:pPr>
          </w:p>
        </w:tc>
        <w:tc>
          <w:tcPr>
            <w:tcW w:w="557" w:type="pct"/>
            <w:tcBorders>
              <w:top w:val="single" w:sz="0" w:space="0" w:color="000000"/>
              <w:left w:val="nil"/>
              <w:bottom w:val="nil"/>
              <w:right w:val="nil"/>
              <w:tl2br w:val="nil"/>
              <w:tr2bl w:val="nil"/>
            </w:tcBorders>
            <w:vAlign w:val="bottom"/>
          </w:tcPr>
          <w:p w:rsidR="0018024C" w:rsidRPr="00C6642F" w:rsidRDefault="0018024C" w:rsidP="0018024C">
            <w:pPr>
              <w:widowControl w:val="0"/>
              <w:spacing w:before="1" w:after="1"/>
              <w:rPr>
                <w:sz w:val="20"/>
              </w:rPr>
            </w:pPr>
          </w:p>
        </w:tc>
      </w:tr>
      <w:tr w:rsidR="0018024C" w:rsidRPr="00C6642F" w:rsidTr="0018024C">
        <w:trPr>
          <w:trHeight w:hRule="exact" w:val="255"/>
        </w:trPr>
        <w:tc>
          <w:tcPr>
            <w:tcW w:w="2725"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r w:rsidRPr="00C6642F">
              <w:rPr>
                <w:sz w:val="20"/>
              </w:rPr>
              <w:t>Deferred:</w:t>
            </w:r>
          </w:p>
        </w:tc>
        <w:tc>
          <w:tcPr>
            <w:tcW w:w="14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b/>
                <w:sz w:val="20"/>
              </w:rPr>
            </w:pPr>
          </w:p>
        </w:tc>
        <w:tc>
          <w:tcPr>
            <w:tcW w:w="559"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b/>
                <w:sz w:val="20"/>
              </w:rPr>
            </w:pP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14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559"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14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557"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r>
      <w:tr w:rsidR="0018024C" w:rsidRPr="00C6642F" w:rsidTr="0018024C">
        <w:trPr>
          <w:trHeight w:hRule="exact" w:val="255"/>
        </w:trPr>
        <w:tc>
          <w:tcPr>
            <w:tcW w:w="2725" w:type="pct"/>
            <w:tcBorders>
              <w:top w:val="nil"/>
              <w:left w:val="nil"/>
              <w:bottom w:val="nil"/>
              <w:right w:val="nil"/>
              <w:tl2br w:val="nil"/>
              <w:tr2bl w:val="nil"/>
            </w:tcBorders>
            <w:vAlign w:val="bottom"/>
          </w:tcPr>
          <w:p w:rsidR="0018024C" w:rsidRPr="00C6642F" w:rsidRDefault="0018024C" w:rsidP="0018024C">
            <w:pPr>
              <w:widowControl w:val="0"/>
              <w:spacing w:before="1" w:after="1"/>
              <w:ind w:left="360"/>
              <w:rPr>
                <w:sz w:val="20"/>
              </w:rPr>
            </w:pPr>
            <w:r w:rsidRPr="00C6642F">
              <w:rPr>
                <w:sz w:val="20"/>
              </w:rPr>
              <w:t>Federal</w:t>
            </w:r>
          </w:p>
        </w:tc>
        <w:tc>
          <w:tcPr>
            <w:tcW w:w="148" w:type="pct"/>
            <w:tcBorders>
              <w:top w:val="nil"/>
              <w:left w:val="nil"/>
              <w:bottom w:val="nil"/>
              <w:right w:val="nil"/>
              <w:tl2br w:val="nil"/>
              <w:tr2bl w:val="nil"/>
            </w:tcBorders>
            <w:vAlign w:val="bottom"/>
          </w:tcPr>
          <w:p w:rsidR="0018024C" w:rsidRPr="00C6642F" w:rsidRDefault="0018024C" w:rsidP="0018024C">
            <w:pPr>
              <w:widowControl w:val="0"/>
              <w:spacing w:before="1" w:after="1"/>
              <w:ind w:left="360"/>
              <w:rPr>
                <w:b/>
                <w:sz w:val="20"/>
              </w:rPr>
            </w:pPr>
          </w:p>
        </w:tc>
        <w:tc>
          <w:tcPr>
            <w:tcW w:w="559" w:type="pct"/>
            <w:tcBorders>
              <w:top w:val="nil"/>
              <w:left w:val="nil"/>
              <w:bottom w:val="nil"/>
              <w:right w:val="nil"/>
              <w:tl2br w:val="nil"/>
              <w:tr2bl w:val="nil"/>
            </w:tcBorders>
            <w:vAlign w:val="bottom"/>
          </w:tcPr>
          <w:p w:rsidR="0018024C" w:rsidRPr="00C6642F" w:rsidRDefault="0018024C" w:rsidP="0018024C">
            <w:pPr>
              <w:widowControl w:val="0"/>
              <w:spacing w:before="1" w:after="1"/>
              <w:jc w:val="right"/>
              <w:rPr>
                <w:b/>
                <w:sz w:val="20"/>
              </w:rPr>
            </w:pPr>
            <w:r w:rsidRPr="00C6642F">
              <w:rPr>
                <w:b/>
                <w:sz w:val="20"/>
              </w:rPr>
              <w:t xml:space="preserve"> (4)</w:t>
            </w:r>
          </w:p>
        </w:tc>
        <w:tc>
          <w:tcPr>
            <w:tcW w:w="78" w:type="pct"/>
            <w:tcBorders>
              <w:top w:val="nil"/>
              <w:left w:val="nil"/>
              <w:bottom w:val="nil"/>
              <w:right w:val="nil"/>
              <w:tl2br w:val="nil"/>
              <w:tr2bl w:val="nil"/>
            </w:tcBorders>
            <w:vAlign w:val="bottom"/>
          </w:tcPr>
          <w:p w:rsidR="0018024C" w:rsidRPr="00C6642F" w:rsidRDefault="0018024C" w:rsidP="0018024C">
            <w:pPr>
              <w:widowControl w:val="0"/>
              <w:spacing w:before="1" w:after="1"/>
              <w:rPr>
                <w:sz w:val="20"/>
              </w:rPr>
            </w:pPr>
          </w:p>
        </w:tc>
        <w:tc>
          <w:tcPr>
            <w:tcW w:w="148" w:type="pct"/>
            <w:tcBorders>
              <w:top w:val="nil"/>
              <w:left w:val="nil"/>
              <w:bottom w:val="nil"/>
              <w:right w:val="nil"/>
              <w:tl2br w:val="nil"/>
              <w:tr2bl w:val="nil"/>
            </w:tcBorders>
            <w:vAlign w:val="bottom"/>
          </w:tcPr>
          <w:p w:rsidR="0018024C" w:rsidRPr="00C6642F" w:rsidRDefault="0018024C" w:rsidP="0018024C">
            <w:pPr>
              <w:widowControl w:val="0"/>
              <w:spacing w:before="1" w:after="1"/>
              <w:ind w:left="360"/>
              <w:rPr>
                <w:sz w:val="20"/>
              </w:rPr>
            </w:pPr>
          </w:p>
        </w:tc>
        <w:tc>
          <w:tcPr>
            <w:tcW w:w="559" w:type="pct"/>
            <w:tcBorders>
              <w:top w:val="nil"/>
              <w:left w:val="nil"/>
              <w:bottom w:val="nil"/>
              <w:right w:val="nil"/>
              <w:tl2br w:val="nil"/>
              <w:tr2bl w:val="nil"/>
            </w:tcBorders>
            <w:vAlign w:val="bottom"/>
          </w:tcPr>
          <w:p w:rsidR="0018024C" w:rsidRPr="00C6642F" w:rsidRDefault="0018024C" w:rsidP="0018024C">
            <w:pPr>
              <w:widowControl w:val="0"/>
              <w:spacing w:before="1" w:after="1"/>
              <w:ind w:right="3"/>
              <w:jc w:val="right"/>
              <w:rPr>
                <w:sz w:val="20"/>
              </w:rPr>
            </w:pPr>
            <w:r w:rsidRPr="00C6642F">
              <w:rPr>
                <w:sz w:val="20"/>
              </w:rPr>
              <w:t xml:space="preserve"> (6)</w:t>
            </w:r>
          </w:p>
        </w:tc>
        <w:tc>
          <w:tcPr>
            <w:tcW w:w="78" w:type="pct"/>
            <w:tcBorders>
              <w:top w:val="nil"/>
              <w:left w:val="nil"/>
              <w:bottom w:val="nil"/>
              <w:right w:val="nil"/>
              <w:tl2br w:val="nil"/>
              <w:tr2bl w:val="nil"/>
            </w:tcBorders>
            <w:vAlign w:val="bottom"/>
          </w:tcPr>
          <w:p w:rsidR="0018024C" w:rsidRPr="00C6642F" w:rsidRDefault="0018024C" w:rsidP="0018024C">
            <w:pPr>
              <w:widowControl w:val="0"/>
              <w:spacing w:before="1" w:after="1"/>
              <w:rPr>
                <w:sz w:val="20"/>
              </w:rPr>
            </w:pPr>
          </w:p>
        </w:tc>
        <w:tc>
          <w:tcPr>
            <w:tcW w:w="148" w:type="pct"/>
            <w:tcBorders>
              <w:top w:val="nil"/>
              <w:left w:val="nil"/>
              <w:bottom w:val="nil"/>
              <w:right w:val="nil"/>
              <w:tl2br w:val="nil"/>
              <w:tr2bl w:val="nil"/>
            </w:tcBorders>
            <w:vAlign w:val="bottom"/>
          </w:tcPr>
          <w:p w:rsidR="0018024C" w:rsidRPr="00C6642F" w:rsidRDefault="0018024C" w:rsidP="0018024C">
            <w:pPr>
              <w:widowControl w:val="0"/>
              <w:spacing w:before="1" w:after="1"/>
              <w:ind w:left="360"/>
              <w:rPr>
                <w:sz w:val="20"/>
              </w:rPr>
            </w:pPr>
          </w:p>
        </w:tc>
        <w:tc>
          <w:tcPr>
            <w:tcW w:w="557" w:type="pct"/>
            <w:tcBorders>
              <w:top w:val="nil"/>
              <w:left w:val="nil"/>
              <w:bottom w:val="nil"/>
              <w:right w:val="nil"/>
              <w:tl2br w:val="nil"/>
              <w:tr2bl w:val="nil"/>
            </w:tcBorders>
            <w:vAlign w:val="bottom"/>
          </w:tcPr>
          <w:p w:rsidR="0018024C" w:rsidRPr="00C6642F" w:rsidRDefault="0018024C" w:rsidP="0018024C">
            <w:pPr>
              <w:widowControl w:val="0"/>
              <w:spacing w:before="1" w:after="1"/>
              <w:ind w:right="3"/>
              <w:jc w:val="right"/>
              <w:rPr>
                <w:sz w:val="20"/>
              </w:rPr>
            </w:pPr>
            <w:r w:rsidRPr="00C6642F">
              <w:rPr>
                <w:sz w:val="20"/>
              </w:rPr>
              <w:t xml:space="preserve"> (73)</w:t>
            </w:r>
          </w:p>
        </w:tc>
      </w:tr>
      <w:tr w:rsidR="0018024C" w:rsidRPr="00C6642F" w:rsidTr="0018024C">
        <w:trPr>
          <w:trHeight w:hRule="exact" w:val="255"/>
        </w:trPr>
        <w:tc>
          <w:tcPr>
            <w:tcW w:w="2725"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ind w:left="360"/>
              <w:rPr>
                <w:sz w:val="20"/>
              </w:rPr>
            </w:pPr>
            <w:r w:rsidRPr="00C6642F">
              <w:rPr>
                <w:sz w:val="20"/>
              </w:rPr>
              <w:t>State</w:t>
            </w:r>
          </w:p>
        </w:tc>
        <w:tc>
          <w:tcPr>
            <w:tcW w:w="14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ind w:left="360"/>
              <w:rPr>
                <w:b/>
                <w:sz w:val="20"/>
              </w:rPr>
            </w:pPr>
          </w:p>
        </w:tc>
        <w:tc>
          <w:tcPr>
            <w:tcW w:w="559"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ind w:right="63"/>
              <w:jc w:val="right"/>
              <w:rPr>
                <w:b/>
                <w:sz w:val="20"/>
              </w:rPr>
            </w:pPr>
            <w:r w:rsidRPr="00C6642F">
              <w:rPr>
                <w:b/>
                <w:sz w:val="20"/>
              </w:rPr>
              <w:t xml:space="preserve"> -</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14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ind w:left="360"/>
              <w:rPr>
                <w:sz w:val="20"/>
              </w:rPr>
            </w:pPr>
          </w:p>
        </w:tc>
        <w:tc>
          <w:tcPr>
            <w:tcW w:w="559"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ind w:right="3"/>
              <w:jc w:val="right"/>
              <w:rPr>
                <w:sz w:val="20"/>
              </w:rPr>
            </w:pPr>
            <w:r w:rsidRPr="00C6642F">
              <w:rPr>
                <w:sz w:val="20"/>
              </w:rPr>
              <w:t xml:space="preserve"> (1)</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14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ind w:left="360"/>
              <w:rPr>
                <w:sz w:val="20"/>
              </w:rPr>
            </w:pPr>
          </w:p>
        </w:tc>
        <w:tc>
          <w:tcPr>
            <w:tcW w:w="557"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ind w:right="3"/>
              <w:jc w:val="right"/>
              <w:rPr>
                <w:sz w:val="20"/>
              </w:rPr>
            </w:pPr>
            <w:r w:rsidRPr="00C6642F">
              <w:rPr>
                <w:sz w:val="20"/>
              </w:rPr>
              <w:t xml:space="preserve"> (4)</w:t>
            </w:r>
          </w:p>
        </w:tc>
      </w:tr>
      <w:tr w:rsidR="0018024C" w:rsidRPr="00C6642F" w:rsidTr="0018024C">
        <w:trPr>
          <w:trHeight w:hRule="exact" w:val="255"/>
        </w:trPr>
        <w:tc>
          <w:tcPr>
            <w:tcW w:w="2725" w:type="pct"/>
            <w:tcBorders>
              <w:top w:val="nil"/>
              <w:left w:val="nil"/>
              <w:bottom w:val="nil"/>
              <w:right w:val="nil"/>
              <w:tl2br w:val="nil"/>
              <w:tr2bl w:val="nil"/>
            </w:tcBorders>
            <w:vAlign w:val="bottom"/>
          </w:tcPr>
          <w:p w:rsidR="0018024C" w:rsidRPr="00C6642F" w:rsidRDefault="0018024C" w:rsidP="0018024C">
            <w:pPr>
              <w:widowControl w:val="0"/>
              <w:spacing w:before="1" w:after="1"/>
              <w:ind w:left="360"/>
              <w:rPr>
                <w:sz w:val="20"/>
              </w:rPr>
            </w:pPr>
            <w:r w:rsidRPr="00C6642F">
              <w:rPr>
                <w:sz w:val="20"/>
              </w:rPr>
              <w:t>Foreign</w:t>
            </w:r>
          </w:p>
        </w:tc>
        <w:tc>
          <w:tcPr>
            <w:tcW w:w="148" w:type="pct"/>
            <w:tcBorders>
              <w:top w:val="nil"/>
              <w:left w:val="nil"/>
              <w:bottom w:val="single" w:sz="12" w:space="0" w:color="000000"/>
              <w:right w:val="nil"/>
              <w:tl2br w:val="nil"/>
              <w:tr2bl w:val="nil"/>
            </w:tcBorders>
            <w:vAlign w:val="bottom"/>
          </w:tcPr>
          <w:p w:rsidR="0018024C" w:rsidRPr="00C6642F" w:rsidRDefault="0018024C" w:rsidP="0018024C">
            <w:pPr>
              <w:widowControl w:val="0"/>
              <w:spacing w:before="1" w:after="1"/>
              <w:ind w:left="360"/>
              <w:rPr>
                <w:b/>
                <w:sz w:val="20"/>
              </w:rPr>
            </w:pPr>
          </w:p>
        </w:tc>
        <w:tc>
          <w:tcPr>
            <w:tcW w:w="559" w:type="pct"/>
            <w:tcBorders>
              <w:top w:val="nil"/>
              <w:left w:val="nil"/>
              <w:bottom w:val="single" w:sz="12" w:space="0" w:color="000000"/>
              <w:right w:val="nil"/>
              <w:tl2br w:val="nil"/>
              <w:tr2bl w:val="nil"/>
            </w:tcBorders>
            <w:vAlign w:val="bottom"/>
          </w:tcPr>
          <w:p w:rsidR="0018024C" w:rsidRPr="00C6642F" w:rsidRDefault="0018024C" w:rsidP="0018024C">
            <w:pPr>
              <w:widowControl w:val="0"/>
              <w:spacing w:before="1" w:after="1"/>
              <w:jc w:val="right"/>
              <w:rPr>
                <w:b/>
                <w:sz w:val="20"/>
              </w:rPr>
            </w:pPr>
            <w:r w:rsidRPr="00C6642F">
              <w:rPr>
                <w:b/>
                <w:sz w:val="20"/>
              </w:rPr>
              <w:t xml:space="preserve"> (1)</w:t>
            </w:r>
          </w:p>
        </w:tc>
        <w:tc>
          <w:tcPr>
            <w:tcW w:w="78" w:type="pct"/>
            <w:tcBorders>
              <w:top w:val="nil"/>
              <w:left w:val="nil"/>
              <w:bottom w:val="nil"/>
              <w:right w:val="nil"/>
              <w:tl2br w:val="nil"/>
              <w:tr2bl w:val="nil"/>
            </w:tcBorders>
            <w:vAlign w:val="bottom"/>
          </w:tcPr>
          <w:p w:rsidR="0018024C" w:rsidRPr="00C6642F" w:rsidRDefault="0018024C" w:rsidP="0018024C">
            <w:pPr>
              <w:widowControl w:val="0"/>
              <w:spacing w:before="1" w:after="1"/>
              <w:rPr>
                <w:sz w:val="20"/>
              </w:rPr>
            </w:pPr>
          </w:p>
        </w:tc>
        <w:tc>
          <w:tcPr>
            <w:tcW w:w="148" w:type="pct"/>
            <w:tcBorders>
              <w:top w:val="nil"/>
              <w:left w:val="nil"/>
              <w:bottom w:val="single" w:sz="12" w:space="0" w:color="000000"/>
              <w:right w:val="nil"/>
              <w:tl2br w:val="nil"/>
              <w:tr2bl w:val="nil"/>
            </w:tcBorders>
            <w:vAlign w:val="bottom"/>
          </w:tcPr>
          <w:p w:rsidR="0018024C" w:rsidRPr="00C6642F" w:rsidRDefault="0018024C" w:rsidP="0018024C">
            <w:pPr>
              <w:widowControl w:val="0"/>
              <w:spacing w:before="1" w:after="1"/>
              <w:ind w:left="360"/>
              <w:rPr>
                <w:sz w:val="20"/>
              </w:rPr>
            </w:pPr>
          </w:p>
        </w:tc>
        <w:tc>
          <w:tcPr>
            <w:tcW w:w="559" w:type="pct"/>
            <w:tcBorders>
              <w:top w:val="nil"/>
              <w:left w:val="nil"/>
              <w:bottom w:val="single" w:sz="12" w:space="0" w:color="000000"/>
              <w:right w:val="nil"/>
              <w:tl2br w:val="nil"/>
              <w:tr2bl w:val="nil"/>
            </w:tcBorders>
            <w:vAlign w:val="bottom"/>
          </w:tcPr>
          <w:p w:rsidR="0018024C" w:rsidRPr="00C6642F" w:rsidRDefault="0018024C" w:rsidP="0018024C">
            <w:pPr>
              <w:widowControl w:val="0"/>
              <w:spacing w:before="1" w:after="1"/>
              <w:ind w:right="3"/>
              <w:jc w:val="right"/>
              <w:rPr>
                <w:sz w:val="20"/>
              </w:rPr>
            </w:pPr>
            <w:r w:rsidRPr="00C6642F">
              <w:rPr>
                <w:sz w:val="20"/>
              </w:rPr>
              <w:t xml:space="preserve"> (2)</w:t>
            </w:r>
          </w:p>
        </w:tc>
        <w:tc>
          <w:tcPr>
            <w:tcW w:w="78" w:type="pct"/>
            <w:tcBorders>
              <w:top w:val="nil"/>
              <w:left w:val="nil"/>
              <w:bottom w:val="nil"/>
              <w:right w:val="nil"/>
              <w:tl2br w:val="nil"/>
              <w:tr2bl w:val="nil"/>
            </w:tcBorders>
            <w:vAlign w:val="bottom"/>
          </w:tcPr>
          <w:p w:rsidR="0018024C" w:rsidRPr="00C6642F" w:rsidRDefault="0018024C" w:rsidP="0018024C">
            <w:pPr>
              <w:widowControl w:val="0"/>
              <w:spacing w:before="1" w:after="1"/>
              <w:rPr>
                <w:sz w:val="20"/>
              </w:rPr>
            </w:pPr>
          </w:p>
        </w:tc>
        <w:tc>
          <w:tcPr>
            <w:tcW w:w="148" w:type="pct"/>
            <w:tcBorders>
              <w:top w:val="nil"/>
              <w:left w:val="nil"/>
              <w:bottom w:val="single" w:sz="12" w:space="0" w:color="000000"/>
              <w:right w:val="nil"/>
              <w:tl2br w:val="nil"/>
              <w:tr2bl w:val="nil"/>
            </w:tcBorders>
            <w:vAlign w:val="bottom"/>
          </w:tcPr>
          <w:p w:rsidR="0018024C" w:rsidRPr="00C6642F" w:rsidRDefault="0018024C" w:rsidP="0018024C">
            <w:pPr>
              <w:widowControl w:val="0"/>
              <w:spacing w:before="1" w:after="1"/>
              <w:ind w:left="360"/>
              <w:rPr>
                <w:sz w:val="20"/>
              </w:rPr>
            </w:pPr>
          </w:p>
        </w:tc>
        <w:tc>
          <w:tcPr>
            <w:tcW w:w="557" w:type="pct"/>
            <w:tcBorders>
              <w:top w:val="nil"/>
              <w:left w:val="nil"/>
              <w:bottom w:val="single" w:sz="12" w:space="0" w:color="000000"/>
              <w:right w:val="nil"/>
              <w:tl2br w:val="nil"/>
              <w:tr2bl w:val="nil"/>
            </w:tcBorders>
            <w:vAlign w:val="bottom"/>
          </w:tcPr>
          <w:p w:rsidR="0018024C" w:rsidRPr="00C6642F" w:rsidRDefault="0018024C" w:rsidP="0018024C">
            <w:pPr>
              <w:widowControl w:val="0"/>
              <w:spacing w:before="1" w:after="1"/>
              <w:ind w:right="3"/>
              <w:jc w:val="right"/>
              <w:rPr>
                <w:sz w:val="20"/>
              </w:rPr>
            </w:pPr>
            <w:r w:rsidRPr="00C6642F">
              <w:rPr>
                <w:sz w:val="20"/>
              </w:rPr>
              <w:t xml:space="preserve"> (1)</w:t>
            </w:r>
          </w:p>
        </w:tc>
      </w:tr>
      <w:tr w:rsidR="0018024C" w:rsidRPr="00C6642F" w:rsidTr="0018024C">
        <w:trPr>
          <w:trHeight w:hRule="exact" w:val="300"/>
        </w:trPr>
        <w:tc>
          <w:tcPr>
            <w:tcW w:w="2725"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18024C" w:rsidRPr="00C6642F" w:rsidRDefault="0018024C" w:rsidP="0018024C">
            <w:pPr>
              <w:widowControl w:val="0"/>
              <w:spacing w:before="1" w:after="1"/>
              <w:rPr>
                <w:b/>
                <w:sz w:val="20"/>
              </w:rPr>
            </w:pPr>
          </w:p>
        </w:tc>
        <w:tc>
          <w:tcPr>
            <w:tcW w:w="559" w:type="pct"/>
            <w:tcBorders>
              <w:top w:val="single" w:sz="0" w:space="0" w:color="000000"/>
              <w:left w:val="nil"/>
              <w:bottom w:val="single" w:sz="12" w:space="0" w:color="000000"/>
              <w:right w:val="nil"/>
              <w:tl2br w:val="nil"/>
              <w:tr2bl w:val="nil"/>
            </w:tcBorders>
            <w:shd w:val="clear" w:color="auto" w:fill="CCEEFF"/>
            <w:vAlign w:val="bottom"/>
          </w:tcPr>
          <w:p w:rsidR="0018024C" w:rsidRPr="00C6642F" w:rsidRDefault="0018024C" w:rsidP="0018024C">
            <w:pPr>
              <w:widowControl w:val="0"/>
              <w:spacing w:before="1" w:after="1"/>
              <w:jc w:val="right"/>
              <w:rPr>
                <w:b/>
                <w:sz w:val="20"/>
              </w:rPr>
            </w:pPr>
            <w:r w:rsidRPr="00C6642F">
              <w:rPr>
                <w:b/>
                <w:sz w:val="20"/>
              </w:rPr>
              <w:t xml:space="preserve"> (5)</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559" w:type="pct"/>
            <w:tcBorders>
              <w:top w:val="single" w:sz="0" w:space="0" w:color="000000"/>
              <w:left w:val="nil"/>
              <w:bottom w:val="single" w:sz="12" w:space="0" w:color="000000"/>
              <w:right w:val="nil"/>
              <w:tl2br w:val="nil"/>
              <w:tr2bl w:val="nil"/>
            </w:tcBorders>
            <w:shd w:val="clear" w:color="auto" w:fill="CCEEFF"/>
            <w:vAlign w:val="bottom"/>
          </w:tcPr>
          <w:p w:rsidR="0018024C" w:rsidRPr="00C6642F" w:rsidRDefault="0018024C" w:rsidP="0018024C">
            <w:pPr>
              <w:widowControl w:val="0"/>
              <w:spacing w:before="1" w:after="1"/>
              <w:ind w:right="3"/>
              <w:jc w:val="right"/>
              <w:rPr>
                <w:sz w:val="20"/>
              </w:rPr>
            </w:pPr>
            <w:r w:rsidRPr="00C6642F">
              <w:rPr>
                <w:sz w:val="20"/>
              </w:rPr>
              <w:t xml:space="preserve"> (9)</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148" w:type="pct"/>
            <w:tcBorders>
              <w:top w:val="single" w:sz="0" w:space="0" w:color="000000"/>
              <w:left w:val="nil"/>
              <w:bottom w:val="single" w:sz="12" w:space="0" w:color="000000"/>
              <w:right w:val="nil"/>
              <w:tl2br w:val="nil"/>
              <w:tr2bl w:val="nil"/>
            </w:tcBorders>
            <w:shd w:val="clear" w:color="auto" w:fill="CCEEFF"/>
            <w:vAlign w:val="bottom"/>
          </w:tcPr>
          <w:p w:rsidR="0018024C" w:rsidRPr="00C6642F" w:rsidRDefault="0018024C" w:rsidP="0018024C">
            <w:pPr>
              <w:widowControl w:val="0"/>
              <w:spacing w:before="1" w:after="1"/>
              <w:rPr>
                <w:sz w:val="20"/>
              </w:rPr>
            </w:pPr>
          </w:p>
        </w:tc>
        <w:tc>
          <w:tcPr>
            <w:tcW w:w="557" w:type="pct"/>
            <w:tcBorders>
              <w:top w:val="single" w:sz="0" w:space="0" w:color="000000"/>
              <w:left w:val="nil"/>
              <w:bottom w:val="single" w:sz="12" w:space="0" w:color="000000"/>
              <w:right w:val="nil"/>
              <w:tl2br w:val="nil"/>
              <w:tr2bl w:val="nil"/>
            </w:tcBorders>
            <w:shd w:val="clear" w:color="auto" w:fill="CCEEFF"/>
            <w:vAlign w:val="bottom"/>
          </w:tcPr>
          <w:p w:rsidR="0018024C" w:rsidRPr="00C6642F" w:rsidRDefault="0018024C" w:rsidP="0018024C">
            <w:pPr>
              <w:widowControl w:val="0"/>
              <w:spacing w:before="1" w:after="1"/>
              <w:ind w:right="3"/>
              <w:jc w:val="right"/>
              <w:rPr>
                <w:sz w:val="20"/>
              </w:rPr>
            </w:pPr>
            <w:r w:rsidRPr="00C6642F">
              <w:rPr>
                <w:sz w:val="20"/>
              </w:rPr>
              <w:t xml:space="preserve"> (78)</w:t>
            </w:r>
          </w:p>
        </w:tc>
      </w:tr>
      <w:tr w:rsidR="0018024C" w:rsidRPr="00C6642F" w:rsidTr="0018024C">
        <w:trPr>
          <w:trHeight w:hRule="exact" w:val="315"/>
        </w:trPr>
        <w:tc>
          <w:tcPr>
            <w:tcW w:w="2725" w:type="pct"/>
            <w:tcBorders>
              <w:top w:val="nil"/>
              <w:left w:val="nil"/>
              <w:bottom w:val="nil"/>
              <w:right w:val="nil"/>
              <w:tl2br w:val="nil"/>
              <w:tr2bl w:val="nil"/>
            </w:tcBorders>
            <w:vAlign w:val="bottom"/>
          </w:tcPr>
          <w:p w:rsidR="0018024C" w:rsidRPr="00C6642F" w:rsidRDefault="0018024C" w:rsidP="0018024C">
            <w:pPr>
              <w:widowControl w:val="0"/>
              <w:spacing w:before="1" w:after="1"/>
              <w:rPr>
                <w:sz w:val="20"/>
              </w:rPr>
            </w:pPr>
            <w:r w:rsidRPr="00C6642F">
              <w:rPr>
                <w:sz w:val="20"/>
              </w:rPr>
              <w:t>Income tax expense (benefit)</w:t>
            </w:r>
          </w:p>
        </w:tc>
        <w:tc>
          <w:tcPr>
            <w:tcW w:w="148"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widowControl w:val="0"/>
              <w:spacing w:before="1" w:after="1"/>
              <w:rPr>
                <w:b/>
                <w:sz w:val="20"/>
              </w:rPr>
            </w:pPr>
            <w:r w:rsidRPr="00C6642F">
              <w:rPr>
                <w:b/>
                <w:sz w:val="20"/>
              </w:rPr>
              <w:t>$</w:t>
            </w:r>
          </w:p>
        </w:tc>
        <w:tc>
          <w:tcPr>
            <w:tcW w:w="559"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widowControl w:val="0"/>
              <w:spacing w:before="1" w:after="1"/>
              <w:ind w:right="63"/>
              <w:jc w:val="right"/>
              <w:rPr>
                <w:b/>
                <w:sz w:val="20"/>
              </w:rPr>
            </w:pPr>
            <w:r w:rsidRPr="00C6642F">
              <w:rPr>
                <w:b/>
                <w:sz w:val="20"/>
              </w:rPr>
              <w:t xml:space="preserve"> 27</w:t>
            </w:r>
          </w:p>
        </w:tc>
        <w:tc>
          <w:tcPr>
            <w:tcW w:w="78" w:type="pct"/>
            <w:tcBorders>
              <w:top w:val="nil"/>
              <w:left w:val="nil"/>
              <w:bottom w:val="nil"/>
              <w:right w:val="nil"/>
              <w:tl2br w:val="nil"/>
              <w:tr2bl w:val="nil"/>
            </w:tcBorders>
            <w:vAlign w:val="bottom"/>
          </w:tcPr>
          <w:p w:rsidR="0018024C" w:rsidRPr="00C6642F" w:rsidRDefault="0018024C" w:rsidP="0018024C">
            <w:pPr>
              <w:widowControl w:val="0"/>
              <w:spacing w:before="1" w:after="1"/>
              <w:rPr>
                <w:sz w:val="20"/>
              </w:rPr>
            </w:pPr>
          </w:p>
        </w:tc>
        <w:tc>
          <w:tcPr>
            <w:tcW w:w="148"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widowControl w:val="0"/>
              <w:spacing w:before="1" w:after="1"/>
              <w:rPr>
                <w:sz w:val="20"/>
              </w:rPr>
            </w:pPr>
            <w:r w:rsidRPr="00C6642F">
              <w:rPr>
                <w:sz w:val="20"/>
              </w:rPr>
              <w:t>$</w:t>
            </w:r>
          </w:p>
        </w:tc>
        <w:tc>
          <w:tcPr>
            <w:tcW w:w="559"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widowControl w:val="0"/>
              <w:spacing w:before="1" w:after="1"/>
              <w:ind w:right="65"/>
              <w:jc w:val="right"/>
              <w:rPr>
                <w:sz w:val="20"/>
              </w:rPr>
            </w:pPr>
            <w:r w:rsidRPr="00C6642F">
              <w:rPr>
                <w:sz w:val="20"/>
              </w:rPr>
              <w:t xml:space="preserve"> 21</w:t>
            </w:r>
          </w:p>
        </w:tc>
        <w:tc>
          <w:tcPr>
            <w:tcW w:w="78" w:type="pct"/>
            <w:tcBorders>
              <w:top w:val="nil"/>
              <w:left w:val="nil"/>
              <w:bottom w:val="nil"/>
              <w:right w:val="nil"/>
              <w:tl2br w:val="nil"/>
              <w:tr2bl w:val="nil"/>
            </w:tcBorders>
            <w:vAlign w:val="bottom"/>
          </w:tcPr>
          <w:p w:rsidR="0018024C" w:rsidRPr="00C6642F" w:rsidRDefault="0018024C" w:rsidP="0018024C">
            <w:pPr>
              <w:widowControl w:val="0"/>
              <w:spacing w:before="1" w:after="1"/>
              <w:rPr>
                <w:sz w:val="20"/>
              </w:rPr>
            </w:pPr>
          </w:p>
        </w:tc>
        <w:tc>
          <w:tcPr>
            <w:tcW w:w="148"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widowControl w:val="0"/>
              <w:spacing w:before="1" w:after="1"/>
              <w:rPr>
                <w:sz w:val="20"/>
              </w:rPr>
            </w:pPr>
            <w:r w:rsidRPr="00C6642F">
              <w:rPr>
                <w:sz w:val="20"/>
              </w:rPr>
              <w:t>$</w:t>
            </w:r>
          </w:p>
        </w:tc>
        <w:tc>
          <w:tcPr>
            <w:tcW w:w="557"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widowControl w:val="0"/>
              <w:spacing w:before="1" w:after="1"/>
              <w:ind w:right="3"/>
              <w:jc w:val="right"/>
              <w:rPr>
                <w:sz w:val="20"/>
              </w:rPr>
            </w:pPr>
            <w:r w:rsidRPr="00C6642F">
              <w:rPr>
                <w:sz w:val="20"/>
              </w:rPr>
              <w:t xml:space="preserve"> (43)</w:t>
            </w:r>
          </w:p>
        </w:tc>
      </w:tr>
    </w:tbl>
    <w:p w:rsidR="000121CD" w:rsidRPr="00C6642F" w:rsidRDefault="00590862">
      <w:pPr>
        <w:pStyle w:val="NormalWeb"/>
        <w:keepNext/>
        <w:keepLines/>
        <w:widowControl w:val="0"/>
        <w:spacing w:before="180" w:beforeAutospacing="0" w:after="0" w:afterAutospacing="0"/>
      </w:pPr>
      <w:r w:rsidRPr="00C6642F">
        <w:rPr>
          <w:sz w:val="20"/>
          <w:szCs w:val="20"/>
        </w:rPr>
        <w:t xml:space="preserve">Our effective tax rate varied from the statutory federal income tax rate for the following reasons (in millions): </w:t>
      </w:r>
    </w:p>
    <w:p w:rsidR="000121CD" w:rsidRPr="00C6642F" w:rsidRDefault="000121CD">
      <w:pPr>
        <w:keepNext/>
        <w:keepLines/>
        <w:widowControl w:val="0"/>
        <w:rPr>
          <w:sz w:val="2"/>
        </w:rPr>
      </w:pPr>
    </w:p>
    <w:p w:rsidR="000121CD" w:rsidRPr="00C6642F" w:rsidRDefault="000121CD">
      <w:pPr>
        <w:keepNext/>
        <w:keepLines/>
        <w:widowControl w:val="0"/>
        <w:rPr>
          <w:sz w:val="2"/>
        </w:rPr>
      </w:pPr>
    </w:p>
    <w:tbl>
      <w:tblPr>
        <w:tblW w:w="5000" w:type="pct"/>
        <w:tblCellMar>
          <w:left w:w="0" w:type="dxa"/>
          <w:right w:w="0" w:type="dxa"/>
        </w:tblCellMar>
        <w:tblLook w:val="04A0" w:firstRow="1" w:lastRow="0" w:firstColumn="1" w:lastColumn="0" w:noHBand="0" w:noVBand="1"/>
      </w:tblPr>
      <w:tblGrid>
        <w:gridCol w:w="5887"/>
        <w:gridCol w:w="320"/>
        <w:gridCol w:w="1207"/>
        <w:gridCol w:w="168"/>
        <w:gridCol w:w="320"/>
        <w:gridCol w:w="1207"/>
        <w:gridCol w:w="168"/>
        <w:gridCol w:w="320"/>
        <w:gridCol w:w="1203"/>
      </w:tblGrid>
      <w:tr w:rsidR="0018024C" w:rsidRPr="00C6642F" w:rsidTr="0018024C">
        <w:trPr>
          <w:trHeight w:hRule="exact" w:val="20"/>
        </w:trPr>
        <w:tc>
          <w:tcPr>
            <w:tcW w:w="2725"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48"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559"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78"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48"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559"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78"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48"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557"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r>
      <w:tr w:rsidR="0018024C" w:rsidRPr="00C6642F" w:rsidTr="0018024C">
        <w:trPr>
          <w:trHeight w:hRule="exact" w:val="315"/>
        </w:trPr>
        <w:tc>
          <w:tcPr>
            <w:tcW w:w="2725"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sz w:val="20"/>
              </w:rPr>
            </w:pPr>
            <w:r w:rsidRPr="00C6642F">
              <w:rPr>
                <w:b/>
                <w:sz w:val="20"/>
              </w:rPr>
              <w:t xml:space="preserve">Year Ended December 31, </w:t>
            </w:r>
          </w:p>
        </w:tc>
      </w:tr>
      <w:tr w:rsidR="0018024C" w:rsidRPr="00C6642F" w:rsidTr="0018024C">
        <w:trPr>
          <w:trHeight w:hRule="exact" w:val="315"/>
        </w:trPr>
        <w:tc>
          <w:tcPr>
            <w:tcW w:w="2725"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sz w:val="20"/>
              </w:rPr>
            </w:pPr>
            <w:r w:rsidRPr="00C6642F">
              <w:rPr>
                <w:b/>
                <w:sz w:val="20"/>
              </w:rPr>
              <w:t>2019</w:t>
            </w:r>
          </w:p>
        </w:tc>
        <w:tc>
          <w:tcPr>
            <w:tcW w:w="78"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sz w:val="20"/>
              </w:rPr>
            </w:pPr>
            <w:r w:rsidRPr="00C6642F">
              <w:rPr>
                <w:b/>
                <w:sz w:val="20"/>
              </w:rPr>
              <w:t>2018</w:t>
            </w:r>
          </w:p>
        </w:tc>
        <w:tc>
          <w:tcPr>
            <w:tcW w:w="78"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sz w:val="20"/>
              </w:rPr>
            </w:pPr>
            <w:r w:rsidRPr="00C6642F">
              <w:rPr>
                <w:b/>
                <w:sz w:val="20"/>
              </w:rPr>
              <w:t>2017</w:t>
            </w:r>
          </w:p>
        </w:tc>
      </w:tr>
      <w:tr w:rsidR="0018024C" w:rsidRPr="00C6642F" w:rsidTr="0018024C">
        <w:trPr>
          <w:trHeight w:hRule="exact" w:val="270"/>
        </w:trPr>
        <w:tc>
          <w:tcPr>
            <w:tcW w:w="272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r w:rsidRPr="00C6642F">
              <w:rPr>
                <w:sz w:val="20"/>
              </w:rPr>
              <w:t>Federal tax expense at statutory rates</w:t>
            </w:r>
          </w:p>
        </w:tc>
        <w:tc>
          <w:tcPr>
            <w:tcW w:w="14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sz w:val="20"/>
              </w:rPr>
            </w:pPr>
            <w:r w:rsidRPr="00C6642F">
              <w:rPr>
                <w:b/>
                <w:sz w:val="20"/>
              </w:rPr>
              <w:t>$</w:t>
            </w:r>
          </w:p>
        </w:tc>
        <w:tc>
          <w:tcPr>
            <w:tcW w:w="55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sz w:val="20"/>
              </w:rPr>
            </w:pPr>
            <w:r w:rsidRPr="00C6642F">
              <w:rPr>
                <w:b/>
                <w:sz w:val="20"/>
              </w:rPr>
              <w:t xml:space="preserve"> 14</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r w:rsidRPr="00C6642F">
              <w:rPr>
                <w:sz w:val="20"/>
              </w:rPr>
              <w:t>$</w:t>
            </w:r>
          </w:p>
        </w:tc>
        <w:tc>
          <w:tcPr>
            <w:tcW w:w="55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sz w:val="20"/>
              </w:rPr>
            </w:pPr>
            <w:r w:rsidRPr="00C6642F">
              <w:rPr>
                <w:sz w:val="20"/>
              </w:rPr>
              <w:t xml:space="preserve"> 20</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4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r w:rsidRPr="00C6642F">
              <w:rPr>
                <w:sz w:val="20"/>
              </w:rPr>
              <w:t>$</w:t>
            </w:r>
          </w:p>
        </w:tc>
        <w:tc>
          <w:tcPr>
            <w:tcW w:w="55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sz w:val="20"/>
              </w:rPr>
            </w:pPr>
            <w:r w:rsidRPr="00C6642F">
              <w:rPr>
                <w:sz w:val="20"/>
              </w:rPr>
              <w:t xml:space="preserve"> 2</w:t>
            </w:r>
          </w:p>
        </w:tc>
      </w:tr>
      <w:tr w:rsidR="0018024C" w:rsidRPr="00C6642F" w:rsidTr="0018024C">
        <w:trPr>
          <w:trHeight w:hRule="exact" w:val="255"/>
        </w:trPr>
        <w:tc>
          <w:tcPr>
            <w:tcW w:w="2725"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r w:rsidRPr="00C6642F">
              <w:rPr>
                <w:sz w:val="20"/>
              </w:rPr>
              <w:t>State taxes</w:t>
            </w:r>
          </w:p>
        </w:tc>
        <w:tc>
          <w:tcPr>
            <w:tcW w:w="148" w:type="pct"/>
            <w:tcBorders>
              <w:top w:val="nil"/>
              <w:left w:val="nil"/>
              <w:bottom w:val="nil"/>
              <w:right w:val="nil"/>
              <w:tl2br w:val="nil"/>
              <w:tr2bl w:val="nil"/>
            </w:tcBorders>
            <w:vAlign w:val="bottom"/>
          </w:tcPr>
          <w:p w:rsidR="0018024C" w:rsidRPr="00C6642F" w:rsidRDefault="0018024C" w:rsidP="0018024C">
            <w:pPr>
              <w:keepNext/>
              <w:keepLines/>
              <w:spacing w:before="1" w:after="1"/>
              <w:rPr>
                <w:b/>
                <w:sz w:val="20"/>
              </w:rPr>
            </w:pPr>
          </w:p>
        </w:tc>
        <w:tc>
          <w:tcPr>
            <w:tcW w:w="559"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3"/>
              <w:jc w:val="right"/>
              <w:rPr>
                <w:b/>
                <w:sz w:val="20"/>
              </w:rPr>
            </w:pPr>
            <w:r w:rsidRPr="00C6642F">
              <w:rPr>
                <w:b/>
                <w:sz w:val="20"/>
              </w:rPr>
              <w:t xml:space="preserve"> 4</w:t>
            </w:r>
          </w:p>
        </w:tc>
        <w:tc>
          <w:tcPr>
            <w:tcW w:w="78"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48"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559"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5"/>
              <w:jc w:val="right"/>
              <w:rPr>
                <w:sz w:val="20"/>
              </w:rPr>
            </w:pPr>
            <w:r w:rsidRPr="00C6642F">
              <w:rPr>
                <w:sz w:val="20"/>
              </w:rPr>
              <w:t xml:space="preserve"> 2</w:t>
            </w:r>
          </w:p>
        </w:tc>
        <w:tc>
          <w:tcPr>
            <w:tcW w:w="78"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48"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557"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5"/>
              <w:jc w:val="right"/>
              <w:rPr>
                <w:sz w:val="20"/>
              </w:rPr>
            </w:pPr>
            <w:r w:rsidRPr="00C6642F">
              <w:rPr>
                <w:sz w:val="20"/>
              </w:rPr>
              <w:t xml:space="preserve"> 2</w:t>
            </w:r>
          </w:p>
        </w:tc>
      </w:tr>
      <w:tr w:rsidR="0018024C" w:rsidRPr="00C6642F" w:rsidTr="0018024C">
        <w:trPr>
          <w:trHeight w:hRule="exact" w:val="255"/>
        </w:trPr>
        <w:tc>
          <w:tcPr>
            <w:tcW w:w="272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r w:rsidRPr="00C6642F">
              <w:rPr>
                <w:sz w:val="20"/>
              </w:rPr>
              <w:t>Effects of tax rate changes on existing temporary differences</w:t>
            </w:r>
          </w:p>
        </w:tc>
        <w:tc>
          <w:tcPr>
            <w:tcW w:w="14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sz w:val="20"/>
              </w:rPr>
            </w:pPr>
          </w:p>
        </w:tc>
        <w:tc>
          <w:tcPr>
            <w:tcW w:w="559"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sz w:val="20"/>
              </w:rPr>
            </w:pPr>
            <w:r w:rsidRPr="00C6642F">
              <w:rPr>
                <w:b/>
                <w:sz w:val="20"/>
              </w:rPr>
              <w:t xml:space="preserve"> -</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4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559"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sz w:val="20"/>
              </w:rPr>
            </w:pPr>
            <w:r w:rsidRPr="00C6642F">
              <w:rPr>
                <w:sz w:val="20"/>
              </w:rPr>
              <w:t xml:space="preserve"> -</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4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557"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3"/>
              <w:jc w:val="right"/>
              <w:rPr>
                <w:sz w:val="20"/>
              </w:rPr>
            </w:pPr>
            <w:r w:rsidRPr="00C6642F">
              <w:rPr>
                <w:sz w:val="20"/>
              </w:rPr>
              <w:t xml:space="preserve"> (59)</w:t>
            </w:r>
          </w:p>
        </w:tc>
      </w:tr>
      <w:tr w:rsidR="0018024C" w:rsidRPr="00C6642F" w:rsidTr="0018024C">
        <w:trPr>
          <w:trHeight w:hRule="exact" w:val="255"/>
        </w:trPr>
        <w:tc>
          <w:tcPr>
            <w:tcW w:w="2725"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r w:rsidRPr="00C6642F">
              <w:rPr>
                <w:sz w:val="20"/>
              </w:rPr>
              <w:t>Transition tax</w:t>
            </w:r>
          </w:p>
        </w:tc>
        <w:tc>
          <w:tcPr>
            <w:tcW w:w="148" w:type="pct"/>
            <w:tcBorders>
              <w:top w:val="nil"/>
              <w:left w:val="nil"/>
              <w:bottom w:val="nil"/>
              <w:right w:val="nil"/>
              <w:tl2br w:val="nil"/>
              <w:tr2bl w:val="nil"/>
            </w:tcBorders>
            <w:vAlign w:val="bottom"/>
          </w:tcPr>
          <w:p w:rsidR="0018024C" w:rsidRPr="00C6642F" w:rsidRDefault="0018024C" w:rsidP="0018024C">
            <w:pPr>
              <w:keepNext/>
              <w:keepLines/>
              <w:spacing w:before="1" w:after="1"/>
              <w:rPr>
                <w:b/>
                <w:sz w:val="20"/>
              </w:rPr>
            </w:pPr>
          </w:p>
        </w:tc>
        <w:tc>
          <w:tcPr>
            <w:tcW w:w="559"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3"/>
              <w:jc w:val="right"/>
              <w:rPr>
                <w:b/>
                <w:sz w:val="20"/>
              </w:rPr>
            </w:pPr>
            <w:r w:rsidRPr="00C6642F">
              <w:rPr>
                <w:b/>
                <w:sz w:val="20"/>
              </w:rPr>
              <w:t xml:space="preserve"> -</w:t>
            </w:r>
          </w:p>
        </w:tc>
        <w:tc>
          <w:tcPr>
            <w:tcW w:w="78"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48"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559"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3"/>
              <w:jc w:val="right"/>
              <w:rPr>
                <w:sz w:val="20"/>
              </w:rPr>
            </w:pPr>
            <w:r w:rsidRPr="00C6642F">
              <w:rPr>
                <w:sz w:val="20"/>
              </w:rPr>
              <w:t xml:space="preserve"> (4)</w:t>
            </w:r>
          </w:p>
        </w:tc>
        <w:tc>
          <w:tcPr>
            <w:tcW w:w="78"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48"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557"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5"/>
              <w:jc w:val="right"/>
              <w:rPr>
                <w:sz w:val="20"/>
              </w:rPr>
            </w:pPr>
            <w:r w:rsidRPr="00C6642F">
              <w:rPr>
                <w:sz w:val="20"/>
              </w:rPr>
              <w:t xml:space="preserve"> 7</w:t>
            </w:r>
          </w:p>
        </w:tc>
      </w:tr>
      <w:tr w:rsidR="0018024C" w:rsidRPr="00C6642F" w:rsidTr="0018024C">
        <w:trPr>
          <w:trHeight w:hRule="exact" w:val="255"/>
        </w:trPr>
        <w:tc>
          <w:tcPr>
            <w:tcW w:w="272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r w:rsidRPr="00C6642F">
              <w:rPr>
                <w:sz w:val="20"/>
              </w:rPr>
              <w:t>Nondeductible expenses and other</w:t>
            </w:r>
          </w:p>
        </w:tc>
        <w:tc>
          <w:tcPr>
            <w:tcW w:w="14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sz w:val="20"/>
              </w:rPr>
            </w:pPr>
          </w:p>
        </w:tc>
        <w:tc>
          <w:tcPr>
            <w:tcW w:w="559"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sz w:val="20"/>
              </w:rPr>
            </w:pPr>
            <w:r w:rsidRPr="00C6642F">
              <w:rPr>
                <w:b/>
                <w:sz w:val="20"/>
              </w:rPr>
              <w:t xml:space="preserve"> 3</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4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559"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sz w:val="20"/>
              </w:rPr>
            </w:pPr>
            <w:r w:rsidRPr="00C6642F">
              <w:rPr>
                <w:sz w:val="20"/>
              </w:rPr>
              <w:t xml:space="preserve"> 2</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4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557"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sz w:val="20"/>
              </w:rPr>
            </w:pPr>
            <w:r w:rsidRPr="00C6642F">
              <w:rPr>
                <w:sz w:val="20"/>
              </w:rPr>
              <w:t xml:space="preserve"> -</w:t>
            </w:r>
          </w:p>
        </w:tc>
      </w:tr>
      <w:tr w:rsidR="0018024C" w:rsidRPr="00C6642F" w:rsidTr="0018024C">
        <w:trPr>
          <w:trHeight w:hRule="exact" w:val="255"/>
        </w:trPr>
        <w:tc>
          <w:tcPr>
            <w:tcW w:w="2725"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r w:rsidRPr="00C6642F">
              <w:rPr>
                <w:sz w:val="20"/>
              </w:rPr>
              <w:t>Foreign operations taxed at different rates</w:t>
            </w:r>
          </w:p>
        </w:tc>
        <w:tc>
          <w:tcPr>
            <w:tcW w:w="148" w:type="pct"/>
            <w:tcBorders>
              <w:top w:val="nil"/>
              <w:left w:val="nil"/>
              <w:bottom w:val="nil"/>
              <w:right w:val="nil"/>
              <w:tl2br w:val="nil"/>
              <w:tr2bl w:val="nil"/>
            </w:tcBorders>
            <w:vAlign w:val="bottom"/>
          </w:tcPr>
          <w:p w:rsidR="0018024C" w:rsidRPr="00C6642F" w:rsidRDefault="0018024C" w:rsidP="0018024C">
            <w:pPr>
              <w:keepNext/>
              <w:keepLines/>
              <w:spacing w:before="1" w:after="1"/>
              <w:rPr>
                <w:b/>
                <w:sz w:val="20"/>
              </w:rPr>
            </w:pPr>
          </w:p>
        </w:tc>
        <w:tc>
          <w:tcPr>
            <w:tcW w:w="559"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3"/>
              <w:jc w:val="right"/>
              <w:rPr>
                <w:b/>
                <w:sz w:val="20"/>
              </w:rPr>
            </w:pPr>
            <w:r w:rsidRPr="00C6642F">
              <w:rPr>
                <w:b/>
                <w:sz w:val="20"/>
              </w:rPr>
              <w:t xml:space="preserve"> -</w:t>
            </w:r>
          </w:p>
        </w:tc>
        <w:tc>
          <w:tcPr>
            <w:tcW w:w="78"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48"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559"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5"/>
              <w:jc w:val="right"/>
              <w:rPr>
                <w:sz w:val="20"/>
              </w:rPr>
            </w:pPr>
            <w:r w:rsidRPr="00C6642F">
              <w:rPr>
                <w:sz w:val="20"/>
              </w:rPr>
              <w:t xml:space="preserve"> -</w:t>
            </w:r>
          </w:p>
        </w:tc>
        <w:tc>
          <w:tcPr>
            <w:tcW w:w="78"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48"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557"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3"/>
              <w:jc w:val="right"/>
              <w:rPr>
                <w:sz w:val="20"/>
              </w:rPr>
            </w:pPr>
            <w:r w:rsidRPr="00C6642F">
              <w:rPr>
                <w:sz w:val="20"/>
              </w:rPr>
              <w:t xml:space="preserve"> (2)</w:t>
            </w:r>
          </w:p>
        </w:tc>
      </w:tr>
      <w:tr w:rsidR="0018024C" w:rsidRPr="00C6642F" w:rsidTr="0018024C">
        <w:trPr>
          <w:trHeight w:hRule="exact" w:val="255"/>
        </w:trPr>
        <w:tc>
          <w:tcPr>
            <w:tcW w:w="272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r w:rsidRPr="00C6642F">
              <w:rPr>
                <w:sz w:val="20"/>
              </w:rPr>
              <w:t>Change in valuation allowance related to foreign losses</w:t>
            </w:r>
          </w:p>
        </w:tc>
        <w:tc>
          <w:tcPr>
            <w:tcW w:w="148"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rPr>
                <w:b/>
                <w:sz w:val="20"/>
              </w:rPr>
            </w:pPr>
          </w:p>
        </w:tc>
        <w:tc>
          <w:tcPr>
            <w:tcW w:w="559"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sz w:val="20"/>
              </w:rPr>
            </w:pPr>
            <w:r w:rsidRPr="00C6642F">
              <w:rPr>
                <w:b/>
                <w:sz w:val="20"/>
              </w:rPr>
              <w:t xml:space="preserve"> 6</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48"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559"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ind w:right="65"/>
              <w:jc w:val="right"/>
              <w:rPr>
                <w:sz w:val="20"/>
              </w:rPr>
            </w:pPr>
            <w:r w:rsidRPr="00C6642F">
              <w:rPr>
                <w:sz w:val="20"/>
              </w:rPr>
              <w:t xml:space="preserve"> 1</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48"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557"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ind w:right="65"/>
              <w:jc w:val="right"/>
              <w:rPr>
                <w:sz w:val="20"/>
              </w:rPr>
            </w:pPr>
            <w:r w:rsidRPr="00C6642F">
              <w:rPr>
                <w:sz w:val="20"/>
              </w:rPr>
              <w:t xml:space="preserve"> 7</w:t>
            </w:r>
          </w:p>
        </w:tc>
      </w:tr>
      <w:tr w:rsidR="0018024C" w:rsidRPr="00C6642F" w:rsidTr="0018024C">
        <w:trPr>
          <w:trHeight w:hRule="exact" w:val="360"/>
        </w:trPr>
        <w:tc>
          <w:tcPr>
            <w:tcW w:w="2725"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r w:rsidRPr="00C6642F">
              <w:rPr>
                <w:sz w:val="20"/>
              </w:rPr>
              <w:t>Income tax expense (benefit)</w:t>
            </w:r>
          </w:p>
        </w:tc>
        <w:tc>
          <w:tcPr>
            <w:tcW w:w="148"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spacing w:before="1" w:after="1"/>
              <w:rPr>
                <w:b/>
                <w:sz w:val="20"/>
              </w:rPr>
            </w:pPr>
            <w:r w:rsidRPr="00C6642F">
              <w:rPr>
                <w:b/>
                <w:sz w:val="20"/>
              </w:rPr>
              <w:t>$</w:t>
            </w:r>
          </w:p>
        </w:tc>
        <w:tc>
          <w:tcPr>
            <w:tcW w:w="559"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spacing w:before="1" w:after="1"/>
              <w:ind w:right="63"/>
              <w:jc w:val="right"/>
              <w:rPr>
                <w:b/>
                <w:sz w:val="20"/>
              </w:rPr>
            </w:pPr>
            <w:r w:rsidRPr="00C6642F">
              <w:rPr>
                <w:b/>
                <w:sz w:val="20"/>
              </w:rPr>
              <w:t xml:space="preserve"> 27</w:t>
            </w:r>
          </w:p>
        </w:tc>
        <w:tc>
          <w:tcPr>
            <w:tcW w:w="78"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48"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spacing w:before="1" w:after="1"/>
              <w:rPr>
                <w:sz w:val="20"/>
              </w:rPr>
            </w:pPr>
            <w:r w:rsidRPr="00C6642F">
              <w:rPr>
                <w:sz w:val="20"/>
              </w:rPr>
              <w:t>$</w:t>
            </w:r>
          </w:p>
        </w:tc>
        <w:tc>
          <w:tcPr>
            <w:tcW w:w="559"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spacing w:before="1" w:after="1"/>
              <w:ind w:right="65"/>
              <w:jc w:val="right"/>
              <w:rPr>
                <w:sz w:val="20"/>
              </w:rPr>
            </w:pPr>
            <w:r w:rsidRPr="00C6642F">
              <w:rPr>
                <w:sz w:val="20"/>
              </w:rPr>
              <w:t xml:space="preserve"> 21</w:t>
            </w:r>
          </w:p>
        </w:tc>
        <w:tc>
          <w:tcPr>
            <w:tcW w:w="78"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48"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spacing w:before="1" w:after="1"/>
              <w:rPr>
                <w:sz w:val="20"/>
              </w:rPr>
            </w:pPr>
            <w:r w:rsidRPr="00C6642F">
              <w:rPr>
                <w:sz w:val="20"/>
              </w:rPr>
              <w:t>$</w:t>
            </w:r>
          </w:p>
        </w:tc>
        <w:tc>
          <w:tcPr>
            <w:tcW w:w="557"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spacing w:before="1" w:after="1"/>
              <w:ind w:right="3"/>
              <w:jc w:val="right"/>
              <w:rPr>
                <w:sz w:val="20"/>
              </w:rPr>
            </w:pPr>
            <w:r w:rsidRPr="00C6642F">
              <w:rPr>
                <w:sz w:val="20"/>
              </w:rPr>
              <w:t xml:space="preserve"> (43)</w:t>
            </w:r>
          </w:p>
        </w:tc>
      </w:tr>
      <w:tr w:rsidR="0018024C" w:rsidRPr="00C6642F" w:rsidTr="0018024C">
        <w:trPr>
          <w:trHeight w:hRule="exact" w:val="345"/>
        </w:trPr>
        <w:tc>
          <w:tcPr>
            <w:tcW w:w="272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r w:rsidRPr="00C6642F">
              <w:rPr>
                <w:sz w:val="20"/>
              </w:rPr>
              <w:t>Effective tax rate</w:t>
            </w: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b/>
                <w:sz w:val="20"/>
              </w:rPr>
            </w:pPr>
          </w:p>
        </w:tc>
        <w:tc>
          <w:tcPr>
            <w:tcW w:w="559" w:type="pct"/>
            <w:tcBorders>
              <w:top w:val="doub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sz w:val="20"/>
              </w:rPr>
            </w:pPr>
            <w:r w:rsidRPr="00C6642F">
              <w:rPr>
                <w:b/>
                <w:sz w:val="20"/>
              </w:rPr>
              <w:t>41%</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559" w:type="pct"/>
            <w:tcBorders>
              <w:top w:val="doub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5"/>
              <w:jc w:val="right"/>
              <w:rPr>
                <w:sz w:val="20"/>
              </w:rPr>
            </w:pPr>
            <w:r w:rsidRPr="00C6642F">
              <w:rPr>
                <w:sz w:val="20"/>
              </w:rPr>
              <w:t>22%</w:t>
            </w:r>
          </w:p>
        </w:tc>
        <w:tc>
          <w:tcPr>
            <w:tcW w:w="7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557" w:type="pct"/>
            <w:tcBorders>
              <w:top w:val="doub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3"/>
              <w:jc w:val="right"/>
              <w:rPr>
                <w:sz w:val="20"/>
              </w:rPr>
            </w:pPr>
            <w:r w:rsidRPr="00C6642F">
              <w:rPr>
                <w:sz w:val="20"/>
              </w:rPr>
              <w:t>(614%)</w:t>
            </w:r>
          </w:p>
        </w:tc>
      </w:tr>
    </w:tbl>
    <w:p w:rsidR="000121CD" w:rsidRPr="00C6642F" w:rsidRDefault="00D020F7">
      <w:pPr>
        <w:pStyle w:val="NormalWeb"/>
        <w:keepNext/>
        <w:keepLines/>
        <w:widowControl w:val="0"/>
        <w:spacing w:before="180" w:beforeAutospacing="0" w:after="0" w:afterAutospacing="0"/>
        <w:rPr>
          <w:sz w:val="20"/>
          <w:szCs w:val="20"/>
        </w:rPr>
      </w:pPr>
      <w:r w:rsidRPr="00C6642F">
        <w:rPr>
          <w:sz w:val="20"/>
          <w:szCs w:val="20"/>
        </w:rPr>
        <w:t>Significant components of our deferred tax assets and liabilities are as follows (in millions):</w:t>
      </w:r>
    </w:p>
    <w:p w:rsidR="000121CD" w:rsidRPr="00C6642F" w:rsidRDefault="000121CD">
      <w:pPr>
        <w:pStyle w:val="NormalWeb"/>
        <w:keepNext/>
        <w:keepLines/>
        <w:widowControl w:val="0"/>
        <w:spacing w:before="0" w:beforeAutospacing="0" w:after="0" w:afterAutospacing="0"/>
        <w:rPr>
          <w:sz w:val="2"/>
        </w:rPr>
      </w:pPr>
    </w:p>
    <w:tbl>
      <w:tblPr>
        <w:tblW w:w="5000" w:type="pct"/>
        <w:tblCellMar>
          <w:left w:w="0" w:type="dxa"/>
          <w:right w:w="0" w:type="dxa"/>
        </w:tblCellMar>
        <w:tblLook w:val="04A0" w:firstRow="1" w:lastRow="0" w:firstColumn="1" w:lastColumn="0" w:noHBand="0" w:noVBand="1"/>
      </w:tblPr>
      <w:tblGrid>
        <w:gridCol w:w="6981"/>
        <w:gridCol w:w="378"/>
        <w:gridCol w:w="1432"/>
        <w:gridCol w:w="199"/>
        <w:gridCol w:w="378"/>
        <w:gridCol w:w="1432"/>
      </w:tblGrid>
      <w:tr w:rsidR="0018024C" w:rsidRPr="00C6642F" w:rsidTr="0018024C">
        <w:trPr>
          <w:trHeight w:hRule="exact" w:val="20"/>
        </w:trPr>
        <w:tc>
          <w:tcPr>
            <w:tcW w:w="3232"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75"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663"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92"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75"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663"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r>
      <w:tr w:rsidR="0018024C" w:rsidRPr="00C6642F" w:rsidTr="0018024C">
        <w:trPr>
          <w:trHeight w:hRule="exact" w:val="315"/>
        </w:trPr>
        <w:tc>
          <w:tcPr>
            <w:tcW w:w="3232"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sz w:val="20"/>
              </w:rPr>
            </w:pPr>
            <w:r w:rsidRPr="00C6642F">
              <w:rPr>
                <w:b/>
                <w:sz w:val="20"/>
              </w:rPr>
              <w:t>December 31,</w:t>
            </w:r>
          </w:p>
        </w:tc>
      </w:tr>
      <w:tr w:rsidR="0018024C" w:rsidRPr="00C6642F" w:rsidTr="0018024C">
        <w:trPr>
          <w:trHeight w:hRule="exact" w:val="315"/>
        </w:trPr>
        <w:tc>
          <w:tcPr>
            <w:tcW w:w="3232"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sz w:val="20"/>
              </w:rPr>
            </w:pPr>
            <w:r w:rsidRPr="00C6642F">
              <w:rPr>
                <w:b/>
                <w:sz w:val="20"/>
              </w:rPr>
              <w:t>2019</w:t>
            </w:r>
          </w:p>
        </w:tc>
        <w:tc>
          <w:tcPr>
            <w:tcW w:w="92"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sz w:val="20"/>
              </w:rPr>
            </w:pPr>
            <w:r w:rsidRPr="00C6642F">
              <w:rPr>
                <w:b/>
                <w:sz w:val="20"/>
              </w:rPr>
              <w:t>2018</w:t>
            </w:r>
          </w:p>
        </w:tc>
      </w:tr>
      <w:tr w:rsidR="0018024C" w:rsidRPr="00C6642F" w:rsidTr="0018024C">
        <w:trPr>
          <w:trHeight w:hRule="exact" w:val="255"/>
        </w:trPr>
        <w:tc>
          <w:tcPr>
            <w:tcW w:w="323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r w:rsidRPr="00C6642F">
              <w:rPr>
                <w:sz w:val="20"/>
              </w:rPr>
              <w:t xml:space="preserve">Deferred tax assets: </w:t>
            </w:r>
          </w:p>
        </w:tc>
        <w:tc>
          <w:tcPr>
            <w:tcW w:w="175"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sz w:val="20"/>
              </w:rPr>
            </w:pPr>
          </w:p>
        </w:tc>
        <w:tc>
          <w:tcPr>
            <w:tcW w:w="663"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9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75"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663"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r>
      <w:tr w:rsidR="0018024C" w:rsidRPr="00C6642F" w:rsidTr="0018024C">
        <w:trPr>
          <w:trHeight w:hRule="exact" w:val="255"/>
        </w:trPr>
        <w:tc>
          <w:tcPr>
            <w:tcW w:w="3232" w:type="pct"/>
            <w:tcBorders>
              <w:top w:val="nil"/>
              <w:left w:val="nil"/>
              <w:bottom w:val="nil"/>
              <w:right w:val="nil"/>
              <w:tl2br w:val="nil"/>
              <w:tr2bl w:val="nil"/>
            </w:tcBorders>
            <w:vAlign w:val="bottom"/>
          </w:tcPr>
          <w:p w:rsidR="0018024C" w:rsidRPr="00C6642F" w:rsidRDefault="0018024C" w:rsidP="0018024C">
            <w:pPr>
              <w:keepNext/>
              <w:keepLines/>
              <w:spacing w:before="1" w:after="1"/>
              <w:ind w:left="360"/>
              <w:rPr>
                <w:sz w:val="20"/>
              </w:rPr>
            </w:pPr>
            <w:r w:rsidRPr="00C6642F">
              <w:rPr>
                <w:sz w:val="20"/>
              </w:rPr>
              <w:t>Allowance for doubtful accounts</w:t>
            </w:r>
          </w:p>
        </w:tc>
        <w:tc>
          <w:tcPr>
            <w:tcW w:w="175" w:type="pct"/>
            <w:tcBorders>
              <w:top w:val="nil"/>
              <w:left w:val="nil"/>
              <w:bottom w:val="nil"/>
              <w:right w:val="nil"/>
              <w:tl2br w:val="nil"/>
              <w:tr2bl w:val="nil"/>
            </w:tcBorders>
            <w:vAlign w:val="bottom"/>
          </w:tcPr>
          <w:p w:rsidR="0018024C" w:rsidRPr="00C6642F" w:rsidRDefault="0018024C" w:rsidP="0018024C">
            <w:pPr>
              <w:keepNext/>
              <w:keepLines/>
              <w:spacing w:before="1" w:after="1"/>
              <w:rPr>
                <w:b/>
                <w:sz w:val="20"/>
              </w:rPr>
            </w:pPr>
            <w:r w:rsidRPr="00C6642F">
              <w:rPr>
                <w:b/>
                <w:sz w:val="20"/>
              </w:rPr>
              <w:t>$</w:t>
            </w:r>
          </w:p>
        </w:tc>
        <w:tc>
          <w:tcPr>
            <w:tcW w:w="663"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3"/>
              <w:jc w:val="right"/>
              <w:rPr>
                <w:b/>
                <w:sz w:val="20"/>
              </w:rPr>
            </w:pPr>
            <w:r w:rsidRPr="00C6642F">
              <w:rPr>
                <w:b/>
                <w:sz w:val="20"/>
              </w:rPr>
              <w:t xml:space="preserve"> 1</w:t>
            </w:r>
          </w:p>
        </w:tc>
        <w:tc>
          <w:tcPr>
            <w:tcW w:w="92"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75"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r w:rsidRPr="00C6642F">
              <w:rPr>
                <w:sz w:val="20"/>
              </w:rPr>
              <w:t>$</w:t>
            </w:r>
          </w:p>
        </w:tc>
        <w:tc>
          <w:tcPr>
            <w:tcW w:w="663"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5"/>
              <w:jc w:val="right"/>
              <w:rPr>
                <w:sz w:val="20"/>
              </w:rPr>
            </w:pPr>
            <w:r w:rsidRPr="00C6642F">
              <w:rPr>
                <w:sz w:val="20"/>
              </w:rPr>
              <w:t xml:space="preserve"> 1</w:t>
            </w:r>
          </w:p>
        </w:tc>
      </w:tr>
      <w:tr w:rsidR="0018024C" w:rsidRPr="00C6642F" w:rsidTr="0018024C">
        <w:trPr>
          <w:trHeight w:hRule="exact" w:val="255"/>
        </w:trPr>
        <w:tc>
          <w:tcPr>
            <w:tcW w:w="323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left="360"/>
              <w:rPr>
                <w:sz w:val="20"/>
              </w:rPr>
            </w:pPr>
            <w:r w:rsidRPr="00C6642F">
              <w:rPr>
                <w:sz w:val="20"/>
              </w:rPr>
              <w:t>Accruals and reserves</w:t>
            </w:r>
          </w:p>
        </w:tc>
        <w:tc>
          <w:tcPr>
            <w:tcW w:w="17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left="360"/>
              <w:rPr>
                <w:b/>
                <w:sz w:val="20"/>
              </w:rPr>
            </w:pPr>
          </w:p>
        </w:tc>
        <w:tc>
          <w:tcPr>
            <w:tcW w:w="663"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sz w:val="20"/>
              </w:rPr>
            </w:pPr>
            <w:r w:rsidRPr="00C6642F">
              <w:rPr>
                <w:b/>
                <w:sz w:val="20"/>
              </w:rPr>
              <w:t xml:space="preserve"> 20</w:t>
            </w:r>
          </w:p>
        </w:tc>
        <w:tc>
          <w:tcPr>
            <w:tcW w:w="9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7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left="360"/>
              <w:rPr>
                <w:sz w:val="20"/>
              </w:rPr>
            </w:pPr>
          </w:p>
        </w:tc>
        <w:tc>
          <w:tcPr>
            <w:tcW w:w="663"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sz w:val="20"/>
              </w:rPr>
            </w:pPr>
            <w:r w:rsidRPr="00C6642F">
              <w:rPr>
                <w:sz w:val="20"/>
              </w:rPr>
              <w:t xml:space="preserve"> 21</w:t>
            </w:r>
          </w:p>
        </w:tc>
      </w:tr>
      <w:tr w:rsidR="0018024C" w:rsidRPr="00C6642F" w:rsidTr="0018024C">
        <w:trPr>
          <w:trHeight w:hRule="exact" w:val="255"/>
        </w:trPr>
        <w:tc>
          <w:tcPr>
            <w:tcW w:w="3232" w:type="pct"/>
            <w:tcBorders>
              <w:top w:val="nil"/>
              <w:left w:val="nil"/>
              <w:bottom w:val="nil"/>
              <w:right w:val="nil"/>
              <w:tl2br w:val="nil"/>
              <w:tr2bl w:val="nil"/>
            </w:tcBorders>
            <w:vAlign w:val="bottom"/>
          </w:tcPr>
          <w:p w:rsidR="0018024C" w:rsidRPr="00C6642F" w:rsidRDefault="0018024C" w:rsidP="0018024C">
            <w:pPr>
              <w:keepNext/>
              <w:keepLines/>
              <w:spacing w:before="1" w:after="1"/>
              <w:ind w:left="360"/>
              <w:rPr>
                <w:sz w:val="20"/>
              </w:rPr>
            </w:pPr>
            <w:r w:rsidRPr="00C6642F">
              <w:rPr>
                <w:sz w:val="20"/>
              </w:rPr>
              <w:t>Net operating loss and tax credit carryforwards</w:t>
            </w:r>
          </w:p>
        </w:tc>
        <w:tc>
          <w:tcPr>
            <w:tcW w:w="175" w:type="pct"/>
            <w:tcBorders>
              <w:top w:val="nil"/>
              <w:left w:val="nil"/>
              <w:bottom w:val="nil"/>
              <w:right w:val="nil"/>
              <w:tl2br w:val="nil"/>
              <w:tr2bl w:val="nil"/>
            </w:tcBorders>
            <w:vAlign w:val="bottom"/>
          </w:tcPr>
          <w:p w:rsidR="0018024C" w:rsidRPr="00C6642F" w:rsidRDefault="0018024C" w:rsidP="0018024C">
            <w:pPr>
              <w:keepNext/>
              <w:keepLines/>
              <w:spacing w:before="1" w:after="1"/>
              <w:ind w:left="360"/>
              <w:rPr>
                <w:b/>
                <w:sz w:val="20"/>
              </w:rPr>
            </w:pPr>
          </w:p>
        </w:tc>
        <w:tc>
          <w:tcPr>
            <w:tcW w:w="663"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3"/>
              <w:jc w:val="right"/>
              <w:rPr>
                <w:b/>
                <w:sz w:val="20"/>
              </w:rPr>
            </w:pPr>
            <w:r w:rsidRPr="00C6642F">
              <w:rPr>
                <w:b/>
                <w:sz w:val="20"/>
              </w:rPr>
              <w:t xml:space="preserve"> 58</w:t>
            </w:r>
          </w:p>
        </w:tc>
        <w:tc>
          <w:tcPr>
            <w:tcW w:w="92"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75" w:type="pct"/>
            <w:tcBorders>
              <w:top w:val="nil"/>
              <w:left w:val="nil"/>
              <w:bottom w:val="nil"/>
              <w:right w:val="nil"/>
              <w:tl2br w:val="nil"/>
              <w:tr2bl w:val="nil"/>
            </w:tcBorders>
            <w:vAlign w:val="bottom"/>
          </w:tcPr>
          <w:p w:rsidR="0018024C" w:rsidRPr="00C6642F" w:rsidRDefault="0018024C" w:rsidP="0018024C">
            <w:pPr>
              <w:keepNext/>
              <w:keepLines/>
              <w:spacing w:before="1" w:after="1"/>
              <w:ind w:left="360"/>
              <w:rPr>
                <w:sz w:val="20"/>
              </w:rPr>
            </w:pPr>
          </w:p>
        </w:tc>
        <w:tc>
          <w:tcPr>
            <w:tcW w:w="663"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5"/>
              <w:jc w:val="right"/>
              <w:rPr>
                <w:sz w:val="20"/>
              </w:rPr>
            </w:pPr>
            <w:r w:rsidRPr="00C6642F">
              <w:rPr>
                <w:sz w:val="20"/>
              </w:rPr>
              <w:t xml:space="preserve"> 54</w:t>
            </w:r>
          </w:p>
        </w:tc>
      </w:tr>
      <w:tr w:rsidR="0018024C" w:rsidRPr="00C6642F" w:rsidTr="0018024C">
        <w:trPr>
          <w:trHeight w:hRule="exact" w:val="255"/>
        </w:trPr>
        <w:tc>
          <w:tcPr>
            <w:tcW w:w="323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left="360"/>
              <w:rPr>
                <w:sz w:val="20"/>
              </w:rPr>
            </w:pPr>
            <w:r w:rsidRPr="00C6642F">
              <w:rPr>
                <w:sz w:val="20"/>
              </w:rPr>
              <w:t>Other</w:t>
            </w:r>
          </w:p>
        </w:tc>
        <w:tc>
          <w:tcPr>
            <w:tcW w:w="175"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ind w:left="360"/>
              <w:rPr>
                <w:b/>
                <w:sz w:val="20"/>
              </w:rPr>
            </w:pPr>
          </w:p>
        </w:tc>
        <w:tc>
          <w:tcPr>
            <w:tcW w:w="663"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sz w:val="20"/>
              </w:rPr>
            </w:pPr>
            <w:r w:rsidRPr="00C6642F">
              <w:rPr>
                <w:b/>
                <w:sz w:val="20"/>
              </w:rPr>
              <w:t xml:space="preserve"> 1</w:t>
            </w:r>
          </w:p>
        </w:tc>
        <w:tc>
          <w:tcPr>
            <w:tcW w:w="9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75"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ind w:left="360"/>
              <w:rPr>
                <w:sz w:val="20"/>
              </w:rPr>
            </w:pPr>
          </w:p>
        </w:tc>
        <w:tc>
          <w:tcPr>
            <w:tcW w:w="663"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ind w:right="65"/>
              <w:jc w:val="right"/>
              <w:rPr>
                <w:sz w:val="20"/>
              </w:rPr>
            </w:pPr>
            <w:r w:rsidRPr="00C6642F">
              <w:rPr>
                <w:sz w:val="20"/>
              </w:rPr>
              <w:t xml:space="preserve"> 2</w:t>
            </w:r>
          </w:p>
        </w:tc>
      </w:tr>
      <w:tr w:rsidR="0018024C" w:rsidRPr="00C6642F" w:rsidTr="0018024C">
        <w:trPr>
          <w:trHeight w:hRule="exact" w:val="330"/>
        </w:trPr>
        <w:tc>
          <w:tcPr>
            <w:tcW w:w="3232" w:type="pct"/>
            <w:tcBorders>
              <w:top w:val="nil"/>
              <w:left w:val="nil"/>
              <w:bottom w:val="nil"/>
              <w:right w:val="nil"/>
              <w:tl2br w:val="nil"/>
              <w:tr2bl w:val="nil"/>
            </w:tcBorders>
            <w:vAlign w:val="bottom"/>
          </w:tcPr>
          <w:p w:rsidR="0018024C" w:rsidRPr="00C6642F" w:rsidRDefault="0018024C" w:rsidP="0018024C">
            <w:pPr>
              <w:keepNext/>
              <w:keepLines/>
              <w:spacing w:before="1" w:after="1"/>
              <w:ind w:left="360"/>
              <w:rPr>
                <w:sz w:val="20"/>
              </w:rPr>
            </w:pPr>
            <w:r w:rsidRPr="00C6642F">
              <w:rPr>
                <w:sz w:val="20"/>
              </w:rPr>
              <w:t>Subtotal</w:t>
            </w:r>
          </w:p>
        </w:tc>
        <w:tc>
          <w:tcPr>
            <w:tcW w:w="175" w:type="pct"/>
            <w:tcBorders>
              <w:top w:val="single" w:sz="0" w:space="0" w:color="000000"/>
              <w:left w:val="nil"/>
              <w:bottom w:val="nil"/>
              <w:right w:val="nil"/>
              <w:tl2br w:val="nil"/>
              <w:tr2bl w:val="nil"/>
            </w:tcBorders>
            <w:vAlign w:val="bottom"/>
          </w:tcPr>
          <w:p w:rsidR="0018024C" w:rsidRPr="00C6642F" w:rsidRDefault="0018024C" w:rsidP="0018024C">
            <w:pPr>
              <w:keepNext/>
              <w:keepLines/>
              <w:spacing w:before="1" w:after="1"/>
              <w:ind w:left="360"/>
              <w:rPr>
                <w:b/>
                <w:sz w:val="20"/>
              </w:rPr>
            </w:pPr>
          </w:p>
        </w:tc>
        <w:tc>
          <w:tcPr>
            <w:tcW w:w="663" w:type="pct"/>
            <w:tcBorders>
              <w:top w:val="single" w:sz="0" w:space="0" w:color="000000"/>
              <w:left w:val="nil"/>
              <w:bottom w:val="nil"/>
              <w:right w:val="nil"/>
              <w:tl2br w:val="nil"/>
              <w:tr2bl w:val="nil"/>
            </w:tcBorders>
            <w:vAlign w:val="bottom"/>
          </w:tcPr>
          <w:p w:rsidR="0018024C" w:rsidRPr="00C6642F" w:rsidRDefault="0018024C" w:rsidP="0018024C">
            <w:pPr>
              <w:keepNext/>
              <w:keepLines/>
              <w:spacing w:before="1" w:after="1"/>
              <w:ind w:right="63"/>
              <w:jc w:val="right"/>
              <w:rPr>
                <w:b/>
                <w:sz w:val="20"/>
              </w:rPr>
            </w:pPr>
            <w:r w:rsidRPr="00C6642F">
              <w:rPr>
                <w:b/>
                <w:sz w:val="20"/>
              </w:rPr>
              <w:t xml:space="preserve"> 80</w:t>
            </w:r>
          </w:p>
        </w:tc>
        <w:tc>
          <w:tcPr>
            <w:tcW w:w="92"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75" w:type="pct"/>
            <w:tcBorders>
              <w:top w:val="single" w:sz="0" w:space="0" w:color="000000"/>
              <w:left w:val="nil"/>
              <w:bottom w:val="nil"/>
              <w:right w:val="nil"/>
              <w:tl2br w:val="nil"/>
              <w:tr2bl w:val="nil"/>
            </w:tcBorders>
            <w:vAlign w:val="bottom"/>
          </w:tcPr>
          <w:p w:rsidR="0018024C" w:rsidRPr="00C6642F" w:rsidRDefault="0018024C" w:rsidP="0018024C">
            <w:pPr>
              <w:keepNext/>
              <w:keepLines/>
              <w:spacing w:before="1" w:after="1"/>
              <w:ind w:left="360"/>
              <w:rPr>
                <w:sz w:val="20"/>
              </w:rPr>
            </w:pPr>
          </w:p>
        </w:tc>
        <w:tc>
          <w:tcPr>
            <w:tcW w:w="663" w:type="pct"/>
            <w:tcBorders>
              <w:top w:val="single" w:sz="0" w:space="0" w:color="000000"/>
              <w:left w:val="nil"/>
              <w:bottom w:val="nil"/>
              <w:right w:val="nil"/>
              <w:tl2br w:val="nil"/>
              <w:tr2bl w:val="nil"/>
            </w:tcBorders>
            <w:vAlign w:val="bottom"/>
          </w:tcPr>
          <w:p w:rsidR="0018024C" w:rsidRPr="00C6642F" w:rsidRDefault="0018024C" w:rsidP="0018024C">
            <w:pPr>
              <w:keepNext/>
              <w:keepLines/>
              <w:spacing w:before="1" w:after="1"/>
              <w:ind w:right="65"/>
              <w:jc w:val="right"/>
              <w:rPr>
                <w:sz w:val="20"/>
              </w:rPr>
            </w:pPr>
            <w:r w:rsidRPr="00C6642F">
              <w:rPr>
                <w:sz w:val="20"/>
              </w:rPr>
              <w:t xml:space="preserve"> 78</w:t>
            </w:r>
          </w:p>
        </w:tc>
      </w:tr>
      <w:tr w:rsidR="0018024C" w:rsidRPr="00C6642F" w:rsidTr="0018024C">
        <w:trPr>
          <w:trHeight w:hRule="exact" w:val="255"/>
        </w:trPr>
        <w:tc>
          <w:tcPr>
            <w:tcW w:w="323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left="360"/>
              <w:rPr>
                <w:sz w:val="20"/>
              </w:rPr>
            </w:pPr>
            <w:r w:rsidRPr="00C6642F">
              <w:rPr>
                <w:sz w:val="20"/>
              </w:rPr>
              <w:t>Valuation allowance</w:t>
            </w:r>
          </w:p>
        </w:tc>
        <w:tc>
          <w:tcPr>
            <w:tcW w:w="175"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ind w:left="360"/>
              <w:rPr>
                <w:b/>
                <w:sz w:val="20"/>
              </w:rPr>
            </w:pPr>
          </w:p>
        </w:tc>
        <w:tc>
          <w:tcPr>
            <w:tcW w:w="663"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jc w:val="right"/>
              <w:rPr>
                <w:b/>
                <w:sz w:val="20"/>
              </w:rPr>
            </w:pPr>
            <w:r w:rsidRPr="00C6642F">
              <w:rPr>
                <w:b/>
                <w:sz w:val="20"/>
              </w:rPr>
              <w:t xml:space="preserve"> (64)</w:t>
            </w:r>
          </w:p>
        </w:tc>
        <w:tc>
          <w:tcPr>
            <w:tcW w:w="9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75"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ind w:left="360"/>
              <w:rPr>
                <w:sz w:val="20"/>
              </w:rPr>
            </w:pPr>
          </w:p>
        </w:tc>
        <w:tc>
          <w:tcPr>
            <w:tcW w:w="663"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ind w:right="3"/>
              <w:jc w:val="right"/>
              <w:rPr>
                <w:sz w:val="20"/>
              </w:rPr>
            </w:pPr>
            <w:r w:rsidRPr="00C6642F">
              <w:rPr>
                <w:sz w:val="20"/>
              </w:rPr>
              <w:t xml:space="preserve"> (60)</w:t>
            </w:r>
          </w:p>
        </w:tc>
      </w:tr>
      <w:tr w:rsidR="0018024C" w:rsidRPr="00C6642F" w:rsidTr="0018024C">
        <w:trPr>
          <w:trHeight w:hRule="exact" w:val="300"/>
        </w:trPr>
        <w:tc>
          <w:tcPr>
            <w:tcW w:w="3232"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r w:rsidRPr="00C6642F">
              <w:rPr>
                <w:sz w:val="20"/>
              </w:rPr>
              <w:t>Total</w:t>
            </w:r>
          </w:p>
        </w:tc>
        <w:tc>
          <w:tcPr>
            <w:tcW w:w="175" w:type="pct"/>
            <w:tcBorders>
              <w:top w:val="single" w:sz="0" w:space="0" w:color="000000"/>
              <w:left w:val="nil"/>
              <w:bottom w:val="single" w:sz="12" w:space="0" w:color="000000"/>
              <w:right w:val="nil"/>
              <w:tl2br w:val="nil"/>
              <w:tr2bl w:val="nil"/>
            </w:tcBorders>
            <w:vAlign w:val="bottom"/>
          </w:tcPr>
          <w:p w:rsidR="0018024C" w:rsidRPr="00C6642F" w:rsidRDefault="0018024C" w:rsidP="0018024C">
            <w:pPr>
              <w:keepNext/>
              <w:keepLines/>
              <w:spacing w:before="1" w:after="1"/>
              <w:rPr>
                <w:b/>
                <w:sz w:val="20"/>
              </w:rPr>
            </w:pPr>
          </w:p>
        </w:tc>
        <w:tc>
          <w:tcPr>
            <w:tcW w:w="663" w:type="pct"/>
            <w:tcBorders>
              <w:top w:val="single" w:sz="0" w:space="0" w:color="000000"/>
              <w:left w:val="nil"/>
              <w:bottom w:val="single" w:sz="12" w:space="0" w:color="000000"/>
              <w:right w:val="nil"/>
              <w:tl2br w:val="nil"/>
              <w:tr2bl w:val="nil"/>
            </w:tcBorders>
            <w:vAlign w:val="bottom"/>
          </w:tcPr>
          <w:p w:rsidR="0018024C" w:rsidRPr="00C6642F" w:rsidRDefault="0018024C" w:rsidP="0018024C">
            <w:pPr>
              <w:keepNext/>
              <w:keepLines/>
              <w:spacing w:before="1" w:after="1"/>
              <w:ind w:right="63"/>
              <w:jc w:val="right"/>
              <w:rPr>
                <w:b/>
                <w:sz w:val="20"/>
              </w:rPr>
            </w:pPr>
            <w:r w:rsidRPr="00C6642F">
              <w:rPr>
                <w:b/>
                <w:sz w:val="20"/>
              </w:rPr>
              <w:t xml:space="preserve"> 16</w:t>
            </w:r>
          </w:p>
        </w:tc>
        <w:tc>
          <w:tcPr>
            <w:tcW w:w="92"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75" w:type="pct"/>
            <w:tcBorders>
              <w:top w:val="single" w:sz="0" w:space="0" w:color="000000"/>
              <w:left w:val="nil"/>
              <w:bottom w:val="single" w:sz="12" w:space="0" w:color="000000"/>
              <w:right w:val="nil"/>
              <w:tl2br w:val="nil"/>
              <w:tr2bl w:val="nil"/>
            </w:tcBorders>
            <w:vAlign w:val="bottom"/>
          </w:tcPr>
          <w:p w:rsidR="0018024C" w:rsidRPr="00C6642F" w:rsidRDefault="0018024C" w:rsidP="0018024C">
            <w:pPr>
              <w:keepNext/>
              <w:keepLines/>
              <w:spacing w:before="1" w:after="1"/>
              <w:rPr>
                <w:sz w:val="20"/>
              </w:rPr>
            </w:pPr>
          </w:p>
        </w:tc>
        <w:tc>
          <w:tcPr>
            <w:tcW w:w="663" w:type="pct"/>
            <w:tcBorders>
              <w:top w:val="single" w:sz="0" w:space="0" w:color="000000"/>
              <w:left w:val="nil"/>
              <w:bottom w:val="single" w:sz="12" w:space="0" w:color="000000"/>
              <w:right w:val="nil"/>
              <w:tl2br w:val="nil"/>
              <w:tr2bl w:val="nil"/>
            </w:tcBorders>
            <w:vAlign w:val="bottom"/>
          </w:tcPr>
          <w:p w:rsidR="0018024C" w:rsidRPr="00C6642F" w:rsidRDefault="0018024C" w:rsidP="0018024C">
            <w:pPr>
              <w:keepNext/>
              <w:keepLines/>
              <w:spacing w:before="1" w:after="1"/>
              <w:ind w:right="65"/>
              <w:jc w:val="right"/>
              <w:rPr>
                <w:sz w:val="20"/>
              </w:rPr>
            </w:pPr>
            <w:r w:rsidRPr="00C6642F">
              <w:rPr>
                <w:sz w:val="20"/>
              </w:rPr>
              <w:t xml:space="preserve"> 18</w:t>
            </w:r>
          </w:p>
        </w:tc>
      </w:tr>
      <w:tr w:rsidR="0018024C" w:rsidRPr="00C6642F" w:rsidTr="0018024C">
        <w:trPr>
          <w:trHeight w:hRule="exact" w:val="255"/>
        </w:trPr>
        <w:tc>
          <w:tcPr>
            <w:tcW w:w="323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75"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sz w:val="20"/>
              </w:rPr>
            </w:pPr>
          </w:p>
        </w:tc>
        <w:tc>
          <w:tcPr>
            <w:tcW w:w="663"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sz w:val="20"/>
              </w:rPr>
            </w:pPr>
          </w:p>
        </w:tc>
        <w:tc>
          <w:tcPr>
            <w:tcW w:w="9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75"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663"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r>
      <w:tr w:rsidR="0018024C" w:rsidRPr="00C6642F" w:rsidTr="0018024C">
        <w:trPr>
          <w:trHeight w:hRule="exact" w:val="255"/>
        </w:trPr>
        <w:tc>
          <w:tcPr>
            <w:tcW w:w="3232"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r w:rsidRPr="00C6642F">
              <w:rPr>
                <w:sz w:val="20"/>
              </w:rPr>
              <w:t>Deferred tax liabilities:</w:t>
            </w:r>
          </w:p>
        </w:tc>
        <w:tc>
          <w:tcPr>
            <w:tcW w:w="175" w:type="pct"/>
            <w:tcBorders>
              <w:top w:val="nil"/>
              <w:left w:val="nil"/>
              <w:bottom w:val="nil"/>
              <w:right w:val="nil"/>
              <w:tl2br w:val="nil"/>
              <w:tr2bl w:val="nil"/>
            </w:tcBorders>
            <w:vAlign w:val="bottom"/>
          </w:tcPr>
          <w:p w:rsidR="0018024C" w:rsidRPr="00C6642F" w:rsidRDefault="0018024C" w:rsidP="0018024C">
            <w:pPr>
              <w:keepNext/>
              <w:keepLines/>
              <w:spacing w:before="1" w:after="1"/>
              <w:rPr>
                <w:b/>
                <w:sz w:val="20"/>
              </w:rPr>
            </w:pPr>
          </w:p>
        </w:tc>
        <w:tc>
          <w:tcPr>
            <w:tcW w:w="663" w:type="pct"/>
            <w:tcBorders>
              <w:top w:val="nil"/>
              <w:left w:val="nil"/>
              <w:bottom w:val="nil"/>
              <w:right w:val="nil"/>
              <w:tl2br w:val="nil"/>
              <w:tr2bl w:val="nil"/>
            </w:tcBorders>
            <w:vAlign w:val="bottom"/>
          </w:tcPr>
          <w:p w:rsidR="0018024C" w:rsidRPr="00C6642F" w:rsidRDefault="0018024C" w:rsidP="0018024C">
            <w:pPr>
              <w:keepNext/>
              <w:keepLines/>
              <w:spacing w:before="1" w:after="1"/>
              <w:rPr>
                <w:b/>
                <w:sz w:val="20"/>
              </w:rPr>
            </w:pPr>
          </w:p>
        </w:tc>
        <w:tc>
          <w:tcPr>
            <w:tcW w:w="92"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75"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663"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r>
      <w:tr w:rsidR="0018024C" w:rsidRPr="00C6642F" w:rsidTr="0018024C">
        <w:trPr>
          <w:trHeight w:hRule="exact" w:val="255"/>
        </w:trPr>
        <w:tc>
          <w:tcPr>
            <w:tcW w:w="323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left="360"/>
              <w:rPr>
                <w:sz w:val="20"/>
              </w:rPr>
            </w:pPr>
            <w:r w:rsidRPr="00C6642F">
              <w:rPr>
                <w:sz w:val="20"/>
              </w:rPr>
              <w:t>Inventory valuation</w:t>
            </w:r>
          </w:p>
        </w:tc>
        <w:tc>
          <w:tcPr>
            <w:tcW w:w="17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left="360"/>
              <w:rPr>
                <w:b/>
                <w:sz w:val="20"/>
              </w:rPr>
            </w:pPr>
          </w:p>
        </w:tc>
        <w:tc>
          <w:tcPr>
            <w:tcW w:w="663"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jc w:val="right"/>
              <w:rPr>
                <w:b/>
                <w:sz w:val="20"/>
              </w:rPr>
            </w:pPr>
            <w:r w:rsidRPr="00C6642F">
              <w:rPr>
                <w:b/>
                <w:sz w:val="20"/>
              </w:rPr>
              <w:t xml:space="preserve"> (29)</w:t>
            </w:r>
          </w:p>
        </w:tc>
        <w:tc>
          <w:tcPr>
            <w:tcW w:w="9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7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left="360"/>
              <w:rPr>
                <w:sz w:val="20"/>
              </w:rPr>
            </w:pPr>
          </w:p>
        </w:tc>
        <w:tc>
          <w:tcPr>
            <w:tcW w:w="663"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3"/>
              <w:jc w:val="right"/>
              <w:rPr>
                <w:sz w:val="20"/>
              </w:rPr>
            </w:pPr>
            <w:r w:rsidRPr="00C6642F">
              <w:rPr>
                <w:sz w:val="20"/>
              </w:rPr>
              <w:t xml:space="preserve"> (30)</w:t>
            </w:r>
          </w:p>
        </w:tc>
      </w:tr>
      <w:tr w:rsidR="0018024C" w:rsidRPr="00C6642F" w:rsidTr="0018024C">
        <w:trPr>
          <w:trHeight w:hRule="exact" w:val="255"/>
        </w:trPr>
        <w:tc>
          <w:tcPr>
            <w:tcW w:w="3232" w:type="pct"/>
            <w:tcBorders>
              <w:top w:val="nil"/>
              <w:left w:val="nil"/>
              <w:bottom w:val="nil"/>
              <w:right w:val="nil"/>
              <w:tl2br w:val="nil"/>
              <w:tr2bl w:val="nil"/>
            </w:tcBorders>
            <w:vAlign w:val="bottom"/>
          </w:tcPr>
          <w:p w:rsidR="0018024C" w:rsidRPr="00C6642F" w:rsidRDefault="0018024C" w:rsidP="0018024C">
            <w:pPr>
              <w:keepNext/>
              <w:keepLines/>
              <w:spacing w:before="1" w:after="1"/>
              <w:ind w:left="360"/>
              <w:rPr>
                <w:sz w:val="20"/>
              </w:rPr>
            </w:pPr>
            <w:r w:rsidRPr="00C6642F">
              <w:rPr>
                <w:sz w:val="20"/>
              </w:rPr>
              <w:t>Property, plant and equipment</w:t>
            </w:r>
          </w:p>
        </w:tc>
        <w:tc>
          <w:tcPr>
            <w:tcW w:w="175" w:type="pct"/>
            <w:tcBorders>
              <w:top w:val="nil"/>
              <w:left w:val="nil"/>
              <w:bottom w:val="nil"/>
              <w:right w:val="nil"/>
              <w:tl2br w:val="nil"/>
              <w:tr2bl w:val="nil"/>
            </w:tcBorders>
            <w:vAlign w:val="bottom"/>
          </w:tcPr>
          <w:p w:rsidR="0018024C" w:rsidRPr="00C6642F" w:rsidRDefault="0018024C" w:rsidP="0018024C">
            <w:pPr>
              <w:keepNext/>
              <w:keepLines/>
              <w:spacing w:before="1" w:after="1"/>
              <w:ind w:left="360"/>
              <w:rPr>
                <w:b/>
                <w:sz w:val="20"/>
              </w:rPr>
            </w:pPr>
          </w:p>
        </w:tc>
        <w:tc>
          <w:tcPr>
            <w:tcW w:w="663" w:type="pct"/>
            <w:tcBorders>
              <w:top w:val="nil"/>
              <w:left w:val="nil"/>
              <w:bottom w:val="nil"/>
              <w:right w:val="nil"/>
              <w:tl2br w:val="nil"/>
              <w:tr2bl w:val="nil"/>
            </w:tcBorders>
            <w:vAlign w:val="bottom"/>
          </w:tcPr>
          <w:p w:rsidR="0018024C" w:rsidRPr="00C6642F" w:rsidRDefault="0018024C" w:rsidP="0018024C">
            <w:pPr>
              <w:keepNext/>
              <w:keepLines/>
              <w:spacing w:before="1" w:after="1"/>
              <w:jc w:val="right"/>
              <w:rPr>
                <w:b/>
                <w:sz w:val="20"/>
              </w:rPr>
            </w:pPr>
            <w:r w:rsidRPr="00C6642F">
              <w:rPr>
                <w:b/>
                <w:sz w:val="20"/>
              </w:rPr>
              <w:t xml:space="preserve"> (13)</w:t>
            </w:r>
          </w:p>
        </w:tc>
        <w:tc>
          <w:tcPr>
            <w:tcW w:w="92"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75" w:type="pct"/>
            <w:tcBorders>
              <w:top w:val="nil"/>
              <w:left w:val="nil"/>
              <w:bottom w:val="nil"/>
              <w:right w:val="nil"/>
              <w:tl2br w:val="nil"/>
              <w:tr2bl w:val="nil"/>
            </w:tcBorders>
            <w:vAlign w:val="bottom"/>
          </w:tcPr>
          <w:p w:rsidR="0018024C" w:rsidRPr="00C6642F" w:rsidRDefault="0018024C" w:rsidP="0018024C">
            <w:pPr>
              <w:keepNext/>
              <w:keepLines/>
              <w:spacing w:before="1" w:after="1"/>
              <w:ind w:left="360"/>
              <w:rPr>
                <w:sz w:val="20"/>
              </w:rPr>
            </w:pPr>
          </w:p>
        </w:tc>
        <w:tc>
          <w:tcPr>
            <w:tcW w:w="663"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3"/>
              <w:jc w:val="right"/>
              <w:rPr>
                <w:sz w:val="20"/>
              </w:rPr>
            </w:pPr>
            <w:r w:rsidRPr="00C6642F">
              <w:rPr>
                <w:sz w:val="20"/>
              </w:rPr>
              <w:t xml:space="preserve"> (13)</w:t>
            </w:r>
          </w:p>
        </w:tc>
      </w:tr>
      <w:tr w:rsidR="0018024C" w:rsidRPr="00C6642F" w:rsidTr="0018024C">
        <w:trPr>
          <w:trHeight w:hRule="exact" w:val="270"/>
        </w:trPr>
        <w:tc>
          <w:tcPr>
            <w:tcW w:w="323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left="360"/>
              <w:rPr>
                <w:sz w:val="20"/>
              </w:rPr>
            </w:pPr>
            <w:r w:rsidRPr="00C6642F">
              <w:rPr>
                <w:sz w:val="20"/>
              </w:rPr>
              <w:t>Intangible assets</w:t>
            </w:r>
          </w:p>
        </w:tc>
        <w:tc>
          <w:tcPr>
            <w:tcW w:w="175"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ind w:left="360"/>
              <w:rPr>
                <w:b/>
                <w:sz w:val="20"/>
              </w:rPr>
            </w:pPr>
          </w:p>
        </w:tc>
        <w:tc>
          <w:tcPr>
            <w:tcW w:w="663"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jc w:val="right"/>
              <w:rPr>
                <w:b/>
                <w:sz w:val="20"/>
              </w:rPr>
            </w:pPr>
            <w:r w:rsidRPr="00C6642F">
              <w:rPr>
                <w:b/>
                <w:sz w:val="20"/>
              </w:rPr>
              <w:t xml:space="preserve"> (63)</w:t>
            </w:r>
          </w:p>
        </w:tc>
        <w:tc>
          <w:tcPr>
            <w:tcW w:w="9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75"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ind w:left="360"/>
              <w:rPr>
                <w:sz w:val="20"/>
              </w:rPr>
            </w:pPr>
          </w:p>
        </w:tc>
        <w:tc>
          <w:tcPr>
            <w:tcW w:w="663"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ind w:right="3"/>
              <w:jc w:val="right"/>
              <w:rPr>
                <w:sz w:val="20"/>
              </w:rPr>
            </w:pPr>
            <w:r w:rsidRPr="00C6642F">
              <w:rPr>
                <w:sz w:val="20"/>
              </w:rPr>
              <w:t xml:space="preserve"> (70)</w:t>
            </w:r>
          </w:p>
        </w:tc>
      </w:tr>
      <w:tr w:rsidR="0018024C" w:rsidRPr="00C6642F" w:rsidTr="0018024C">
        <w:trPr>
          <w:trHeight w:hRule="exact" w:val="315"/>
        </w:trPr>
        <w:tc>
          <w:tcPr>
            <w:tcW w:w="3232"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r w:rsidRPr="00C6642F">
              <w:rPr>
                <w:sz w:val="20"/>
              </w:rPr>
              <w:t>Total</w:t>
            </w:r>
          </w:p>
        </w:tc>
        <w:tc>
          <w:tcPr>
            <w:tcW w:w="175" w:type="pct"/>
            <w:tcBorders>
              <w:top w:val="single" w:sz="0" w:space="0" w:color="000000"/>
              <w:left w:val="nil"/>
              <w:bottom w:val="single" w:sz="12" w:space="0" w:color="000000"/>
              <w:right w:val="nil"/>
              <w:tl2br w:val="nil"/>
              <w:tr2bl w:val="nil"/>
            </w:tcBorders>
            <w:vAlign w:val="bottom"/>
          </w:tcPr>
          <w:p w:rsidR="0018024C" w:rsidRPr="00C6642F" w:rsidRDefault="0018024C" w:rsidP="0018024C">
            <w:pPr>
              <w:keepNext/>
              <w:keepLines/>
              <w:spacing w:before="1" w:after="1"/>
              <w:rPr>
                <w:b/>
                <w:sz w:val="20"/>
              </w:rPr>
            </w:pPr>
          </w:p>
        </w:tc>
        <w:tc>
          <w:tcPr>
            <w:tcW w:w="663" w:type="pct"/>
            <w:tcBorders>
              <w:top w:val="single" w:sz="0" w:space="0" w:color="000000"/>
              <w:left w:val="nil"/>
              <w:bottom w:val="single" w:sz="12" w:space="0" w:color="000000"/>
              <w:right w:val="nil"/>
              <w:tl2br w:val="nil"/>
              <w:tr2bl w:val="nil"/>
            </w:tcBorders>
            <w:vAlign w:val="bottom"/>
          </w:tcPr>
          <w:p w:rsidR="0018024C" w:rsidRPr="00C6642F" w:rsidRDefault="0018024C" w:rsidP="0018024C">
            <w:pPr>
              <w:keepNext/>
              <w:keepLines/>
              <w:spacing w:before="1" w:after="1"/>
              <w:jc w:val="right"/>
              <w:rPr>
                <w:b/>
                <w:sz w:val="20"/>
              </w:rPr>
            </w:pPr>
            <w:r w:rsidRPr="00C6642F">
              <w:rPr>
                <w:b/>
                <w:sz w:val="20"/>
              </w:rPr>
              <w:t xml:space="preserve"> (105)</w:t>
            </w:r>
          </w:p>
        </w:tc>
        <w:tc>
          <w:tcPr>
            <w:tcW w:w="92" w:type="pct"/>
            <w:tcBorders>
              <w:top w:val="nil"/>
              <w:left w:val="nil"/>
              <w:bottom w:val="nil"/>
              <w:right w:val="nil"/>
              <w:tl2br w:val="nil"/>
              <w:tr2bl w:val="nil"/>
            </w:tcBorders>
            <w:vAlign w:val="bottom"/>
          </w:tcPr>
          <w:p w:rsidR="0018024C" w:rsidRPr="00C6642F" w:rsidRDefault="0018024C" w:rsidP="0018024C">
            <w:pPr>
              <w:keepNext/>
              <w:keepLines/>
              <w:spacing w:before="1" w:after="1"/>
              <w:rPr>
                <w:sz w:val="20"/>
              </w:rPr>
            </w:pPr>
          </w:p>
        </w:tc>
        <w:tc>
          <w:tcPr>
            <w:tcW w:w="175" w:type="pct"/>
            <w:tcBorders>
              <w:top w:val="single" w:sz="0" w:space="0" w:color="000000"/>
              <w:left w:val="nil"/>
              <w:bottom w:val="single" w:sz="12" w:space="0" w:color="000000"/>
              <w:right w:val="nil"/>
              <w:tl2br w:val="nil"/>
              <w:tr2bl w:val="nil"/>
            </w:tcBorders>
            <w:vAlign w:val="bottom"/>
          </w:tcPr>
          <w:p w:rsidR="0018024C" w:rsidRPr="00C6642F" w:rsidRDefault="0018024C" w:rsidP="0018024C">
            <w:pPr>
              <w:keepNext/>
              <w:keepLines/>
              <w:spacing w:before="1" w:after="1"/>
              <w:rPr>
                <w:sz w:val="20"/>
              </w:rPr>
            </w:pPr>
          </w:p>
        </w:tc>
        <w:tc>
          <w:tcPr>
            <w:tcW w:w="663" w:type="pct"/>
            <w:tcBorders>
              <w:top w:val="single" w:sz="0" w:space="0" w:color="000000"/>
              <w:left w:val="nil"/>
              <w:bottom w:val="single" w:sz="12" w:space="0" w:color="000000"/>
              <w:right w:val="nil"/>
              <w:tl2br w:val="nil"/>
              <w:tr2bl w:val="nil"/>
            </w:tcBorders>
            <w:vAlign w:val="bottom"/>
          </w:tcPr>
          <w:p w:rsidR="0018024C" w:rsidRPr="00C6642F" w:rsidRDefault="0018024C" w:rsidP="0018024C">
            <w:pPr>
              <w:keepNext/>
              <w:keepLines/>
              <w:spacing w:before="1" w:after="1"/>
              <w:ind w:right="3"/>
              <w:jc w:val="right"/>
              <w:rPr>
                <w:sz w:val="20"/>
              </w:rPr>
            </w:pPr>
            <w:r w:rsidRPr="00C6642F">
              <w:rPr>
                <w:sz w:val="20"/>
              </w:rPr>
              <w:t xml:space="preserve"> (113)</w:t>
            </w:r>
          </w:p>
        </w:tc>
      </w:tr>
      <w:tr w:rsidR="0018024C" w:rsidRPr="00C6642F" w:rsidTr="0018024C">
        <w:trPr>
          <w:trHeight w:hRule="exact" w:val="330"/>
        </w:trPr>
        <w:tc>
          <w:tcPr>
            <w:tcW w:w="323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r w:rsidRPr="00C6642F">
              <w:rPr>
                <w:sz w:val="20"/>
              </w:rPr>
              <w:t>Net deferred tax liability</w:t>
            </w:r>
          </w:p>
        </w:tc>
        <w:tc>
          <w:tcPr>
            <w:tcW w:w="175"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b/>
                <w:sz w:val="20"/>
              </w:rPr>
            </w:pPr>
            <w:r w:rsidRPr="00C6642F">
              <w:rPr>
                <w:b/>
                <w:sz w:val="20"/>
              </w:rPr>
              <w:t>$</w:t>
            </w:r>
          </w:p>
        </w:tc>
        <w:tc>
          <w:tcPr>
            <w:tcW w:w="663"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jc w:val="right"/>
              <w:rPr>
                <w:b/>
                <w:sz w:val="20"/>
              </w:rPr>
            </w:pPr>
            <w:r w:rsidRPr="00C6642F">
              <w:rPr>
                <w:b/>
                <w:sz w:val="20"/>
              </w:rPr>
              <w:t xml:space="preserve"> (89)</w:t>
            </w:r>
          </w:p>
        </w:tc>
        <w:tc>
          <w:tcPr>
            <w:tcW w:w="9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sz w:val="20"/>
              </w:rPr>
            </w:pPr>
          </w:p>
        </w:tc>
        <w:tc>
          <w:tcPr>
            <w:tcW w:w="175"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sz w:val="20"/>
              </w:rPr>
            </w:pPr>
            <w:r w:rsidRPr="00C6642F">
              <w:rPr>
                <w:sz w:val="20"/>
              </w:rPr>
              <w:t>$</w:t>
            </w:r>
          </w:p>
        </w:tc>
        <w:tc>
          <w:tcPr>
            <w:tcW w:w="663"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3"/>
              <w:jc w:val="right"/>
              <w:rPr>
                <w:sz w:val="20"/>
              </w:rPr>
            </w:pPr>
            <w:r w:rsidRPr="00C6642F">
              <w:rPr>
                <w:sz w:val="20"/>
              </w:rPr>
              <w:t xml:space="preserve"> (95)</w:t>
            </w:r>
          </w:p>
        </w:tc>
      </w:tr>
    </w:tbl>
    <w:p w:rsidR="003F1700" w:rsidRPr="00C6642F" w:rsidRDefault="003F1700" w:rsidP="003F1700">
      <w:pPr>
        <w:pStyle w:val="NormalWeb"/>
        <w:keepNext/>
        <w:widowControl w:val="0"/>
        <w:spacing w:before="0" w:beforeAutospacing="0" w:after="0" w:afterAutospacing="0"/>
        <w:rPr>
          <w:sz w:val="20"/>
          <w:szCs w:val="20"/>
        </w:rPr>
      </w:pPr>
    </w:p>
    <w:p w:rsidR="003F1700" w:rsidRPr="00C6642F" w:rsidRDefault="003F1700" w:rsidP="003F1700">
      <w:pPr>
        <w:pStyle w:val="NormalWeb"/>
        <w:keepNext/>
        <w:widowControl w:val="0"/>
        <w:spacing w:before="0" w:beforeAutospacing="0" w:after="0" w:afterAutospacing="0"/>
      </w:pPr>
      <w:r w:rsidRPr="00C6642F">
        <w:rPr>
          <w:sz w:val="20"/>
          <w:szCs w:val="20"/>
        </w:rPr>
        <w:t>We record a valuation allowance when it is more likely than not that some portion or all of our deferred tax assets will not be realized. The ultimate realization of the deferred tax assets depends on the ability to generate sufficient taxable income of the appropriate character in the future and in the appropriate taxing jurisdictions. If we were to determine that we would be able to realize our deferred tax assets in the future in excess of their net recorded amount, we would make an adjustment to the valuation allowance, which would reduce the provision for income taxes.</w:t>
      </w:r>
    </w:p>
    <w:p w:rsidR="003F1700" w:rsidRPr="00C6642F" w:rsidRDefault="003F1700" w:rsidP="003F1700">
      <w:pPr>
        <w:pStyle w:val="NormalWeb"/>
        <w:spacing w:before="180" w:beforeAutospacing="0" w:after="0" w:afterAutospacing="0"/>
      </w:pPr>
      <w:r w:rsidRPr="00C6642F">
        <w:rPr>
          <w:sz w:val="20"/>
          <w:szCs w:val="20"/>
        </w:rPr>
        <w:t xml:space="preserve">In the United States, we had approximately $18 million of state net operating loss (“NOL”) carryforwards as of December 31, 2019, which will expire in future years through 2032 and foreign tax credit (“FTC”) carryforwards of $5 million, which will expire in future years through 2027. In certain non-U.S. jurisdictions, we had $189 million of NOL carryforwards, of which $166 million have no expiration and $23 million will expire in future years through 2027. We believe that it is more likely than not that the benefit from U.S. state NOL and FTC carryforwards and non-U.S. jurisdiction NOL carryforwards will not be realized. As such, we have recorded full valuation allowance on the deferred tax assets related to these NOL and FTC carryforwards.  </w:t>
      </w:r>
    </w:p>
    <w:p w:rsidR="001907EA" w:rsidRPr="00C6642F" w:rsidRDefault="00F43D27" w:rsidP="001907EA">
      <w:pPr>
        <w:pStyle w:val="NormalWeb"/>
        <w:spacing w:before="180" w:beforeAutospacing="0" w:after="0" w:afterAutospacing="0"/>
        <w:rPr>
          <w:color w:val="000000"/>
          <w:sz w:val="20"/>
          <w:szCs w:val="20"/>
        </w:rPr>
      </w:pPr>
      <w:r w:rsidRPr="00C6642F">
        <w:rPr>
          <w:sz w:val="20"/>
        </w:rPr>
        <w:t xml:space="preserve">On December 22, 2017, the Tax Cuts and Jobs Act of 2017 (the “Tax Act”) was enacted. Among the significant changes to the U.S. Internal Revenue Code, the Tax Act reduced the U.S. federal corporate income tax rate from 35% to 21% effective January 1, 2018 and created a new dividend-exemption territorial system with a one-time transition tax on foreign earnings which were previously not taxed in the U.S. </w:t>
      </w:r>
      <w:r w:rsidR="001907EA" w:rsidRPr="00C6642F">
        <w:rPr>
          <w:color w:val="000000"/>
          <w:sz w:val="20"/>
          <w:szCs w:val="20"/>
        </w:rPr>
        <w:t xml:space="preserve">We applied the guidance in Staff Accounting Bulletin (“SAB”) 118 when accounting for the enactment-date effects of the Tax Act in 2017 and throughout 2018.  As of December 31, 2017, we remeasured our U.S. deferred tax assets and liabilities based on the rates at which they were expected to reverse in the future (which was generally 21%) and recorded a provisional tax benefit of $57 million. Upon further analysis of certain aspects of the Tax Act and refinement of our calculations in 2018, we reduced our provisional tax benefit amount by $1 million. The one-time transition tax, calculated as of December 31, 2017, is based on the total post-1986 earnings and profits of our foreign subsidiaries. We recorded a provisional expense of $7 million for the one-time transition tax liability during 2017.  Upon further analyses of the Tax Act and notices and regulations issued and proposed by the U.S. Department of the Treasury and the Internal Revenue Service, we finalized our calculations of the transition tax liability during 2018 and decreased our provisional expense by $4 million. As of December 31, 2019, our transition tax liability had been paid. </w:t>
      </w:r>
    </w:p>
    <w:p w:rsidR="000121CD" w:rsidRPr="00C6642F" w:rsidRDefault="00590862">
      <w:pPr>
        <w:shd w:val="clear" w:color="auto" w:fill="FFFFFF"/>
        <w:spacing w:before="150" w:after="120" w:line="0" w:lineRule="atLeast"/>
        <w:rPr>
          <w:sz w:val="20"/>
        </w:rPr>
      </w:pPr>
      <w:bookmarkStart w:id="29" w:name="_Hlk255985"/>
      <w:r w:rsidRPr="00C6642F">
        <w:rPr>
          <w:sz w:val="20"/>
        </w:rPr>
        <w:t>The pre-2018 earnings of our foreign subsidiaries were taxed as part of the transition tax described above. Dividends from the earnings of our foreign subsidiaries subsequent to 2017 are eligible for a 100% dividend exclusion in determining our U.S. federal taxes. As such, we do not expect future dividends, if any, from the earnings of our foreign subsidiaries to result in U.S. federal income taxes. Deferred tax liabilities arising from the difference between the financial reporting and income tax bases inherent in these foreign subsidiaries, referred to as outside basis differences, have not been provided for U.S. income tax purposes because we do not intend to sell, liquidate or otherwise trigger the recognition of U.S. taxable income with regard to our investment in these foreign subsidiaries. Determining the amount of U.S. deferred tax liabilities associated with outside basis differences is not practicable at this time.</w:t>
      </w:r>
      <w:bookmarkEnd w:id="29"/>
      <w:r w:rsidRPr="00C6642F">
        <w:rPr>
          <w:sz w:val="20"/>
        </w:rPr>
        <w:t>   </w:t>
      </w:r>
    </w:p>
    <w:p w:rsidR="000121CD" w:rsidRPr="00C6642F" w:rsidRDefault="00590862">
      <w:pPr>
        <w:pStyle w:val="NormalWeb"/>
        <w:spacing w:before="180" w:beforeAutospacing="0" w:after="0" w:afterAutospacing="0"/>
      </w:pPr>
      <w:r w:rsidRPr="00C6642F">
        <w:rPr>
          <w:sz w:val="20"/>
          <w:szCs w:val="20"/>
        </w:rPr>
        <w:t>Our tax filings for various periods are subject to audit by the tax authorities in most jurisdictions where we conduct business. We are no longer subject to U.S. federal income tax examination for all years through 201</w:t>
      </w:r>
      <w:r w:rsidR="006B5902" w:rsidRPr="00C6642F">
        <w:rPr>
          <w:sz w:val="20"/>
          <w:szCs w:val="20"/>
        </w:rPr>
        <w:t>5</w:t>
      </w:r>
      <w:r w:rsidRPr="00C6642F">
        <w:rPr>
          <w:sz w:val="20"/>
          <w:szCs w:val="20"/>
        </w:rPr>
        <w:t xml:space="preserve"> and the statute of limitations at our international locations is generally six</w:t>
      </w:r>
      <w:r w:rsidR="00B635BE" w:rsidRPr="00C6642F">
        <w:rPr>
          <w:sz w:val="20"/>
          <w:szCs w:val="20"/>
        </w:rPr>
        <w:t xml:space="preserve"> years</w:t>
      </w:r>
      <w:r w:rsidRPr="00C6642F">
        <w:rPr>
          <w:sz w:val="20"/>
          <w:szCs w:val="20"/>
        </w:rPr>
        <w:t xml:space="preserve"> or seven years. </w:t>
      </w:r>
    </w:p>
    <w:p w:rsidR="000121CD" w:rsidRDefault="00590862">
      <w:pPr>
        <w:shd w:val="clear" w:color="auto" w:fill="FFFFFF"/>
        <w:spacing w:before="150" w:after="120" w:line="0" w:lineRule="atLeast"/>
        <w:rPr>
          <w:sz w:val="20"/>
        </w:rPr>
      </w:pPr>
      <w:r w:rsidRPr="00C6642F">
        <w:rPr>
          <w:sz w:val="20"/>
        </w:rPr>
        <w:t>At December 31, 201</w:t>
      </w:r>
      <w:r w:rsidR="006B5902" w:rsidRPr="00C6642F">
        <w:rPr>
          <w:sz w:val="20"/>
        </w:rPr>
        <w:t>9</w:t>
      </w:r>
      <w:r w:rsidRPr="00C6642F">
        <w:rPr>
          <w:sz w:val="20"/>
        </w:rPr>
        <w:t xml:space="preserve"> and 201</w:t>
      </w:r>
      <w:r w:rsidR="006B5902" w:rsidRPr="00C6642F">
        <w:rPr>
          <w:sz w:val="20"/>
        </w:rPr>
        <w:t>8</w:t>
      </w:r>
      <w:r w:rsidRPr="00C6642F">
        <w:rPr>
          <w:sz w:val="20"/>
        </w:rPr>
        <w:t>, our unrecognized tax benefits totaled $</w:t>
      </w:r>
      <w:r w:rsidR="00D020F7" w:rsidRPr="00C6642F">
        <w:rPr>
          <w:sz w:val="20"/>
        </w:rPr>
        <w:t>4</w:t>
      </w:r>
      <w:r w:rsidRPr="00C6642F">
        <w:rPr>
          <w:sz w:val="20"/>
        </w:rPr>
        <w:t xml:space="preserve"> million and $</w:t>
      </w:r>
      <w:r w:rsidR="006B5902" w:rsidRPr="00C6642F">
        <w:rPr>
          <w:sz w:val="20"/>
        </w:rPr>
        <w:t>5</w:t>
      </w:r>
      <w:r w:rsidRPr="00C6642F">
        <w:rPr>
          <w:sz w:val="20"/>
        </w:rPr>
        <w:t xml:space="preserve"> million, respectively</w:t>
      </w:r>
      <w:r w:rsidR="003F1700" w:rsidRPr="00C6642F">
        <w:rPr>
          <w:sz w:val="20"/>
        </w:rPr>
        <w:t>, of which it is reasonably possible that $2 million could be settled during the next twelve month period as a result of the conclusion of a state audit</w:t>
      </w:r>
      <w:r w:rsidRPr="00C6642F">
        <w:rPr>
          <w:sz w:val="20"/>
        </w:rPr>
        <w:t xml:space="preserve">.   </w:t>
      </w:r>
    </w:p>
    <w:p w:rsidR="000121CD" w:rsidRPr="00C6642F" w:rsidRDefault="00590862" w:rsidP="00780609">
      <w:pPr>
        <w:pStyle w:val="NormalWeb"/>
        <w:spacing w:before="180" w:beforeAutospacing="0" w:after="0" w:afterAutospacing="0"/>
      </w:pPr>
      <w:r w:rsidRPr="00C6642F">
        <w:rPr>
          <w:b/>
          <w:bCs/>
          <w:sz w:val="20"/>
          <w:szCs w:val="20"/>
          <w:u w:val="single"/>
        </w:rPr>
        <w:t>NOTE 1</w:t>
      </w:r>
      <w:r w:rsidR="000D0795" w:rsidRPr="00C6642F">
        <w:rPr>
          <w:b/>
          <w:bCs/>
          <w:sz w:val="20"/>
          <w:szCs w:val="20"/>
          <w:u w:val="single"/>
        </w:rPr>
        <w:t>1</w:t>
      </w:r>
      <w:r w:rsidRPr="00C6642F">
        <w:rPr>
          <w:b/>
          <w:bCs/>
          <w:sz w:val="20"/>
          <w:szCs w:val="20"/>
          <w:u w:val="single"/>
        </w:rPr>
        <w:t xml:space="preserve">—REDEEMABLE PREFERRED STOCK  </w:t>
      </w:r>
    </w:p>
    <w:p w:rsidR="000121CD" w:rsidRPr="00C6642F" w:rsidRDefault="00590862" w:rsidP="00780609">
      <w:pPr>
        <w:pStyle w:val="NormalWeb"/>
        <w:spacing w:before="180" w:beforeAutospacing="0" w:after="0" w:afterAutospacing="0"/>
        <w:rPr>
          <w:b/>
          <w:bCs/>
          <w:sz w:val="20"/>
          <w:szCs w:val="20"/>
          <w:u w:val="single"/>
        </w:rPr>
      </w:pPr>
      <w:r w:rsidRPr="00C6642F">
        <w:rPr>
          <w:b/>
          <w:bCs/>
          <w:sz w:val="20"/>
          <w:szCs w:val="20"/>
          <w:u w:val="single"/>
        </w:rPr>
        <w:t>Preferred Stock Issuance</w:t>
      </w:r>
    </w:p>
    <w:p w:rsidR="00780609" w:rsidRPr="00C6642F" w:rsidRDefault="00780609" w:rsidP="00780609">
      <w:pPr>
        <w:pStyle w:val="NormalWeb"/>
        <w:spacing w:before="180" w:beforeAutospacing="0" w:after="0" w:afterAutospacing="0"/>
        <w:rPr>
          <w:sz w:val="20"/>
          <w:szCs w:val="20"/>
        </w:rPr>
      </w:pPr>
      <w:r w:rsidRPr="00C6642F">
        <w:rPr>
          <w:sz w:val="20"/>
          <w:szCs w:val="20"/>
        </w:rPr>
        <w:t xml:space="preserve">In June 2015, we issued 363,000 shares of Series A Convertible Perpetual Preferred Stock (the “Preferred Stock”) and received gross proceeds of $363 million. The Preferred Stock ranks senior to our common stock with respect to dividend rights and rights on liquidation, winding-up and dissolution. The Preferred Stock has a stated value of $1,000 per share, and holders of Preferred Stock are entitled to cumulative dividends payable quarterly in cash at a rate of 6.50% per annum. In June 2018, the holders of Preferred Stock designated one member to our Board of Directors. If we fail to declare and pay the quarterly dividend for an amount equal to six or more dividend periods, the holders of the Preferred Stock would be entitled to designate an additional member to our Board of Directors. Holders of Preferred Stock are entitled to vote together with the holders of the common stock as a single class, in each case, on an as-converted basis, except where a separate class vote of the common stockholders is required by law. Holders of Preferred Stock have certain limited special approval rights, including with respect to the issuance of </w:t>
      </w:r>
      <w:r w:rsidRPr="00C6642F">
        <w:rPr>
          <w:i/>
          <w:sz w:val="20"/>
          <w:szCs w:val="20"/>
        </w:rPr>
        <w:t>pari passu</w:t>
      </w:r>
      <w:r w:rsidRPr="00C6642F">
        <w:rPr>
          <w:sz w:val="20"/>
          <w:szCs w:val="20"/>
        </w:rPr>
        <w:t xml:space="preserve"> or senior equity securities of the Company. </w:t>
      </w:r>
    </w:p>
    <w:p w:rsidR="00780609" w:rsidRPr="00C6642F" w:rsidRDefault="00780609" w:rsidP="00780609">
      <w:pPr>
        <w:pStyle w:val="NormalWeb"/>
        <w:spacing w:before="180" w:beforeAutospacing="0" w:after="0" w:afterAutospacing="0"/>
        <w:rPr>
          <w:sz w:val="20"/>
          <w:szCs w:val="20"/>
        </w:rPr>
      </w:pPr>
      <w:r w:rsidRPr="00C6642F">
        <w:rPr>
          <w:sz w:val="20"/>
          <w:szCs w:val="20"/>
        </w:rPr>
        <w:t>The Preferred Stock is convertible at the option of the holders into shares of common stock at an initial conversion rate of 55.9284 shares of common stock for each share of Preferred Stock, which represents an initial conversion price of $17.88 per share of common stock, subject to adjustment. On or after June 10, 2020, the Company will have the option to redeem, in whole but not in part, all the outstanding shares of Preferred Stock at 105% of par value, subject to certain redemption price adjustments. On or after June 10, 2022, the Company will have the option to redeem, in whole but not in part, all of the outstanding shares of Preferred Stock at par value</w:t>
      </w:r>
      <w:r w:rsidR="00417DE3" w:rsidRPr="00C6642F">
        <w:rPr>
          <w:sz w:val="20"/>
          <w:szCs w:val="20"/>
        </w:rPr>
        <w:t>, subject to certain redemption price adjustments</w:t>
      </w:r>
      <w:r w:rsidRPr="00C6642F">
        <w:rPr>
          <w:sz w:val="20"/>
          <w:szCs w:val="20"/>
        </w:rPr>
        <w:t xml:space="preserve">. We may elect to convert the Preferred Stock, in whole but not in part, into the relevant number of shares of common stock if the last reported sale price of the common stock has been at least 150% of the conversion price then in effect for a specified period. The conversion rate is subject to customary anti-dilution and other adjustments. </w:t>
      </w:r>
    </w:p>
    <w:p w:rsidR="000121CD" w:rsidRPr="00780609" w:rsidRDefault="00780609" w:rsidP="00780609">
      <w:pPr>
        <w:pStyle w:val="NormalWeb"/>
        <w:spacing w:before="180" w:beforeAutospacing="0" w:after="0" w:afterAutospacing="0"/>
        <w:rPr>
          <w:rFonts w:eastAsia="PMingLiU"/>
          <w:b/>
          <w:lang w:eastAsia="zh-TW"/>
        </w:rPr>
      </w:pPr>
      <w:r w:rsidRPr="00C6642F">
        <w:rPr>
          <w:sz w:val="20"/>
          <w:szCs w:val="20"/>
        </w:rPr>
        <w:t>Holders of the Preferred Stock may, at their option, require the Company to repurchase their shares in the event of a fundamental change, as defined in the agreement. The repurchase price is based on the original $1,000 per share purchase price except in the case of a liquidation in which case they would receive the greater of $1,000 per share and the amount that would be received if they held common stock converted at the conversion rate in effect at the time of the fundamental change. Because this feature could require redemption as a result of the occurrence of an event not solely within the control of the Company, the Preferred Stock is classified as temporary equity on our balance sheet</w:t>
      </w:r>
      <w:r w:rsidR="00590862" w:rsidRPr="00C6642F">
        <w:rPr>
          <w:sz w:val="20"/>
          <w:szCs w:val="20"/>
        </w:rPr>
        <w:t>.</w:t>
      </w:r>
    </w:p>
    <w:p w:rsidR="000121CD" w:rsidRPr="00C6642F" w:rsidRDefault="00590862" w:rsidP="00F12CB3">
      <w:pPr>
        <w:pStyle w:val="NormalWeb"/>
        <w:keepNext/>
        <w:keepLines/>
        <w:widowControl w:val="0"/>
        <w:spacing w:before="270" w:beforeAutospacing="0" w:after="0" w:afterAutospacing="0"/>
      </w:pPr>
      <w:r w:rsidRPr="00C6642F">
        <w:rPr>
          <w:b/>
          <w:bCs/>
          <w:sz w:val="20"/>
          <w:szCs w:val="20"/>
          <w:u w:val="single"/>
        </w:rPr>
        <w:t>NOTE 1</w:t>
      </w:r>
      <w:r w:rsidR="000D0795" w:rsidRPr="00C6642F">
        <w:rPr>
          <w:b/>
          <w:bCs/>
          <w:sz w:val="20"/>
          <w:szCs w:val="20"/>
          <w:u w:val="single"/>
        </w:rPr>
        <w:t>2</w:t>
      </w:r>
      <w:r w:rsidRPr="00C6642F">
        <w:rPr>
          <w:b/>
          <w:bCs/>
          <w:sz w:val="20"/>
          <w:szCs w:val="20"/>
          <w:u w:val="single"/>
        </w:rPr>
        <w:t xml:space="preserve">—STOCKHOLDERS’ EQUITY </w:t>
      </w:r>
    </w:p>
    <w:p w:rsidR="000121CD" w:rsidRPr="00C6642F" w:rsidRDefault="00590862" w:rsidP="00F12CB3">
      <w:pPr>
        <w:pStyle w:val="NormalWeb"/>
        <w:keepNext/>
        <w:keepLines/>
        <w:widowControl w:val="0"/>
        <w:spacing w:before="90" w:beforeAutospacing="0" w:after="0" w:afterAutospacing="0"/>
        <w:rPr>
          <w:bCs/>
          <w:sz w:val="20"/>
          <w:szCs w:val="20"/>
        </w:rPr>
      </w:pPr>
      <w:r w:rsidRPr="00C6642F">
        <w:rPr>
          <w:b/>
          <w:bCs/>
          <w:sz w:val="20"/>
          <w:szCs w:val="20"/>
          <w:u w:val="single"/>
        </w:rPr>
        <w:t>Preferred Stock</w:t>
      </w:r>
    </w:p>
    <w:p w:rsidR="000121CD" w:rsidRPr="00C6642F" w:rsidRDefault="00590862" w:rsidP="00F12CB3">
      <w:pPr>
        <w:pStyle w:val="NormalWeb"/>
        <w:keepNext/>
        <w:keepLines/>
        <w:widowControl w:val="0"/>
        <w:spacing w:before="90" w:beforeAutospacing="0" w:after="0" w:afterAutospacing="0"/>
        <w:rPr>
          <w:bCs/>
          <w:sz w:val="20"/>
          <w:szCs w:val="20"/>
        </w:rPr>
      </w:pPr>
      <w:r w:rsidRPr="00C6642F">
        <w:rPr>
          <w:bCs/>
          <w:sz w:val="20"/>
          <w:szCs w:val="20"/>
        </w:rPr>
        <w:t xml:space="preserve">We have authorized 100,000,000 shares of preferred stock. Our Board of Directors has the authority to issue shares of the preferred stock. As of </w:t>
      </w:r>
      <w:r w:rsidR="003627E3" w:rsidRPr="00C6642F">
        <w:rPr>
          <w:bCs/>
          <w:sz w:val="20"/>
          <w:szCs w:val="20"/>
        </w:rPr>
        <w:t>December 31, 2019 and 2018</w:t>
      </w:r>
      <w:r w:rsidRPr="00C6642F">
        <w:rPr>
          <w:bCs/>
          <w:sz w:val="20"/>
          <w:szCs w:val="20"/>
        </w:rPr>
        <w:t>, the 363,000 shares of preferred stock described in Note 1</w:t>
      </w:r>
      <w:r w:rsidR="000A090A" w:rsidRPr="00C6642F">
        <w:rPr>
          <w:bCs/>
          <w:sz w:val="20"/>
          <w:szCs w:val="20"/>
        </w:rPr>
        <w:t>1</w:t>
      </w:r>
      <w:r w:rsidRPr="00C6642F">
        <w:rPr>
          <w:bCs/>
          <w:sz w:val="20"/>
          <w:szCs w:val="20"/>
        </w:rPr>
        <w:t xml:space="preserve"> were issued and outstanding.  </w:t>
      </w:r>
    </w:p>
    <w:p w:rsidR="000121CD" w:rsidRPr="00C6642F" w:rsidRDefault="00590862" w:rsidP="00F43D27">
      <w:pPr>
        <w:pStyle w:val="NormalWeb"/>
        <w:keepNext/>
        <w:keepLines/>
        <w:widowControl w:val="0"/>
        <w:spacing w:before="200" w:beforeAutospacing="0" w:after="0" w:afterAutospacing="0"/>
        <w:rPr>
          <w:b/>
          <w:bCs/>
          <w:sz w:val="20"/>
          <w:szCs w:val="20"/>
          <w:u w:val="single"/>
        </w:rPr>
      </w:pPr>
      <w:r w:rsidRPr="00C6642F">
        <w:rPr>
          <w:b/>
          <w:bCs/>
          <w:sz w:val="20"/>
          <w:szCs w:val="20"/>
          <w:u w:val="single"/>
        </w:rPr>
        <w:t>Share Repurchase Programs</w:t>
      </w:r>
    </w:p>
    <w:p w:rsidR="000121CD" w:rsidRPr="00C6642F" w:rsidRDefault="000121CD" w:rsidP="00F43D27">
      <w:pPr>
        <w:keepNext/>
        <w:keepLines/>
        <w:widowControl w:val="0"/>
        <w:rPr>
          <w:sz w:val="20"/>
        </w:rPr>
      </w:pPr>
    </w:p>
    <w:p w:rsidR="000121CD" w:rsidRPr="00C6642F" w:rsidRDefault="00A85F56" w:rsidP="00F43D27">
      <w:pPr>
        <w:keepNext/>
        <w:keepLines/>
        <w:widowControl w:val="0"/>
        <w:rPr>
          <w:sz w:val="20"/>
        </w:rPr>
      </w:pPr>
      <w:r w:rsidRPr="00C6642F">
        <w:rPr>
          <w:sz w:val="20"/>
        </w:rPr>
        <w:t>From time to time, the Company’s board of directors has authorized repurchase programs for shares of the Company’s common stock.  Under these plans</w:t>
      </w:r>
      <w:r w:rsidR="00590862" w:rsidRPr="00C6642F">
        <w:rPr>
          <w:sz w:val="20"/>
        </w:rPr>
        <w:t>, we ha</w:t>
      </w:r>
      <w:r w:rsidRPr="00C6642F">
        <w:rPr>
          <w:sz w:val="20"/>
        </w:rPr>
        <w:t>ve</w:t>
      </w:r>
      <w:r w:rsidR="00590862" w:rsidRPr="00C6642F">
        <w:rPr>
          <w:sz w:val="20"/>
        </w:rPr>
        <w:t xml:space="preserve"> repurchased </w:t>
      </w:r>
      <w:r w:rsidRPr="00C6642F">
        <w:rPr>
          <w:sz w:val="20"/>
        </w:rPr>
        <w:t>24,216,330</w:t>
      </w:r>
      <w:r w:rsidR="00590862" w:rsidRPr="00C6642F">
        <w:rPr>
          <w:sz w:val="20"/>
        </w:rPr>
        <w:t xml:space="preserve"> shares </w:t>
      </w:r>
      <w:r w:rsidR="004C321E" w:rsidRPr="00C6642F">
        <w:rPr>
          <w:sz w:val="20"/>
        </w:rPr>
        <w:t>of common stock</w:t>
      </w:r>
      <w:r w:rsidR="00590862" w:rsidRPr="00C6642F">
        <w:rPr>
          <w:sz w:val="20"/>
        </w:rPr>
        <w:t xml:space="preserve"> at an average price per share of $15.</w:t>
      </w:r>
      <w:r w:rsidRPr="00C6642F">
        <w:rPr>
          <w:sz w:val="20"/>
        </w:rPr>
        <w:t>48</w:t>
      </w:r>
      <w:r w:rsidR="00590862" w:rsidRPr="00C6642F">
        <w:rPr>
          <w:sz w:val="20"/>
        </w:rPr>
        <w:t xml:space="preserve"> for a total cost of $3</w:t>
      </w:r>
      <w:r w:rsidRPr="00C6642F">
        <w:rPr>
          <w:sz w:val="20"/>
        </w:rPr>
        <w:t>75</w:t>
      </w:r>
      <w:r w:rsidR="00590862" w:rsidRPr="00C6642F">
        <w:rPr>
          <w:rFonts w:eastAsia="PMingLiU"/>
          <w:sz w:val="20"/>
        </w:rPr>
        <w:t> </w:t>
      </w:r>
      <w:r w:rsidR="00590862" w:rsidRPr="00C6642F">
        <w:rPr>
          <w:sz w:val="20"/>
        </w:rPr>
        <w:t xml:space="preserve">million. </w:t>
      </w:r>
      <w:r w:rsidR="004C321E" w:rsidRPr="00C6642F">
        <w:rPr>
          <w:sz w:val="20"/>
        </w:rPr>
        <w:t xml:space="preserve">As of December 31, 2019, there were no remaining authorizations outstanding under these programs.  </w:t>
      </w:r>
      <w:r w:rsidR="00590862" w:rsidRPr="00C6642F">
        <w:rPr>
          <w:sz w:val="20"/>
        </w:rPr>
        <w:t>There were 8</w:t>
      </w:r>
      <w:r w:rsidRPr="00C6642F">
        <w:rPr>
          <w:sz w:val="20"/>
        </w:rPr>
        <w:t>1,408,420</w:t>
      </w:r>
      <w:r w:rsidR="00590862" w:rsidRPr="00C6642F">
        <w:rPr>
          <w:rFonts w:eastAsia="PMingLiU"/>
          <w:sz w:val="20"/>
        </w:rPr>
        <w:t xml:space="preserve"> </w:t>
      </w:r>
      <w:r w:rsidR="00590862" w:rsidRPr="00C6642F">
        <w:rPr>
          <w:sz w:val="20"/>
        </w:rPr>
        <w:t>shares of common stock outstanding as of December 31, 201</w:t>
      </w:r>
      <w:r w:rsidR="006B5902" w:rsidRPr="00C6642F">
        <w:rPr>
          <w:sz w:val="20"/>
        </w:rPr>
        <w:t>9</w:t>
      </w:r>
      <w:r w:rsidR="00590862" w:rsidRPr="00C6642F">
        <w:rPr>
          <w:sz w:val="20"/>
        </w:rPr>
        <w:t xml:space="preserve">. </w:t>
      </w:r>
    </w:p>
    <w:p w:rsidR="000121CD" w:rsidRPr="00C6642F" w:rsidRDefault="000121CD" w:rsidP="00F43D27">
      <w:pPr>
        <w:keepNext/>
        <w:keepLines/>
        <w:widowControl w:val="0"/>
        <w:rPr>
          <w:sz w:val="20"/>
        </w:rPr>
      </w:pPr>
    </w:p>
    <w:tbl>
      <w:tblPr>
        <w:tblW w:w="5000" w:type="pct"/>
        <w:tblCellMar>
          <w:left w:w="0" w:type="dxa"/>
          <w:right w:w="0" w:type="dxa"/>
        </w:tblCellMar>
        <w:tblLook w:val="04A0" w:firstRow="1" w:lastRow="0" w:firstColumn="1" w:lastColumn="0" w:noHBand="0" w:noVBand="1"/>
      </w:tblPr>
      <w:tblGrid>
        <w:gridCol w:w="5036"/>
        <w:gridCol w:w="307"/>
        <w:gridCol w:w="1389"/>
        <w:gridCol w:w="484"/>
        <w:gridCol w:w="307"/>
        <w:gridCol w:w="1389"/>
        <w:gridCol w:w="194"/>
        <w:gridCol w:w="307"/>
        <w:gridCol w:w="1387"/>
      </w:tblGrid>
      <w:tr w:rsidR="0018024C" w:rsidRPr="00C6642F" w:rsidTr="0018024C">
        <w:trPr>
          <w:trHeight w:hRule="exact" w:val="20"/>
        </w:trPr>
        <w:tc>
          <w:tcPr>
            <w:tcW w:w="2331" w:type="pct"/>
            <w:tcBorders>
              <w:top w:val="nil"/>
              <w:left w:val="nil"/>
              <w:bottom w:val="nil"/>
              <w:right w:val="nil"/>
            </w:tcBorders>
            <w:shd w:val="clear" w:color="auto" w:fill="auto"/>
            <w:vAlign w:val="bottom"/>
          </w:tcPr>
          <w:p w:rsidR="0018024C" w:rsidRPr="00C6642F" w:rsidRDefault="0018024C" w:rsidP="0018024C">
            <w:pPr>
              <w:keepNext/>
              <w:keepLines/>
              <w:widowControl w:val="0"/>
              <w:spacing w:before="1" w:after="1"/>
              <w:rPr>
                <w:sz w:val="2"/>
              </w:rPr>
            </w:pPr>
          </w:p>
        </w:tc>
        <w:tc>
          <w:tcPr>
            <w:tcW w:w="142" w:type="pct"/>
            <w:tcBorders>
              <w:top w:val="nil"/>
              <w:left w:val="nil"/>
              <w:bottom w:val="nil"/>
              <w:right w:val="nil"/>
            </w:tcBorders>
            <w:shd w:val="clear" w:color="auto" w:fill="auto"/>
            <w:vAlign w:val="bottom"/>
          </w:tcPr>
          <w:p w:rsidR="0018024C" w:rsidRPr="00C6642F" w:rsidRDefault="0018024C" w:rsidP="0018024C">
            <w:pPr>
              <w:keepNext/>
              <w:keepLines/>
              <w:widowControl w:val="0"/>
              <w:spacing w:before="1" w:after="1"/>
              <w:rPr>
                <w:sz w:val="2"/>
              </w:rPr>
            </w:pPr>
          </w:p>
        </w:tc>
        <w:tc>
          <w:tcPr>
            <w:tcW w:w="643" w:type="pct"/>
            <w:tcBorders>
              <w:top w:val="nil"/>
              <w:left w:val="nil"/>
              <w:bottom w:val="nil"/>
              <w:right w:val="nil"/>
            </w:tcBorders>
            <w:shd w:val="clear" w:color="auto" w:fill="auto"/>
            <w:vAlign w:val="bottom"/>
          </w:tcPr>
          <w:p w:rsidR="0018024C" w:rsidRPr="00C6642F" w:rsidRDefault="0018024C" w:rsidP="0018024C">
            <w:pPr>
              <w:keepNext/>
              <w:keepLines/>
              <w:widowControl w:val="0"/>
              <w:spacing w:before="1" w:after="1"/>
              <w:rPr>
                <w:sz w:val="2"/>
              </w:rPr>
            </w:pPr>
          </w:p>
        </w:tc>
        <w:tc>
          <w:tcPr>
            <w:tcW w:w="224" w:type="pct"/>
            <w:tcBorders>
              <w:top w:val="nil"/>
              <w:left w:val="nil"/>
              <w:bottom w:val="nil"/>
              <w:right w:val="nil"/>
            </w:tcBorders>
            <w:shd w:val="clear" w:color="auto" w:fill="auto"/>
            <w:vAlign w:val="bottom"/>
          </w:tcPr>
          <w:p w:rsidR="0018024C" w:rsidRPr="00C6642F" w:rsidRDefault="0018024C" w:rsidP="0018024C">
            <w:pPr>
              <w:keepNext/>
              <w:keepLines/>
              <w:widowControl w:val="0"/>
              <w:spacing w:before="1" w:after="1"/>
              <w:rPr>
                <w:sz w:val="2"/>
              </w:rPr>
            </w:pPr>
          </w:p>
        </w:tc>
        <w:tc>
          <w:tcPr>
            <w:tcW w:w="142" w:type="pct"/>
            <w:tcBorders>
              <w:top w:val="nil"/>
              <w:left w:val="nil"/>
              <w:bottom w:val="nil"/>
              <w:right w:val="nil"/>
            </w:tcBorders>
            <w:shd w:val="clear" w:color="auto" w:fill="auto"/>
            <w:vAlign w:val="bottom"/>
          </w:tcPr>
          <w:p w:rsidR="0018024C" w:rsidRPr="00C6642F" w:rsidRDefault="0018024C" w:rsidP="0018024C">
            <w:pPr>
              <w:keepNext/>
              <w:keepLines/>
              <w:widowControl w:val="0"/>
              <w:spacing w:before="1" w:after="1"/>
              <w:rPr>
                <w:sz w:val="2"/>
              </w:rPr>
            </w:pPr>
          </w:p>
        </w:tc>
        <w:tc>
          <w:tcPr>
            <w:tcW w:w="643" w:type="pct"/>
            <w:tcBorders>
              <w:top w:val="nil"/>
              <w:left w:val="nil"/>
              <w:bottom w:val="nil"/>
              <w:right w:val="nil"/>
            </w:tcBorders>
            <w:shd w:val="clear" w:color="auto" w:fill="auto"/>
            <w:vAlign w:val="bottom"/>
          </w:tcPr>
          <w:p w:rsidR="0018024C" w:rsidRPr="00C6642F" w:rsidRDefault="0018024C" w:rsidP="0018024C">
            <w:pPr>
              <w:keepNext/>
              <w:keepLines/>
              <w:widowControl w:val="0"/>
              <w:spacing w:before="1" w:after="1"/>
              <w:rPr>
                <w:sz w:val="2"/>
              </w:rPr>
            </w:pPr>
          </w:p>
        </w:tc>
        <w:tc>
          <w:tcPr>
            <w:tcW w:w="90" w:type="pct"/>
            <w:tcBorders>
              <w:top w:val="nil"/>
              <w:left w:val="nil"/>
              <w:bottom w:val="nil"/>
              <w:right w:val="nil"/>
            </w:tcBorders>
            <w:shd w:val="clear" w:color="auto" w:fill="auto"/>
            <w:vAlign w:val="bottom"/>
          </w:tcPr>
          <w:p w:rsidR="0018024C" w:rsidRPr="00C6642F" w:rsidRDefault="0018024C" w:rsidP="0018024C">
            <w:pPr>
              <w:keepNext/>
              <w:keepLines/>
              <w:widowControl w:val="0"/>
              <w:spacing w:before="1" w:after="1"/>
              <w:rPr>
                <w:sz w:val="2"/>
              </w:rPr>
            </w:pPr>
          </w:p>
        </w:tc>
        <w:tc>
          <w:tcPr>
            <w:tcW w:w="142" w:type="pct"/>
            <w:tcBorders>
              <w:top w:val="nil"/>
              <w:left w:val="nil"/>
              <w:bottom w:val="nil"/>
              <w:right w:val="nil"/>
            </w:tcBorders>
            <w:shd w:val="clear" w:color="auto" w:fill="auto"/>
            <w:vAlign w:val="bottom"/>
          </w:tcPr>
          <w:p w:rsidR="0018024C" w:rsidRPr="00C6642F" w:rsidRDefault="0018024C" w:rsidP="0018024C">
            <w:pPr>
              <w:keepNext/>
              <w:keepLines/>
              <w:widowControl w:val="0"/>
              <w:spacing w:before="1" w:after="1"/>
              <w:rPr>
                <w:sz w:val="2"/>
              </w:rPr>
            </w:pPr>
          </w:p>
        </w:tc>
        <w:tc>
          <w:tcPr>
            <w:tcW w:w="642" w:type="pct"/>
            <w:tcBorders>
              <w:top w:val="nil"/>
              <w:left w:val="nil"/>
              <w:bottom w:val="nil"/>
              <w:right w:val="nil"/>
            </w:tcBorders>
            <w:shd w:val="clear" w:color="auto" w:fill="auto"/>
            <w:vAlign w:val="bottom"/>
          </w:tcPr>
          <w:p w:rsidR="0018024C" w:rsidRPr="00C6642F" w:rsidRDefault="0018024C" w:rsidP="0018024C">
            <w:pPr>
              <w:keepNext/>
              <w:keepLines/>
              <w:widowControl w:val="0"/>
              <w:spacing w:before="1" w:after="1"/>
              <w:rPr>
                <w:sz w:val="2"/>
              </w:rPr>
            </w:pPr>
          </w:p>
        </w:tc>
      </w:tr>
      <w:tr w:rsidR="0018024C" w:rsidRPr="00C6642F" w:rsidTr="0018024C">
        <w:trPr>
          <w:trHeight w:hRule="exact" w:val="255"/>
        </w:trPr>
        <w:tc>
          <w:tcPr>
            <w:tcW w:w="2331"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widowControl w:val="0"/>
              <w:spacing w:before="1" w:after="1"/>
              <w:rPr>
                <w:color w:val="000000"/>
                <w:sz w:val="20"/>
              </w:rPr>
            </w:pPr>
            <w:r w:rsidRPr="00C6642F">
              <w:rPr>
                <w:color w:val="000000"/>
                <w:sz w:val="20"/>
              </w:rPr>
              <w:t>The following table summarizes the share repurchase activity:</w:t>
            </w:r>
          </w:p>
        </w:tc>
        <w:tc>
          <w:tcPr>
            <w:tcW w:w="142"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widowControl w:val="0"/>
              <w:spacing w:before="1" w:after="1"/>
              <w:rPr>
                <w:color w:val="000000"/>
                <w:sz w:val="20"/>
              </w:rPr>
            </w:pPr>
          </w:p>
        </w:tc>
        <w:tc>
          <w:tcPr>
            <w:tcW w:w="643"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widowControl w:val="0"/>
              <w:spacing w:before="1" w:after="1"/>
              <w:rPr>
                <w:color w:val="000000"/>
                <w:sz w:val="20"/>
              </w:rPr>
            </w:pPr>
          </w:p>
        </w:tc>
        <w:tc>
          <w:tcPr>
            <w:tcW w:w="224"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widowControl w:val="0"/>
              <w:spacing w:before="1" w:after="1"/>
              <w:rPr>
                <w:color w:val="000000"/>
                <w:sz w:val="20"/>
              </w:rPr>
            </w:pPr>
          </w:p>
        </w:tc>
        <w:tc>
          <w:tcPr>
            <w:tcW w:w="142"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widowControl w:val="0"/>
              <w:spacing w:before="1" w:after="1"/>
              <w:rPr>
                <w:color w:val="000000"/>
                <w:sz w:val="20"/>
              </w:rPr>
            </w:pPr>
          </w:p>
        </w:tc>
        <w:tc>
          <w:tcPr>
            <w:tcW w:w="643"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widowControl w:val="0"/>
              <w:spacing w:before="1" w:after="1"/>
              <w:rPr>
                <w:color w:val="000000"/>
                <w:sz w:val="20"/>
              </w:rPr>
            </w:pPr>
          </w:p>
        </w:tc>
        <w:tc>
          <w:tcPr>
            <w:tcW w:w="90"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widowControl w:val="0"/>
              <w:spacing w:before="1" w:after="1"/>
              <w:rPr>
                <w:color w:val="000000"/>
                <w:sz w:val="20"/>
              </w:rPr>
            </w:pPr>
          </w:p>
        </w:tc>
        <w:tc>
          <w:tcPr>
            <w:tcW w:w="142"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widowControl w:val="0"/>
              <w:spacing w:before="1" w:after="1"/>
              <w:rPr>
                <w:color w:val="000000"/>
                <w:sz w:val="20"/>
              </w:rPr>
            </w:pPr>
          </w:p>
        </w:tc>
        <w:tc>
          <w:tcPr>
            <w:tcW w:w="642"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widowControl w:val="0"/>
              <w:spacing w:before="1" w:after="1"/>
              <w:rPr>
                <w:color w:val="000000"/>
                <w:sz w:val="20"/>
              </w:rPr>
            </w:pPr>
          </w:p>
        </w:tc>
      </w:tr>
      <w:tr w:rsidR="0018024C" w:rsidRPr="00C6642F" w:rsidTr="0018024C">
        <w:trPr>
          <w:trHeight w:hRule="exact" w:val="315"/>
        </w:trPr>
        <w:tc>
          <w:tcPr>
            <w:tcW w:w="2331"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widowControl w:val="0"/>
              <w:spacing w:before="1" w:after="1"/>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keepLines/>
              <w:widowControl w:val="0"/>
              <w:spacing w:before="1" w:after="1"/>
              <w:jc w:val="center"/>
              <w:rPr>
                <w:b/>
                <w:color w:val="000000"/>
                <w:sz w:val="20"/>
              </w:rPr>
            </w:pPr>
            <w:r w:rsidRPr="00C6642F">
              <w:rPr>
                <w:b/>
                <w:color w:val="000000"/>
                <w:sz w:val="20"/>
              </w:rPr>
              <w:t>2019</w:t>
            </w:r>
          </w:p>
        </w:tc>
        <w:tc>
          <w:tcPr>
            <w:tcW w:w="224"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widowControl w:val="0"/>
              <w:spacing w:before="1" w:after="1"/>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keepLines/>
              <w:widowControl w:val="0"/>
              <w:spacing w:before="1" w:after="1"/>
              <w:jc w:val="center"/>
              <w:rPr>
                <w:b/>
                <w:color w:val="000000"/>
                <w:sz w:val="20"/>
              </w:rPr>
            </w:pPr>
            <w:r w:rsidRPr="00C6642F">
              <w:rPr>
                <w:b/>
                <w:color w:val="000000"/>
                <w:sz w:val="20"/>
              </w:rPr>
              <w:t>2018</w:t>
            </w:r>
          </w:p>
        </w:tc>
        <w:tc>
          <w:tcPr>
            <w:tcW w:w="90"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widowControl w:val="0"/>
              <w:spacing w:before="1" w:after="1"/>
              <w:rPr>
                <w:color w:val="000000"/>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keepLines/>
              <w:widowControl w:val="0"/>
              <w:spacing w:before="1" w:after="1"/>
              <w:jc w:val="center"/>
              <w:rPr>
                <w:b/>
                <w:color w:val="000000"/>
                <w:sz w:val="20"/>
              </w:rPr>
            </w:pPr>
            <w:r w:rsidRPr="00C6642F">
              <w:rPr>
                <w:b/>
                <w:color w:val="000000"/>
                <w:sz w:val="20"/>
              </w:rPr>
              <w:t>2017</w:t>
            </w:r>
          </w:p>
        </w:tc>
      </w:tr>
      <w:tr w:rsidR="0018024C" w:rsidRPr="00C6642F" w:rsidTr="0018024C">
        <w:trPr>
          <w:trHeight w:hRule="exact" w:val="255"/>
        </w:trPr>
        <w:tc>
          <w:tcPr>
            <w:tcW w:w="2331"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rPr>
                <w:color w:val="000000"/>
                <w:sz w:val="20"/>
              </w:rPr>
            </w:pPr>
            <w:r w:rsidRPr="00C6642F">
              <w:rPr>
                <w:color w:val="000000"/>
                <w:sz w:val="20"/>
              </w:rPr>
              <w:t>Number of shares acquired on the open market</w:t>
            </w:r>
          </w:p>
        </w:tc>
        <w:tc>
          <w:tcPr>
            <w:tcW w:w="14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rPr>
                <w:color w:val="000000"/>
                <w:sz w:val="20"/>
              </w:rPr>
            </w:pPr>
          </w:p>
        </w:tc>
        <w:tc>
          <w:tcPr>
            <w:tcW w:w="643"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ind w:right="63"/>
              <w:jc w:val="right"/>
              <w:rPr>
                <w:b/>
                <w:sz w:val="20"/>
              </w:rPr>
            </w:pPr>
            <w:r w:rsidRPr="00C6642F">
              <w:rPr>
                <w:b/>
                <w:sz w:val="20"/>
              </w:rPr>
              <w:t xml:space="preserve"> 4,868,491</w:t>
            </w:r>
          </w:p>
        </w:tc>
        <w:tc>
          <w:tcPr>
            <w:tcW w:w="224"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rPr>
                <w:color w:val="000000"/>
                <w:sz w:val="20"/>
              </w:rPr>
            </w:pPr>
          </w:p>
        </w:tc>
        <w:tc>
          <w:tcPr>
            <w:tcW w:w="14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rPr>
                <w:color w:val="000000"/>
                <w:sz w:val="20"/>
              </w:rPr>
            </w:pPr>
          </w:p>
        </w:tc>
        <w:tc>
          <w:tcPr>
            <w:tcW w:w="643"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ind w:right="65"/>
              <w:jc w:val="right"/>
              <w:rPr>
                <w:sz w:val="20"/>
              </w:rPr>
            </w:pPr>
            <w:r w:rsidRPr="00C6642F">
              <w:rPr>
                <w:sz w:val="20"/>
              </w:rPr>
              <w:t xml:space="preserve"> 7,596,113</w:t>
            </w:r>
          </w:p>
        </w:tc>
        <w:tc>
          <w:tcPr>
            <w:tcW w:w="9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rPr>
                <w:color w:val="000000"/>
                <w:sz w:val="20"/>
              </w:rPr>
            </w:pPr>
          </w:p>
        </w:tc>
        <w:tc>
          <w:tcPr>
            <w:tcW w:w="14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rPr>
                <w:color w:val="000000"/>
                <w:sz w:val="20"/>
              </w:rPr>
            </w:pPr>
          </w:p>
        </w:tc>
        <w:tc>
          <w:tcPr>
            <w:tcW w:w="64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ind w:right="65"/>
              <w:jc w:val="right"/>
              <w:rPr>
                <w:sz w:val="20"/>
              </w:rPr>
            </w:pPr>
            <w:r w:rsidRPr="00C6642F">
              <w:rPr>
                <w:sz w:val="20"/>
              </w:rPr>
              <w:t xml:space="preserve"> 4,074,146</w:t>
            </w:r>
          </w:p>
        </w:tc>
      </w:tr>
      <w:tr w:rsidR="0018024C" w:rsidRPr="00C6642F" w:rsidTr="0018024C">
        <w:trPr>
          <w:trHeight w:hRule="exact" w:val="255"/>
        </w:trPr>
        <w:tc>
          <w:tcPr>
            <w:tcW w:w="2331" w:type="pct"/>
            <w:tcBorders>
              <w:top w:val="nil"/>
              <w:left w:val="nil"/>
              <w:bottom w:val="nil"/>
              <w:right w:val="nil"/>
              <w:tl2br w:val="nil"/>
              <w:tr2bl w:val="nil"/>
            </w:tcBorders>
            <w:vAlign w:val="bottom"/>
          </w:tcPr>
          <w:p w:rsidR="0018024C" w:rsidRPr="00C6642F" w:rsidRDefault="0018024C" w:rsidP="0018024C">
            <w:pPr>
              <w:keepNext/>
              <w:keepLines/>
              <w:widowControl w:val="0"/>
              <w:spacing w:before="1" w:after="1"/>
              <w:rPr>
                <w:color w:val="000000"/>
                <w:sz w:val="20"/>
              </w:rPr>
            </w:pPr>
            <w:r w:rsidRPr="00C6642F">
              <w:rPr>
                <w:color w:val="000000"/>
                <w:sz w:val="20"/>
              </w:rPr>
              <w:t xml:space="preserve">Average price per share </w:t>
            </w:r>
          </w:p>
        </w:tc>
        <w:tc>
          <w:tcPr>
            <w:tcW w:w="142" w:type="pct"/>
            <w:tcBorders>
              <w:top w:val="nil"/>
              <w:left w:val="nil"/>
              <w:bottom w:val="nil"/>
              <w:right w:val="nil"/>
              <w:tl2br w:val="nil"/>
              <w:tr2bl w:val="nil"/>
            </w:tcBorders>
            <w:vAlign w:val="bottom"/>
          </w:tcPr>
          <w:p w:rsidR="0018024C" w:rsidRPr="00C6642F" w:rsidRDefault="0018024C" w:rsidP="0018024C">
            <w:pPr>
              <w:keepNext/>
              <w:keepLines/>
              <w:widowControl w:val="0"/>
              <w:spacing w:before="1" w:after="1"/>
              <w:rPr>
                <w:b/>
                <w:color w:val="000000"/>
                <w:sz w:val="20"/>
              </w:rPr>
            </w:pPr>
            <w:r w:rsidRPr="00C6642F">
              <w:rPr>
                <w:b/>
                <w:color w:val="000000"/>
                <w:sz w:val="20"/>
              </w:rPr>
              <w:t>$</w:t>
            </w:r>
          </w:p>
        </w:tc>
        <w:tc>
          <w:tcPr>
            <w:tcW w:w="643" w:type="pct"/>
            <w:tcBorders>
              <w:top w:val="nil"/>
              <w:left w:val="nil"/>
              <w:bottom w:val="nil"/>
              <w:right w:val="nil"/>
              <w:tl2br w:val="nil"/>
              <w:tr2bl w:val="nil"/>
            </w:tcBorders>
            <w:vAlign w:val="bottom"/>
          </w:tcPr>
          <w:p w:rsidR="0018024C" w:rsidRPr="00C6642F" w:rsidRDefault="0018024C" w:rsidP="0018024C">
            <w:pPr>
              <w:keepNext/>
              <w:keepLines/>
              <w:widowControl w:val="0"/>
              <w:spacing w:before="1" w:after="1"/>
              <w:ind w:right="63"/>
              <w:jc w:val="right"/>
              <w:rPr>
                <w:b/>
                <w:color w:val="000000"/>
                <w:sz w:val="20"/>
              </w:rPr>
            </w:pPr>
            <w:r w:rsidRPr="00C6642F">
              <w:rPr>
                <w:b/>
                <w:color w:val="000000"/>
                <w:sz w:val="20"/>
              </w:rPr>
              <w:t xml:space="preserve"> 15.38</w:t>
            </w:r>
          </w:p>
        </w:tc>
        <w:tc>
          <w:tcPr>
            <w:tcW w:w="224" w:type="pct"/>
            <w:tcBorders>
              <w:top w:val="nil"/>
              <w:left w:val="nil"/>
              <w:bottom w:val="nil"/>
              <w:right w:val="nil"/>
              <w:tl2br w:val="nil"/>
              <w:tr2bl w:val="nil"/>
            </w:tcBorders>
            <w:vAlign w:val="bottom"/>
          </w:tcPr>
          <w:p w:rsidR="0018024C" w:rsidRPr="00C6642F" w:rsidRDefault="0018024C" w:rsidP="0018024C">
            <w:pPr>
              <w:keepNext/>
              <w:keepLines/>
              <w:widowControl w:val="0"/>
              <w:spacing w:before="1" w:after="1"/>
              <w:rPr>
                <w:color w:val="000000"/>
                <w:sz w:val="20"/>
              </w:rPr>
            </w:pPr>
          </w:p>
        </w:tc>
        <w:tc>
          <w:tcPr>
            <w:tcW w:w="142" w:type="pct"/>
            <w:tcBorders>
              <w:top w:val="nil"/>
              <w:left w:val="nil"/>
              <w:bottom w:val="nil"/>
              <w:right w:val="nil"/>
              <w:tl2br w:val="nil"/>
              <w:tr2bl w:val="nil"/>
            </w:tcBorders>
            <w:vAlign w:val="bottom"/>
          </w:tcPr>
          <w:p w:rsidR="0018024C" w:rsidRPr="00C6642F" w:rsidRDefault="0018024C" w:rsidP="0018024C">
            <w:pPr>
              <w:keepNext/>
              <w:keepLines/>
              <w:widowControl w:val="0"/>
              <w:spacing w:before="1" w:after="1"/>
              <w:rPr>
                <w:color w:val="000000"/>
                <w:sz w:val="20"/>
              </w:rPr>
            </w:pPr>
            <w:r w:rsidRPr="00C6642F">
              <w:rPr>
                <w:color w:val="000000"/>
                <w:sz w:val="20"/>
              </w:rPr>
              <w:t>$</w:t>
            </w:r>
          </w:p>
        </w:tc>
        <w:tc>
          <w:tcPr>
            <w:tcW w:w="643" w:type="pct"/>
            <w:tcBorders>
              <w:top w:val="nil"/>
              <w:left w:val="nil"/>
              <w:bottom w:val="nil"/>
              <w:right w:val="nil"/>
              <w:tl2br w:val="nil"/>
              <w:tr2bl w:val="nil"/>
            </w:tcBorders>
            <w:vAlign w:val="bottom"/>
          </w:tcPr>
          <w:p w:rsidR="0018024C" w:rsidRPr="00C6642F" w:rsidRDefault="0018024C" w:rsidP="0018024C">
            <w:pPr>
              <w:keepNext/>
              <w:keepLines/>
              <w:widowControl w:val="0"/>
              <w:spacing w:before="1" w:after="1"/>
              <w:ind w:right="65"/>
              <w:jc w:val="right"/>
              <w:rPr>
                <w:color w:val="000000"/>
                <w:sz w:val="20"/>
              </w:rPr>
            </w:pPr>
            <w:r w:rsidRPr="00C6642F">
              <w:rPr>
                <w:color w:val="000000"/>
                <w:sz w:val="20"/>
              </w:rPr>
              <w:t xml:space="preserve"> 16.46</w:t>
            </w:r>
          </w:p>
        </w:tc>
        <w:tc>
          <w:tcPr>
            <w:tcW w:w="90" w:type="pct"/>
            <w:tcBorders>
              <w:top w:val="nil"/>
              <w:left w:val="nil"/>
              <w:bottom w:val="nil"/>
              <w:right w:val="nil"/>
              <w:tl2br w:val="nil"/>
              <w:tr2bl w:val="nil"/>
            </w:tcBorders>
            <w:vAlign w:val="bottom"/>
          </w:tcPr>
          <w:p w:rsidR="0018024C" w:rsidRPr="00C6642F" w:rsidRDefault="0018024C" w:rsidP="0018024C">
            <w:pPr>
              <w:keepNext/>
              <w:keepLines/>
              <w:widowControl w:val="0"/>
              <w:spacing w:before="1" w:after="1"/>
              <w:rPr>
                <w:color w:val="000000"/>
                <w:sz w:val="20"/>
              </w:rPr>
            </w:pPr>
          </w:p>
        </w:tc>
        <w:tc>
          <w:tcPr>
            <w:tcW w:w="142" w:type="pct"/>
            <w:tcBorders>
              <w:top w:val="nil"/>
              <w:left w:val="nil"/>
              <w:bottom w:val="nil"/>
              <w:right w:val="nil"/>
              <w:tl2br w:val="nil"/>
              <w:tr2bl w:val="nil"/>
            </w:tcBorders>
            <w:vAlign w:val="bottom"/>
          </w:tcPr>
          <w:p w:rsidR="0018024C" w:rsidRPr="00C6642F" w:rsidRDefault="0018024C" w:rsidP="0018024C">
            <w:pPr>
              <w:keepNext/>
              <w:keepLines/>
              <w:widowControl w:val="0"/>
              <w:spacing w:before="1" w:after="1"/>
              <w:rPr>
                <w:color w:val="000000"/>
                <w:sz w:val="20"/>
              </w:rPr>
            </w:pPr>
            <w:r w:rsidRPr="00C6642F">
              <w:rPr>
                <w:color w:val="000000"/>
                <w:sz w:val="20"/>
              </w:rPr>
              <w:t>$</w:t>
            </w:r>
          </w:p>
        </w:tc>
        <w:tc>
          <w:tcPr>
            <w:tcW w:w="642" w:type="pct"/>
            <w:tcBorders>
              <w:top w:val="nil"/>
              <w:left w:val="nil"/>
              <w:bottom w:val="nil"/>
              <w:right w:val="nil"/>
              <w:tl2br w:val="nil"/>
              <w:tr2bl w:val="nil"/>
            </w:tcBorders>
            <w:vAlign w:val="bottom"/>
          </w:tcPr>
          <w:p w:rsidR="0018024C" w:rsidRPr="00C6642F" w:rsidRDefault="0018024C" w:rsidP="0018024C">
            <w:pPr>
              <w:keepNext/>
              <w:keepLines/>
              <w:widowControl w:val="0"/>
              <w:spacing w:before="1" w:after="1"/>
              <w:ind w:right="65"/>
              <w:jc w:val="right"/>
              <w:rPr>
                <w:color w:val="000000"/>
                <w:sz w:val="20"/>
              </w:rPr>
            </w:pPr>
            <w:r w:rsidRPr="00C6642F">
              <w:rPr>
                <w:color w:val="000000"/>
                <w:sz w:val="20"/>
              </w:rPr>
              <w:t xml:space="preserve"> 16.62</w:t>
            </w:r>
          </w:p>
        </w:tc>
      </w:tr>
      <w:tr w:rsidR="0018024C" w:rsidRPr="00C6642F" w:rsidTr="0018024C">
        <w:trPr>
          <w:trHeight w:hRule="exact" w:val="255"/>
        </w:trPr>
        <w:tc>
          <w:tcPr>
            <w:tcW w:w="2331"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rPr>
                <w:color w:val="000000"/>
                <w:sz w:val="20"/>
              </w:rPr>
            </w:pPr>
            <w:r w:rsidRPr="00C6642F">
              <w:rPr>
                <w:color w:val="000000"/>
                <w:sz w:val="20"/>
              </w:rPr>
              <w:t xml:space="preserve">Total cost of acquired shares (in millions) </w:t>
            </w:r>
          </w:p>
        </w:tc>
        <w:tc>
          <w:tcPr>
            <w:tcW w:w="14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rPr>
                <w:b/>
                <w:color w:val="000000"/>
                <w:sz w:val="20"/>
              </w:rPr>
            </w:pPr>
            <w:r w:rsidRPr="00C6642F">
              <w:rPr>
                <w:b/>
                <w:color w:val="000000"/>
                <w:sz w:val="20"/>
              </w:rPr>
              <w:t>$</w:t>
            </w:r>
          </w:p>
        </w:tc>
        <w:tc>
          <w:tcPr>
            <w:tcW w:w="643"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ind w:right="63"/>
              <w:jc w:val="right"/>
              <w:rPr>
                <w:b/>
                <w:color w:val="000000"/>
                <w:sz w:val="20"/>
              </w:rPr>
            </w:pPr>
            <w:r w:rsidRPr="00C6642F">
              <w:rPr>
                <w:b/>
                <w:color w:val="000000"/>
                <w:sz w:val="20"/>
              </w:rPr>
              <w:t xml:space="preserve"> 75</w:t>
            </w:r>
          </w:p>
        </w:tc>
        <w:tc>
          <w:tcPr>
            <w:tcW w:w="224"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rPr>
                <w:color w:val="000000"/>
                <w:sz w:val="20"/>
              </w:rPr>
            </w:pPr>
          </w:p>
        </w:tc>
        <w:tc>
          <w:tcPr>
            <w:tcW w:w="14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rPr>
                <w:color w:val="000000"/>
                <w:sz w:val="20"/>
              </w:rPr>
            </w:pPr>
            <w:r w:rsidRPr="00C6642F">
              <w:rPr>
                <w:color w:val="000000"/>
                <w:sz w:val="20"/>
              </w:rPr>
              <w:t>$</w:t>
            </w:r>
          </w:p>
        </w:tc>
        <w:tc>
          <w:tcPr>
            <w:tcW w:w="643"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ind w:right="65"/>
              <w:jc w:val="right"/>
              <w:rPr>
                <w:color w:val="000000"/>
                <w:sz w:val="20"/>
              </w:rPr>
            </w:pPr>
            <w:r w:rsidRPr="00C6642F">
              <w:rPr>
                <w:color w:val="000000"/>
                <w:sz w:val="20"/>
              </w:rPr>
              <w:t xml:space="preserve"> 125</w:t>
            </w:r>
          </w:p>
        </w:tc>
        <w:tc>
          <w:tcPr>
            <w:tcW w:w="9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rPr>
                <w:color w:val="000000"/>
                <w:sz w:val="20"/>
              </w:rPr>
            </w:pPr>
          </w:p>
        </w:tc>
        <w:tc>
          <w:tcPr>
            <w:tcW w:w="14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rPr>
                <w:color w:val="000000"/>
                <w:sz w:val="20"/>
              </w:rPr>
            </w:pPr>
            <w:r w:rsidRPr="00C6642F">
              <w:rPr>
                <w:color w:val="000000"/>
                <w:sz w:val="20"/>
              </w:rPr>
              <w:t>$</w:t>
            </w:r>
          </w:p>
        </w:tc>
        <w:tc>
          <w:tcPr>
            <w:tcW w:w="64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widowControl w:val="0"/>
              <w:spacing w:before="1" w:after="1"/>
              <w:ind w:right="65"/>
              <w:jc w:val="right"/>
              <w:rPr>
                <w:color w:val="000000"/>
                <w:sz w:val="20"/>
              </w:rPr>
            </w:pPr>
            <w:r w:rsidRPr="00C6642F">
              <w:rPr>
                <w:color w:val="000000"/>
                <w:sz w:val="20"/>
              </w:rPr>
              <w:t xml:space="preserve"> 68</w:t>
            </w:r>
          </w:p>
        </w:tc>
      </w:tr>
    </w:tbl>
    <w:p w:rsidR="000121CD" w:rsidRPr="00C6642F" w:rsidRDefault="00590862">
      <w:pPr>
        <w:pStyle w:val="NormalWeb"/>
        <w:keepNext/>
        <w:keepLines/>
        <w:widowControl w:val="0"/>
        <w:spacing w:before="200" w:beforeAutospacing="0" w:after="0" w:afterAutospacing="0"/>
      </w:pPr>
      <w:r w:rsidRPr="00C6642F">
        <w:rPr>
          <w:b/>
          <w:bCs/>
          <w:sz w:val="20"/>
          <w:szCs w:val="20"/>
          <w:u w:val="single"/>
        </w:rPr>
        <w:t xml:space="preserve">Accumulated Other Comprehensive Loss </w:t>
      </w:r>
    </w:p>
    <w:p w:rsidR="000121CD" w:rsidRPr="00C6642F" w:rsidRDefault="00590862">
      <w:pPr>
        <w:pStyle w:val="NormalWeb"/>
        <w:keepNext/>
        <w:keepLines/>
        <w:widowControl w:val="0"/>
        <w:spacing w:before="90" w:beforeAutospacing="0" w:after="0" w:afterAutospacing="0"/>
        <w:rPr>
          <w:sz w:val="20"/>
          <w:szCs w:val="20"/>
        </w:rPr>
      </w:pPr>
      <w:r w:rsidRPr="00C6642F">
        <w:rPr>
          <w:sz w:val="20"/>
          <w:szCs w:val="20"/>
        </w:rPr>
        <w:t xml:space="preserve">Accumulated other comprehensive loss in the accompanying consolidated balance sheets consists of the following (in millions): </w:t>
      </w:r>
    </w:p>
    <w:tbl>
      <w:tblPr>
        <w:tblW w:w="5000" w:type="pct"/>
        <w:tblCellMar>
          <w:left w:w="0" w:type="dxa"/>
          <w:right w:w="0" w:type="dxa"/>
        </w:tblCellMar>
        <w:tblLook w:val="04A0" w:firstRow="1" w:lastRow="0" w:firstColumn="1" w:lastColumn="0" w:noHBand="0" w:noVBand="1"/>
      </w:tblPr>
      <w:tblGrid>
        <w:gridCol w:w="6103"/>
        <w:gridCol w:w="371"/>
        <w:gridCol w:w="1683"/>
        <w:gridCol w:w="588"/>
        <w:gridCol w:w="372"/>
        <w:gridCol w:w="1683"/>
      </w:tblGrid>
      <w:tr w:rsidR="0018024C" w:rsidRPr="00C6642F" w:rsidTr="0018024C">
        <w:trPr>
          <w:trHeight w:hRule="exact" w:val="20"/>
        </w:trPr>
        <w:tc>
          <w:tcPr>
            <w:tcW w:w="2825"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72"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779"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272"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72"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779"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r>
      <w:tr w:rsidR="0018024C" w:rsidRPr="00C6642F" w:rsidTr="0018024C">
        <w:trPr>
          <w:trHeight w:hRule="exact" w:val="255"/>
        </w:trPr>
        <w:tc>
          <w:tcPr>
            <w:tcW w:w="2825"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color w:val="000000"/>
                <w:sz w:val="20"/>
              </w:rPr>
            </w:pPr>
          </w:p>
        </w:tc>
        <w:tc>
          <w:tcPr>
            <w:tcW w:w="172"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color w:val="000000"/>
                <w:sz w:val="20"/>
              </w:rPr>
            </w:pPr>
          </w:p>
        </w:tc>
        <w:tc>
          <w:tcPr>
            <w:tcW w:w="779"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color w:val="000000"/>
                <w:sz w:val="20"/>
              </w:rPr>
            </w:pPr>
          </w:p>
        </w:tc>
        <w:tc>
          <w:tcPr>
            <w:tcW w:w="272"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color w:val="000000"/>
                <w:sz w:val="20"/>
              </w:rPr>
            </w:pPr>
          </w:p>
        </w:tc>
        <w:tc>
          <w:tcPr>
            <w:tcW w:w="172"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color w:val="000000"/>
                <w:sz w:val="20"/>
              </w:rPr>
            </w:pPr>
          </w:p>
        </w:tc>
        <w:tc>
          <w:tcPr>
            <w:tcW w:w="779"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color w:val="000000"/>
                <w:sz w:val="20"/>
              </w:rPr>
            </w:pPr>
          </w:p>
        </w:tc>
      </w:tr>
      <w:tr w:rsidR="0018024C" w:rsidRPr="00C6642F" w:rsidTr="0018024C">
        <w:trPr>
          <w:trHeight w:hRule="exact" w:val="315"/>
        </w:trPr>
        <w:tc>
          <w:tcPr>
            <w:tcW w:w="2825"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color w:val="000000"/>
                <w:sz w:val="20"/>
              </w:rPr>
            </w:pPr>
            <w:r w:rsidRPr="00C6642F">
              <w:rPr>
                <w:b/>
                <w:color w:val="000000"/>
                <w:sz w:val="20"/>
              </w:rPr>
              <w:t xml:space="preserve">December 31, </w:t>
            </w:r>
          </w:p>
        </w:tc>
      </w:tr>
      <w:tr w:rsidR="0018024C" w:rsidRPr="00C6642F" w:rsidTr="0018024C">
        <w:trPr>
          <w:trHeight w:hRule="exact" w:val="315"/>
        </w:trPr>
        <w:tc>
          <w:tcPr>
            <w:tcW w:w="2825"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color w:val="000000"/>
                <w:sz w:val="20"/>
              </w:rPr>
            </w:pPr>
            <w:r w:rsidRPr="00C6642F">
              <w:rPr>
                <w:b/>
                <w:color w:val="000000"/>
                <w:sz w:val="20"/>
              </w:rPr>
              <w:t>2019</w:t>
            </w:r>
          </w:p>
        </w:tc>
        <w:tc>
          <w:tcPr>
            <w:tcW w:w="272"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spacing w:before="1" w:after="1"/>
              <w:jc w:val="center"/>
              <w:rPr>
                <w:b/>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color w:val="000000"/>
                <w:sz w:val="20"/>
              </w:rPr>
            </w:pPr>
            <w:r w:rsidRPr="00C6642F">
              <w:rPr>
                <w:b/>
                <w:color w:val="000000"/>
                <w:sz w:val="20"/>
              </w:rPr>
              <w:t>2018</w:t>
            </w:r>
          </w:p>
        </w:tc>
      </w:tr>
      <w:tr w:rsidR="0018024C" w:rsidRPr="00C6642F" w:rsidTr="0018024C">
        <w:trPr>
          <w:trHeight w:hRule="exact" w:val="255"/>
        </w:trPr>
        <w:tc>
          <w:tcPr>
            <w:tcW w:w="282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Currency translation adjustments</w:t>
            </w:r>
          </w:p>
        </w:tc>
        <w:tc>
          <w:tcPr>
            <w:tcW w:w="17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77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jc w:val="right"/>
              <w:rPr>
                <w:b/>
                <w:color w:val="000000"/>
                <w:sz w:val="20"/>
              </w:rPr>
            </w:pPr>
            <w:r w:rsidRPr="00C6642F">
              <w:rPr>
                <w:b/>
                <w:color w:val="000000"/>
                <w:sz w:val="20"/>
              </w:rPr>
              <w:t xml:space="preserve"> (224)</w:t>
            </w:r>
          </w:p>
        </w:tc>
        <w:tc>
          <w:tcPr>
            <w:tcW w:w="27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7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779"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3"/>
              <w:jc w:val="right"/>
              <w:rPr>
                <w:color w:val="000000"/>
                <w:sz w:val="20"/>
              </w:rPr>
            </w:pPr>
            <w:r w:rsidRPr="00C6642F">
              <w:rPr>
                <w:color w:val="000000"/>
                <w:sz w:val="20"/>
              </w:rPr>
              <w:t xml:space="preserve"> (229)</w:t>
            </w:r>
          </w:p>
        </w:tc>
      </w:tr>
      <w:tr w:rsidR="0018024C" w:rsidRPr="00C6642F" w:rsidTr="0018024C">
        <w:trPr>
          <w:trHeight w:hRule="exact" w:val="255"/>
        </w:trPr>
        <w:tc>
          <w:tcPr>
            <w:tcW w:w="282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Hedge accounting adjustments</w:t>
            </w:r>
          </w:p>
        </w:tc>
        <w:tc>
          <w:tcPr>
            <w:tcW w:w="172"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779" w:type="pct"/>
            <w:tcBorders>
              <w:top w:val="nil"/>
              <w:left w:val="nil"/>
              <w:bottom w:val="nil"/>
              <w:right w:val="nil"/>
              <w:tl2br w:val="nil"/>
              <w:tr2bl w:val="nil"/>
            </w:tcBorders>
            <w:vAlign w:val="bottom"/>
          </w:tcPr>
          <w:p w:rsidR="0018024C" w:rsidRPr="00C6642F" w:rsidRDefault="0018024C" w:rsidP="0018024C">
            <w:pPr>
              <w:keepNext/>
              <w:keepLines/>
              <w:spacing w:before="1" w:after="1"/>
              <w:jc w:val="right"/>
              <w:rPr>
                <w:b/>
                <w:color w:val="000000"/>
                <w:sz w:val="20"/>
              </w:rPr>
            </w:pPr>
            <w:r w:rsidRPr="00C6642F">
              <w:rPr>
                <w:b/>
                <w:color w:val="000000"/>
                <w:sz w:val="20"/>
              </w:rPr>
              <w:t xml:space="preserve"> (7)</w:t>
            </w:r>
          </w:p>
        </w:tc>
        <w:tc>
          <w:tcPr>
            <w:tcW w:w="272"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72"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779"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3"/>
              <w:jc w:val="right"/>
              <w:rPr>
                <w:color w:val="000000"/>
                <w:sz w:val="20"/>
              </w:rPr>
            </w:pPr>
            <w:r w:rsidRPr="00C6642F">
              <w:rPr>
                <w:color w:val="000000"/>
                <w:sz w:val="20"/>
              </w:rPr>
              <w:t xml:space="preserve"> (2)</w:t>
            </w:r>
          </w:p>
        </w:tc>
      </w:tr>
      <w:tr w:rsidR="0018024C" w:rsidRPr="00C6642F" w:rsidTr="0018024C">
        <w:trPr>
          <w:trHeight w:hRule="exact" w:val="255"/>
        </w:trPr>
        <w:tc>
          <w:tcPr>
            <w:tcW w:w="282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Other adjustments</w:t>
            </w:r>
          </w:p>
        </w:tc>
        <w:tc>
          <w:tcPr>
            <w:tcW w:w="172"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779"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jc w:val="right"/>
              <w:rPr>
                <w:b/>
                <w:color w:val="000000"/>
                <w:sz w:val="20"/>
              </w:rPr>
            </w:pPr>
            <w:r w:rsidRPr="00C6642F">
              <w:rPr>
                <w:b/>
                <w:color w:val="000000"/>
                <w:sz w:val="20"/>
              </w:rPr>
              <w:t xml:space="preserve"> (1)</w:t>
            </w:r>
          </w:p>
        </w:tc>
        <w:tc>
          <w:tcPr>
            <w:tcW w:w="27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72"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779"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keepNext/>
              <w:keepLines/>
              <w:spacing w:before="1" w:after="1"/>
              <w:ind w:right="3"/>
              <w:jc w:val="right"/>
              <w:rPr>
                <w:color w:val="000000"/>
                <w:sz w:val="20"/>
              </w:rPr>
            </w:pPr>
            <w:r w:rsidRPr="00C6642F">
              <w:rPr>
                <w:color w:val="000000"/>
                <w:sz w:val="20"/>
              </w:rPr>
              <w:t xml:space="preserve"> (1)</w:t>
            </w:r>
          </w:p>
        </w:tc>
      </w:tr>
      <w:tr w:rsidR="0018024C" w:rsidRPr="00C6642F" w:rsidTr="0018024C">
        <w:trPr>
          <w:trHeight w:hRule="exact" w:val="255"/>
        </w:trPr>
        <w:tc>
          <w:tcPr>
            <w:tcW w:w="282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Accumulated other comprehensive loss</w:t>
            </w:r>
          </w:p>
        </w:tc>
        <w:tc>
          <w:tcPr>
            <w:tcW w:w="172"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779"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spacing w:before="1" w:after="1"/>
              <w:jc w:val="right"/>
              <w:rPr>
                <w:b/>
                <w:color w:val="000000"/>
                <w:sz w:val="20"/>
              </w:rPr>
            </w:pPr>
            <w:r w:rsidRPr="00C6642F">
              <w:rPr>
                <w:b/>
                <w:color w:val="000000"/>
                <w:sz w:val="20"/>
              </w:rPr>
              <w:t xml:space="preserve"> (232)</w:t>
            </w:r>
          </w:p>
        </w:tc>
        <w:tc>
          <w:tcPr>
            <w:tcW w:w="272"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72"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779"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keepNext/>
              <w:keepLines/>
              <w:spacing w:before="1" w:after="1"/>
              <w:ind w:right="3"/>
              <w:jc w:val="right"/>
              <w:rPr>
                <w:color w:val="000000"/>
                <w:sz w:val="20"/>
              </w:rPr>
            </w:pPr>
            <w:r w:rsidRPr="00C6642F">
              <w:rPr>
                <w:color w:val="000000"/>
                <w:sz w:val="20"/>
              </w:rPr>
              <w:t xml:space="preserve"> (232)</w:t>
            </w:r>
          </w:p>
        </w:tc>
      </w:tr>
      <w:tr w:rsidR="0018024C" w:rsidRPr="00C6642F" w:rsidTr="0018024C">
        <w:trPr>
          <w:trHeight w:hRule="exact" w:val="255"/>
        </w:trPr>
        <w:tc>
          <w:tcPr>
            <w:tcW w:w="282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72" w:type="pct"/>
            <w:tcBorders>
              <w:top w:val="doub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779" w:type="pct"/>
            <w:tcBorders>
              <w:top w:val="doub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272"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72" w:type="pct"/>
            <w:tcBorders>
              <w:top w:val="doub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779" w:type="pct"/>
            <w:tcBorders>
              <w:top w:val="doub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r>
    </w:tbl>
    <w:p w:rsidR="000121CD" w:rsidRPr="00C6642F" w:rsidRDefault="00590862">
      <w:pPr>
        <w:pStyle w:val="NormalWeb"/>
        <w:keepNext/>
        <w:spacing w:before="0" w:beforeAutospacing="0" w:after="0" w:afterAutospacing="0"/>
        <w:rPr>
          <w:sz w:val="18"/>
          <w:szCs w:val="18"/>
        </w:rPr>
      </w:pPr>
      <w:r w:rsidRPr="00C6642F">
        <w:rPr>
          <w:b/>
          <w:bCs/>
          <w:sz w:val="20"/>
          <w:szCs w:val="20"/>
          <w:u w:val="single"/>
        </w:rPr>
        <w:t xml:space="preserve">Earnings per Share </w:t>
      </w:r>
    </w:p>
    <w:p w:rsidR="000121CD" w:rsidRPr="00C6642F" w:rsidRDefault="00590862">
      <w:pPr>
        <w:pStyle w:val="NormalWeb"/>
        <w:keepNext/>
        <w:spacing w:before="90" w:beforeAutospacing="0" w:after="0" w:afterAutospacing="0"/>
        <w:rPr>
          <w:sz w:val="20"/>
          <w:szCs w:val="20"/>
        </w:rPr>
      </w:pPr>
      <w:r w:rsidRPr="00C6642F">
        <w:rPr>
          <w:sz w:val="20"/>
          <w:szCs w:val="20"/>
        </w:rPr>
        <w:t xml:space="preserve">Earnings per share are calculated in the table below (in millions, except per share amounts): </w:t>
      </w:r>
    </w:p>
    <w:p w:rsidR="000121CD" w:rsidRPr="00C6642F" w:rsidRDefault="000121CD">
      <w:pPr>
        <w:pStyle w:val="NormalWeb"/>
        <w:keepNext/>
        <w:spacing w:before="90" w:beforeAutospacing="0" w:after="0" w:afterAutospacing="0"/>
        <w:rPr>
          <w:sz w:val="20"/>
          <w:szCs w:val="20"/>
        </w:rPr>
      </w:pPr>
    </w:p>
    <w:p w:rsidR="000121CD" w:rsidRPr="00C6642F" w:rsidRDefault="000121CD">
      <w:pPr>
        <w:pStyle w:val="NormalWeb"/>
        <w:keepNext/>
        <w:spacing w:before="0" w:beforeAutospacing="0" w:after="0" w:afterAutospacing="0"/>
        <w:rPr>
          <w:sz w:val="2"/>
        </w:rPr>
      </w:pPr>
    </w:p>
    <w:tbl>
      <w:tblPr>
        <w:tblW w:w="5000" w:type="pct"/>
        <w:tblCellMar>
          <w:left w:w="0" w:type="dxa"/>
          <w:right w:w="0" w:type="dxa"/>
        </w:tblCellMar>
        <w:tblLook w:val="04A0" w:firstRow="1" w:lastRow="0" w:firstColumn="1" w:lastColumn="0" w:noHBand="0" w:noVBand="1"/>
      </w:tblPr>
      <w:tblGrid>
        <w:gridCol w:w="5036"/>
        <w:gridCol w:w="307"/>
        <w:gridCol w:w="1389"/>
        <w:gridCol w:w="484"/>
        <w:gridCol w:w="307"/>
        <w:gridCol w:w="1389"/>
        <w:gridCol w:w="194"/>
        <w:gridCol w:w="307"/>
        <w:gridCol w:w="1387"/>
      </w:tblGrid>
      <w:tr w:rsidR="0018024C" w:rsidRPr="00C6642F" w:rsidTr="0018024C">
        <w:trPr>
          <w:trHeight w:hRule="exact" w:val="20"/>
        </w:trPr>
        <w:tc>
          <w:tcPr>
            <w:tcW w:w="2331"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142"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643"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224"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142"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643"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90"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142"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c>
          <w:tcPr>
            <w:tcW w:w="642" w:type="pct"/>
            <w:tcBorders>
              <w:top w:val="nil"/>
              <w:left w:val="nil"/>
              <w:bottom w:val="nil"/>
              <w:right w:val="nil"/>
            </w:tcBorders>
            <w:shd w:val="clear" w:color="auto" w:fill="auto"/>
            <w:vAlign w:val="bottom"/>
          </w:tcPr>
          <w:p w:rsidR="0018024C" w:rsidRPr="00C6642F" w:rsidRDefault="0018024C" w:rsidP="0018024C">
            <w:pPr>
              <w:keepNext/>
              <w:spacing w:after="1"/>
              <w:rPr>
                <w:sz w:val="2"/>
              </w:rPr>
            </w:pPr>
          </w:p>
        </w:tc>
      </w:tr>
      <w:tr w:rsidR="0018024C" w:rsidRPr="00C6642F" w:rsidTr="0018024C">
        <w:trPr>
          <w:trHeight w:hRule="exact" w:val="315"/>
        </w:trPr>
        <w:tc>
          <w:tcPr>
            <w:tcW w:w="2331"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color w:val="000000"/>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spacing w:after="1"/>
              <w:jc w:val="center"/>
              <w:rPr>
                <w:b/>
                <w:color w:val="000000"/>
                <w:sz w:val="20"/>
              </w:rPr>
            </w:pPr>
            <w:r w:rsidRPr="00C6642F">
              <w:rPr>
                <w:b/>
                <w:color w:val="000000"/>
                <w:sz w:val="20"/>
              </w:rPr>
              <w:t>Year Ended December 31,</w:t>
            </w:r>
          </w:p>
        </w:tc>
      </w:tr>
      <w:tr w:rsidR="0018024C" w:rsidRPr="00C6642F" w:rsidTr="0018024C">
        <w:trPr>
          <w:trHeight w:hRule="exact" w:val="315"/>
        </w:trPr>
        <w:tc>
          <w:tcPr>
            <w:tcW w:w="2331" w:type="pct"/>
            <w:tcBorders>
              <w:top w:val="nil"/>
              <w:left w:val="nil"/>
              <w:bottom w:val="nil"/>
              <w:right w:val="nil"/>
              <w:tl2br w:val="nil"/>
              <w:tr2bl w:val="nil"/>
            </w:tcBorders>
            <w:shd w:val="clear" w:color="auto" w:fill="auto"/>
            <w:vAlign w:val="bottom"/>
          </w:tcPr>
          <w:p w:rsidR="0018024C" w:rsidRPr="00C6642F" w:rsidRDefault="0018024C" w:rsidP="0018024C">
            <w:pPr>
              <w:keepNext/>
              <w:spacing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spacing w:after="1"/>
              <w:jc w:val="center"/>
              <w:rPr>
                <w:b/>
                <w:color w:val="000000"/>
                <w:sz w:val="20"/>
              </w:rPr>
            </w:pPr>
            <w:r w:rsidRPr="00C6642F">
              <w:rPr>
                <w:b/>
                <w:color w:val="000000"/>
                <w:sz w:val="20"/>
              </w:rPr>
              <w:t>2019</w:t>
            </w:r>
          </w:p>
        </w:tc>
        <w:tc>
          <w:tcPr>
            <w:tcW w:w="224"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spacing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spacing w:after="1"/>
              <w:jc w:val="center"/>
              <w:rPr>
                <w:b/>
                <w:color w:val="000000"/>
                <w:sz w:val="20"/>
              </w:rPr>
            </w:pPr>
            <w:r w:rsidRPr="00C6642F">
              <w:rPr>
                <w:b/>
                <w:color w:val="000000"/>
                <w:sz w:val="20"/>
              </w:rPr>
              <w:t>2018</w:t>
            </w:r>
          </w:p>
        </w:tc>
        <w:tc>
          <w:tcPr>
            <w:tcW w:w="90"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spacing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spacing w:after="1"/>
              <w:jc w:val="center"/>
              <w:rPr>
                <w:b/>
                <w:color w:val="000000"/>
                <w:sz w:val="20"/>
              </w:rPr>
            </w:pPr>
            <w:r w:rsidRPr="00C6642F">
              <w:rPr>
                <w:b/>
                <w:color w:val="000000"/>
                <w:sz w:val="20"/>
              </w:rPr>
              <w:t>2017</w:t>
            </w:r>
          </w:p>
        </w:tc>
      </w:tr>
      <w:tr w:rsidR="0018024C" w:rsidRPr="00C6642F" w:rsidTr="0018024C">
        <w:trPr>
          <w:trHeight w:hRule="exact" w:val="255"/>
        </w:trPr>
        <w:tc>
          <w:tcPr>
            <w:tcW w:w="233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r w:rsidRPr="00C6642F">
              <w:rPr>
                <w:color w:val="000000"/>
                <w:sz w:val="20"/>
              </w:rPr>
              <w:t>Net income attributable to common stockholders</w:t>
            </w: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rPr>
                <w:color w:val="000000"/>
                <w:sz w:val="20"/>
              </w:rPr>
            </w:pPr>
            <w:r w:rsidRPr="00C6642F">
              <w:rPr>
                <w:color w:val="000000"/>
                <w:sz w:val="2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ind w:right="63"/>
              <w:jc w:val="right"/>
              <w:rPr>
                <w:b/>
                <w:color w:val="000000"/>
                <w:sz w:val="20"/>
              </w:rPr>
            </w:pPr>
            <w:r w:rsidRPr="00C6642F">
              <w:rPr>
                <w:b/>
                <w:color w:val="000000"/>
                <w:sz w:val="20"/>
              </w:rPr>
              <w:t xml:space="preserve"> 15</w:t>
            </w:r>
          </w:p>
        </w:tc>
        <w:tc>
          <w:tcPr>
            <w:tcW w:w="224"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rPr>
                <w:color w:val="000000"/>
                <w:sz w:val="20"/>
              </w:rPr>
            </w:pPr>
            <w:r w:rsidRPr="00C6642F">
              <w:rPr>
                <w:color w:val="000000"/>
                <w:sz w:val="2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ind w:right="65"/>
              <w:jc w:val="right"/>
              <w:rPr>
                <w:color w:val="000000"/>
                <w:sz w:val="20"/>
              </w:rPr>
            </w:pPr>
            <w:r w:rsidRPr="00C6642F">
              <w:rPr>
                <w:color w:val="000000"/>
                <w:sz w:val="20"/>
              </w:rPr>
              <w:t xml:space="preserve"> 50</w:t>
            </w:r>
          </w:p>
        </w:tc>
        <w:tc>
          <w:tcPr>
            <w:tcW w:w="9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rPr>
                <w:color w:val="000000"/>
                <w:sz w:val="20"/>
              </w:rPr>
            </w:pPr>
            <w:r w:rsidRPr="00C6642F">
              <w:rPr>
                <w:color w:val="000000"/>
                <w:sz w:val="20"/>
              </w:rPr>
              <w:t>$</w:t>
            </w:r>
          </w:p>
        </w:tc>
        <w:tc>
          <w:tcPr>
            <w:tcW w:w="642"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ind w:right="65"/>
              <w:jc w:val="right"/>
              <w:rPr>
                <w:color w:val="000000"/>
                <w:sz w:val="20"/>
              </w:rPr>
            </w:pPr>
            <w:r w:rsidRPr="00C6642F">
              <w:rPr>
                <w:color w:val="000000"/>
                <w:sz w:val="20"/>
              </w:rPr>
              <w:t xml:space="preserve"> 26</w:t>
            </w:r>
          </w:p>
        </w:tc>
      </w:tr>
      <w:tr w:rsidR="0018024C" w:rsidRPr="00C6642F" w:rsidTr="0018024C">
        <w:trPr>
          <w:trHeight w:hRule="exact" w:val="255"/>
        </w:trPr>
        <w:tc>
          <w:tcPr>
            <w:tcW w:w="2331" w:type="pct"/>
            <w:tcBorders>
              <w:top w:val="nil"/>
              <w:left w:val="nil"/>
              <w:bottom w:val="nil"/>
              <w:right w:val="nil"/>
              <w:tl2br w:val="nil"/>
              <w:tr2bl w:val="nil"/>
            </w:tcBorders>
            <w:vAlign w:val="bottom"/>
          </w:tcPr>
          <w:p w:rsidR="0018024C" w:rsidRPr="00C6642F" w:rsidRDefault="0018024C" w:rsidP="0018024C">
            <w:pPr>
              <w:keepNext/>
              <w:spacing w:after="1"/>
              <w:rPr>
                <w:color w:val="000000"/>
                <w:sz w:val="20"/>
              </w:rPr>
            </w:pPr>
          </w:p>
        </w:tc>
        <w:tc>
          <w:tcPr>
            <w:tcW w:w="142"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color w:val="000000"/>
                <w:sz w:val="20"/>
              </w:rPr>
            </w:pPr>
          </w:p>
        </w:tc>
        <w:tc>
          <w:tcPr>
            <w:tcW w:w="643"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b/>
                <w:color w:val="000000"/>
                <w:sz w:val="20"/>
              </w:rPr>
            </w:pPr>
          </w:p>
        </w:tc>
        <w:tc>
          <w:tcPr>
            <w:tcW w:w="224" w:type="pct"/>
            <w:tcBorders>
              <w:top w:val="nil"/>
              <w:left w:val="nil"/>
              <w:bottom w:val="nil"/>
              <w:right w:val="nil"/>
              <w:tl2br w:val="nil"/>
              <w:tr2bl w:val="nil"/>
            </w:tcBorders>
            <w:vAlign w:val="bottom"/>
          </w:tcPr>
          <w:p w:rsidR="0018024C" w:rsidRPr="00C6642F" w:rsidRDefault="0018024C" w:rsidP="0018024C">
            <w:pPr>
              <w:keepNext/>
              <w:spacing w:after="1"/>
              <w:rPr>
                <w:color w:val="000000"/>
                <w:sz w:val="20"/>
              </w:rPr>
            </w:pPr>
          </w:p>
        </w:tc>
        <w:tc>
          <w:tcPr>
            <w:tcW w:w="142"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color w:val="000000"/>
                <w:sz w:val="20"/>
              </w:rPr>
            </w:pPr>
          </w:p>
        </w:tc>
        <w:tc>
          <w:tcPr>
            <w:tcW w:w="643"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b/>
                <w:color w:val="000000"/>
                <w:sz w:val="20"/>
              </w:rPr>
            </w:pPr>
          </w:p>
        </w:tc>
        <w:tc>
          <w:tcPr>
            <w:tcW w:w="90" w:type="pct"/>
            <w:tcBorders>
              <w:top w:val="nil"/>
              <w:left w:val="nil"/>
              <w:bottom w:val="nil"/>
              <w:right w:val="nil"/>
              <w:tl2br w:val="nil"/>
              <w:tr2bl w:val="nil"/>
            </w:tcBorders>
            <w:vAlign w:val="bottom"/>
          </w:tcPr>
          <w:p w:rsidR="0018024C" w:rsidRPr="00C6642F" w:rsidRDefault="0018024C" w:rsidP="0018024C">
            <w:pPr>
              <w:keepNext/>
              <w:spacing w:after="1"/>
              <w:rPr>
                <w:color w:val="000000"/>
                <w:sz w:val="20"/>
              </w:rPr>
            </w:pPr>
          </w:p>
        </w:tc>
        <w:tc>
          <w:tcPr>
            <w:tcW w:w="142"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color w:val="000000"/>
                <w:sz w:val="20"/>
              </w:rPr>
            </w:pPr>
          </w:p>
        </w:tc>
        <w:tc>
          <w:tcPr>
            <w:tcW w:w="642"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color w:val="000000"/>
                <w:sz w:val="20"/>
              </w:rPr>
            </w:pPr>
          </w:p>
        </w:tc>
      </w:tr>
      <w:tr w:rsidR="0018024C" w:rsidRPr="00C6642F" w:rsidTr="0018024C">
        <w:trPr>
          <w:trHeight w:hRule="exact" w:val="255"/>
        </w:trPr>
        <w:tc>
          <w:tcPr>
            <w:tcW w:w="233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r w:rsidRPr="00C6642F">
              <w:rPr>
                <w:color w:val="000000"/>
                <w:sz w:val="20"/>
              </w:rPr>
              <w:t>Average basic shares outstanding</w:t>
            </w:r>
          </w:p>
        </w:tc>
        <w:tc>
          <w:tcPr>
            <w:tcW w:w="14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643"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ind w:right="63"/>
              <w:jc w:val="right"/>
              <w:rPr>
                <w:b/>
                <w:color w:val="000000"/>
                <w:sz w:val="20"/>
              </w:rPr>
            </w:pPr>
            <w:r w:rsidRPr="00C6642F">
              <w:rPr>
                <w:b/>
                <w:color w:val="000000"/>
                <w:sz w:val="20"/>
              </w:rPr>
              <w:t xml:space="preserve"> 83.0</w:t>
            </w:r>
          </w:p>
        </w:tc>
        <w:tc>
          <w:tcPr>
            <w:tcW w:w="224"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14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643"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ind w:right="65"/>
              <w:jc w:val="right"/>
              <w:rPr>
                <w:color w:val="000000"/>
                <w:sz w:val="20"/>
              </w:rPr>
            </w:pPr>
            <w:r w:rsidRPr="00C6642F">
              <w:rPr>
                <w:color w:val="000000"/>
                <w:sz w:val="20"/>
              </w:rPr>
              <w:t xml:space="preserve"> 90.1</w:t>
            </w:r>
          </w:p>
        </w:tc>
        <w:tc>
          <w:tcPr>
            <w:tcW w:w="9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14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64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ind w:right="65"/>
              <w:jc w:val="right"/>
              <w:rPr>
                <w:color w:val="000000"/>
                <w:sz w:val="20"/>
              </w:rPr>
            </w:pPr>
            <w:r w:rsidRPr="00C6642F">
              <w:rPr>
                <w:color w:val="000000"/>
                <w:sz w:val="20"/>
              </w:rPr>
              <w:t xml:space="preserve"> 94.3</w:t>
            </w:r>
          </w:p>
        </w:tc>
      </w:tr>
      <w:tr w:rsidR="0018024C" w:rsidRPr="00C6642F" w:rsidTr="0018024C">
        <w:trPr>
          <w:trHeight w:hRule="exact" w:val="255"/>
        </w:trPr>
        <w:tc>
          <w:tcPr>
            <w:tcW w:w="2331" w:type="pct"/>
            <w:tcBorders>
              <w:top w:val="nil"/>
              <w:left w:val="nil"/>
              <w:bottom w:val="nil"/>
              <w:right w:val="nil"/>
              <w:tl2br w:val="nil"/>
              <w:tr2bl w:val="nil"/>
            </w:tcBorders>
            <w:vAlign w:val="bottom"/>
          </w:tcPr>
          <w:p w:rsidR="0018024C" w:rsidRPr="00C6642F" w:rsidRDefault="0018024C" w:rsidP="0018024C">
            <w:pPr>
              <w:keepNext/>
              <w:spacing w:after="1"/>
              <w:rPr>
                <w:color w:val="000000"/>
                <w:sz w:val="20"/>
              </w:rPr>
            </w:pPr>
            <w:r w:rsidRPr="00C6642F">
              <w:rPr>
                <w:color w:val="000000"/>
                <w:sz w:val="20"/>
              </w:rPr>
              <w:t>Effect of dilutive securities</w:t>
            </w:r>
          </w:p>
        </w:tc>
        <w:tc>
          <w:tcPr>
            <w:tcW w:w="142"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rPr>
                <w:color w:val="000000"/>
                <w:sz w:val="20"/>
              </w:rPr>
            </w:pPr>
          </w:p>
        </w:tc>
        <w:tc>
          <w:tcPr>
            <w:tcW w:w="643"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ind w:right="63"/>
              <w:jc w:val="right"/>
              <w:rPr>
                <w:b/>
                <w:color w:val="000000"/>
                <w:sz w:val="20"/>
              </w:rPr>
            </w:pPr>
            <w:r w:rsidRPr="00C6642F">
              <w:rPr>
                <w:b/>
                <w:color w:val="000000"/>
                <w:sz w:val="20"/>
              </w:rPr>
              <w:t xml:space="preserve"> 0.9</w:t>
            </w:r>
          </w:p>
        </w:tc>
        <w:tc>
          <w:tcPr>
            <w:tcW w:w="224" w:type="pct"/>
            <w:tcBorders>
              <w:top w:val="nil"/>
              <w:left w:val="nil"/>
              <w:bottom w:val="nil"/>
              <w:right w:val="nil"/>
              <w:tl2br w:val="nil"/>
              <w:tr2bl w:val="nil"/>
            </w:tcBorders>
            <w:vAlign w:val="bottom"/>
          </w:tcPr>
          <w:p w:rsidR="0018024C" w:rsidRPr="00C6642F" w:rsidRDefault="0018024C" w:rsidP="0018024C">
            <w:pPr>
              <w:keepNext/>
              <w:spacing w:after="1"/>
              <w:rPr>
                <w:color w:val="000000"/>
                <w:sz w:val="20"/>
              </w:rPr>
            </w:pPr>
          </w:p>
        </w:tc>
        <w:tc>
          <w:tcPr>
            <w:tcW w:w="142"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rPr>
                <w:color w:val="000000"/>
                <w:sz w:val="20"/>
              </w:rPr>
            </w:pPr>
          </w:p>
        </w:tc>
        <w:tc>
          <w:tcPr>
            <w:tcW w:w="643"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ind w:right="65"/>
              <w:jc w:val="right"/>
              <w:rPr>
                <w:color w:val="000000"/>
                <w:sz w:val="20"/>
              </w:rPr>
            </w:pPr>
            <w:r w:rsidRPr="00C6642F">
              <w:rPr>
                <w:color w:val="000000"/>
                <w:sz w:val="20"/>
              </w:rPr>
              <w:t xml:space="preserve"> 1.7</w:t>
            </w:r>
          </w:p>
        </w:tc>
        <w:tc>
          <w:tcPr>
            <w:tcW w:w="90" w:type="pct"/>
            <w:tcBorders>
              <w:top w:val="nil"/>
              <w:left w:val="nil"/>
              <w:bottom w:val="nil"/>
              <w:right w:val="nil"/>
              <w:tl2br w:val="nil"/>
              <w:tr2bl w:val="nil"/>
            </w:tcBorders>
            <w:vAlign w:val="bottom"/>
          </w:tcPr>
          <w:p w:rsidR="0018024C" w:rsidRPr="00C6642F" w:rsidRDefault="0018024C" w:rsidP="0018024C">
            <w:pPr>
              <w:keepNext/>
              <w:spacing w:after="1"/>
              <w:rPr>
                <w:color w:val="000000"/>
                <w:sz w:val="20"/>
              </w:rPr>
            </w:pPr>
          </w:p>
        </w:tc>
        <w:tc>
          <w:tcPr>
            <w:tcW w:w="142"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rPr>
                <w:color w:val="000000"/>
                <w:sz w:val="20"/>
              </w:rPr>
            </w:pPr>
          </w:p>
        </w:tc>
        <w:tc>
          <w:tcPr>
            <w:tcW w:w="642" w:type="pct"/>
            <w:tcBorders>
              <w:top w:val="nil"/>
              <w:left w:val="nil"/>
              <w:bottom w:val="single" w:sz="12" w:space="0" w:color="000000"/>
              <w:right w:val="nil"/>
              <w:tl2br w:val="nil"/>
              <w:tr2bl w:val="nil"/>
            </w:tcBorders>
            <w:vAlign w:val="bottom"/>
          </w:tcPr>
          <w:p w:rsidR="0018024C" w:rsidRPr="00C6642F" w:rsidRDefault="0018024C" w:rsidP="0018024C">
            <w:pPr>
              <w:keepNext/>
              <w:spacing w:after="1"/>
              <w:ind w:right="65"/>
              <w:jc w:val="right"/>
              <w:rPr>
                <w:color w:val="000000"/>
                <w:sz w:val="20"/>
              </w:rPr>
            </w:pPr>
            <w:r w:rsidRPr="00C6642F">
              <w:rPr>
                <w:color w:val="000000"/>
                <w:sz w:val="20"/>
              </w:rPr>
              <w:t xml:space="preserve"> 1.3</w:t>
            </w:r>
          </w:p>
        </w:tc>
      </w:tr>
      <w:tr w:rsidR="0018024C" w:rsidRPr="00C6642F" w:rsidTr="0018024C">
        <w:trPr>
          <w:trHeight w:hRule="exact" w:val="255"/>
        </w:trPr>
        <w:tc>
          <w:tcPr>
            <w:tcW w:w="233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r w:rsidRPr="00C6642F">
              <w:rPr>
                <w:color w:val="000000"/>
                <w:sz w:val="20"/>
              </w:rPr>
              <w:t>Average diluted shares outstanding</w:t>
            </w: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ind w:right="63"/>
              <w:jc w:val="right"/>
              <w:rPr>
                <w:b/>
                <w:color w:val="000000"/>
                <w:sz w:val="20"/>
              </w:rPr>
            </w:pPr>
            <w:r w:rsidRPr="00C6642F">
              <w:rPr>
                <w:b/>
                <w:color w:val="000000"/>
                <w:sz w:val="20"/>
              </w:rPr>
              <w:t xml:space="preserve"> 83.9</w:t>
            </w:r>
          </w:p>
        </w:tc>
        <w:tc>
          <w:tcPr>
            <w:tcW w:w="224"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ind w:right="65"/>
              <w:jc w:val="right"/>
              <w:rPr>
                <w:color w:val="000000"/>
                <w:sz w:val="20"/>
              </w:rPr>
            </w:pPr>
            <w:r w:rsidRPr="00C6642F">
              <w:rPr>
                <w:color w:val="000000"/>
                <w:sz w:val="20"/>
              </w:rPr>
              <w:t xml:space="preserve"> 91.8</w:t>
            </w:r>
          </w:p>
        </w:tc>
        <w:tc>
          <w:tcPr>
            <w:tcW w:w="9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642"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spacing w:after="1"/>
              <w:ind w:right="65"/>
              <w:jc w:val="right"/>
              <w:rPr>
                <w:color w:val="000000"/>
                <w:sz w:val="20"/>
              </w:rPr>
            </w:pPr>
            <w:r w:rsidRPr="00C6642F">
              <w:rPr>
                <w:color w:val="000000"/>
                <w:sz w:val="20"/>
              </w:rPr>
              <w:t xml:space="preserve"> 95.6</w:t>
            </w:r>
          </w:p>
        </w:tc>
      </w:tr>
      <w:tr w:rsidR="0018024C" w:rsidRPr="00C6642F" w:rsidTr="0018024C">
        <w:trPr>
          <w:trHeight w:hRule="exact" w:val="255"/>
        </w:trPr>
        <w:tc>
          <w:tcPr>
            <w:tcW w:w="2331" w:type="pct"/>
            <w:tcBorders>
              <w:top w:val="nil"/>
              <w:left w:val="nil"/>
              <w:bottom w:val="nil"/>
              <w:right w:val="nil"/>
              <w:tl2br w:val="nil"/>
              <w:tr2bl w:val="nil"/>
            </w:tcBorders>
            <w:vAlign w:val="bottom"/>
          </w:tcPr>
          <w:p w:rsidR="0018024C" w:rsidRPr="00C6642F" w:rsidRDefault="0018024C" w:rsidP="0018024C">
            <w:pPr>
              <w:keepNext/>
              <w:spacing w:after="1"/>
              <w:rPr>
                <w:color w:val="000000"/>
                <w:sz w:val="20"/>
              </w:rPr>
            </w:pPr>
          </w:p>
        </w:tc>
        <w:tc>
          <w:tcPr>
            <w:tcW w:w="142"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color w:val="000000"/>
                <w:sz w:val="20"/>
              </w:rPr>
            </w:pPr>
          </w:p>
        </w:tc>
        <w:tc>
          <w:tcPr>
            <w:tcW w:w="643"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b/>
                <w:color w:val="000000"/>
                <w:sz w:val="20"/>
              </w:rPr>
            </w:pPr>
          </w:p>
        </w:tc>
        <w:tc>
          <w:tcPr>
            <w:tcW w:w="224" w:type="pct"/>
            <w:tcBorders>
              <w:top w:val="nil"/>
              <w:left w:val="nil"/>
              <w:bottom w:val="nil"/>
              <w:right w:val="nil"/>
              <w:tl2br w:val="nil"/>
              <w:tr2bl w:val="nil"/>
            </w:tcBorders>
            <w:vAlign w:val="bottom"/>
          </w:tcPr>
          <w:p w:rsidR="0018024C" w:rsidRPr="00C6642F" w:rsidRDefault="0018024C" w:rsidP="0018024C">
            <w:pPr>
              <w:keepNext/>
              <w:spacing w:after="1"/>
              <w:rPr>
                <w:color w:val="000000"/>
                <w:sz w:val="20"/>
              </w:rPr>
            </w:pPr>
          </w:p>
        </w:tc>
        <w:tc>
          <w:tcPr>
            <w:tcW w:w="142"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color w:val="000000"/>
                <w:sz w:val="20"/>
              </w:rPr>
            </w:pPr>
          </w:p>
        </w:tc>
        <w:tc>
          <w:tcPr>
            <w:tcW w:w="643"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b/>
                <w:color w:val="000000"/>
                <w:sz w:val="20"/>
              </w:rPr>
            </w:pPr>
          </w:p>
        </w:tc>
        <w:tc>
          <w:tcPr>
            <w:tcW w:w="90" w:type="pct"/>
            <w:tcBorders>
              <w:top w:val="nil"/>
              <w:left w:val="nil"/>
              <w:bottom w:val="nil"/>
              <w:right w:val="nil"/>
              <w:tl2br w:val="nil"/>
              <w:tr2bl w:val="nil"/>
            </w:tcBorders>
            <w:vAlign w:val="bottom"/>
          </w:tcPr>
          <w:p w:rsidR="0018024C" w:rsidRPr="00C6642F" w:rsidRDefault="0018024C" w:rsidP="0018024C">
            <w:pPr>
              <w:keepNext/>
              <w:spacing w:after="1"/>
              <w:rPr>
                <w:color w:val="000000"/>
                <w:sz w:val="20"/>
              </w:rPr>
            </w:pPr>
          </w:p>
        </w:tc>
        <w:tc>
          <w:tcPr>
            <w:tcW w:w="142"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color w:val="000000"/>
                <w:sz w:val="20"/>
              </w:rPr>
            </w:pPr>
          </w:p>
        </w:tc>
        <w:tc>
          <w:tcPr>
            <w:tcW w:w="642" w:type="pct"/>
            <w:tcBorders>
              <w:top w:val="double" w:sz="0" w:space="0" w:color="000000"/>
              <w:left w:val="nil"/>
              <w:bottom w:val="nil"/>
              <w:right w:val="nil"/>
              <w:tl2br w:val="nil"/>
              <w:tr2bl w:val="nil"/>
            </w:tcBorders>
            <w:vAlign w:val="bottom"/>
          </w:tcPr>
          <w:p w:rsidR="0018024C" w:rsidRPr="00C6642F" w:rsidRDefault="0018024C" w:rsidP="0018024C">
            <w:pPr>
              <w:keepNext/>
              <w:spacing w:after="1"/>
              <w:rPr>
                <w:b/>
                <w:color w:val="000000"/>
                <w:sz w:val="20"/>
              </w:rPr>
            </w:pPr>
          </w:p>
        </w:tc>
      </w:tr>
      <w:tr w:rsidR="0018024C" w:rsidRPr="00C6642F" w:rsidTr="0018024C">
        <w:trPr>
          <w:trHeight w:hRule="exact" w:val="255"/>
        </w:trPr>
        <w:tc>
          <w:tcPr>
            <w:tcW w:w="233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r w:rsidRPr="00C6642F">
              <w:rPr>
                <w:color w:val="000000"/>
                <w:sz w:val="20"/>
              </w:rPr>
              <w:t>Net income per share:</w:t>
            </w:r>
          </w:p>
        </w:tc>
        <w:tc>
          <w:tcPr>
            <w:tcW w:w="14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643"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224"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14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643"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9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14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64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r>
      <w:tr w:rsidR="0018024C" w:rsidRPr="00C6642F" w:rsidTr="0018024C">
        <w:trPr>
          <w:trHeight w:hRule="exact" w:val="255"/>
        </w:trPr>
        <w:tc>
          <w:tcPr>
            <w:tcW w:w="2331" w:type="pct"/>
            <w:tcBorders>
              <w:top w:val="nil"/>
              <w:left w:val="nil"/>
              <w:bottom w:val="nil"/>
              <w:right w:val="nil"/>
              <w:tl2br w:val="nil"/>
              <w:tr2bl w:val="nil"/>
            </w:tcBorders>
            <w:vAlign w:val="bottom"/>
          </w:tcPr>
          <w:p w:rsidR="0018024C" w:rsidRPr="00C6642F" w:rsidRDefault="0018024C" w:rsidP="0018024C">
            <w:pPr>
              <w:keepNext/>
              <w:spacing w:after="1"/>
              <w:rPr>
                <w:color w:val="000000"/>
                <w:sz w:val="20"/>
              </w:rPr>
            </w:pPr>
            <w:r w:rsidRPr="00C6642F">
              <w:rPr>
                <w:color w:val="000000"/>
                <w:sz w:val="20"/>
              </w:rPr>
              <w:t xml:space="preserve">   Basic</w:t>
            </w:r>
          </w:p>
        </w:tc>
        <w:tc>
          <w:tcPr>
            <w:tcW w:w="142" w:type="pct"/>
            <w:tcBorders>
              <w:top w:val="nil"/>
              <w:left w:val="nil"/>
              <w:bottom w:val="nil"/>
              <w:right w:val="nil"/>
              <w:tl2br w:val="nil"/>
              <w:tr2bl w:val="nil"/>
            </w:tcBorders>
            <w:vAlign w:val="bottom"/>
          </w:tcPr>
          <w:p w:rsidR="0018024C" w:rsidRPr="00C6642F" w:rsidRDefault="0018024C" w:rsidP="0018024C">
            <w:pPr>
              <w:keepNext/>
              <w:spacing w:after="1"/>
              <w:rPr>
                <w:color w:val="000000"/>
                <w:sz w:val="20"/>
              </w:rPr>
            </w:pPr>
            <w:r w:rsidRPr="00C6642F">
              <w:rPr>
                <w:color w:val="000000"/>
                <w:sz w:val="20"/>
              </w:rPr>
              <w:t>$</w:t>
            </w:r>
          </w:p>
        </w:tc>
        <w:tc>
          <w:tcPr>
            <w:tcW w:w="643" w:type="pct"/>
            <w:tcBorders>
              <w:top w:val="nil"/>
              <w:left w:val="nil"/>
              <w:bottom w:val="nil"/>
              <w:right w:val="nil"/>
              <w:tl2br w:val="nil"/>
              <w:tr2bl w:val="nil"/>
            </w:tcBorders>
            <w:vAlign w:val="bottom"/>
          </w:tcPr>
          <w:p w:rsidR="0018024C" w:rsidRPr="00C6642F" w:rsidRDefault="0018024C" w:rsidP="0018024C">
            <w:pPr>
              <w:keepNext/>
              <w:spacing w:after="1"/>
              <w:ind w:right="63"/>
              <w:jc w:val="right"/>
              <w:rPr>
                <w:b/>
                <w:color w:val="000000"/>
                <w:sz w:val="20"/>
              </w:rPr>
            </w:pPr>
            <w:r w:rsidRPr="00C6642F">
              <w:rPr>
                <w:b/>
                <w:color w:val="000000"/>
                <w:sz w:val="20"/>
              </w:rPr>
              <w:t xml:space="preserve"> 0.18</w:t>
            </w:r>
          </w:p>
        </w:tc>
        <w:tc>
          <w:tcPr>
            <w:tcW w:w="224" w:type="pct"/>
            <w:tcBorders>
              <w:top w:val="nil"/>
              <w:left w:val="nil"/>
              <w:bottom w:val="nil"/>
              <w:right w:val="nil"/>
              <w:tl2br w:val="nil"/>
              <w:tr2bl w:val="nil"/>
            </w:tcBorders>
            <w:vAlign w:val="bottom"/>
          </w:tcPr>
          <w:p w:rsidR="0018024C" w:rsidRPr="00C6642F" w:rsidRDefault="0018024C" w:rsidP="0018024C">
            <w:pPr>
              <w:keepNext/>
              <w:spacing w:after="1"/>
              <w:rPr>
                <w:color w:val="000000"/>
                <w:sz w:val="20"/>
              </w:rPr>
            </w:pPr>
          </w:p>
        </w:tc>
        <w:tc>
          <w:tcPr>
            <w:tcW w:w="142" w:type="pct"/>
            <w:tcBorders>
              <w:top w:val="nil"/>
              <w:left w:val="nil"/>
              <w:bottom w:val="nil"/>
              <w:right w:val="nil"/>
              <w:tl2br w:val="nil"/>
              <w:tr2bl w:val="nil"/>
            </w:tcBorders>
            <w:vAlign w:val="bottom"/>
          </w:tcPr>
          <w:p w:rsidR="0018024C" w:rsidRPr="00C6642F" w:rsidRDefault="0018024C" w:rsidP="0018024C">
            <w:pPr>
              <w:keepNext/>
              <w:spacing w:after="1"/>
              <w:rPr>
                <w:color w:val="000000"/>
                <w:sz w:val="20"/>
              </w:rPr>
            </w:pPr>
            <w:r w:rsidRPr="00C6642F">
              <w:rPr>
                <w:color w:val="000000"/>
                <w:sz w:val="20"/>
              </w:rPr>
              <w:t>$</w:t>
            </w:r>
          </w:p>
        </w:tc>
        <w:tc>
          <w:tcPr>
            <w:tcW w:w="643" w:type="pct"/>
            <w:tcBorders>
              <w:top w:val="nil"/>
              <w:left w:val="nil"/>
              <w:bottom w:val="nil"/>
              <w:right w:val="nil"/>
              <w:tl2br w:val="nil"/>
              <w:tr2bl w:val="nil"/>
            </w:tcBorders>
            <w:vAlign w:val="bottom"/>
          </w:tcPr>
          <w:p w:rsidR="0018024C" w:rsidRPr="00C6642F" w:rsidRDefault="0018024C" w:rsidP="0018024C">
            <w:pPr>
              <w:keepNext/>
              <w:spacing w:after="1"/>
              <w:ind w:right="65"/>
              <w:jc w:val="right"/>
              <w:rPr>
                <w:color w:val="000000"/>
                <w:sz w:val="20"/>
              </w:rPr>
            </w:pPr>
            <w:r w:rsidRPr="00C6642F">
              <w:rPr>
                <w:color w:val="000000"/>
                <w:sz w:val="20"/>
              </w:rPr>
              <w:t xml:space="preserve"> 0.55</w:t>
            </w:r>
          </w:p>
        </w:tc>
        <w:tc>
          <w:tcPr>
            <w:tcW w:w="90" w:type="pct"/>
            <w:tcBorders>
              <w:top w:val="nil"/>
              <w:left w:val="nil"/>
              <w:bottom w:val="nil"/>
              <w:right w:val="nil"/>
              <w:tl2br w:val="nil"/>
              <w:tr2bl w:val="nil"/>
            </w:tcBorders>
            <w:vAlign w:val="bottom"/>
          </w:tcPr>
          <w:p w:rsidR="0018024C" w:rsidRPr="00C6642F" w:rsidRDefault="0018024C" w:rsidP="0018024C">
            <w:pPr>
              <w:keepNext/>
              <w:spacing w:after="1"/>
              <w:rPr>
                <w:color w:val="000000"/>
                <w:sz w:val="20"/>
              </w:rPr>
            </w:pPr>
          </w:p>
        </w:tc>
        <w:tc>
          <w:tcPr>
            <w:tcW w:w="142" w:type="pct"/>
            <w:tcBorders>
              <w:top w:val="nil"/>
              <w:left w:val="nil"/>
              <w:bottom w:val="nil"/>
              <w:right w:val="nil"/>
              <w:tl2br w:val="nil"/>
              <w:tr2bl w:val="nil"/>
            </w:tcBorders>
            <w:vAlign w:val="bottom"/>
          </w:tcPr>
          <w:p w:rsidR="0018024C" w:rsidRPr="00C6642F" w:rsidRDefault="0018024C" w:rsidP="0018024C">
            <w:pPr>
              <w:keepNext/>
              <w:spacing w:after="1"/>
              <w:rPr>
                <w:color w:val="000000"/>
                <w:sz w:val="20"/>
              </w:rPr>
            </w:pPr>
            <w:r w:rsidRPr="00C6642F">
              <w:rPr>
                <w:color w:val="000000"/>
                <w:sz w:val="20"/>
              </w:rPr>
              <w:t>$</w:t>
            </w:r>
          </w:p>
        </w:tc>
        <w:tc>
          <w:tcPr>
            <w:tcW w:w="642" w:type="pct"/>
            <w:tcBorders>
              <w:top w:val="nil"/>
              <w:left w:val="nil"/>
              <w:bottom w:val="nil"/>
              <w:right w:val="nil"/>
              <w:tl2br w:val="nil"/>
              <w:tr2bl w:val="nil"/>
            </w:tcBorders>
            <w:vAlign w:val="bottom"/>
          </w:tcPr>
          <w:p w:rsidR="0018024C" w:rsidRPr="00C6642F" w:rsidRDefault="0018024C" w:rsidP="0018024C">
            <w:pPr>
              <w:keepNext/>
              <w:spacing w:after="1"/>
              <w:ind w:right="65"/>
              <w:jc w:val="right"/>
              <w:rPr>
                <w:color w:val="000000"/>
                <w:sz w:val="20"/>
              </w:rPr>
            </w:pPr>
            <w:r w:rsidRPr="00C6642F">
              <w:rPr>
                <w:color w:val="000000"/>
                <w:sz w:val="20"/>
              </w:rPr>
              <w:t xml:space="preserve"> 0.28</w:t>
            </w:r>
          </w:p>
        </w:tc>
      </w:tr>
      <w:tr w:rsidR="0018024C" w:rsidRPr="00C6642F" w:rsidTr="0018024C">
        <w:trPr>
          <w:trHeight w:hRule="exact" w:val="255"/>
        </w:trPr>
        <w:tc>
          <w:tcPr>
            <w:tcW w:w="233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r w:rsidRPr="00C6642F">
              <w:rPr>
                <w:color w:val="000000"/>
                <w:sz w:val="20"/>
              </w:rPr>
              <w:t xml:space="preserve">   Diluted</w:t>
            </w:r>
          </w:p>
        </w:tc>
        <w:tc>
          <w:tcPr>
            <w:tcW w:w="14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r w:rsidRPr="00C6642F">
              <w:rPr>
                <w:color w:val="000000"/>
                <w:sz w:val="20"/>
              </w:rPr>
              <w:t>$</w:t>
            </w:r>
          </w:p>
        </w:tc>
        <w:tc>
          <w:tcPr>
            <w:tcW w:w="643"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ind w:right="63"/>
              <w:jc w:val="right"/>
              <w:rPr>
                <w:b/>
                <w:color w:val="000000"/>
                <w:sz w:val="20"/>
              </w:rPr>
            </w:pPr>
            <w:r w:rsidRPr="00C6642F">
              <w:rPr>
                <w:b/>
                <w:color w:val="000000"/>
                <w:sz w:val="20"/>
              </w:rPr>
              <w:t xml:space="preserve"> 0.18</w:t>
            </w:r>
          </w:p>
        </w:tc>
        <w:tc>
          <w:tcPr>
            <w:tcW w:w="224"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14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r w:rsidRPr="00C6642F">
              <w:rPr>
                <w:color w:val="000000"/>
                <w:sz w:val="20"/>
              </w:rPr>
              <w:t>$</w:t>
            </w:r>
          </w:p>
        </w:tc>
        <w:tc>
          <w:tcPr>
            <w:tcW w:w="643"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ind w:right="65"/>
              <w:jc w:val="right"/>
              <w:rPr>
                <w:color w:val="000000"/>
                <w:sz w:val="20"/>
              </w:rPr>
            </w:pPr>
            <w:r w:rsidRPr="00C6642F">
              <w:rPr>
                <w:color w:val="000000"/>
                <w:sz w:val="20"/>
              </w:rPr>
              <w:t xml:space="preserve"> 0.54</w:t>
            </w:r>
          </w:p>
        </w:tc>
        <w:tc>
          <w:tcPr>
            <w:tcW w:w="9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p>
        </w:tc>
        <w:tc>
          <w:tcPr>
            <w:tcW w:w="14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rPr>
                <w:color w:val="000000"/>
                <w:sz w:val="20"/>
              </w:rPr>
            </w:pPr>
            <w:r w:rsidRPr="00C6642F">
              <w:rPr>
                <w:color w:val="000000"/>
                <w:sz w:val="20"/>
              </w:rPr>
              <w:t>$</w:t>
            </w:r>
          </w:p>
        </w:tc>
        <w:tc>
          <w:tcPr>
            <w:tcW w:w="64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after="1"/>
              <w:ind w:right="65"/>
              <w:jc w:val="right"/>
              <w:rPr>
                <w:color w:val="000000"/>
                <w:sz w:val="20"/>
              </w:rPr>
            </w:pPr>
            <w:r w:rsidRPr="00C6642F">
              <w:rPr>
                <w:color w:val="000000"/>
                <w:sz w:val="20"/>
              </w:rPr>
              <w:t xml:space="preserve"> 0.27</w:t>
            </w:r>
          </w:p>
        </w:tc>
      </w:tr>
    </w:tbl>
    <w:p w:rsidR="000121CD" w:rsidRPr="00C6642F" w:rsidRDefault="000121CD">
      <w:pPr>
        <w:pStyle w:val="BodyText"/>
        <w:keepNext/>
        <w:widowControl w:val="0"/>
        <w:spacing w:after="0"/>
        <w:ind w:firstLine="0"/>
      </w:pPr>
    </w:p>
    <w:p w:rsidR="000121CD" w:rsidRDefault="00590862" w:rsidP="008B772B">
      <w:pPr>
        <w:pStyle w:val="BodyText"/>
        <w:keepNext/>
        <w:keepLines/>
        <w:widowControl w:val="0"/>
        <w:spacing w:after="0"/>
        <w:ind w:firstLine="0"/>
      </w:pPr>
      <w:r w:rsidRPr="00C6642F">
        <w:t xml:space="preserve">Equity awards and shares of Preferred Stock are disregarded in this calculation if they are determined to be anti-dilutive. For the years ended </w:t>
      </w:r>
      <w:r w:rsidR="003627E3" w:rsidRPr="00C6642F">
        <w:t>December 31, 2019, 2018 and 2017</w:t>
      </w:r>
      <w:r w:rsidRPr="00C6642F">
        <w:t xml:space="preserve">, our anti-dilutive stock options </w:t>
      </w:r>
      <w:r w:rsidR="00EB677F" w:rsidRPr="00C6642F">
        <w:rPr>
          <w:lang w:val="en-US"/>
        </w:rPr>
        <w:t>were</w:t>
      </w:r>
      <w:r w:rsidRPr="00C6642F">
        <w:t xml:space="preserve"> </w:t>
      </w:r>
      <w:r w:rsidR="00A85F56" w:rsidRPr="00C6642F">
        <w:rPr>
          <w:lang w:val="en-US"/>
        </w:rPr>
        <w:t>2.5</w:t>
      </w:r>
      <w:r w:rsidRPr="00C6642F">
        <w:t> million, 3.</w:t>
      </w:r>
      <w:r w:rsidR="006B5902" w:rsidRPr="00C6642F">
        <w:t>1</w:t>
      </w:r>
      <w:r w:rsidRPr="00C6642F">
        <w:t xml:space="preserve"> million and 3.6 million, respectively. </w:t>
      </w:r>
    </w:p>
    <w:p w:rsidR="00BA5C63" w:rsidRPr="00C6642F" w:rsidRDefault="00BA5C63" w:rsidP="00BA5C63">
      <w:pPr>
        <w:pStyle w:val="NormalWeb"/>
        <w:keepLines/>
        <w:widowControl w:val="0"/>
        <w:spacing w:before="270" w:beforeAutospacing="0" w:after="0" w:afterAutospacing="0"/>
        <w:rPr>
          <w:b/>
          <w:bCs/>
          <w:sz w:val="20"/>
          <w:szCs w:val="20"/>
          <w:u w:val="single"/>
        </w:rPr>
      </w:pPr>
    </w:p>
    <w:p w:rsidR="00BA5C63" w:rsidRPr="00C6642F" w:rsidRDefault="00BA5C63" w:rsidP="00BA5C63">
      <w:pPr>
        <w:pStyle w:val="NormalWeb"/>
        <w:keepLines/>
        <w:widowControl w:val="0"/>
        <w:spacing w:before="270" w:beforeAutospacing="0" w:after="0" w:afterAutospacing="0"/>
        <w:rPr>
          <w:b/>
          <w:bCs/>
          <w:sz w:val="20"/>
          <w:szCs w:val="20"/>
          <w:u w:val="single"/>
        </w:rPr>
      </w:pPr>
    </w:p>
    <w:p w:rsidR="00BA5C63" w:rsidRPr="00C6642F" w:rsidRDefault="00BA5C63" w:rsidP="00BA5C63">
      <w:pPr>
        <w:pStyle w:val="NormalWeb"/>
        <w:keepLines/>
        <w:widowControl w:val="0"/>
        <w:spacing w:before="270" w:beforeAutospacing="0" w:after="0" w:afterAutospacing="0"/>
        <w:rPr>
          <w:b/>
          <w:bCs/>
          <w:sz w:val="20"/>
          <w:szCs w:val="20"/>
          <w:u w:val="single"/>
        </w:rPr>
      </w:pPr>
    </w:p>
    <w:p w:rsidR="00BA5C63" w:rsidRPr="00C6642F" w:rsidRDefault="006F38D0" w:rsidP="00BA5C63">
      <w:pPr>
        <w:pStyle w:val="NormalWeb"/>
        <w:keepLines/>
        <w:widowControl w:val="0"/>
        <w:spacing w:before="270" w:beforeAutospacing="0" w:after="0" w:afterAutospacing="0"/>
      </w:pPr>
      <w:r w:rsidRPr="00C6642F">
        <w:rPr>
          <w:b/>
          <w:bCs/>
          <w:sz w:val="20"/>
          <w:szCs w:val="20"/>
          <w:u w:val="single"/>
        </w:rPr>
        <w:t xml:space="preserve">NOTE 13—EMPLOYEE BENEFIT PLANS </w:t>
      </w:r>
    </w:p>
    <w:p w:rsidR="00BA5C63" w:rsidRPr="00C6642F" w:rsidRDefault="006F38D0" w:rsidP="00BA5C63">
      <w:pPr>
        <w:pStyle w:val="NormalWeb"/>
        <w:keepLines/>
        <w:widowControl w:val="0"/>
        <w:spacing w:before="180" w:beforeAutospacing="0" w:after="0" w:afterAutospacing="0"/>
      </w:pPr>
      <w:r w:rsidRPr="00C6642F">
        <w:rPr>
          <w:b/>
          <w:bCs/>
          <w:sz w:val="20"/>
          <w:szCs w:val="20"/>
          <w:u w:val="single"/>
        </w:rPr>
        <w:t>Equity Compensation Plans</w:t>
      </w:r>
      <w:r w:rsidRPr="00C6642F">
        <w:rPr>
          <w:b/>
          <w:bCs/>
          <w:sz w:val="20"/>
          <w:szCs w:val="20"/>
        </w:rPr>
        <w:t xml:space="preserve">: </w:t>
      </w:r>
      <w:r w:rsidRPr="00C6642F">
        <w:rPr>
          <w:sz w:val="20"/>
          <w:szCs w:val="20"/>
        </w:rPr>
        <w:t>Our 2007 Stock Option Plan (prior to its replacement) permitted the grant of stock options to our employees, directors and consultants for up to 3,750,000 shares of common stock. The options were not to be granted with an exercise price less than the fair market value of the Company’s common stock on the date of the grant, nor for a term exceeding ten years. Vesting generally occurred over a five year period on the anniversaries of the date specified in the employees’ respective option agreements, subject to accelerated vesting under certain circumstances set forth in the option agreements. During 2019, 1,104 stock options were exercised, and no stock options were granted under this plan.</w:t>
      </w:r>
    </w:p>
    <w:p w:rsidR="00BA5C63" w:rsidRPr="00C6642F" w:rsidRDefault="006F38D0" w:rsidP="00BA5C63">
      <w:pPr>
        <w:pStyle w:val="NormalWeb"/>
        <w:spacing w:before="180" w:beforeAutospacing="0" w:after="0" w:afterAutospacing="0"/>
        <w:rPr>
          <w:sz w:val="20"/>
          <w:szCs w:val="20"/>
        </w:rPr>
      </w:pPr>
      <w:r w:rsidRPr="00C6642F">
        <w:rPr>
          <w:sz w:val="20"/>
          <w:szCs w:val="20"/>
        </w:rPr>
        <w:t xml:space="preserve">In April 2012, we replaced our 2007 Stock Option Plan and our 2007 Restricted Stock Plan with the 2011 Omnibus Incentive Plan. No additional shares or other equity interests will be awarded under the prior plans. The 2011 Omnibus Incentive Plan originally had 3,250,000 shares reserved for issuance pursuant to the plan. In both April 2015 and 2019, our shareholders approved an additional 4,250,000 shares and 2,500,000 shares, respectively, for reservation for issuance under the plan. The plan permits the issuance of stock options, stock appreciation rights, restricted stock, restricted stock units, performance shares, performance units and other stock-based and cash-based awards. Since the adoption of the 2011 Omnibus Incentive Plan, the Company’s Board of Directors has periodically granted stock options, restricted stock awards, restricted stock units and performance share units to directors and employees, but no other types of awards have been granted under the plan. Options and stock appreciation rights may not be granted at prices less than their fair market value on the date of the grant, nor for a term exceeding ten years. For employees, vesting generally occurs over a three year to five year period on the anniversaries of the date specified in the employees’ respective agreements, subject to accelerated vesting under certain circumstances set forth in the agreements. Vesting for directors generally occurs on the one year anniversary of the grant date. In 2019, 74,055 shares of restricted stock, 242,290 performance share units and 712,600 restricted units were granted to executive management, members of our Board of Directors and employees under this plan. During 2018, 81,542 shares of restricted stock, 222,435 performance share units and 507,507 restricted units were granted to executive management, members of our Board of Directors and employees under this plan. To date, 7,711,359 shares have been granted under this plan. A Black-Scholes option pricing model is used to estimate the fair value of the stock options. A Monte Carlo simulation is completed to estimate the fair value of performance share unit awards with a stock price performance component. We expense the fair value of all equity grants, including performance share unit awards, on a straight line basis over the vesting period.  </w:t>
      </w:r>
    </w:p>
    <w:p w:rsidR="00BA5C63" w:rsidRPr="00C6642F" w:rsidRDefault="006F38D0" w:rsidP="00BA5C63">
      <w:pPr>
        <w:pStyle w:val="NormalWeb"/>
        <w:keepNext/>
        <w:spacing w:before="180" w:beforeAutospacing="0" w:after="0" w:afterAutospacing="0"/>
        <w:rPr>
          <w:b/>
          <w:i/>
          <w:sz w:val="20"/>
          <w:szCs w:val="20"/>
        </w:rPr>
      </w:pPr>
      <w:r w:rsidRPr="00C6642F">
        <w:rPr>
          <w:b/>
          <w:i/>
          <w:sz w:val="20"/>
          <w:szCs w:val="20"/>
        </w:rPr>
        <w:t>Stock Options</w:t>
      </w:r>
    </w:p>
    <w:p w:rsidR="00BA5C63" w:rsidRPr="00C6642F" w:rsidRDefault="006F38D0" w:rsidP="00BA5C63">
      <w:pPr>
        <w:pStyle w:val="NormalWeb"/>
        <w:keepNext/>
        <w:spacing w:before="180" w:beforeAutospacing="0" w:after="0" w:afterAutospacing="0"/>
        <w:rPr>
          <w:sz w:val="20"/>
          <w:szCs w:val="20"/>
        </w:rPr>
      </w:pPr>
      <w:r w:rsidRPr="00C6642F">
        <w:rPr>
          <w:sz w:val="20"/>
          <w:szCs w:val="20"/>
        </w:rPr>
        <w:t>The following tables summarize award activity for stock options:</w:t>
      </w:r>
    </w:p>
    <w:p w:rsidR="00BA5C63" w:rsidRPr="00C6642F" w:rsidRDefault="006F38D0" w:rsidP="00BA5C63">
      <w:pPr>
        <w:pStyle w:val="NormalWeb"/>
        <w:keepNext/>
        <w:spacing w:before="0" w:beforeAutospacing="0" w:after="0" w:afterAutospacing="0"/>
        <w:rPr>
          <w:sz w:val="2"/>
          <w:szCs w:val="18"/>
        </w:rPr>
      </w:pPr>
      <w:r w:rsidRPr="00C6642F">
        <w:rPr>
          <w:sz w:val="2"/>
          <w:szCs w:val="18"/>
        </w:rPr>
        <w:t> </w:t>
      </w:r>
    </w:p>
    <w:p w:rsidR="00BA5C63" w:rsidRPr="00C6642F" w:rsidRDefault="00BA5C63" w:rsidP="00BA5C63">
      <w:pPr>
        <w:pStyle w:val="NormalWeb"/>
        <w:keepNext/>
        <w:spacing w:before="0" w:beforeAutospacing="0" w:after="0" w:afterAutospacing="0"/>
        <w:rPr>
          <w:sz w:val="2"/>
          <w:szCs w:val="18"/>
        </w:rPr>
      </w:pP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BA5C63" w:rsidRPr="00C6642F" w:rsidTr="00BA5C63">
        <w:trPr>
          <w:trHeight w:hRule="exact" w:val="20"/>
        </w:trPr>
        <w:tc>
          <w:tcPr>
            <w:tcW w:w="2162" w:type="pct"/>
            <w:tcBorders>
              <w:top w:val="nil"/>
              <w:left w:val="nil"/>
              <w:bottom w:val="nil"/>
              <w:right w:val="nil"/>
            </w:tcBorders>
            <w:shd w:val="clear" w:color="auto" w:fill="auto"/>
            <w:vAlign w:val="bottom"/>
          </w:tcPr>
          <w:p w:rsidR="00BA5C63" w:rsidRPr="00C6642F" w:rsidRDefault="00BA5C63" w:rsidP="00BA5C63">
            <w:pPr>
              <w:keepNext/>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rPr>
                <w:sz w:val="2"/>
              </w:rPr>
            </w:pPr>
          </w:p>
        </w:tc>
        <w:tc>
          <w:tcPr>
            <w:tcW w:w="603" w:type="pct"/>
            <w:tcBorders>
              <w:top w:val="nil"/>
              <w:left w:val="nil"/>
              <w:bottom w:val="nil"/>
              <w:right w:val="nil"/>
            </w:tcBorders>
            <w:shd w:val="clear" w:color="auto" w:fill="auto"/>
            <w:vAlign w:val="bottom"/>
          </w:tcPr>
          <w:p w:rsidR="00BA5C63" w:rsidRPr="00C6642F" w:rsidRDefault="00BA5C63" w:rsidP="00BA5C63">
            <w:pPr>
              <w:keepNext/>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rPr>
                <w:sz w:val="2"/>
              </w:rPr>
            </w:pPr>
          </w:p>
        </w:tc>
      </w:tr>
      <w:tr w:rsidR="00BA5C63" w:rsidRPr="00C6642F" w:rsidTr="00BA5C63">
        <w:trPr>
          <w:trHeight w:hRule="exact" w:val="300"/>
        </w:trPr>
        <w:tc>
          <w:tcPr>
            <w:tcW w:w="2162"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603"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129"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508"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1"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jc w:val="center"/>
              <w:rPr>
                <w:b/>
                <w:sz w:val="20"/>
              </w:rPr>
            </w:pPr>
            <w:r w:rsidRPr="00C6642F">
              <w:rPr>
                <w:b/>
                <w:sz w:val="20"/>
              </w:rPr>
              <w:t>Weighted</w:t>
            </w: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129"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508" w:type="pct"/>
            <w:tcBorders>
              <w:top w:val="nil"/>
              <w:left w:val="nil"/>
              <w:bottom w:val="nil"/>
              <w:right w:val="nil"/>
              <w:tl2br w:val="nil"/>
              <w:tr2bl w:val="nil"/>
            </w:tcBorders>
            <w:shd w:val="clear" w:color="auto" w:fill="auto"/>
            <w:vAlign w:val="bottom"/>
          </w:tcPr>
          <w:p w:rsidR="00BA5C63" w:rsidRPr="00C6642F" w:rsidRDefault="00BA5C63" w:rsidP="00BA5C63">
            <w:pPr>
              <w:keepNext/>
              <w:jc w:val="center"/>
              <w:rPr>
                <w:b/>
                <w:sz w:val="20"/>
              </w:rPr>
            </w:pPr>
          </w:p>
        </w:tc>
      </w:tr>
      <w:tr w:rsidR="00BA5C63" w:rsidRPr="00C6642F" w:rsidTr="00BA5C63">
        <w:trPr>
          <w:trHeight w:hRule="exact" w:val="300"/>
        </w:trPr>
        <w:tc>
          <w:tcPr>
            <w:tcW w:w="2162"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603"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1"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jc w:val="center"/>
              <w:rPr>
                <w:b/>
                <w:sz w:val="20"/>
              </w:rPr>
            </w:pPr>
            <w:r w:rsidRPr="00C6642F">
              <w:rPr>
                <w:b/>
                <w:sz w:val="20"/>
              </w:rPr>
              <w:t>Weighted</w:t>
            </w: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1"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jc w:val="center"/>
              <w:rPr>
                <w:b/>
                <w:sz w:val="20"/>
              </w:rPr>
            </w:pPr>
            <w:r w:rsidRPr="00C6642F">
              <w:rPr>
                <w:b/>
                <w:sz w:val="20"/>
              </w:rPr>
              <w:t>Average</w:t>
            </w: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129"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508" w:type="pct"/>
            <w:tcBorders>
              <w:top w:val="nil"/>
              <w:left w:val="nil"/>
              <w:bottom w:val="nil"/>
              <w:right w:val="nil"/>
              <w:tl2br w:val="nil"/>
              <w:tr2bl w:val="nil"/>
            </w:tcBorders>
            <w:shd w:val="clear" w:color="auto" w:fill="auto"/>
            <w:vAlign w:val="bottom"/>
          </w:tcPr>
          <w:p w:rsidR="00BA5C63" w:rsidRPr="00C6642F" w:rsidRDefault="00BA5C63" w:rsidP="00BA5C63">
            <w:pPr>
              <w:keepNext/>
              <w:jc w:val="center"/>
              <w:rPr>
                <w:b/>
                <w:sz w:val="20"/>
              </w:rPr>
            </w:pPr>
          </w:p>
        </w:tc>
      </w:tr>
      <w:tr w:rsidR="00BA5C63" w:rsidRPr="00C6642F" w:rsidTr="00BA5C63">
        <w:trPr>
          <w:trHeight w:hRule="exact" w:val="300"/>
        </w:trPr>
        <w:tc>
          <w:tcPr>
            <w:tcW w:w="2162"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603"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1"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jc w:val="center"/>
              <w:rPr>
                <w:b/>
                <w:sz w:val="20"/>
              </w:rPr>
            </w:pPr>
            <w:r w:rsidRPr="00C6642F">
              <w:rPr>
                <w:b/>
                <w:sz w:val="20"/>
              </w:rPr>
              <w:t>Average</w:t>
            </w: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1"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jc w:val="center"/>
              <w:rPr>
                <w:b/>
                <w:sz w:val="20"/>
              </w:rPr>
            </w:pPr>
            <w:r w:rsidRPr="00C6642F">
              <w:rPr>
                <w:b/>
                <w:sz w:val="20"/>
              </w:rPr>
              <w:t>Remaining</w:t>
            </w: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1"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jc w:val="center"/>
              <w:rPr>
                <w:b/>
                <w:sz w:val="20"/>
              </w:rPr>
            </w:pPr>
            <w:r w:rsidRPr="00C6642F">
              <w:rPr>
                <w:b/>
                <w:sz w:val="20"/>
              </w:rPr>
              <w:t>Aggregate</w:t>
            </w:r>
          </w:p>
        </w:tc>
      </w:tr>
      <w:tr w:rsidR="00BA5C63" w:rsidRPr="00C6642F" w:rsidTr="00BA5C63">
        <w:trPr>
          <w:trHeight w:hRule="exact" w:val="300"/>
        </w:trPr>
        <w:tc>
          <w:tcPr>
            <w:tcW w:w="2162"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603"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1"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jc w:val="center"/>
              <w:rPr>
                <w:b/>
                <w:sz w:val="20"/>
              </w:rPr>
            </w:pPr>
            <w:r w:rsidRPr="00C6642F">
              <w:rPr>
                <w:b/>
                <w:sz w:val="20"/>
              </w:rPr>
              <w:t>Exercise</w:t>
            </w: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1"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jc w:val="center"/>
              <w:rPr>
                <w:b/>
                <w:sz w:val="20"/>
              </w:rPr>
            </w:pPr>
            <w:r w:rsidRPr="00C6642F">
              <w:rPr>
                <w:b/>
                <w:sz w:val="20"/>
              </w:rPr>
              <w:t>Contractual</w:t>
            </w: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1"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jc w:val="center"/>
              <w:rPr>
                <w:b/>
                <w:sz w:val="20"/>
              </w:rPr>
            </w:pPr>
            <w:r w:rsidRPr="00C6642F">
              <w:rPr>
                <w:b/>
                <w:sz w:val="20"/>
              </w:rPr>
              <w:t>Intrinsic</w:t>
            </w:r>
          </w:p>
        </w:tc>
      </w:tr>
      <w:tr w:rsidR="00BA5C63" w:rsidRPr="00C6642F" w:rsidTr="00BA5C63">
        <w:trPr>
          <w:trHeight w:hRule="exact" w:val="315"/>
        </w:trPr>
        <w:tc>
          <w:tcPr>
            <w:tcW w:w="2162"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603" w:type="pct"/>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keepNext/>
              <w:jc w:val="center"/>
              <w:rPr>
                <w:b/>
                <w:sz w:val="20"/>
              </w:rPr>
            </w:pPr>
            <w:r w:rsidRPr="00C6642F">
              <w:rPr>
                <w:b/>
                <w:sz w:val="20"/>
              </w:rPr>
              <w:t>Options</w:t>
            </w: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keepNext/>
              <w:jc w:val="center"/>
              <w:rPr>
                <w:b/>
                <w:sz w:val="20"/>
              </w:rPr>
            </w:pPr>
            <w:r w:rsidRPr="00C6642F">
              <w:rPr>
                <w:b/>
                <w:sz w:val="20"/>
              </w:rPr>
              <w:t>Price</w:t>
            </w: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keepNext/>
              <w:jc w:val="center"/>
              <w:rPr>
                <w:b/>
                <w:sz w:val="20"/>
              </w:rPr>
            </w:pPr>
            <w:r w:rsidRPr="00C6642F">
              <w:rPr>
                <w:b/>
                <w:sz w:val="20"/>
              </w:rPr>
              <w:t>Term</w:t>
            </w: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keepNext/>
              <w:jc w:val="center"/>
              <w:rPr>
                <w:b/>
                <w:sz w:val="20"/>
              </w:rPr>
            </w:pPr>
            <w:r w:rsidRPr="00C6642F">
              <w:rPr>
                <w:b/>
                <w:sz w:val="20"/>
              </w:rPr>
              <w:t>Value</w:t>
            </w:r>
          </w:p>
        </w:tc>
      </w:tr>
      <w:tr w:rsidR="00BA5C63" w:rsidRPr="00C6642F" w:rsidTr="00BA5C63">
        <w:trPr>
          <w:trHeight w:hRule="exact" w:val="25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rPr>
                <w:i/>
                <w:sz w:val="20"/>
              </w:rPr>
            </w:pPr>
            <w:r w:rsidRPr="00C6642F">
              <w:rPr>
                <w:i/>
                <w:sz w:val="20"/>
              </w:rPr>
              <w:t>Stock Options</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sz w:val="20"/>
              </w:rPr>
            </w:pPr>
          </w:p>
        </w:tc>
        <w:tc>
          <w:tcPr>
            <w:tcW w:w="603"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jc w:val="center"/>
              <w:rPr>
                <w:b/>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jc w:val="center"/>
              <w:rPr>
                <w:b/>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6F38D0" w:rsidP="00BA5C63">
            <w:pPr>
              <w:keepNext/>
              <w:jc w:val="center"/>
              <w:rPr>
                <w:i/>
                <w:sz w:val="20"/>
              </w:rPr>
            </w:pPr>
            <w:r w:rsidRPr="00C6642F">
              <w:rPr>
                <w:i/>
                <w:sz w:val="20"/>
              </w:rPr>
              <w:t>(years)</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6F38D0" w:rsidP="00BA5C63">
            <w:pPr>
              <w:keepNext/>
              <w:jc w:val="center"/>
              <w:rPr>
                <w:i/>
                <w:sz w:val="20"/>
              </w:rPr>
            </w:pPr>
            <w:r w:rsidRPr="00C6642F">
              <w:rPr>
                <w:i/>
                <w:sz w:val="20"/>
              </w:rPr>
              <w:t>(millions)</w:t>
            </w:r>
          </w:p>
        </w:tc>
      </w:tr>
      <w:tr w:rsidR="00BA5C63" w:rsidRPr="00C6642F" w:rsidTr="00BA5C63">
        <w:trPr>
          <w:trHeight w:hRule="exact" w:val="255"/>
        </w:trPr>
        <w:tc>
          <w:tcPr>
            <w:tcW w:w="2162" w:type="pct"/>
            <w:tcBorders>
              <w:top w:val="nil"/>
              <w:left w:val="nil"/>
              <w:bottom w:val="nil"/>
              <w:right w:val="nil"/>
              <w:tl2br w:val="nil"/>
              <w:tr2bl w:val="nil"/>
            </w:tcBorders>
            <w:vAlign w:val="bottom"/>
          </w:tcPr>
          <w:p w:rsidR="00BA5C63" w:rsidRPr="00C6642F" w:rsidRDefault="006F38D0" w:rsidP="00BA5C63">
            <w:pPr>
              <w:keepNext/>
              <w:rPr>
                <w:sz w:val="20"/>
              </w:rPr>
            </w:pPr>
            <w:r w:rsidRPr="00C6642F">
              <w:rPr>
                <w:sz w:val="20"/>
              </w:rPr>
              <w:t>Balance at December 31, 2018</w:t>
            </w:r>
          </w:p>
        </w:tc>
        <w:tc>
          <w:tcPr>
            <w:tcW w:w="81" w:type="pct"/>
            <w:tcBorders>
              <w:top w:val="nil"/>
              <w:left w:val="nil"/>
              <w:bottom w:val="nil"/>
              <w:right w:val="nil"/>
              <w:tl2br w:val="nil"/>
              <w:tr2bl w:val="nil"/>
            </w:tcBorders>
            <w:vAlign w:val="bottom"/>
          </w:tcPr>
          <w:p w:rsidR="00BA5C63" w:rsidRPr="00C6642F" w:rsidRDefault="00BA5C63" w:rsidP="00BA5C63">
            <w:pPr>
              <w:keepNext/>
              <w:rPr>
                <w:sz w:val="20"/>
              </w:rPr>
            </w:pPr>
          </w:p>
        </w:tc>
        <w:tc>
          <w:tcPr>
            <w:tcW w:w="603" w:type="pct"/>
            <w:tcBorders>
              <w:top w:val="nil"/>
              <w:left w:val="nil"/>
              <w:bottom w:val="nil"/>
              <w:right w:val="nil"/>
              <w:tl2br w:val="nil"/>
              <w:tr2bl w:val="nil"/>
            </w:tcBorders>
            <w:vAlign w:val="bottom"/>
          </w:tcPr>
          <w:p w:rsidR="00BA5C63" w:rsidRPr="00C6642F" w:rsidRDefault="006F38D0" w:rsidP="00BA5C63">
            <w:pPr>
              <w:keepNext/>
              <w:ind w:right="63"/>
              <w:jc w:val="right"/>
              <w:rPr>
                <w:b/>
                <w:sz w:val="20"/>
              </w:rPr>
            </w:pPr>
            <w:r w:rsidRPr="00C6642F">
              <w:rPr>
                <w:b/>
                <w:sz w:val="20"/>
              </w:rPr>
              <w:t xml:space="preserve"> 2,450,373</w:t>
            </w: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rPr>
                <w:b/>
                <w:sz w:val="20"/>
              </w:rPr>
            </w:pPr>
            <w:r w:rsidRPr="00C6642F">
              <w:rPr>
                <w:b/>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ind w:right="63"/>
              <w:jc w:val="right"/>
              <w:rPr>
                <w:b/>
                <w:sz w:val="20"/>
              </w:rPr>
            </w:pPr>
            <w:r w:rsidRPr="00C6642F">
              <w:rPr>
                <w:b/>
                <w:sz w:val="20"/>
              </w:rPr>
              <w:t xml:space="preserve"> 23.81</w:t>
            </w: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vAlign w:val="bottom"/>
          </w:tcPr>
          <w:p w:rsidR="00BA5C63" w:rsidRPr="00C6642F" w:rsidRDefault="006F38D0" w:rsidP="00BA5C63">
            <w:pPr>
              <w:keepNext/>
              <w:ind w:right="63"/>
              <w:jc w:val="right"/>
              <w:rPr>
                <w:b/>
                <w:sz w:val="20"/>
              </w:rPr>
            </w:pPr>
            <w:r w:rsidRPr="00C6642F">
              <w:rPr>
                <w:b/>
                <w:sz w:val="20"/>
              </w:rPr>
              <w:t xml:space="preserve"> 3.5</w:t>
            </w: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rPr>
                <w:b/>
                <w:sz w:val="20"/>
              </w:rPr>
            </w:pPr>
            <w:r w:rsidRPr="00C6642F">
              <w:rPr>
                <w:b/>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ind w:right="63"/>
              <w:jc w:val="right"/>
              <w:rPr>
                <w:b/>
                <w:sz w:val="20"/>
              </w:rPr>
            </w:pPr>
            <w:r w:rsidRPr="00C6642F">
              <w:rPr>
                <w:b/>
                <w:sz w:val="20"/>
              </w:rPr>
              <w:t xml:space="preserve"> -</w:t>
            </w:r>
          </w:p>
        </w:tc>
      </w:tr>
      <w:tr w:rsidR="00BA5C63" w:rsidRPr="00C6642F" w:rsidTr="00BA5C63">
        <w:trPr>
          <w:trHeight w:hRule="exact" w:val="25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ind w:left="360"/>
              <w:rPr>
                <w:sz w:val="20"/>
              </w:rPr>
            </w:pPr>
            <w:r w:rsidRPr="00C6642F">
              <w:rPr>
                <w:sz w:val="20"/>
              </w:rPr>
              <w:t>Exercised</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sz w:val="20"/>
              </w:rPr>
            </w:pPr>
          </w:p>
        </w:tc>
        <w:tc>
          <w:tcPr>
            <w:tcW w:w="603" w:type="pct"/>
            <w:tcBorders>
              <w:top w:val="nil"/>
              <w:left w:val="nil"/>
              <w:bottom w:val="nil"/>
              <w:right w:val="nil"/>
              <w:tl2br w:val="nil"/>
              <w:tr2bl w:val="nil"/>
            </w:tcBorders>
            <w:shd w:val="clear" w:color="auto" w:fill="CCEEFF"/>
            <w:vAlign w:val="bottom"/>
          </w:tcPr>
          <w:p w:rsidR="00BA5C63" w:rsidRPr="00C6642F" w:rsidRDefault="006F38D0" w:rsidP="00BA5C63">
            <w:pPr>
              <w:keepNext/>
              <w:jc w:val="right"/>
              <w:rPr>
                <w:b/>
                <w:sz w:val="20"/>
              </w:rPr>
            </w:pPr>
            <w:r w:rsidRPr="00C6642F">
              <w:rPr>
                <w:b/>
                <w:sz w:val="20"/>
              </w:rPr>
              <w:t xml:space="preserve"> (1,104)</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ind w:right="63"/>
              <w:jc w:val="right"/>
              <w:rPr>
                <w:b/>
                <w:sz w:val="20"/>
              </w:rPr>
            </w:pPr>
            <w:r w:rsidRPr="00C6642F">
              <w:rPr>
                <w:b/>
                <w:sz w:val="20"/>
              </w:rPr>
              <w:t xml:space="preserve"> 18.10</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r>
      <w:tr w:rsidR="00BA5C63" w:rsidRPr="00C6642F" w:rsidTr="00BA5C63">
        <w:trPr>
          <w:trHeight w:hRule="exact" w:val="255"/>
        </w:trPr>
        <w:tc>
          <w:tcPr>
            <w:tcW w:w="2162" w:type="pct"/>
            <w:tcBorders>
              <w:top w:val="nil"/>
              <w:left w:val="nil"/>
              <w:bottom w:val="nil"/>
              <w:right w:val="nil"/>
              <w:tl2br w:val="nil"/>
              <w:tr2bl w:val="nil"/>
            </w:tcBorders>
            <w:vAlign w:val="bottom"/>
          </w:tcPr>
          <w:p w:rsidR="00BA5C63" w:rsidRPr="00C6642F" w:rsidRDefault="006F38D0" w:rsidP="00BA5C63">
            <w:pPr>
              <w:keepNext/>
              <w:ind w:left="360"/>
              <w:rPr>
                <w:sz w:val="20"/>
              </w:rPr>
            </w:pPr>
            <w:r w:rsidRPr="00C6642F">
              <w:rPr>
                <w:sz w:val="20"/>
              </w:rPr>
              <w:t>Forfeited</w:t>
            </w:r>
          </w:p>
        </w:tc>
        <w:tc>
          <w:tcPr>
            <w:tcW w:w="81" w:type="pct"/>
            <w:tcBorders>
              <w:top w:val="nil"/>
              <w:left w:val="nil"/>
              <w:bottom w:val="nil"/>
              <w:right w:val="nil"/>
              <w:tl2br w:val="nil"/>
              <w:tr2bl w:val="nil"/>
            </w:tcBorders>
            <w:vAlign w:val="bottom"/>
          </w:tcPr>
          <w:p w:rsidR="00BA5C63" w:rsidRPr="00C6642F" w:rsidRDefault="00BA5C63" w:rsidP="00BA5C63">
            <w:pPr>
              <w:keepNext/>
              <w:rPr>
                <w:sz w:val="20"/>
              </w:rPr>
            </w:pPr>
          </w:p>
        </w:tc>
        <w:tc>
          <w:tcPr>
            <w:tcW w:w="603" w:type="pct"/>
            <w:tcBorders>
              <w:top w:val="nil"/>
              <w:left w:val="nil"/>
              <w:bottom w:val="nil"/>
              <w:right w:val="nil"/>
              <w:tl2br w:val="nil"/>
              <w:tr2bl w:val="nil"/>
            </w:tcBorders>
            <w:vAlign w:val="bottom"/>
          </w:tcPr>
          <w:p w:rsidR="00BA5C63" w:rsidRPr="00C6642F" w:rsidRDefault="006F38D0" w:rsidP="00BA5C63">
            <w:pPr>
              <w:keepNext/>
              <w:jc w:val="right"/>
              <w:rPr>
                <w:b/>
                <w:sz w:val="20"/>
              </w:rPr>
            </w:pPr>
            <w:r w:rsidRPr="00C6642F">
              <w:rPr>
                <w:b/>
                <w:sz w:val="20"/>
              </w:rPr>
              <w:t xml:space="preserve"> (230,363)</w:t>
            </w: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vAlign w:val="bottom"/>
          </w:tcPr>
          <w:p w:rsidR="00BA5C63" w:rsidRPr="00C6642F" w:rsidRDefault="006F38D0" w:rsidP="00BA5C63">
            <w:pPr>
              <w:keepNext/>
              <w:ind w:right="63"/>
              <w:jc w:val="right"/>
              <w:rPr>
                <w:b/>
                <w:sz w:val="20"/>
              </w:rPr>
            </w:pPr>
            <w:r w:rsidRPr="00C6642F">
              <w:rPr>
                <w:b/>
                <w:sz w:val="20"/>
              </w:rPr>
              <w:t xml:space="preserve"> 22.11</w:t>
            </w: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vAlign w:val="bottom"/>
          </w:tcPr>
          <w:p w:rsidR="00BA5C63" w:rsidRPr="00C6642F" w:rsidRDefault="00BA5C63" w:rsidP="00BA5C63">
            <w:pPr>
              <w:keepNext/>
              <w:rPr>
                <w:b/>
                <w:sz w:val="20"/>
              </w:rPr>
            </w:pPr>
          </w:p>
        </w:tc>
      </w:tr>
      <w:tr w:rsidR="00BA5C63" w:rsidRPr="00C6642F" w:rsidTr="00BA5C63">
        <w:trPr>
          <w:trHeight w:hRule="exact" w:val="25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ind w:left="360"/>
              <w:rPr>
                <w:sz w:val="20"/>
              </w:rPr>
            </w:pPr>
            <w:r w:rsidRPr="00C6642F">
              <w:rPr>
                <w:sz w:val="20"/>
              </w:rPr>
              <w:t>Expired</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sz w:val="20"/>
              </w:rPr>
            </w:pPr>
          </w:p>
        </w:tc>
        <w:tc>
          <w:tcPr>
            <w:tcW w:w="603" w:type="pct"/>
            <w:tcBorders>
              <w:top w:val="nil"/>
              <w:left w:val="nil"/>
              <w:bottom w:val="single" w:sz="12" w:space="0" w:color="000000"/>
              <w:right w:val="nil"/>
              <w:tl2br w:val="nil"/>
              <w:tr2bl w:val="nil"/>
            </w:tcBorders>
            <w:shd w:val="clear" w:color="auto" w:fill="CCEEFF"/>
            <w:vAlign w:val="bottom"/>
          </w:tcPr>
          <w:p w:rsidR="00BA5C63" w:rsidRPr="00C6642F" w:rsidRDefault="006F38D0" w:rsidP="00BA5C63">
            <w:pPr>
              <w:keepNext/>
              <w:ind w:right="63"/>
              <w:jc w:val="right"/>
              <w:rPr>
                <w:b/>
                <w:sz w:val="20"/>
              </w:rPr>
            </w:pPr>
            <w:r w:rsidRPr="00C6642F">
              <w:rPr>
                <w:b/>
                <w:sz w:val="20"/>
              </w:rPr>
              <w:t xml:space="preserve"> -</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ind w:right="63"/>
              <w:jc w:val="right"/>
              <w:rPr>
                <w:b/>
                <w:sz w:val="20"/>
              </w:rPr>
            </w:pPr>
            <w:r w:rsidRPr="00C6642F">
              <w:rPr>
                <w:b/>
                <w:sz w:val="20"/>
              </w:rPr>
              <w:t xml:space="preserve"> -</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r>
      <w:tr w:rsidR="00BA5C63" w:rsidRPr="00C6642F" w:rsidTr="00BA5C63">
        <w:trPr>
          <w:trHeight w:hRule="exact" w:val="315"/>
        </w:trPr>
        <w:tc>
          <w:tcPr>
            <w:tcW w:w="2162" w:type="pct"/>
            <w:tcBorders>
              <w:top w:val="nil"/>
              <w:left w:val="nil"/>
              <w:bottom w:val="nil"/>
              <w:right w:val="nil"/>
              <w:tl2br w:val="nil"/>
              <w:tr2bl w:val="nil"/>
            </w:tcBorders>
            <w:vAlign w:val="bottom"/>
          </w:tcPr>
          <w:p w:rsidR="00BA5C63" w:rsidRPr="00C6642F" w:rsidRDefault="006F38D0" w:rsidP="00BA5C63">
            <w:pPr>
              <w:keepNext/>
              <w:rPr>
                <w:sz w:val="20"/>
              </w:rPr>
            </w:pPr>
            <w:r w:rsidRPr="00C6642F">
              <w:rPr>
                <w:sz w:val="20"/>
              </w:rPr>
              <w:t>Balance at December 31, 2019</w:t>
            </w:r>
          </w:p>
        </w:tc>
        <w:tc>
          <w:tcPr>
            <w:tcW w:w="81" w:type="pct"/>
            <w:tcBorders>
              <w:top w:val="nil"/>
              <w:left w:val="nil"/>
              <w:bottom w:val="nil"/>
              <w:right w:val="nil"/>
              <w:tl2br w:val="nil"/>
              <w:tr2bl w:val="nil"/>
            </w:tcBorders>
            <w:vAlign w:val="bottom"/>
          </w:tcPr>
          <w:p w:rsidR="00BA5C63" w:rsidRPr="00C6642F" w:rsidRDefault="00BA5C63" w:rsidP="00BA5C63">
            <w:pPr>
              <w:keepNext/>
              <w:rPr>
                <w:sz w:val="20"/>
              </w:rPr>
            </w:pPr>
          </w:p>
        </w:tc>
        <w:tc>
          <w:tcPr>
            <w:tcW w:w="603" w:type="pct"/>
            <w:tcBorders>
              <w:top w:val="single" w:sz="0" w:space="0" w:color="000000"/>
              <w:left w:val="nil"/>
              <w:bottom w:val="double" w:sz="4" w:space="0" w:color="000000"/>
              <w:right w:val="nil"/>
              <w:tl2br w:val="nil"/>
              <w:tr2bl w:val="nil"/>
            </w:tcBorders>
            <w:vAlign w:val="bottom"/>
          </w:tcPr>
          <w:p w:rsidR="00BA5C63" w:rsidRPr="00C6642F" w:rsidRDefault="006F38D0" w:rsidP="00BA5C63">
            <w:pPr>
              <w:keepNext/>
              <w:ind w:right="63"/>
              <w:jc w:val="right"/>
              <w:rPr>
                <w:b/>
                <w:sz w:val="20"/>
              </w:rPr>
            </w:pPr>
            <w:r w:rsidRPr="00C6642F">
              <w:rPr>
                <w:b/>
                <w:sz w:val="20"/>
              </w:rPr>
              <w:t xml:space="preserve"> 2,218,906</w:t>
            </w: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rPr>
                <w:b/>
                <w:sz w:val="20"/>
              </w:rPr>
            </w:pPr>
            <w:r w:rsidRPr="00C6642F">
              <w:rPr>
                <w:b/>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ind w:right="63"/>
              <w:jc w:val="right"/>
              <w:rPr>
                <w:b/>
                <w:sz w:val="20"/>
              </w:rPr>
            </w:pPr>
            <w:r w:rsidRPr="00C6642F">
              <w:rPr>
                <w:b/>
                <w:sz w:val="20"/>
              </w:rPr>
              <w:t xml:space="preserve"> 23.99</w:t>
            </w: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vAlign w:val="bottom"/>
          </w:tcPr>
          <w:p w:rsidR="00BA5C63" w:rsidRPr="00C6642F" w:rsidRDefault="006F38D0" w:rsidP="00BA5C63">
            <w:pPr>
              <w:keepNext/>
              <w:ind w:right="63"/>
              <w:jc w:val="right"/>
              <w:rPr>
                <w:b/>
                <w:sz w:val="20"/>
              </w:rPr>
            </w:pPr>
            <w:r w:rsidRPr="00C6642F">
              <w:rPr>
                <w:b/>
                <w:sz w:val="20"/>
              </w:rPr>
              <w:t xml:space="preserve"> 2.7</w:t>
            </w: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rPr>
                <w:b/>
                <w:sz w:val="20"/>
              </w:rPr>
            </w:pPr>
            <w:r w:rsidRPr="00C6642F">
              <w:rPr>
                <w:b/>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ind w:right="63"/>
              <w:jc w:val="right"/>
              <w:rPr>
                <w:b/>
                <w:sz w:val="20"/>
              </w:rPr>
            </w:pPr>
            <w:r w:rsidRPr="00C6642F">
              <w:rPr>
                <w:b/>
                <w:sz w:val="20"/>
              </w:rPr>
              <w:t xml:space="preserve"> -</w:t>
            </w:r>
          </w:p>
        </w:tc>
      </w:tr>
      <w:tr w:rsidR="00BA5C63" w:rsidRPr="00C6642F" w:rsidTr="00BA5C63">
        <w:trPr>
          <w:trHeight w:hRule="exact" w:val="255"/>
        </w:trPr>
        <w:tc>
          <w:tcPr>
            <w:tcW w:w="2162" w:type="pct"/>
            <w:tcBorders>
              <w:top w:val="nil"/>
              <w:left w:val="nil"/>
              <w:bottom w:val="nil"/>
              <w:right w:val="nil"/>
              <w:tl2br w:val="nil"/>
              <w:tr2bl w:val="nil"/>
            </w:tcBorders>
            <w:vAlign w:val="bottom"/>
          </w:tcPr>
          <w:p w:rsidR="00BA5C63" w:rsidRPr="00C6642F" w:rsidRDefault="00BA5C63" w:rsidP="00BA5C63">
            <w:pPr>
              <w:keepNext/>
              <w:rPr>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rPr>
                <w:sz w:val="20"/>
              </w:rPr>
            </w:pPr>
          </w:p>
        </w:tc>
        <w:tc>
          <w:tcPr>
            <w:tcW w:w="603" w:type="pct"/>
            <w:tcBorders>
              <w:top w:val="double" w:sz="0" w:space="0" w:color="000000"/>
              <w:left w:val="nil"/>
              <w:bottom w:val="nil"/>
              <w:right w:val="nil"/>
              <w:tl2br w:val="nil"/>
              <w:tr2bl w:val="nil"/>
            </w:tcBorders>
            <w:vAlign w:val="bottom"/>
          </w:tcPr>
          <w:p w:rsidR="00BA5C63" w:rsidRPr="00C6642F" w:rsidRDefault="00BA5C63" w:rsidP="00BA5C63">
            <w:pPr>
              <w:keepNext/>
              <w:rPr>
                <w:b/>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vAlign w:val="bottom"/>
          </w:tcPr>
          <w:p w:rsidR="00BA5C63" w:rsidRPr="00C6642F" w:rsidRDefault="00BA5C63" w:rsidP="00BA5C63">
            <w:pPr>
              <w:keepNext/>
              <w:rPr>
                <w:b/>
                <w:sz w:val="20"/>
              </w:rPr>
            </w:pPr>
          </w:p>
        </w:tc>
      </w:tr>
      <w:tr w:rsidR="00BA5C63" w:rsidRPr="00C6642F" w:rsidTr="00BA5C63">
        <w:trPr>
          <w:trHeight w:hRule="exact" w:val="255"/>
        </w:trPr>
        <w:tc>
          <w:tcPr>
            <w:tcW w:w="2162" w:type="pct"/>
            <w:tcBorders>
              <w:top w:val="nil"/>
              <w:left w:val="nil"/>
              <w:bottom w:val="nil"/>
              <w:right w:val="nil"/>
              <w:tl2br w:val="nil"/>
              <w:tr2bl w:val="nil"/>
            </w:tcBorders>
            <w:vAlign w:val="bottom"/>
          </w:tcPr>
          <w:p w:rsidR="00BA5C63" w:rsidRPr="00C6642F" w:rsidRDefault="00BA5C63" w:rsidP="00BA5C63">
            <w:pPr>
              <w:keepNext/>
              <w:rPr>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rPr>
                <w:sz w:val="20"/>
              </w:rPr>
            </w:pPr>
          </w:p>
        </w:tc>
        <w:tc>
          <w:tcPr>
            <w:tcW w:w="603"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vAlign w:val="bottom"/>
          </w:tcPr>
          <w:p w:rsidR="00BA5C63" w:rsidRPr="00C6642F" w:rsidRDefault="00BA5C63" w:rsidP="00BA5C63">
            <w:pPr>
              <w:keepNext/>
              <w:rPr>
                <w:b/>
                <w:sz w:val="20"/>
              </w:rPr>
            </w:pPr>
          </w:p>
        </w:tc>
      </w:tr>
      <w:tr w:rsidR="00BA5C63" w:rsidRPr="00C6642F" w:rsidTr="00BA5C63">
        <w:trPr>
          <w:trHeight w:hRule="exact" w:val="25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rPr>
                <w:sz w:val="20"/>
              </w:rPr>
            </w:pPr>
            <w:r w:rsidRPr="00C6642F">
              <w:rPr>
                <w:sz w:val="20"/>
              </w:rPr>
              <w:t>At December 31, 2019</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sz w:val="20"/>
              </w:rPr>
            </w:pPr>
          </w:p>
        </w:tc>
        <w:tc>
          <w:tcPr>
            <w:tcW w:w="603"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r>
      <w:tr w:rsidR="00BA5C63" w:rsidRPr="00C6642F" w:rsidTr="00BA5C63">
        <w:trPr>
          <w:trHeight w:hRule="exact" w:val="255"/>
        </w:trPr>
        <w:tc>
          <w:tcPr>
            <w:tcW w:w="2162" w:type="pct"/>
            <w:tcBorders>
              <w:top w:val="nil"/>
              <w:left w:val="nil"/>
              <w:bottom w:val="nil"/>
              <w:right w:val="nil"/>
              <w:tl2br w:val="nil"/>
              <w:tr2bl w:val="nil"/>
            </w:tcBorders>
            <w:vAlign w:val="bottom"/>
          </w:tcPr>
          <w:p w:rsidR="00BA5C63" w:rsidRPr="00C6642F" w:rsidRDefault="006F38D0" w:rsidP="00BA5C63">
            <w:pPr>
              <w:keepNext/>
              <w:ind w:left="360"/>
              <w:rPr>
                <w:sz w:val="20"/>
              </w:rPr>
            </w:pPr>
            <w:r w:rsidRPr="00C6642F">
              <w:rPr>
                <w:sz w:val="20"/>
              </w:rPr>
              <w:t>Options outstanding, vested and exercisable</w:t>
            </w:r>
          </w:p>
        </w:tc>
        <w:tc>
          <w:tcPr>
            <w:tcW w:w="81" w:type="pct"/>
            <w:tcBorders>
              <w:top w:val="nil"/>
              <w:left w:val="nil"/>
              <w:bottom w:val="nil"/>
              <w:right w:val="nil"/>
              <w:tl2br w:val="nil"/>
              <w:tr2bl w:val="nil"/>
            </w:tcBorders>
            <w:vAlign w:val="bottom"/>
          </w:tcPr>
          <w:p w:rsidR="00BA5C63" w:rsidRPr="00C6642F" w:rsidRDefault="00BA5C63" w:rsidP="00BA5C63">
            <w:pPr>
              <w:keepNext/>
              <w:rPr>
                <w:sz w:val="20"/>
              </w:rPr>
            </w:pPr>
          </w:p>
        </w:tc>
        <w:tc>
          <w:tcPr>
            <w:tcW w:w="603" w:type="pct"/>
            <w:tcBorders>
              <w:top w:val="nil"/>
              <w:left w:val="nil"/>
              <w:bottom w:val="nil"/>
              <w:right w:val="nil"/>
              <w:tl2br w:val="nil"/>
              <w:tr2bl w:val="nil"/>
            </w:tcBorders>
            <w:vAlign w:val="bottom"/>
          </w:tcPr>
          <w:p w:rsidR="00BA5C63" w:rsidRPr="00C6642F" w:rsidRDefault="006F38D0" w:rsidP="00BA5C63">
            <w:pPr>
              <w:keepNext/>
              <w:ind w:right="63"/>
              <w:jc w:val="right"/>
              <w:rPr>
                <w:b/>
                <w:sz w:val="20"/>
              </w:rPr>
            </w:pPr>
            <w:r w:rsidRPr="00C6642F">
              <w:rPr>
                <w:b/>
                <w:sz w:val="20"/>
              </w:rPr>
              <w:t xml:space="preserve"> 2,218,906</w:t>
            </w: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rPr>
                <w:b/>
                <w:sz w:val="20"/>
              </w:rPr>
            </w:pPr>
            <w:r w:rsidRPr="00C6642F">
              <w:rPr>
                <w:b/>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ind w:right="63"/>
              <w:jc w:val="right"/>
              <w:rPr>
                <w:b/>
                <w:sz w:val="20"/>
              </w:rPr>
            </w:pPr>
            <w:r w:rsidRPr="00C6642F">
              <w:rPr>
                <w:b/>
                <w:sz w:val="20"/>
              </w:rPr>
              <w:t xml:space="preserve"> 23.99</w:t>
            </w: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vAlign w:val="bottom"/>
          </w:tcPr>
          <w:p w:rsidR="00BA5C63" w:rsidRPr="00C6642F" w:rsidRDefault="006F38D0" w:rsidP="00BA5C63">
            <w:pPr>
              <w:keepNext/>
              <w:ind w:right="63"/>
              <w:jc w:val="right"/>
              <w:rPr>
                <w:b/>
                <w:sz w:val="20"/>
              </w:rPr>
            </w:pPr>
            <w:r w:rsidRPr="00C6642F">
              <w:rPr>
                <w:b/>
                <w:sz w:val="20"/>
              </w:rPr>
              <w:t xml:space="preserve"> 2.7</w:t>
            </w:r>
          </w:p>
        </w:tc>
        <w:tc>
          <w:tcPr>
            <w:tcW w:w="81" w:type="pct"/>
            <w:tcBorders>
              <w:top w:val="nil"/>
              <w:left w:val="nil"/>
              <w:bottom w:val="nil"/>
              <w:right w:val="nil"/>
              <w:tl2br w:val="nil"/>
              <w:tr2bl w:val="nil"/>
            </w:tcBorders>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rPr>
                <w:b/>
                <w:sz w:val="20"/>
              </w:rPr>
            </w:pPr>
            <w:r w:rsidRPr="00C6642F">
              <w:rPr>
                <w:b/>
                <w:sz w:val="20"/>
              </w:rPr>
              <w:t>$</w:t>
            </w:r>
          </w:p>
        </w:tc>
        <w:tc>
          <w:tcPr>
            <w:tcW w:w="508" w:type="pct"/>
            <w:tcBorders>
              <w:top w:val="nil"/>
              <w:left w:val="nil"/>
              <w:bottom w:val="nil"/>
              <w:right w:val="nil"/>
              <w:tl2br w:val="nil"/>
              <w:tr2bl w:val="nil"/>
            </w:tcBorders>
            <w:vAlign w:val="bottom"/>
          </w:tcPr>
          <w:p w:rsidR="00BA5C63" w:rsidRPr="00C6642F" w:rsidRDefault="00BA5C63" w:rsidP="00BA5C63">
            <w:pPr>
              <w:keepNext/>
              <w:rPr>
                <w:b/>
                <w:sz w:val="20"/>
              </w:rPr>
            </w:pPr>
          </w:p>
        </w:tc>
      </w:tr>
      <w:tr w:rsidR="00BA5C63" w:rsidRPr="00C6642F" w:rsidTr="00BA5C63">
        <w:trPr>
          <w:trHeight w:hRule="exact" w:val="25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ind w:left="360"/>
              <w:rPr>
                <w:sz w:val="20"/>
              </w:rPr>
            </w:pPr>
            <w:r w:rsidRPr="00C6642F">
              <w:rPr>
                <w:sz w:val="20"/>
              </w:rPr>
              <w:t>Options outstanding, vested and expected to vest</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sz w:val="20"/>
              </w:rPr>
            </w:pPr>
          </w:p>
        </w:tc>
        <w:tc>
          <w:tcPr>
            <w:tcW w:w="603" w:type="pct"/>
            <w:tcBorders>
              <w:top w:val="nil"/>
              <w:left w:val="nil"/>
              <w:bottom w:val="nil"/>
              <w:right w:val="nil"/>
              <w:tl2br w:val="nil"/>
              <w:tr2bl w:val="nil"/>
            </w:tcBorders>
            <w:shd w:val="clear" w:color="auto" w:fill="CCEEFF"/>
            <w:vAlign w:val="bottom"/>
          </w:tcPr>
          <w:p w:rsidR="00BA5C63" w:rsidRPr="00C6642F" w:rsidRDefault="006F38D0" w:rsidP="00BA5C63">
            <w:pPr>
              <w:keepNext/>
              <w:ind w:right="63"/>
              <w:jc w:val="right"/>
              <w:rPr>
                <w:b/>
                <w:sz w:val="20"/>
              </w:rPr>
            </w:pPr>
            <w:r w:rsidRPr="00C6642F">
              <w:rPr>
                <w:b/>
                <w:sz w:val="20"/>
              </w:rPr>
              <w:t xml:space="preserve"> 2,218,906</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ind w:right="63"/>
              <w:jc w:val="right"/>
              <w:rPr>
                <w:b/>
                <w:sz w:val="20"/>
              </w:rPr>
            </w:pPr>
            <w:r w:rsidRPr="00C6642F">
              <w:rPr>
                <w:b/>
                <w:sz w:val="20"/>
              </w:rPr>
              <w:t xml:space="preserve"> 23.99</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ind w:right="63"/>
              <w:jc w:val="right"/>
              <w:rPr>
                <w:b/>
                <w:sz w:val="20"/>
              </w:rPr>
            </w:pPr>
            <w:r w:rsidRPr="00C6642F">
              <w:rPr>
                <w:b/>
                <w:sz w:val="20"/>
              </w:rPr>
              <w:t xml:space="preserve"> 2.7</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BA5C63" w:rsidP="00BA5C63">
            <w:pPr>
              <w:keepNext/>
              <w:rPr>
                <w:b/>
                <w:sz w:val="20"/>
              </w:rPr>
            </w:pPr>
          </w:p>
        </w:tc>
      </w:tr>
    </w:tbl>
    <w:p w:rsidR="00BA5C63" w:rsidRPr="00C6642F" w:rsidRDefault="00BA5C63" w:rsidP="00BA5C63"/>
    <w:p w:rsidR="00BA5C63" w:rsidRPr="00C6642F" w:rsidRDefault="00BA5C63" w:rsidP="00BA5C63">
      <w:pPr>
        <w:pStyle w:val="NormalWeb"/>
        <w:keepNext/>
        <w:spacing w:before="90" w:beforeAutospacing="0" w:after="0" w:afterAutospacing="0"/>
        <w:rPr>
          <w:sz w:val="20"/>
          <w:szCs w:val="20"/>
        </w:rPr>
      </w:pPr>
    </w:p>
    <w:p w:rsidR="00BA5C63" w:rsidRPr="00C6642F" w:rsidRDefault="00BA5C63" w:rsidP="00BA5C63">
      <w:pPr>
        <w:pStyle w:val="NormalWeb"/>
        <w:keepNext/>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BA5C63" w:rsidRPr="00C6642F" w:rsidTr="00BA5C63">
        <w:trPr>
          <w:trHeight w:hRule="exact" w:val="20"/>
        </w:trPr>
        <w:tc>
          <w:tcPr>
            <w:tcW w:w="2162"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603"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r>
      <w:tr w:rsidR="00BA5C63" w:rsidRPr="00C6642F" w:rsidTr="00BA5C63">
        <w:trPr>
          <w:trHeight w:hRule="exact" w:val="315"/>
        </w:trPr>
        <w:tc>
          <w:tcPr>
            <w:tcW w:w="2162"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 xml:space="preserve">Year Ended December 31, </w:t>
            </w:r>
          </w:p>
        </w:tc>
      </w:tr>
      <w:tr w:rsidR="00BA5C63" w:rsidRPr="00C6642F" w:rsidTr="00BA5C63">
        <w:trPr>
          <w:trHeight w:hRule="exact" w:val="315"/>
        </w:trPr>
        <w:tc>
          <w:tcPr>
            <w:tcW w:w="2162"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2019</w:t>
            </w:r>
          </w:p>
        </w:tc>
        <w:tc>
          <w:tcPr>
            <w:tcW w:w="81" w:type="pct"/>
            <w:tcBorders>
              <w:top w:val="single" w:sz="0" w:space="0" w:color="000000"/>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 xml:space="preserve"> 2018</w:t>
            </w:r>
          </w:p>
        </w:tc>
        <w:tc>
          <w:tcPr>
            <w:tcW w:w="81" w:type="pct"/>
            <w:tcBorders>
              <w:top w:val="single" w:sz="0" w:space="0" w:color="000000"/>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 xml:space="preserve"> 2017</w:t>
            </w:r>
          </w:p>
        </w:tc>
      </w:tr>
      <w:tr w:rsidR="00BA5C63" w:rsidRPr="00C6642F" w:rsidTr="00BA5C63">
        <w:trPr>
          <w:trHeight w:hRule="exact" w:val="25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rPr>
                <w:i/>
                <w:sz w:val="20"/>
              </w:rPr>
            </w:pPr>
            <w:r w:rsidRPr="00C6642F">
              <w:rPr>
                <w:i/>
                <w:sz w:val="20"/>
              </w:rPr>
              <w:t>Stock Options</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r>
      <w:tr w:rsidR="00BA5C63" w:rsidRPr="00C6642F" w:rsidTr="00BA5C63">
        <w:trPr>
          <w:trHeight w:hRule="exact" w:val="255"/>
        </w:trPr>
        <w:tc>
          <w:tcPr>
            <w:tcW w:w="2162" w:type="pct"/>
            <w:tcBorders>
              <w:top w:val="nil"/>
              <w:left w:val="nil"/>
              <w:bottom w:val="nil"/>
              <w:right w:val="nil"/>
              <w:tl2br w:val="nil"/>
              <w:tr2bl w:val="nil"/>
            </w:tcBorders>
            <w:vAlign w:val="bottom"/>
          </w:tcPr>
          <w:p w:rsidR="00BA5C63" w:rsidRPr="00C6642F" w:rsidRDefault="006F38D0" w:rsidP="00BA5C63">
            <w:pPr>
              <w:keepNext/>
              <w:spacing w:before="1" w:after="1"/>
              <w:rPr>
                <w:sz w:val="20"/>
              </w:rPr>
            </w:pPr>
            <w:r w:rsidRPr="00C6642F">
              <w:rPr>
                <w:sz w:val="20"/>
              </w:rPr>
              <w:t>Weighted-average, grant-date fair value of awards granted</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spacing w:before="1" w:after="1"/>
              <w:rPr>
                <w:sz w:val="20"/>
              </w:rPr>
            </w:pPr>
            <w:r w:rsidRPr="00C6642F">
              <w:rPr>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spacing w:before="1" w:after="1"/>
              <w:ind w:right="63"/>
              <w:jc w:val="right"/>
              <w:rPr>
                <w:b/>
                <w:sz w:val="20"/>
              </w:rPr>
            </w:pPr>
            <w:r w:rsidRPr="00C6642F">
              <w:rPr>
                <w:b/>
                <w:sz w:val="20"/>
              </w:rPr>
              <w:t xml:space="preserve"> -</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spacing w:before="1" w:after="1"/>
              <w:rPr>
                <w:sz w:val="20"/>
              </w:rPr>
            </w:pPr>
            <w:r w:rsidRPr="00C6642F">
              <w:rPr>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spacing w:before="1" w:after="1"/>
              <w:ind w:right="65"/>
              <w:jc w:val="right"/>
              <w:rPr>
                <w:sz w:val="20"/>
              </w:rPr>
            </w:pPr>
            <w:r w:rsidRPr="00C6642F">
              <w:rPr>
                <w:sz w:val="20"/>
              </w:rPr>
              <w:t xml:space="preserve"> -</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spacing w:before="1" w:after="1"/>
              <w:rPr>
                <w:sz w:val="20"/>
              </w:rPr>
            </w:pPr>
            <w:r w:rsidRPr="00C6642F">
              <w:rPr>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spacing w:before="1" w:after="1"/>
              <w:ind w:right="65"/>
              <w:jc w:val="right"/>
              <w:rPr>
                <w:sz w:val="20"/>
              </w:rPr>
            </w:pPr>
            <w:r w:rsidRPr="00C6642F">
              <w:rPr>
                <w:sz w:val="20"/>
              </w:rPr>
              <w:t xml:space="preserve"> -</w:t>
            </w:r>
          </w:p>
        </w:tc>
      </w:tr>
      <w:tr w:rsidR="00BA5C63" w:rsidRPr="00C6642F" w:rsidTr="00BA5C63">
        <w:trPr>
          <w:trHeight w:hRule="exact" w:val="25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rPr>
                <w:sz w:val="20"/>
              </w:rPr>
            </w:pPr>
            <w:r w:rsidRPr="00C6642F">
              <w:rPr>
                <w:sz w:val="20"/>
              </w:rPr>
              <w:t>Total intrinsic value of stock options exercised</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ind w:right="63"/>
              <w:jc w:val="right"/>
              <w:rPr>
                <w:b/>
                <w:sz w:val="20"/>
              </w:rPr>
            </w:pPr>
            <w:r w:rsidRPr="00C6642F">
              <w:rPr>
                <w:b/>
                <w:sz w:val="20"/>
              </w:rPr>
              <w:t xml:space="preserve"> 767</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ind w:right="65"/>
              <w:jc w:val="right"/>
              <w:rPr>
                <w:sz w:val="20"/>
              </w:rPr>
            </w:pPr>
            <w:r w:rsidRPr="00C6642F">
              <w:rPr>
                <w:sz w:val="20"/>
              </w:rPr>
              <w:t xml:space="preserve"> 1,722,539</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ind w:right="65"/>
              <w:jc w:val="right"/>
              <w:rPr>
                <w:sz w:val="20"/>
              </w:rPr>
            </w:pPr>
            <w:r w:rsidRPr="00C6642F">
              <w:rPr>
                <w:sz w:val="20"/>
              </w:rPr>
              <w:t xml:space="preserve"> 633,244</w:t>
            </w:r>
          </w:p>
        </w:tc>
      </w:tr>
      <w:tr w:rsidR="00BA5C63" w:rsidRPr="00C6642F" w:rsidTr="00BA5C63">
        <w:trPr>
          <w:trHeight w:hRule="exact" w:val="255"/>
        </w:trPr>
        <w:tc>
          <w:tcPr>
            <w:tcW w:w="2162" w:type="pct"/>
            <w:tcBorders>
              <w:top w:val="nil"/>
              <w:left w:val="nil"/>
              <w:bottom w:val="nil"/>
              <w:right w:val="nil"/>
              <w:tl2br w:val="nil"/>
              <w:tr2bl w:val="nil"/>
            </w:tcBorders>
            <w:vAlign w:val="bottom"/>
          </w:tcPr>
          <w:p w:rsidR="00BA5C63" w:rsidRPr="00C6642F" w:rsidRDefault="006F38D0" w:rsidP="00BA5C63">
            <w:pPr>
              <w:keepNext/>
              <w:spacing w:before="1" w:after="1"/>
              <w:rPr>
                <w:sz w:val="20"/>
              </w:rPr>
            </w:pPr>
            <w:r w:rsidRPr="00C6642F">
              <w:rPr>
                <w:sz w:val="20"/>
              </w:rPr>
              <w:t>Total fair value of stock options vested</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508" w:type="pct"/>
            <w:tcBorders>
              <w:top w:val="nil"/>
              <w:left w:val="nil"/>
              <w:bottom w:val="nil"/>
              <w:right w:val="nil"/>
              <w:tl2br w:val="nil"/>
              <w:tr2bl w:val="nil"/>
            </w:tcBorders>
            <w:vAlign w:val="bottom"/>
          </w:tcPr>
          <w:p w:rsidR="00BA5C63" w:rsidRPr="00C6642F" w:rsidRDefault="006F38D0" w:rsidP="00BA5C63">
            <w:pPr>
              <w:keepNext/>
              <w:spacing w:before="1" w:after="1"/>
              <w:ind w:right="63"/>
              <w:jc w:val="right"/>
              <w:rPr>
                <w:b/>
                <w:sz w:val="20"/>
              </w:rPr>
            </w:pPr>
            <w:r w:rsidRPr="00C6642F">
              <w:rPr>
                <w:b/>
                <w:sz w:val="20"/>
              </w:rPr>
              <w:t xml:space="preserve"> -</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508" w:type="pct"/>
            <w:tcBorders>
              <w:top w:val="nil"/>
              <w:left w:val="nil"/>
              <w:bottom w:val="nil"/>
              <w:right w:val="nil"/>
              <w:tl2br w:val="nil"/>
              <w:tr2bl w:val="nil"/>
            </w:tcBorders>
            <w:vAlign w:val="bottom"/>
          </w:tcPr>
          <w:p w:rsidR="00BA5C63" w:rsidRPr="00C6642F" w:rsidRDefault="006F38D0" w:rsidP="00BA5C63">
            <w:pPr>
              <w:keepNext/>
              <w:spacing w:before="1" w:after="1"/>
              <w:ind w:right="65"/>
              <w:jc w:val="right"/>
              <w:rPr>
                <w:sz w:val="20"/>
              </w:rPr>
            </w:pPr>
            <w:r w:rsidRPr="00C6642F">
              <w:rPr>
                <w:sz w:val="20"/>
              </w:rPr>
              <w:t xml:space="preserve"> -</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508" w:type="pct"/>
            <w:tcBorders>
              <w:top w:val="nil"/>
              <w:left w:val="nil"/>
              <w:bottom w:val="nil"/>
              <w:right w:val="nil"/>
              <w:tl2br w:val="nil"/>
              <w:tr2bl w:val="nil"/>
            </w:tcBorders>
            <w:vAlign w:val="bottom"/>
          </w:tcPr>
          <w:p w:rsidR="00BA5C63" w:rsidRPr="00C6642F" w:rsidRDefault="006F38D0" w:rsidP="00BA5C63">
            <w:pPr>
              <w:keepNext/>
              <w:spacing w:before="1" w:after="1"/>
              <w:ind w:right="65"/>
              <w:jc w:val="right"/>
              <w:rPr>
                <w:sz w:val="20"/>
              </w:rPr>
            </w:pPr>
            <w:r w:rsidRPr="00C6642F">
              <w:rPr>
                <w:sz w:val="20"/>
              </w:rPr>
              <w:t xml:space="preserve"> 10,738,309</w:t>
            </w:r>
          </w:p>
        </w:tc>
      </w:tr>
    </w:tbl>
    <w:p w:rsidR="00BA5C63" w:rsidRPr="00C6642F" w:rsidRDefault="006F38D0" w:rsidP="00BA5C63">
      <w:pPr>
        <w:pStyle w:val="NormalWeb"/>
        <w:widowControl w:val="0"/>
        <w:spacing w:before="180" w:beforeAutospacing="0" w:after="0" w:afterAutospacing="0"/>
        <w:rPr>
          <w:b/>
          <w:i/>
          <w:sz w:val="20"/>
          <w:szCs w:val="20"/>
        </w:rPr>
      </w:pPr>
      <w:r w:rsidRPr="00C6642F">
        <w:rPr>
          <w:b/>
          <w:i/>
          <w:sz w:val="20"/>
          <w:szCs w:val="20"/>
        </w:rPr>
        <w:t>Restricted Stock Awards</w:t>
      </w:r>
    </w:p>
    <w:p w:rsidR="00BA5C63" w:rsidRPr="00C6642F" w:rsidRDefault="006F38D0" w:rsidP="00BA5C63">
      <w:pPr>
        <w:pStyle w:val="NormalWeb"/>
        <w:keepNext/>
        <w:keepLines/>
        <w:widowControl w:val="0"/>
        <w:spacing w:before="180" w:beforeAutospacing="0" w:after="0" w:afterAutospacing="0"/>
        <w:rPr>
          <w:sz w:val="20"/>
          <w:szCs w:val="20"/>
        </w:rPr>
      </w:pPr>
      <w:r w:rsidRPr="00C6642F">
        <w:rPr>
          <w:sz w:val="20"/>
          <w:szCs w:val="20"/>
        </w:rPr>
        <w:t>The following tables summarizes award activity for restricted stock awards:</w:t>
      </w:r>
    </w:p>
    <w:p w:rsidR="00BA5C63" w:rsidRPr="00C6642F" w:rsidRDefault="00BA5C63" w:rsidP="00BA5C63">
      <w:pPr>
        <w:pStyle w:val="NormalWeb"/>
        <w:keepNext/>
        <w:keepLines/>
        <w:widowControl w:val="0"/>
        <w:spacing w:before="0" w:beforeAutospacing="0" w:after="0" w:afterAutospacing="0" w:line="480" w:lineRule="auto"/>
        <w:rPr>
          <w:sz w:val="2"/>
          <w:szCs w:val="18"/>
          <w:highlight w:val="green"/>
        </w:rPr>
      </w:pPr>
    </w:p>
    <w:tbl>
      <w:tblPr>
        <w:tblW w:w="5000" w:type="pct"/>
        <w:tblCellMar>
          <w:left w:w="0" w:type="dxa"/>
          <w:right w:w="0" w:type="dxa"/>
        </w:tblCellMar>
        <w:tblLook w:val="04A0" w:firstRow="1" w:lastRow="0" w:firstColumn="1" w:lastColumn="0" w:noHBand="0" w:noVBand="1"/>
      </w:tblPr>
      <w:tblGrid>
        <w:gridCol w:w="6550"/>
        <w:gridCol w:w="246"/>
        <w:gridCol w:w="1827"/>
        <w:gridCol w:w="246"/>
        <w:gridCol w:w="391"/>
        <w:gridCol w:w="1540"/>
      </w:tblGrid>
      <w:tr w:rsidR="00BA5C63" w:rsidRPr="00C6642F" w:rsidTr="00BA5C63">
        <w:trPr>
          <w:trHeight w:hRule="exact" w:val="20"/>
        </w:trPr>
        <w:tc>
          <w:tcPr>
            <w:tcW w:w="3032" w:type="pct"/>
            <w:tcBorders>
              <w:top w:val="nil"/>
              <w:left w:val="nil"/>
              <w:bottom w:val="nil"/>
              <w:right w:val="nil"/>
            </w:tcBorders>
            <w:shd w:val="clear" w:color="auto" w:fill="auto"/>
            <w:vAlign w:val="bottom"/>
          </w:tcPr>
          <w:p w:rsidR="00BA5C63" w:rsidRPr="00C6642F" w:rsidRDefault="00BA5C63" w:rsidP="00BA5C63">
            <w:pPr>
              <w:keepNext/>
              <w:keepLines/>
              <w:rPr>
                <w:sz w:val="2"/>
              </w:rPr>
            </w:pPr>
          </w:p>
        </w:tc>
        <w:tc>
          <w:tcPr>
            <w:tcW w:w="114" w:type="pct"/>
            <w:tcBorders>
              <w:top w:val="nil"/>
              <w:left w:val="nil"/>
              <w:bottom w:val="nil"/>
              <w:right w:val="nil"/>
            </w:tcBorders>
            <w:shd w:val="clear" w:color="auto" w:fill="auto"/>
            <w:vAlign w:val="bottom"/>
          </w:tcPr>
          <w:p w:rsidR="00BA5C63" w:rsidRPr="00C6642F" w:rsidRDefault="00BA5C63" w:rsidP="00BA5C63">
            <w:pPr>
              <w:keepNext/>
              <w:keepLines/>
              <w:rPr>
                <w:sz w:val="2"/>
              </w:rPr>
            </w:pPr>
          </w:p>
        </w:tc>
        <w:tc>
          <w:tcPr>
            <w:tcW w:w="846" w:type="pct"/>
            <w:tcBorders>
              <w:top w:val="nil"/>
              <w:left w:val="nil"/>
              <w:bottom w:val="nil"/>
              <w:right w:val="nil"/>
            </w:tcBorders>
            <w:shd w:val="clear" w:color="auto" w:fill="auto"/>
            <w:vAlign w:val="bottom"/>
          </w:tcPr>
          <w:p w:rsidR="00BA5C63" w:rsidRPr="00C6642F" w:rsidRDefault="00BA5C63" w:rsidP="00BA5C63">
            <w:pPr>
              <w:keepNext/>
              <w:keepLines/>
              <w:rPr>
                <w:sz w:val="2"/>
              </w:rPr>
            </w:pPr>
          </w:p>
        </w:tc>
        <w:tc>
          <w:tcPr>
            <w:tcW w:w="114" w:type="pct"/>
            <w:tcBorders>
              <w:top w:val="nil"/>
              <w:left w:val="nil"/>
              <w:bottom w:val="nil"/>
              <w:right w:val="nil"/>
            </w:tcBorders>
            <w:shd w:val="clear" w:color="auto" w:fill="auto"/>
            <w:vAlign w:val="bottom"/>
          </w:tcPr>
          <w:p w:rsidR="00BA5C63" w:rsidRPr="00C6642F" w:rsidRDefault="00BA5C63" w:rsidP="00BA5C63">
            <w:pPr>
              <w:keepNext/>
              <w:keepLines/>
              <w:rPr>
                <w:sz w:val="2"/>
              </w:rPr>
            </w:pPr>
          </w:p>
        </w:tc>
        <w:tc>
          <w:tcPr>
            <w:tcW w:w="181" w:type="pct"/>
            <w:tcBorders>
              <w:top w:val="nil"/>
              <w:left w:val="nil"/>
              <w:bottom w:val="nil"/>
              <w:right w:val="nil"/>
            </w:tcBorders>
            <w:shd w:val="clear" w:color="auto" w:fill="auto"/>
            <w:vAlign w:val="bottom"/>
          </w:tcPr>
          <w:p w:rsidR="00BA5C63" w:rsidRPr="00C6642F" w:rsidRDefault="00BA5C63" w:rsidP="00BA5C63">
            <w:pPr>
              <w:keepNext/>
              <w:keepLines/>
              <w:rPr>
                <w:sz w:val="2"/>
              </w:rPr>
            </w:pPr>
          </w:p>
        </w:tc>
        <w:tc>
          <w:tcPr>
            <w:tcW w:w="713" w:type="pct"/>
            <w:tcBorders>
              <w:top w:val="nil"/>
              <w:left w:val="nil"/>
              <w:bottom w:val="nil"/>
              <w:right w:val="nil"/>
            </w:tcBorders>
            <w:shd w:val="clear" w:color="auto" w:fill="auto"/>
            <w:vAlign w:val="bottom"/>
          </w:tcPr>
          <w:p w:rsidR="00BA5C63" w:rsidRPr="00C6642F" w:rsidRDefault="00BA5C63" w:rsidP="00BA5C63">
            <w:pPr>
              <w:keepNext/>
              <w:keepLines/>
              <w:rPr>
                <w:sz w:val="2"/>
              </w:rPr>
            </w:pPr>
          </w:p>
        </w:tc>
      </w:tr>
      <w:tr w:rsidR="00BA5C63" w:rsidRPr="00C6642F" w:rsidTr="00BA5C63">
        <w:trPr>
          <w:trHeight w:hRule="exact" w:val="255"/>
        </w:trPr>
        <w:tc>
          <w:tcPr>
            <w:tcW w:w="3032"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846"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81"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713"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r>
      <w:tr w:rsidR="00BA5C63" w:rsidRPr="00C6642F" w:rsidTr="00BA5C63">
        <w:trPr>
          <w:trHeight w:hRule="exact" w:val="300"/>
        </w:trPr>
        <w:tc>
          <w:tcPr>
            <w:tcW w:w="3032"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846"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keepLines/>
              <w:jc w:val="center"/>
              <w:rPr>
                <w:b/>
                <w:sz w:val="20"/>
              </w:rPr>
            </w:pPr>
            <w:r w:rsidRPr="00C6642F">
              <w:rPr>
                <w:b/>
                <w:sz w:val="20"/>
              </w:rPr>
              <w:t>Weighted</w:t>
            </w:r>
          </w:p>
        </w:tc>
      </w:tr>
      <w:tr w:rsidR="00BA5C63" w:rsidRPr="00C6642F" w:rsidTr="00BA5C63">
        <w:trPr>
          <w:trHeight w:hRule="exact" w:val="300"/>
        </w:trPr>
        <w:tc>
          <w:tcPr>
            <w:tcW w:w="3032"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846"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keepLines/>
              <w:jc w:val="center"/>
              <w:rPr>
                <w:b/>
                <w:sz w:val="20"/>
              </w:rPr>
            </w:pPr>
            <w:r w:rsidRPr="00C6642F">
              <w:rPr>
                <w:b/>
                <w:sz w:val="20"/>
              </w:rPr>
              <w:t>Average</w:t>
            </w:r>
          </w:p>
        </w:tc>
      </w:tr>
      <w:tr w:rsidR="00BA5C63" w:rsidRPr="00C6642F" w:rsidTr="00BA5C63">
        <w:trPr>
          <w:trHeight w:hRule="exact" w:val="300"/>
        </w:trPr>
        <w:tc>
          <w:tcPr>
            <w:tcW w:w="3032"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846"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keepLines/>
              <w:jc w:val="center"/>
              <w:rPr>
                <w:b/>
                <w:sz w:val="20"/>
              </w:rPr>
            </w:pPr>
            <w:r w:rsidRPr="00C6642F">
              <w:rPr>
                <w:b/>
                <w:sz w:val="20"/>
              </w:rPr>
              <w:t>Grant-Date</w:t>
            </w:r>
          </w:p>
        </w:tc>
      </w:tr>
      <w:tr w:rsidR="00BA5C63" w:rsidRPr="00C6642F" w:rsidTr="00BA5C63">
        <w:trPr>
          <w:trHeight w:hRule="exact" w:val="315"/>
        </w:trPr>
        <w:tc>
          <w:tcPr>
            <w:tcW w:w="3032"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846" w:type="pct"/>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keepNext/>
              <w:keepLines/>
              <w:jc w:val="center"/>
              <w:rPr>
                <w:b/>
                <w:sz w:val="20"/>
              </w:rPr>
            </w:pPr>
            <w:r w:rsidRPr="00C6642F">
              <w:rPr>
                <w:b/>
                <w:sz w:val="20"/>
              </w:rPr>
              <w:t>Shares</w:t>
            </w: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keepNext/>
              <w:keepLines/>
              <w:jc w:val="center"/>
              <w:rPr>
                <w:b/>
                <w:sz w:val="20"/>
              </w:rPr>
            </w:pPr>
            <w:r w:rsidRPr="00C6642F">
              <w:rPr>
                <w:b/>
                <w:sz w:val="20"/>
              </w:rPr>
              <w:t>Fair Value</w:t>
            </w:r>
          </w:p>
        </w:tc>
      </w:tr>
      <w:tr w:rsidR="00BA5C63" w:rsidRPr="00C6642F" w:rsidTr="00BA5C63">
        <w:trPr>
          <w:trHeight w:hRule="exact" w:val="255"/>
        </w:trPr>
        <w:tc>
          <w:tcPr>
            <w:tcW w:w="3032"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rPr>
                <w:i/>
                <w:sz w:val="20"/>
              </w:rPr>
            </w:pPr>
            <w:r w:rsidRPr="00C6642F">
              <w:rPr>
                <w:i/>
                <w:sz w:val="20"/>
              </w:rPr>
              <w:t>Restricted Stock Awards</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rPr>
                <w:sz w:val="20"/>
              </w:rPr>
            </w:pPr>
          </w:p>
        </w:tc>
        <w:tc>
          <w:tcPr>
            <w:tcW w:w="846"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rPr>
                <w:sz w:val="20"/>
              </w:rPr>
            </w:pPr>
          </w:p>
        </w:tc>
        <w:tc>
          <w:tcPr>
            <w:tcW w:w="181"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rPr>
                <w:sz w:val="20"/>
              </w:rPr>
            </w:pPr>
          </w:p>
        </w:tc>
        <w:tc>
          <w:tcPr>
            <w:tcW w:w="713"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rPr>
                <w:sz w:val="20"/>
              </w:rPr>
            </w:pPr>
          </w:p>
        </w:tc>
      </w:tr>
      <w:tr w:rsidR="00BA5C63" w:rsidRPr="00C6642F" w:rsidTr="00BA5C63">
        <w:trPr>
          <w:trHeight w:hRule="exact" w:val="255"/>
        </w:trPr>
        <w:tc>
          <w:tcPr>
            <w:tcW w:w="3032" w:type="pct"/>
            <w:tcBorders>
              <w:top w:val="nil"/>
              <w:left w:val="nil"/>
              <w:bottom w:val="nil"/>
              <w:right w:val="nil"/>
              <w:tl2br w:val="nil"/>
              <w:tr2bl w:val="nil"/>
            </w:tcBorders>
            <w:vAlign w:val="bottom"/>
          </w:tcPr>
          <w:p w:rsidR="00BA5C63" w:rsidRPr="00C6642F" w:rsidRDefault="006F38D0" w:rsidP="00BA5C63">
            <w:pPr>
              <w:keepNext/>
              <w:keepLines/>
              <w:rPr>
                <w:sz w:val="20"/>
              </w:rPr>
            </w:pPr>
            <w:r w:rsidRPr="00C6642F">
              <w:rPr>
                <w:sz w:val="20"/>
              </w:rPr>
              <w:t>Nonvested at December 31, 2018</w:t>
            </w:r>
          </w:p>
        </w:tc>
        <w:tc>
          <w:tcPr>
            <w:tcW w:w="114" w:type="pct"/>
            <w:tcBorders>
              <w:top w:val="nil"/>
              <w:left w:val="nil"/>
              <w:bottom w:val="nil"/>
              <w:right w:val="nil"/>
              <w:tl2br w:val="nil"/>
              <w:tr2bl w:val="nil"/>
            </w:tcBorders>
            <w:vAlign w:val="bottom"/>
          </w:tcPr>
          <w:p w:rsidR="00BA5C63" w:rsidRPr="00C6642F" w:rsidRDefault="00BA5C63" w:rsidP="00BA5C63">
            <w:pPr>
              <w:keepNext/>
              <w:keepLines/>
              <w:rPr>
                <w:sz w:val="20"/>
              </w:rPr>
            </w:pPr>
          </w:p>
        </w:tc>
        <w:tc>
          <w:tcPr>
            <w:tcW w:w="846" w:type="pct"/>
            <w:tcBorders>
              <w:top w:val="nil"/>
              <w:left w:val="nil"/>
              <w:bottom w:val="nil"/>
              <w:right w:val="nil"/>
              <w:tl2br w:val="nil"/>
              <w:tr2bl w:val="nil"/>
            </w:tcBorders>
            <w:vAlign w:val="bottom"/>
          </w:tcPr>
          <w:p w:rsidR="00BA5C63" w:rsidRPr="00C6642F" w:rsidRDefault="006F38D0" w:rsidP="00BA5C63">
            <w:pPr>
              <w:keepNext/>
              <w:keepLines/>
              <w:ind w:right="63"/>
              <w:jc w:val="right"/>
              <w:rPr>
                <w:b/>
                <w:sz w:val="20"/>
              </w:rPr>
            </w:pPr>
            <w:r w:rsidRPr="00C6642F">
              <w:rPr>
                <w:b/>
                <w:sz w:val="20"/>
              </w:rPr>
              <w:t xml:space="preserve"> 83,391</w:t>
            </w:r>
          </w:p>
        </w:tc>
        <w:tc>
          <w:tcPr>
            <w:tcW w:w="114" w:type="pct"/>
            <w:tcBorders>
              <w:top w:val="nil"/>
              <w:left w:val="nil"/>
              <w:bottom w:val="nil"/>
              <w:right w:val="nil"/>
              <w:tl2br w:val="nil"/>
              <w:tr2bl w:val="nil"/>
            </w:tcBorders>
            <w:vAlign w:val="bottom"/>
          </w:tcPr>
          <w:p w:rsidR="00BA5C63" w:rsidRPr="00C6642F" w:rsidRDefault="00BA5C63" w:rsidP="00BA5C63">
            <w:pPr>
              <w:keepNext/>
              <w:keepLines/>
              <w:rPr>
                <w:b/>
                <w:sz w:val="20"/>
              </w:rPr>
            </w:pPr>
          </w:p>
        </w:tc>
        <w:tc>
          <w:tcPr>
            <w:tcW w:w="181" w:type="pct"/>
            <w:tcBorders>
              <w:top w:val="nil"/>
              <w:left w:val="nil"/>
              <w:bottom w:val="nil"/>
              <w:right w:val="nil"/>
              <w:tl2br w:val="nil"/>
              <w:tr2bl w:val="nil"/>
            </w:tcBorders>
            <w:vAlign w:val="bottom"/>
          </w:tcPr>
          <w:p w:rsidR="00BA5C63" w:rsidRPr="00C6642F" w:rsidRDefault="006F38D0" w:rsidP="00BA5C63">
            <w:pPr>
              <w:keepNext/>
              <w:keepLines/>
              <w:rPr>
                <w:b/>
                <w:sz w:val="20"/>
              </w:rPr>
            </w:pPr>
            <w:r w:rsidRPr="00C6642F">
              <w:rPr>
                <w:b/>
                <w:sz w:val="20"/>
              </w:rPr>
              <w:t>$</w:t>
            </w:r>
          </w:p>
        </w:tc>
        <w:tc>
          <w:tcPr>
            <w:tcW w:w="713" w:type="pct"/>
            <w:tcBorders>
              <w:top w:val="nil"/>
              <w:left w:val="nil"/>
              <w:bottom w:val="nil"/>
              <w:right w:val="nil"/>
              <w:tl2br w:val="nil"/>
              <w:tr2bl w:val="nil"/>
            </w:tcBorders>
            <w:vAlign w:val="bottom"/>
          </w:tcPr>
          <w:p w:rsidR="00BA5C63" w:rsidRPr="00C6642F" w:rsidRDefault="006F38D0" w:rsidP="00BA5C63">
            <w:pPr>
              <w:keepNext/>
              <w:keepLines/>
              <w:ind w:right="63"/>
              <w:jc w:val="right"/>
              <w:rPr>
                <w:b/>
                <w:sz w:val="20"/>
              </w:rPr>
            </w:pPr>
            <w:r w:rsidRPr="00C6642F">
              <w:rPr>
                <w:b/>
                <w:sz w:val="20"/>
              </w:rPr>
              <w:t xml:space="preserve"> 19.05</w:t>
            </w:r>
          </w:p>
        </w:tc>
      </w:tr>
      <w:tr w:rsidR="00BA5C63" w:rsidRPr="00C6642F" w:rsidTr="00BA5C63">
        <w:trPr>
          <w:trHeight w:hRule="exact" w:val="255"/>
        </w:trPr>
        <w:tc>
          <w:tcPr>
            <w:tcW w:w="3032"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ind w:left="360"/>
              <w:rPr>
                <w:sz w:val="20"/>
              </w:rPr>
            </w:pPr>
            <w:r w:rsidRPr="00C6642F">
              <w:rPr>
                <w:sz w:val="20"/>
              </w:rPr>
              <w:t>Granted</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rPr>
                <w:sz w:val="20"/>
              </w:rPr>
            </w:pPr>
          </w:p>
        </w:tc>
        <w:tc>
          <w:tcPr>
            <w:tcW w:w="846"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ind w:right="63"/>
              <w:jc w:val="right"/>
              <w:rPr>
                <w:b/>
                <w:sz w:val="20"/>
              </w:rPr>
            </w:pPr>
            <w:r w:rsidRPr="00C6642F">
              <w:rPr>
                <w:b/>
                <w:sz w:val="20"/>
              </w:rPr>
              <w:t xml:space="preserve"> 74,055</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rPr>
                <w:b/>
                <w:sz w:val="20"/>
              </w:rPr>
            </w:pPr>
          </w:p>
        </w:tc>
        <w:tc>
          <w:tcPr>
            <w:tcW w:w="1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rPr>
                <w:b/>
                <w:sz w:val="20"/>
              </w:rPr>
            </w:pPr>
          </w:p>
        </w:tc>
        <w:tc>
          <w:tcPr>
            <w:tcW w:w="713"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ind w:right="63"/>
              <w:jc w:val="right"/>
              <w:rPr>
                <w:b/>
                <w:sz w:val="20"/>
              </w:rPr>
            </w:pPr>
            <w:r w:rsidRPr="00C6642F">
              <w:rPr>
                <w:b/>
                <w:sz w:val="20"/>
              </w:rPr>
              <w:t xml:space="preserve"> 18.05</w:t>
            </w:r>
          </w:p>
        </w:tc>
      </w:tr>
      <w:tr w:rsidR="00BA5C63" w:rsidRPr="00C6642F" w:rsidTr="00BA5C63">
        <w:trPr>
          <w:trHeight w:hRule="exact" w:val="255"/>
        </w:trPr>
        <w:tc>
          <w:tcPr>
            <w:tcW w:w="3032" w:type="pct"/>
            <w:tcBorders>
              <w:top w:val="nil"/>
              <w:left w:val="nil"/>
              <w:bottom w:val="nil"/>
              <w:right w:val="nil"/>
              <w:tl2br w:val="nil"/>
              <w:tr2bl w:val="nil"/>
            </w:tcBorders>
            <w:vAlign w:val="bottom"/>
          </w:tcPr>
          <w:p w:rsidR="00BA5C63" w:rsidRPr="00C6642F" w:rsidRDefault="006F38D0" w:rsidP="00BA5C63">
            <w:pPr>
              <w:keepNext/>
              <w:keepLines/>
              <w:ind w:left="360"/>
              <w:rPr>
                <w:sz w:val="20"/>
              </w:rPr>
            </w:pPr>
            <w:r w:rsidRPr="00C6642F">
              <w:rPr>
                <w:sz w:val="20"/>
              </w:rPr>
              <w:t>Vested</w:t>
            </w:r>
          </w:p>
        </w:tc>
        <w:tc>
          <w:tcPr>
            <w:tcW w:w="114" w:type="pct"/>
            <w:tcBorders>
              <w:top w:val="nil"/>
              <w:left w:val="nil"/>
              <w:bottom w:val="nil"/>
              <w:right w:val="nil"/>
              <w:tl2br w:val="nil"/>
              <w:tr2bl w:val="nil"/>
            </w:tcBorders>
            <w:vAlign w:val="bottom"/>
          </w:tcPr>
          <w:p w:rsidR="00BA5C63" w:rsidRPr="00C6642F" w:rsidRDefault="00BA5C63" w:rsidP="00BA5C63">
            <w:pPr>
              <w:keepNext/>
              <w:keepLines/>
              <w:rPr>
                <w:sz w:val="20"/>
              </w:rPr>
            </w:pPr>
          </w:p>
        </w:tc>
        <w:tc>
          <w:tcPr>
            <w:tcW w:w="846" w:type="pct"/>
            <w:tcBorders>
              <w:top w:val="nil"/>
              <w:left w:val="nil"/>
              <w:bottom w:val="nil"/>
              <w:right w:val="nil"/>
              <w:tl2br w:val="nil"/>
              <w:tr2bl w:val="nil"/>
            </w:tcBorders>
            <w:vAlign w:val="bottom"/>
          </w:tcPr>
          <w:p w:rsidR="00BA5C63" w:rsidRPr="00C6642F" w:rsidRDefault="006F38D0" w:rsidP="00BA5C63">
            <w:pPr>
              <w:keepNext/>
              <w:keepLines/>
              <w:jc w:val="right"/>
              <w:rPr>
                <w:b/>
                <w:sz w:val="20"/>
              </w:rPr>
            </w:pPr>
            <w:r w:rsidRPr="00C6642F">
              <w:rPr>
                <w:b/>
                <w:sz w:val="20"/>
              </w:rPr>
              <w:t xml:space="preserve"> (81,984)</w:t>
            </w:r>
          </w:p>
        </w:tc>
        <w:tc>
          <w:tcPr>
            <w:tcW w:w="114" w:type="pct"/>
            <w:tcBorders>
              <w:top w:val="nil"/>
              <w:left w:val="nil"/>
              <w:bottom w:val="nil"/>
              <w:right w:val="nil"/>
              <w:tl2br w:val="nil"/>
              <w:tr2bl w:val="nil"/>
            </w:tcBorders>
            <w:vAlign w:val="bottom"/>
          </w:tcPr>
          <w:p w:rsidR="00BA5C63" w:rsidRPr="00C6642F" w:rsidRDefault="00BA5C63" w:rsidP="00BA5C63">
            <w:pPr>
              <w:keepNext/>
              <w:keepLines/>
              <w:rPr>
                <w:b/>
                <w:sz w:val="20"/>
              </w:rPr>
            </w:pPr>
          </w:p>
        </w:tc>
        <w:tc>
          <w:tcPr>
            <w:tcW w:w="181" w:type="pct"/>
            <w:tcBorders>
              <w:top w:val="nil"/>
              <w:left w:val="nil"/>
              <w:bottom w:val="nil"/>
              <w:right w:val="nil"/>
              <w:tl2br w:val="nil"/>
              <w:tr2bl w:val="nil"/>
            </w:tcBorders>
            <w:vAlign w:val="bottom"/>
          </w:tcPr>
          <w:p w:rsidR="00BA5C63" w:rsidRPr="00C6642F" w:rsidRDefault="00BA5C63" w:rsidP="00BA5C63">
            <w:pPr>
              <w:keepNext/>
              <w:keepLines/>
              <w:rPr>
                <w:b/>
                <w:sz w:val="20"/>
              </w:rPr>
            </w:pPr>
          </w:p>
        </w:tc>
        <w:tc>
          <w:tcPr>
            <w:tcW w:w="713" w:type="pct"/>
            <w:tcBorders>
              <w:top w:val="nil"/>
              <w:left w:val="nil"/>
              <w:bottom w:val="nil"/>
              <w:right w:val="nil"/>
              <w:tl2br w:val="nil"/>
              <w:tr2bl w:val="nil"/>
            </w:tcBorders>
            <w:vAlign w:val="bottom"/>
          </w:tcPr>
          <w:p w:rsidR="00BA5C63" w:rsidRPr="00C6642F" w:rsidRDefault="006F38D0" w:rsidP="00BA5C63">
            <w:pPr>
              <w:keepNext/>
              <w:keepLines/>
              <w:ind w:right="63"/>
              <w:jc w:val="right"/>
              <w:rPr>
                <w:b/>
                <w:sz w:val="20"/>
              </w:rPr>
            </w:pPr>
            <w:r w:rsidRPr="00C6642F">
              <w:rPr>
                <w:b/>
                <w:sz w:val="20"/>
              </w:rPr>
              <w:t xml:space="preserve"> 19.05</w:t>
            </w:r>
          </w:p>
        </w:tc>
      </w:tr>
      <w:tr w:rsidR="00BA5C63" w:rsidRPr="00C6642F" w:rsidTr="00BA5C63">
        <w:trPr>
          <w:trHeight w:hRule="exact" w:val="255"/>
        </w:trPr>
        <w:tc>
          <w:tcPr>
            <w:tcW w:w="3032"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ind w:left="360"/>
              <w:rPr>
                <w:sz w:val="20"/>
              </w:rPr>
            </w:pPr>
            <w:r w:rsidRPr="00C6642F">
              <w:rPr>
                <w:sz w:val="20"/>
              </w:rPr>
              <w:t>Forfeited</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rPr>
                <w:sz w:val="20"/>
              </w:rPr>
            </w:pPr>
          </w:p>
        </w:tc>
        <w:tc>
          <w:tcPr>
            <w:tcW w:w="846" w:type="pct"/>
            <w:tcBorders>
              <w:top w:val="nil"/>
              <w:left w:val="nil"/>
              <w:bottom w:val="single" w:sz="12" w:space="0" w:color="000000"/>
              <w:right w:val="nil"/>
              <w:tl2br w:val="nil"/>
              <w:tr2bl w:val="nil"/>
            </w:tcBorders>
            <w:shd w:val="clear" w:color="auto" w:fill="CCEEFF"/>
            <w:vAlign w:val="bottom"/>
          </w:tcPr>
          <w:p w:rsidR="00BA5C63" w:rsidRPr="00C6642F" w:rsidRDefault="006F38D0" w:rsidP="00BA5C63">
            <w:pPr>
              <w:keepNext/>
              <w:keepLines/>
              <w:jc w:val="right"/>
              <w:rPr>
                <w:b/>
                <w:sz w:val="20"/>
              </w:rPr>
            </w:pPr>
            <w:r w:rsidRPr="00C6642F">
              <w:rPr>
                <w:b/>
                <w:sz w:val="20"/>
              </w:rPr>
              <w:t xml:space="preserve"> (1,407)</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rPr>
                <w:b/>
                <w:sz w:val="20"/>
              </w:rPr>
            </w:pPr>
          </w:p>
        </w:tc>
        <w:tc>
          <w:tcPr>
            <w:tcW w:w="181" w:type="pct"/>
            <w:tcBorders>
              <w:top w:val="nil"/>
              <w:left w:val="nil"/>
              <w:bottom w:val="single" w:sz="12" w:space="0" w:color="000000"/>
              <w:right w:val="nil"/>
              <w:tl2br w:val="nil"/>
              <w:tr2bl w:val="nil"/>
            </w:tcBorders>
            <w:shd w:val="clear" w:color="auto" w:fill="CCEEFF"/>
            <w:vAlign w:val="bottom"/>
          </w:tcPr>
          <w:p w:rsidR="00BA5C63" w:rsidRPr="00C6642F" w:rsidRDefault="00BA5C63" w:rsidP="00BA5C63">
            <w:pPr>
              <w:keepNext/>
              <w:keepLines/>
              <w:rPr>
                <w:b/>
                <w:sz w:val="20"/>
              </w:rPr>
            </w:pPr>
          </w:p>
        </w:tc>
        <w:tc>
          <w:tcPr>
            <w:tcW w:w="713" w:type="pct"/>
            <w:tcBorders>
              <w:top w:val="nil"/>
              <w:left w:val="nil"/>
              <w:bottom w:val="single" w:sz="12" w:space="0" w:color="000000"/>
              <w:right w:val="nil"/>
              <w:tl2br w:val="nil"/>
              <w:tr2bl w:val="nil"/>
            </w:tcBorders>
            <w:shd w:val="clear" w:color="auto" w:fill="CCEEFF"/>
            <w:vAlign w:val="bottom"/>
          </w:tcPr>
          <w:p w:rsidR="00BA5C63" w:rsidRPr="00C6642F" w:rsidRDefault="006F38D0" w:rsidP="00BA5C63">
            <w:pPr>
              <w:keepNext/>
              <w:keepLines/>
              <w:ind w:right="63"/>
              <w:jc w:val="right"/>
              <w:rPr>
                <w:b/>
                <w:sz w:val="20"/>
              </w:rPr>
            </w:pPr>
            <w:r w:rsidRPr="00C6642F">
              <w:rPr>
                <w:b/>
                <w:sz w:val="20"/>
              </w:rPr>
              <w:t xml:space="preserve"> 19.15</w:t>
            </w:r>
          </w:p>
        </w:tc>
      </w:tr>
      <w:tr w:rsidR="00BA5C63" w:rsidRPr="00C6642F" w:rsidTr="00BA5C63">
        <w:trPr>
          <w:trHeight w:hRule="exact" w:val="255"/>
        </w:trPr>
        <w:tc>
          <w:tcPr>
            <w:tcW w:w="3032" w:type="pct"/>
            <w:tcBorders>
              <w:top w:val="nil"/>
              <w:left w:val="nil"/>
              <w:bottom w:val="nil"/>
              <w:right w:val="nil"/>
              <w:tl2br w:val="nil"/>
              <w:tr2bl w:val="nil"/>
            </w:tcBorders>
            <w:vAlign w:val="bottom"/>
          </w:tcPr>
          <w:p w:rsidR="00BA5C63" w:rsidRPr="00C6642F" w:rsidRDefault="006F38D0" w:rsidP="00BA5C63">
            <w:pPr>
              <w:keepNext/>
              <w:keepLines/>
              <w:rPr>
                <w:sz w:val="20"/>
              </w:rPr>
            </w:pPr>
            <w:r w:rsidRPr="00C6642F">
              <w:rPr>
                <w:sz w:val="20"/>
              </w:rPr>
              <w:t>Nonvested at December 31, 2019</w:t>
            </w:r>
          </w:p>
        </w:tc>
        <w:tc>
          <w:tcPr>
            <w:tcW w:w="114" w:type="pct"/>
            <w:tcBorders>
              <w:top w:val="nil"/>
              <w:left w:val="nil"/>
              <w:bottom w:val="nil"/>
              <w:right w:val="nil"/>
              <w:tl2br w:val="nil"/>
              <w:tr2bl w:val="nil"/>
            </w:tcBorders>
            <w:vAlign w:val="bottom"/>
          </w:tcPr>
          <w:p w:rsidR="00BA5C63" w:rsidRPr="00C6642F" w:rsidRDefault="00BA5C63" w:rsidP="00BA5C63">
            <w:pPr>
              <w:keepNext/>
              <w:keepLines/>
              <w:rPr>
                <w:sz w:val="20"/>
              </w:rPr>
            </w:pPr>
          </w:p>
        </w:tc>
        <w:tc>
          <w:tcPr>
            <w:tcW w:w="846" w:type="pct"/>
            <w:tcBorders>
              <w:top w:val="single" w:sz="0" w:space="0" w:color="000000"/>
              <w:left w:val="nil"/>
              <w:bottom w:val="double" w:sz="4" w:space="0" w:color="000000"/>
              <w:right w:val="nil"/>
              <w:tl2br w:val="nil"/>
              <w:tr2bl w:val="nil"/>
            </w:tcBorders>
            <w:vAlign w:val="bottom"/>
          </w:tcPr>
          <w:p w:rsidR="00BA5C63" w:rsidRPr="00C6642F" w:rsidRDefault="006F38D0" w:rsidP="00BA5C63">
            <w:pPr>
              <w:keepNext/>
              <w:keepLines/>
              <w:ind w:right="63"/>
              <w:jc w:val="right"/>
              <w:rPr>
                <w:b/>
                <w:sz w:val="20"/>
              </w:rPr>
            </w:pPr>
            <w:r w:rsidRPr="00C6642F">
              <w:rPr>
                <w:b/>
                <w:sz w:val="20"/>
              </w:rPr>
              <w:t xml:space="preserve"> 74,055</w:t>
            </w:r>
          </w:p>
        </w:tc>
        <w:tc>
          <w:tcPr>
            <w:tcW w:w="114" w:type="pct"/>
            <w:tcBorders>
              <w:top w:val="nil"/>
              <w:left w:val="nil"/>
              <w:bottom w:val="nil"/>
              <w:right w:val="nil"/>
              <w:tl2br w:val="nil"/>
              <w:tr2bl w:val="nil"/>
            </w:tcBorders>
            <w:vAlign w:val="bottom"/>
          </w:tcPr>
          <w:p w:rsidR="00BA5C63" w:rsidRPr="00C6642F" w:rsidRDefault="00BA5C63" w:rsidP="00BA5C63">
            <w:pPr>
              <w:keepNext/>
              <w:keepLines/>
              <w:rPr>
                <w:b/>
                <w:sz w:val="20"/>
              </w:rPr>
            </w:pPr>
          </w:p>
        </w:tc>
        <w:tc>
          <w:tcPr>
            <w:tcW w:w="181" w:type="pct"/>
            <w:tcBorders>
              <w:top w:val="single" w:sz="0" w:space="0" w:color="000000"/>
              <w:left w:val="nil"/>
              <w:bottom w:val="double" w:sz="4" w:space="0" w:color="000000"/>
              <w:right w:val="nil"/>
              <w:tl2br w:val="nil"/>
              <w:tr2bl w:val="nil"/>
            </w:tcBorders>
            <w:vAlign w:val="bottom"/>
          </w:tcPr>
          <w:p w:rsidR="00BA5C63" w:rsidRPr="00C6642F" w:rsidRDefault="006F38D0" w:rsidP="00BA5C63">
            <w:pPr>
              <w:keepNext/>
              <w:keepLines/>
              <w:rPr>
                <w:b/>
                <w:sz w:val="20"/>
              </w:rPr>
            </w:pPr>
            <w:r w:rsidRPr="00C6642F">
              <w:rPr>
                <w:b/>
                <w:sz w:val="20"/>
              </w:rPr>
              <w:t>$</w:t>
            </w:r>
          </w:p>
        </w:tc>
        <w:tc>
          <w:tcPr>
            <w:tcW w:w="713" w:type="pct"/>
            <w:tcBorders>
              <w:top w:val="single" w:sz="0" w:space="0" w:color="000000"/>
              <w:left w:val="nil"/>
              <w:bottom w:val="double" w:sz="4" w:space="0" w:color="000000"/>
              <w:right w:val="nil"/>
              <w:tl2br w:val="nil"/>
              <w:tr2bl w:val="nil"/>
            </w:tcBorders>
            <w:vAlign w:val="bottom"/>
          </w:tcPr>
          <w:p w:rsidR="00BA5C63" w:rsidRPr="00C6642F" w:rsidRDefault="006F38D0" w:rsidP="00BA5C63">
            <w:pPr>
              <w:keepNext/>
              <w:keepLines/>
              <w:ind w:right="63"/>
              <w:jc w:val="right"/>
              <w:rPr>
                <w:b/>
                <w:sz w:val="20"/>
              </w:rPr>
            </w:pPr>
            <w:r w:rsidRPr="00C6642F">
              <w:rPr>
                <w:b/>
                <w:sz w:val="20"/>
              </w:rPr>
              <w:t xml:space="preserve"> 18.05</w:t>
            </w:r>
          </w:p>
        </w:tc>
      </w:tr>
    </w:tbl>
    <w:p w:rsidR="00BA5C63" w:rsidRPr="00C6642F" w:rsidRDefault="00BA5C63" w:rsidP="00BA5C63">
      <w:pPr>
        <w:keepNext/>
        <w:keepLines/>
        <w:widowControl w:val="0"/>
      </w:pPr>
    </w:p>
    <w:p w:rsidR="00BA5C63" w:rsidRPr="00C6642F" w:rsidRDefault="00BA5C63" w:rsidP="00BA5C63">
      <w:pPr>
        <w:pStyle w:val="NormalWeb"/>
        <w:keepNext/>
        <w:keepLines/>
        <w:widowControl w:val="0"/>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BA5C63" w:rsidRPr="00C6642F" w:rsidTr="00BA5C63">
        <w:trPr>
          <w:trHeight w:hRule="exact" w:val="20"/>
        </w:trPr>
        <w:tc>
          <w:tcPr>
            <w:tcW w:w="2162"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603"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r>
      <w:tr w:rsidR="00BA5C63" w:rsidRPr="00C6642F" w:rsidTr="00BA5C63">
        <w:trPr>
          <w:trHeight w:hRule="exact" w:val="315"/>
        </w:trPr>
        <w:tc>
          <w:tcPr>
            <w:tcW w:w="2162"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603"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keepNext/>
              <w:keepLines/>
              <w:spacing w:before="1" w:after="1"/>
              <w:jc w:val="center"/>
              <w:rPr>
                <w:b/>
                <w:sz w:val="20"/>
              </w:rPr>
            </w:pPr>
            <w:r w:rsidRPr="00C6642F">
              <w:rPr>
                <w:b/>
                <w:sz w:val="20"/>
              </w:rPr>
              <w:t xml:space="preserve">Year Ended December 31, </w:t>
            </w:r>
          </w:p>
        </w:tc>
      </w:tr>
      <w:tr w:rsidR="00BA5C63" w:rsidRPr="00C6642F" w:rsidTr="00BA5C63">
        <w:trPr>
          <w:trHeight w:hRule="exact" w:val="315"/>
        </w:trPr>
        <w:tc>
          <w:tcPr>
            <w:tcW w:w="2162"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603"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A5C63" w:rsidRPr="00C6642F" w:rsidRDefault="006F38D0" w:rsidP="00BA5C63">
            <w:pPr>
              <w:keepNext/>
              <w:keepLines/>
              <w:spacing w:before="1" w:after="1"/>
              <w:jc w:val="center"/>
              <w:rPr>
                <w:b/>
                <w:sz w:val="20"/>
              </w:rPr>
            </w:pPr>
            <w:r w:rsidRPr="00C6642F">
              <w:rPr>
                <w:b/>
                <w:sz w:val="20"/>
              </w:rPr>
              <w:t>2019</w:t>
            </w:r>
          </w:p>
        </w:tc>
        <w:tc>
          <w:tcPr>
            <w:tcW w:w="81" w:type="pct"/>
            <w:tcBorders>
              <w:top w:val="single" w:sz="0" w:space="0" w:color="000000"/>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A5C63" w:rsidRPr="00C6642F" w:rsidRDefault="006F38D0" w:rsidP="00BA5C63">
            <w:pPr>
              <w:keepNext/>
              <w:keepLines/>
              <w:spacing w:before="1" w:after="1"/>
              <w:jc w:val="center"/>
              <w:rPr>
                <w:b/>
                <w:sz w:val="20"/>
              </w:rPr>
            </w:pPr>
            <w:r w:rsidRPr="00C6642F">
              <w:rPr>
                <w:b/>
                <w:sz w:val="20"/>
              </w:rPr>
              <w:t xml:space="preserve"> 2018</w:t>
            </w:r>
          </w:p>
        </w:tc>
        <w:tc>
          <w:tcPr>
            <w:tcW w:w="81" w:type="pct"/>
            <w:tcBorders>
              <w:top w:val="single" w:sz="0" w:space="0" w:color="000000"/>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A5C63" w:rsidRPr="00C6642F" w:rsidRDefault="006F38D0" w:rsidP="00BA5C63">
            <w:pPr>
              <w:keepNext/>
              <w:keepLines/>
              <w:spacing w:before="1" w:after="1"/>
              <w:jc w:val="center"/>
              <w:rPr>
                <w:b/>
                <w:sz w:val="20"/>
              </w:rPr>
            </w:pPr>
            <w:r w:rsidRPr="00C6642F">
              <w:rPr>
                <w:b/>
                <w:sz w:val="20"/>
              </w:rPr>
              <w:t xml:space="preserve"> 2017</w:t>
            </w:r>
          </w:p>
        </w:tc>
      </w:tr>
      <w:tr w:rsidR="00BA5C63" w:rsidRPr="00C6642F" w:rsidTr="00BA5C63">
        <w:trPr>
          <w:trHeight w:hRule="exact" w:val="25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spacing w:before="1" w:after="1"/>
              <w:rPr>
                <w:i/>
                <w:sz w:val="20"/>
              </w:rPr>
            </w:pPr>
            <w:r w:rsidRPr="00C6642F">
              <w:rPr>
                <w:i/>
                <w:sz w:val="20"/>
              </w:rPr>
              <w:t>Restricted Stock Awards</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603"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r>
      <w:tr w:rsidR="00BA5C63" w:rsidRPr="00C6642F" w:rsidTr="00BA5C63">
        <w:trPr>
          <w:trHeight w:hRule="exact" w:val="255"/>
        </w:trPr>
        <w:tc>
          <w:tcPr>
            <w:tcW w:w="2162" w:type="pct"/>
            <w:tcBorders>
              <w:top w:val="nil"/>
              <w:left w:val="nil"/>
              <w:bottom w:val="nil"/>
              <w:right w:val="nil"/>
              <w:tl2br w:val="nil"/>
              <w:tr2bl w:val="nil"/>
            </w:tcBorders>
            <w:vAlign w:val="bottom"/>
          </w:tcPr>
          <w:p w:rsidR="00BA5C63" w:rsidRPr="00C6642F" w:rsidRDefault="006F38D0" w:rsidP="00BA5C63">
            <w:pPr>
              <w:keepNext/>
              <w:keepLines/>
              <w:spacing w:before="1" w:after="1"/>
              <w:rPr>
                <w:sz w:val="20"/>
              </w:rPr>
            </w:pPr>
            <w:r w:rsidRPr="00C6642F">
              <w:rPr>
                <w:sz w:val="20"/>
              </w:rPr>
              <w:t>Weighted-average, grant-date fair value of awards granted</w:t>
            </w:r>
          </w:p>
        </w:tc>
        <w:tc>
          <w:tcPr>
            <w:tcW w:w="81" w:type="pct"/>
            <w:tcBorders>
              <w:top w:val="nil"/>
              <w:left w:val="nil"/>
              <w:bottom w:val="nil"/>
              <w:right w:val="nil"/>
              <w:tl2br w:val="nil"/>
              <w:tr2bl w:val="nil"/>
            </w:tcBorders>
            <w:vAlign w:val="bottom"/>
          </w:tcPr>
          <w:p w:rsidR="00BA5C63" w:rsidRPr="00C6642F" w:rsidRDefault="00BA5C63" w:rsidP="00BA5C63">
            <w:pPr>
              <w:keepNext/>
              <w:keepLines/>
              <w:spacing w:before="1" w:after="1"/>
              <w:rPr>
                <w:sz w:val="20"/>
              </w:rPr>
            </w:pPr>
          </w:p>
        </w:tc>
        <w:tc>
          <w:tcPr>
            <w:tcW w:w="603" w:type="pct"/>
            <w:tcBorders>
              <w:top w:val="nil"/>
              <w:left w:val="nil"/>
              <w:bottom w:val="nil"/>
              <w:right w:val="nil"/>
              <w:tl2br w:val="nil"/>
              <w:tr2bl w:val="nil"/>
            </w:tcBorders>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keepLines/>
              <w:spacing w:before="1" w:after="1"/>
              <w:rPr>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keepLines/>
              <w:spacing w:before="1" w:after="1"/>
              <w:rPr>
                <w:sz w:val="20"/>
              </w:rPr>
            </w:pPr>
            <w:r w:rsidRPr="00C6642F">
              <w:rPr>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keepLines/>
              <w:spacing w:before="1" w:after="1"/>
              <w:ind w:right="63"/>
              <w:jc w:val="right"/>
              <w:rPr>
                <w:b/>
                <w:sz w:val="20"/>
              </w:rPr>
            </w:pPr>
            <w:r w:rsidRPr="00C6642F">
              <w:rPr>
                <w:b/>
                <w:sz w:val="20"/>
              </w:rPr>
              <w:t xml:space="preserve"> 18.05</w:t>
            </w:r>
          </w:p>
        </w:tc>
        <w:tc>
          <w:tcPr>
            <w:tcW w:w="81" w:type="pct"/>
            <w:tcBorders>
              <w:top w:val="nil"/>
              <w:left w:val="nil"/>
              <w:bottom w:val="nil"/>
              <w:right w:val="nil"/>
              <w:tl2br w:val="nil"/>
              <w:tr2bl w:val="nil"/>
            </w:tcBorders>
            <w:vAlign w:val="bottom"/>
          </w:tcPr>
          <w:p w:rsidR="00BA5C63" w:rsidRPr="00C6642F" w:rsidRDefault="00BA5C63" w:rsidP="00BA5C63">
            <w:pPr>
              <w:keepNext/>
              <w:keepLines/>
              <w:spacing w:before="1" w:after="1"/>
              <w:rPr>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keepLines/>
              <w:spacing w:before="1" w:after="1"/>
              <w:rPr>
                <w:sz w:val="20"/>
              </w:rPr>
            </w:pPr>
            <w:r w:rsidRPr="00C6642F">
              <w:rPr>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keepLines/>
              <w:spacing w:before="1" w:after="1"/>
              <w:ind w:right="65"/>
              <w:jc w:val="right"/>
              <w:rPr>
                <w:sz w:val="20"/>
              </w:rPr>
            </w:pPr>
            <w:r w:rsidRPr="00C6642F">
              <w:rPr>
                <w:sz w:val="20"/>
              </w:rPr>
              <w:t xml:space="preserve"> 19.28</w:t>
            </w:r>
          </w:p>
        </w:tc>
        <w:tc>
          <w:tcPr>
            <w:tcW w:w="81" w:type="pct"/>
            <w:tcBorders>
              <w:top w:val="nil"/>
              <w:left w:val="nil"/>
              <w:bottom w:val="nil"/>
              <w:right w:val="nil"/>
              <w:tl2br w:val="nil"/>
              <w:tr2bl w:val="nil"/>
            </w:tcBorders>
            <w:vAlign w:val="bottom"/>
          </w:tcPr>
          <w:p w:rsidR="00BA5C63" w:rsidRPr="00C6642F" w:rsidRDefault="00BA5C63" w:rsidP="00BA5C63">
            <w:pPr>
              <w:keepNext/>
              <w:keepLines/>
              <w:spacing w:before="1" w:after="1"/>
              <w:rPr>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keepLines/>
              <w:spacing w:before="1" w:after="1"/>
              <w:rPr>
                <w:sz w:val="20"/>
              </w:rPr>
            </w:pPr>
            <w:r w:rsidRPr="00C6642F">
              <w:rPr>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keepLines/>
              <w:spacing w:before="1" w:after="1"/>
              <w:ind w:right="65"/>
              <w:jc w:val="right"/>
              <w:rPr>
                <w:sz w:val="20"/>
              </w:rPr>
            </w:pPr>
            <w:r w:rsidRPr="00C6642F">
              <w:rPr>
                <w:sz w:val="20"/>
              </w:rPr>
              <w:t xml:space="preserve"> 18.31</w:t>
            </w:r>
          </w:p>
        </w:tc>
      </w:tr>
      <w:tr w:rsidR="00BA5C63" w:rsidRPr="00C6642F" w:rsidTr="00BA5C63">
        <w:trPr>
          <w:trHeight w:hRule="exact" w:val="25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spacing w:before="1" w:after="1"/>
              <w:rPr>
                <w:sz w:val="20"/>
              </w:rPr>
            </w:pPr>
            <w:r w:rsidRPr="00C6642F">
              <w:rPr>
                <w:sz w:val="20"/>
              </w:rPr>
              <w:t>Total fair value of restricted stock vested</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603"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spacing w:before="1" w:after="1"/>
              <w:ind w:right="63"/>
              <w:jc w:val="right"/>
              <w:rPr>
                <w:b/>
                <w:sz w:val="20"/>
              </w:rPr>
            </w:pPr>
            <w:r w:rsidRPr="00C6642F">
              <w:rPr>
                <w:b/>
                <w:sz w:val="20"/>
              </w:rPr>
              <w:t xml:space="preserve"> 1,461,431</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spacing w:before="1" w:after="1"/>
              <w:ind w:right="65"/>
              <w:jc w:val="right"/>
              <w:rPr>
                <w:sz w:val="20"/>
              </w:rPr>
            </w:pPr>
            <w:r w:rsidRPr="00C6642F">
              <w:rPr>
                <w:sz w:val="20"/>
              </w:rPr>
              <w:t xml:space="preserve"> 4,986,620</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spacing w:before="1" w:after="1"/>
              <w:ind w:right="65"/>
              <w:jc w:val="right"/>
              <w:rPr>
                <w:sz w:val="20"/>
              </w:rPr>
            </w:pPr>
            <w:r w:rsidRPr="00C6642F">
              <w:rPr>
                <w:sz w:val="20"/>
              </w:rPr>
              <w:t xml:space="preserve"> 6,473,330</w:t>
            </w:r>
          </w:p>
        </w:tc>
      </w:tr>
    </w:tbl>
    <w:p w:rsidR="00BA5C63" w:rsidRPr="00C6642F" w:rsidRDefault="00BA5C63" w:rsidP="00BA5C63">
      <w:pPr>
        <w:pStyle w:val="NormalWeb"/>
        <w:keepNext/>
        <w:keepLines/>
        <w:widowControl w:val="0"/>
        <w:spacing w:before="0" w:beforeAutospacing="0" w:after="0" w:afterAutospacing="0"/>
        <w:rPr>
          <w:sz w:val="20"/>
          <w:szCs w:val="20"/>
        </w:rPr>
      </w:pPr>
    </w:p>
    <w:p w:rsidR="00BA5C63" w:rsidRPr="00C6642F" w:rsidRDefault="00BA5C63" w:rsidP="00BA5C63"/>
    <w:p w:rsidR="00BA5C63" w:rsidRPr="00C6642F" w:rsidRDefault="006F38D0" w:rsidP="00BA5C63">
      <w:pPr>
        <w:pStyle w:val="NormalWeb"/>
        <w:keepNext/>
        <w:keepLines/>
        <w:widowControl w:val="0"/>
        <w:spacing w:before="0" w:beforeAutospacing="0" w:after="0" w:afterAutospacing="0"/>
        <w:rPr>
          <w:b/>
          <w:i/>
          <w:sz w:val="20"/>
          <w:szCs w:val="20"/>
        </w:rPr>
      </w:pPr>
      <w:r w:rsidRPr="00C6642F">
        <w:rPr>
          <w:b/>
          <w:i/>
          <w:sz w:val="20"/>
          <w:szCs w:val="20"/>
        </w:rPr>
        <w:t>Restricted Stock Unit Awards</w:t>
      </w:r>
    </w:p>
    <w:p w:rsidR="00BA5C63" w:rsidRPr="00C6642F" w:rsidRDefault="006F38D0" w:rsidP="00BA5C63">
      <w:pPr>
        <w:pStyle w:val="NormalWeb"/>
        <w:keepNext/>
        <w:keepLines/>
        <w:widowControl w:val="0"/>
        <w:spacing w:before="180" w:beforeAutospacing="0" w:after="0" w:afterAutospacing="0"/>
        <w:rPr>
          <w:sz w:val="20"/>
          <w:szCs w:val="20"/>
        </w:rPr>
      </w:pPr>
      <w:r w:rsidRPr="00C6642F">
        <w:rPr>
          <w:sz w:val="20"/>
          <w:szCs w:val="20"/>
        </w:rPr>
        <w:t>The following table summarizes award activity for restricted unit awards:</w:t>
      </w:r>
    </w:p>
    <w:p w:rsidR="00BA5C63" w:rsidRPr="00C6642F" w:rsidRDefault="00BA5C63" w:rsidP="00BA5C63">
      <w:pPr>
        <w:pStyle w:val="NormalWeb"/>
        <w:keepNext/>
        <w:keepLines/>
        <w:widowControl w:val="0"/>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6550"/>
        <w:gridCol w:w="246"/>
        <w:gridCol w:w="1827"/>
        <w:gridCol w:w="246"/>
        <w:gridCol w:w="391"/>
        <w:gridCol w:w="1540"/>
      </w:tblGrid>
      <w:tr w:rsidR="00BA5C63" w:rsidRPr="00C6642F" w:rsidTr="00BA5C63">
        <w:trPr>
          <w:trHeight w:hRule="exact" w:val="20"/>
        </w:trPr>
        <w:tc>
          <w:tcPr>
            <w:tcW w:w="3032" w:type="pct"/>
            <w:tcBorders>
              <w:top w:val="nil"/>
              <w:left w:val="nil"/>
              <w:bottom w:val="nil"/>
              <w:right w:val="nil"/>
            </w:tcBorders>
            <w:shd w:val="clear" w:color="auto" w:fill="auto"/>
            <w:vAlign w:val="bottom"/>
          </w:tcPr>
          <w:p w:rsidR="00BA5C63" w:rsidRPr="00C6642F" w:rsidRDefault="00BA5C63" w:rsidP="00BA5C63">
            <w:pPr>
              <w:keepNext/>
              <w:keepLines/>
              <w:rPr>
                <w:sz w:val="2"/>
              </w:rPr>
            </w:pPr>
          </w:p>
        </w:tc>
        <w:tc>
          <w:tcPr>
            <w:tcW w:w="114" w:type="pct"/>
            <w:tcBorders>
              <w:top w:val="nil"/>
              <w:left w:val="nil"/>
              <w:bottom w:val="nil"/>
              <w:right w:val="nil"/>
            </w:tcBorders>
            <w:shd w:val="clear" w:color="auto" w:fill="auto"/>
            <w:vAlign w:val="bottom"/>
          </w:tcPr>
          <w:p w:rsidR="00BA5C63" w:rsidRPr="00C6642F" w:rsidRDefault="00BA5C63" w:rsidP="00BA5C63">
            <w:pPr>
              <w:keepNext/>
              <w:keepLines/>
              <w:rPr>
                <w:sz w:val="2"/>
              </w:rPr>
            </w:pPr>
          </w:p>
        </w:tc>
        <w:tc>
          <w:tcPr>
            <w:tcW w:w="846" w:type="pct"/>
            <w:tcBorders>
              <w:top w:val="nil"/>
              <w:left w:val="nil"/>
              <w:bottom w:val="nil"/>
              <w:right w:val="nil"/>
            </w:tcBorders>
            <w:shd w:val="clear" w:color="auto" w:fill="auto"/>
            <w:vAlign w:val="bottom"/>
          </w:tcPr>
          <w:p w:rsidR="00BA5C63" w:rsidRPr="00C6642F" w:rsidRDefault="00BA5C63" w:rsidP="00BA5C63">
            <w:pPr>
              <w:keepNext/>
              <w:keepLines/>
              <w:rPr>
                <w:sz w:val="2"/>
              </w:rPr>
            </w:pPr>
          </w:p>
        </w:tc>
        <w:tc>
          <w:tcPr>
            <w:tcW w:w="114" w:type="pct"/>
            <w:tcBorders>
              <w:top w:val="nil"/>
              <w:left w:val="nil"/>
              <w:bottom w:val="nil"/>
              <w:right w:val="nil"/>
            </w:tcBorders>
            <w:shd w:val="clear" w:color="auto" w:fill="auto"/>
            <w:vAlign w:val="bottom"/>
          </w:tcPr>
          <w:p w:rsidR="00BA5C63" w:rsidRPr="00C6642F" w:rsidRDefault="00BA5C63" w:rsidP="00BA5C63">
            <w:pPr>
              <w:keepNext/>
              <w:keepLines/>
              <w:rPr>
                <w:sz w:val="2"/>
              </w:rPr>
            </w:pPr>
          </w:p>
        </w:tc>
        <w:tc>
          <w:tcPr>
            <w:tcW w:w="181" w:type="pct"/>
            <w:tcBorders>
              <w:top w:val="nil"/>
              <w:left w:val="nil"/>
              <w:bottom w:val="nil"/>
              <w:right w:val="nil"/>
            </w:tcBorders>
            <w:shd w:val="clear" w:color="auto" w:fill="auto"/>
            <w:vAlign w:val="bottom"/>
          </w:tcPr>
          <w:p w:rsidR="00BA5C63" w:rsidRPr="00C6642F" w:rsidRDefault="00BA5C63" w:rsidP="00BA5C63">
            <w:pPr>
              <w:keepNext/>
              <w:keepLines/>
              <w:rPr>
                <w:sz w:val="2"/>
              </w:rPr>
            </w:pPr>
          </w:p>
        </w:tc>
        <w:tc>
          <w:tcPr>
            <w:tcW w:w="713" w:type="pct"/>
            <w:tcBorders>
              <w:top w:val="nil"/>
              <w:left w:val="nil"/>
              <w:bottom w:val="nil"/>
              <w:right w:val="nil"/>
            </w:tcBorders>
            <w:shd w:val="clear" w:color="auto" w:fill="auto"/>
            <w:vAlign w:val="bottom"/>
          </w:tcPr>
          <w:p w:rsidR="00BA5C63" w:rsidRPr="00C6642F" w:rsidRDefault="00BA5C63" w:rsidP="00BA5C63">
            <w:pPr>
              <w:keepNext/>
              <w:keepLines/>
              <w:rPr>
                <w:sz w:val="2"/>
              </w:rPr>
            </w:pPr>
          </w:p>
        </w:tc>
      </w:tr>
      <w:tr w:rsidR="00BA5C63" w:rsidRPr="00C6642F" w:rsidTr="00BA5C63">
        <w:trPr>
          <w:trHeight w:hRule="exact" w:val="300"/>
        </w:trPr>
        <w:tc>
          <w:tcPr>
            <w:tcW w:w="3032"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846"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b/>
                <w:sz w:val="20"/>
              </w:rPr>
            </w:pPr>
          </w:p>
        </w:tc>
        <w:tc>
          <w:tcPr>
            <w:tcW w:w="1"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keepLines/>
              <w:jc w:val="center"/>
              <w:rPr>
                <w:b/>
                <w:sz w:val="20"/>
              </w:rPr>
            </w:pPr>
            <w:r w:rsidRPr="00C6642F">
              <w:rPr>
                <w:b/>
                <w:sz w:val="20"/>
              </w:rPr>
              <w:t>Weighted</w:t>
            </w:r>
          </w:p>
        </w:tc>
      </w:tr>
      <w:tr w:rsidR="00BA5C63" w:rsidRPr="00C6642F" w:rsidTr="00BA5C63">
        <w:trPr>
          <w:trHeight w:hRule="exact" w:val="300"/>
        </w:trPr>
        <w:tc>
          <w:tcPr>
            <w:tcW w:w="3032"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846"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keepLines/>
              <w:jc w:val="center"/>
              <w:rPr>
                <w:b/>
                <w:sz w:val="20"/>
              </w:rPr>
            </w:pPr>
            <w:r w:rsidRPr="00C6642F">
              <w:rPr>
                <w:b/>
                <w:sz w:val="20"/>
              </w:rPr>
              <w:t>Average</w:t>
            </w:r>
          </w:p>
        </w:tc>
      </w:tr>
      <w:tr w:rsidR="00BA5C63" w:rsidRPr="00C6642F" w:rsidTr="00BA5C63">
        <w:trPr>
          <w:trHeight w:hRule="exact" w:val="300"/>
        </w:trPr>
        <w:tc>
          <w:tcPr>
            <w:tcW w:w="3032"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846"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keepLines/>
              <w:jc w:val="center"/>
              <w:rPr>
                <w:b/>
                <w:sz w:val="20"/>
              </w:rPr>
            </w:pPr>
            <w:r w:rsidRPr="00C6642F">
              <w:rPr>
                <w:b/>
                <w:sz w:val="20"/>
              </w:rPr>
              <w:t>Grant-Date</w:t>
            </w:r>
          </w:p>
        </w:tc>
      </w:tr>
      <w:tr w:rsidR="00BA5C63" w:rsidRPr="00C6642F" w:rsidTr="00BA5C63">
        <w:trPr>
          <w:trHeight w:hRule="exact" w:val="315"/>
        </w:trPr>
        <w:tc>
          <w:tcPr>
            <w:tcW w:w="3032"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846" w:type="pct"/>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keepNext/>
              <w:keepLines/>
              <w:jc w:val="center"/>
              <w:rPr>
                <w:b/>
                <w:sz w:val="20"/>
              </w:rPr>
            </w:pPr>
            <w:r w:rsidRPr="00C6642F">
              <w:rPr>
                <w:b/>
                <w:sz w:val="20"/>
              </w:rPr>
              <w:t>Shares</w:t>
            </w: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keepNext/>
              <w:keepLines/>
              <w:jc w:val="center"/>
              <w:rPr>
                <w:b/>
                <w:sz w:val="20"/>
              </w:rPr>
            </w:pPr>
            <w:r w:rsidRPr="00C6642F">
              <w:rPr>
                <w:b/>
                <w:sz w:val="20"/>
              </w:rPr>
              <w:t>Fair Value</w:t>
            </w:r>
          </w:p>
        </w:tc>
      </w:tr>
      <w:tr w:rsidR="00BA5C63" w:rsidRPr="00C6642F" w:rsidTr="00BA5C63">
        <w:trPr>
          <w:trHeight w:hRule="exact" w:val="255"/>
        </w:trPr>
        <w:tc>
          <w:tcPr>
            <w:tcW w:w="3032"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rPr>
                <w:i/>
                <w:sz w:val="20"/>
              </w:rPr>
            </w:pPr>
            <w:r w:rsidRPr="00C6642F">
              <w:rPr>
                <w:i/>
                <w:sz w:val="20"/>
              </w:rPr>
              <w:t>Restricted Stock Unit Awards</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rPr>
                <w:sz w:val="20"/>
              </w:rPr>
            </w:pPr>
          </w:p>
        </w:tc>
        <w:tc>
          <w:tcPr>
            <w:tcW w:w="846"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rPr>
                <w:sz w:val="20"/>
              </w:rPr>
            </w:pP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rPr>
                <w:sz w:val="20"/>
              </w:rPr>
            </w:pPr>
          </w:p>
        </w:tc>
        <w:tc>
          <w:tcPr>
            <w:tcW w:w="181"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rPr>
                <w:sz w:val="20"/>
              </w:rPr>
            </w:pPr>
          </w:p>
        </w:tc>
        <w:tc>
          <w:tcPr>
            <w:tcW w:w="713"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rPr>
                <w:sz w:val="20"/>
              </w:rPr>
            </w:pPr>
          </w:p>
        </w:tc>
      </w:tr>
      <w:tr w:rsidR="00BA5C63" w:rsidRPr="00C6642F" w:rsidTr="00BA5C63">
        <w:trPr>
          <w:trHeight w:hRule="exact" w:val="255"/>
        </w:trPr>
        <w:tc>
          <w:tcPr>
            <w:tcW w:w="3032" w:type="pct"/>
            <w:tcBorders>
              <w:top w:val="nil"/>
              <w:left w:val="nil"/>
              <w:bottom w:val="nil"/>
              <w:right w:val="nil"/>
              <w:tl2br w:val="nil"/>
              <w:tr2bl w:val="nil"/>
            </w:tcBorders>
            <w:vAlign w:val="bottom"/>
          </w:tcPr>
          <w:p w:rsidR="00BA5C63" w:rsidRPr="00C6642F" w:rsidRDefault="006F38D0" w:rsidP="00BA5C63">
            <w:pPr>
              <w:keepNext/>
              <w:keepLines/>
              <w:rPr>
                <w:sz w:val="20"/>
              </w:rPr>
            </w:pPr>
            <w:r w:rsidRPr="00C6642F">
              <w:rPr>
                <w:sz w:val="20"/>
              </w:rPr>
              <w:t>Nonvested at December 31, 2018</w:t>
            </w:r>
          </w:p>
        </w:tc>
        <w:tc>
          <w:tcPr>
            <w:tcW w:w="114" w:type="pct"/>
            <w:tcBorders>
              <w:top w:val="nil"/>
              <w:left w:val="nil"/>
              <w:bottom w:val="nil"/>
              <w:right w:val="nil"/>
              <w:tl2br w:val="nil"/>
              <w:tr2bl w:val="nil"/>
            </w:tcBorders>
            <w:vAlign w:val="bottom"/>
          </w:tcPr>
          <w:p w:rsidR="00BA5C63" w:rsidRPr="00C6642F" w:rsidRDefault="00BA5C63" w:rsidP="00BA5C63">
            <w:pPr>
              <w:keepNext/>
              <w:keepLines/>
              <w:rPr>
                <w:sz w:val="20"/>
              </w:rPr>
            </w:pPr>
          </w:p>
        </w:tc>
        <w:tc>
          <w:tcPr>
            <w:tcW w:w="846" w:type="pct"/>
            <w:tcBorders>
              <w:top w:val="nil"/>
              <w:left w:val="nil"/>
              <w:bottom w:val="nil"/>
              <w:right w:val="nil"/>
              <w:tl2br w:val="nil"/>
              <w:tr2bl w:val="nil"/>
            </w:tcBorders>
            <w:vAlign w:val="bottom"/>
          </w:tcPr>
          <w:p w:rsidR="00BA5C63" w:rsidRPr="00C6642F" w:rsidRDefault="006F38D0" w:rsidP="00BA5C63">
            <w:pPr>
              <w:keepNext/>
              <w:keepLines/>
              <w:ind w:right="63"/>
              <w:jc w:val="right"/>
              <w:rPr>
                <w:b/>
                <w:sz w:val="20"/>
              </w:rPr>
            </w:pPr>
            <w:r w:rsidRPr="00C6642F">
              <w:rPr>
                <w:b/>
                <w:sz w:val="20"/>
              </w:rPr>
              <w:t xml:space="preserve"> 1,246,109</w:t>
            </w:r>
          </w:p>
        </w:tc>
        <w:tc>
          <w:tcPr>
            <w:tcW w:w="114" w:type="pct"/>
            <w:tcBorders>
              <w:top w:val="nil"/>
              <w:left w:val="nil"/>
              <w:bottom w:val="nil"/>
              <w:right w:val="nil"/>
              <w:tl2br w:val="nil"/>
              <w:tr2bl w:val="nil"/>
            </w:tcBorders>
            <w:vAlign w:val="bottom"/>
          </w:tcPr>
          <w:p w:rsidR="00BA5C63" w:rsidRPr="00C6642F" w:rsidRDefault="00BA5C63" w:rsidP="00BA5C63">
            <w:pPr>
              <w:keepNext/>
              <w:keepLines/>
              <w:rPr>
                <w:b/>
                <w:sz w:val="20"/>
              </w:rPr>
            </w:pPr>
          </w:p>
        </w:tc>
        <w:tc>
          <w:tcPr>
            <w:tcW w:w="181" w:type="pct"/>
            <w:tcBorders>
              <w:top w:val="nil"/>
              <w:left w:val="nil"/>
              <w:bottom w:val="nil"/>
              <w:right w:val="nil"/>
              <w:tl2br w:val="nil"/>
              <w:tr2bl w:val="nil"/>
            </w:tcBorders>
            <w:vAlign w:val="bottom"/>
          </w:tcPr>
          <w:p w:rsidR="00BA5C63" w:rsidRPr="00C6642F" w:rsidRDefault="006F38D0" w:rsidP="00BA5C63">
            <w:pPr>
              <w:keepNext/>
              <w:keepLines/>
              <w:rPr>
                <w:b/>
                <w:sz w:val="20"/>
              </w:rPr>
            </w:pPr>
            <w:r w:rsidRPr="00C6642F">
              <w:rPr>
                <w:b/>
                <w:sz w:val="20"/>
              </w:rPr>
              <w:t>$</w:t>
            </w:r>
          </w:p>
        </w:tc>
        <w:tc>
          <w:tcPr>
            <w:tcW w:w="713" w:type="pct"/>
            <w:tcBorders>
              <w:top w:val="nil"/>
              <w:left w:val="nil"/>
              <w:bottom w:val="nil"/>
              <w:right w:val="nil"/>
              <w:tl2br w:val="nil"/>
              <w:tr2bl w:val="nil"/>
            </w:tcBorders>
            <w:vAlign w:val="bottom"/>
          </w:tcPr>
          <w:p w:rsidR="00BA5C63" w:rsidRPr="00C6642F" w:rsidRDefault="006F38D0" w:rsidP="00BA5C63">
            <w:pPr>
              <w:keepNext/>
              <w:keepLines/>
              <w:ind w:right="63"/>
              <w:jc w:val="right"/>
              <w:rPr>
                <w:b/>
                <w:sz w:val="20"/>
              </w:rPr>
            </w:pPr>
            <w:r w:rsidRPr="00C6642F">
              <w:rPr>
                <w:b/>
                <w:sz w:val="20"/>
              </w:rPr>
              <w:t xml:space="preserve"> 15.49</w:t>
            </w:r>
          </w:p>
        </w:tc>
      </w:tr>
      <w:tr w:rsidR="00BA5C63" w:rsidRPr="00C6642F" w:rsidTr="00BA5C63">
        <w:trPr>
          <w:trHeight w:hRule="exact" w:val="255"/>
        </w:trPr>
        <w:tc>
          <w:tcPr>
            <w:tcW w:w="3032"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ind w:left="360"/>
              <w:rPr>
                <w:sz w:val="20"/>
              </w:rPr>
            </w:pPr>
            <w:r w:rsidRPr="00C6642F">
              <w:rPr>
                <w:sz w:val="20"/>
              </w:rPr>
              <w:t>Granted</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rPr>
                <w:sz w:val="20"/>
              </w:rPr>
            </w:pPr>
          </w:p>
        </w:tc>
        <w:tc>
          <w:tcPr>
            <w:tcW w:w="846"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ind w:right="63"/>
              <w:jc w:val="right"/>
              <w:rPr>
                <w:b/>
                <w:sz w:val="20"/>
              </w:rPr>
            </w:pPr>
            <w:r w:rsidRPr="00C6642F">
              <w:rPr>
                <w:b/>
                <w:sz w:val="20"/>
              </w:rPr>
              <w:t xml:space="preserve"> 712,600</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rPr>
                <w:b/>
                <w:sz w:val="20"/>
              </w:rPr>
            </w:pPr>
          </w:p>
        </w:tc>
        <w:tc>
          <w:tcPr>
            <w:tcW w:w="1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rPr>
                <w:b/>
                <w:sz w:val="20"/>
              </w:rPr>
            </w:pPr>
          </w:p>
        </w:tc>
        <w:tc>
          <w:tcPr>
            <w:tcW w:w="713"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ind w:right="63"/>
              <w:jc w:val="right"/>
              <w:rPr>
                <w:b/>
                <w:sz w:val="20"/>
              </w:rPr>
            </w:pPr>
            <w:r w:rsidRPr="00C6642F">
              <w:rPr>
                <w:b/>
                <w:sz w:val="20"/>
              </w:rPr>
              <w:t xml:space="preserve"> 15.25</w:t>
            </w:r>
          </w:p>
        </w:tc>
      </w:tr>
      <w:tr w:rsidR="00BA5C63" w:rsidRPr="00C6642F" w:rsidTr="00BA5C63">
        <w:trPr>
          <w:trHeight w:hRule="exact" w:val="255"/>
        </w:trPr>
        <w:tc>
          <w:tcPr>
            <w:tcW w:w="3032" w:type="pct"/>
            <w:tcBorders>
              <w:top w:val="nil"/>
              <w:left w:val="nil"/>
              <w:bottom w:val="nil"/>
              <w:right w:val="nil"/>
              <w:tl2br w:val="nil"/>
              <w:tr2bl w:val="nil"/>
            </w:tcBorders>
            <w:vAlign w:val="bottom"/>
          </w:tcPr>
          <w:p w:rsidR="00BA5C63" w:rsidRPr="00C6642F" w:rsidRDefault="006F38D0" w:rsidP="00BA5C63">
            <w:pPr>
              <w:keepNext/>
              <w:keepLines/>
              <w:ind w:left="360"/>
              <w:rPr>
                <w:sz w:val="20"/>
              </w:rPr>
            </w:pPr>
            <w:r w:rsidRPr="00C6642F">
              <w:rPr>
                <w:sz w:val="20"/>
              </w:rPr>
              <w:t>Vested</w:t>
            </w:r>
          </w:p>
        </w:tc>
        <w:tc>
          <w:tcPr>
            <w:tcW w:w="114" w:type="pct"/>
            <w:tcBorders>
              <w:top w:val="nil"/>
              <w:left w:val="nil"/>
              <w:bottom w:val="nil"/>
              <w:right w:val="nil"/>
              <w:tl2br w:val="nil"/>
              <w:tr2bl w:val="nil"/>
            </w:tcBorders>
            <w:vAlign w:val="bottom"/>
          </w:tcPr>
          <w:p w:rsidR="00BA5C63" w:rsidRPr="00C6642F" w:rsidRDefault="00BA5C63" w:rsidP="00BA5C63">
            <w:pPr>
              <w:keepNext/>
              <w:keepLines/>
              <w:rPr>
                <w:sz w:val="20"/>
              </w:rPr>
            </w:pPr>
          </w:p>
        </w:tc>
        <w:tc>
          <w:tcPr>
            <w:tcW w:w="846" w:type="pct"/>
            <w:tcBorders>
              <w:top w:val="nil"/>
              <w:left w:val="nil"/>
              <w:bottom w:val="nil"/>
              <w:right w:val="nil"/>
              <w:tl2br w:val="nil"/>
              <w:tr2bl w:val="nil"/>
            </w:tcBorders>
            <w:vAlign w:val="bottom"/>
          </w:tcPr>
          <w:p w:rsidR="00BA5C63" w:rsidRPr="00C6642F" w:rsidRDefault="006F38D0" w:rsidP="00BA5C63">
            <w:pPr>
              <w:keepNext/>
              <w:keepLines/>
              <w:jc w:val="right"/>
              <w:rPr>
                <w:b/>
                <w:sz w:val="20"/>
              </w:rPr>
            </w:pPr>
            <w:r w:rsidRPr="00C6642F">
              <w:rPr>
                <w:b/>
                <w:sz w:val="20"/>
              </w:rPr>
              <w:t xml:space="preserve"> (568,156)</w:t>
            </w:r>
          </w:p>
        </w:tc>
        <w:tc>
          <w:tcPr>
            <w:tcW w:w="114" w:type="pct"/>
            <w:tcBorders>
              <w:top w:val="nil"/>
              <w:left w:val="nil"/>
              <w:bottom w:val="nil"/>
              <w:right w:val="nil"/>
              <w:tl2br w:val="nil"/>
              <w:tr2bl w:val="nil"/>
            </w:tcBorders>
            <w:vAlign w:val="bottom"/>
          </w:tcPr>
          <w:p w:rsidR="00BA5C63" w:rsidRPr="00C6642F" w:rsidRDefault="00BA5C63" w:rsidP="00BA5C63">
            <w:pPr>
              <w:keepNext/>
              <w:keepLines/>
              <w:rPr>
                <w:b/>
                <w:sz w:val="20"/>
              </w:rPr>
            </w:pPr>
          </w:p>
        </w:tc>
        <w:tc>
          <w:tcPr>
            <w:tcW w:w="181" w:type="pct"/>
            <w:tcBorders>
              <w:top w:val="nil"/>
              <w:left w:val="nil"/>
              <w:bottom w:val="nil"/>
              <w:right w:val="nil"/>
              <w:tl2br w:val="nil"/>
              <w:tr2bl w:val="nil"/>
            </w:tcBorders>
            <w:vAlign w:val="bottom"/>
          </w:tcPr>
          <w:p w:rsidR="00BA5C63" w:rsidRPr="00C6642F" w:rsidRDefault="00BA5C63" w:rsidP="00BA5C63">
            <w:pPr>
              <w:keepNext/>
              <w:keepLines/>
              <w:rPr>
                <w:b/>
                <w:sz w:val="20"/>
              </w:rPr>
            </w:pPr>
          </w:p>
        </w:tc>
        <w:tc>
          <w:tcPr>
            <w:tcW w:w="713" w:type="pct"/>
            <w:tcBorders>
              <w:top w:val="nil"/>
              <w:left w:val="nil"/>
              <w:bottom w:val="nil"/>
              <w:right w:val="nil"/>
              <w:tl2br w:val="nil"/>
              <w:tr2bl w:val="nil"/>
            </w:tcBorders>
            <w:vAlign w:val="bottom"/>
          </w:tcPr>
          <w:p w:rsidR="00BA5C63" w:rsidRPr="00C6642F" w:rsidRDefault="006F38D0" w:rsidP="00BA5C63">
            <w:pPr>
              <w:keepNext/>
              <w:keepLines/>
              <w:ind w:right="63"/>
              <w:jc w:val="right"/>
              <w:rPr>
                <w:b/>
                <w:sz w:val="20"/>
              </w:rPr>
            </w:pPr>
            <w:r w:rsidRPr="00C6642F">
              <w:rPr>
                <w:b/>
                <w:sz w:val="20"/>
              </w:rPr>
              <w:t xml:space="preserve"> 14.01</w:t>
            </w:r>
          </w:p>
        </w:tc>
      </w:tr>
      <w:tr w:rsidR="00BA5C63" w:rsidRPr="00C6642F" w:rsidTr="00BA5C63">
        <w:trPr>
          <w:trHeight w:hRule="exact" w:val="255"/>
        </w:trPr>
        <w:tc>
          <w:tcPr>
            <w:tcW w:w="3032"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ind w:left="360"/>
              <w:rPr>
                <w:sz w:val="20"/>
              </w:rPr>
            </w:pPr>
            <w:r w:rsidRPr="00C6642F">
              <w:rPr>
                <w:sz w:val="20"/>
              </w:rPr>
              <w:t>Forfeited</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rPr>
                <w:sz w:val="20"/>
              </w:rPr>
            </w:pPr>
          </w:p>
        </w:tc>
        <w:tc>
          <w:tcPr>
            <w:tcW w:w="846" w:type="pct"/>
            <w:tcBorders>
              <w:top w:val="nil"/>
              <w:left w:val="nil"/>
              <w:bottom w:val="single" w:sz="12" w:space="0" w:color="000000"/>
              <w:right w:val="nil"/>
              <w:tl2br w:val="nil"/>
              <w:tr2bl w:val="nil"/>
            </w:tcBorders>
            <w:shd w:val="clear" w:color="auto" w:fill="CCEEFF"/>
            <w:vAlign w:val="bottom"/>
          </w:tcPr>
          <w:p w:rsidR="00BA5C63" w:rsidRPr="00C6642F" w:rsidRDefault="006F38D0" w:rsidP="00BA5C63">
            <w:pPr>
              <w:keepNext/>
              <w:keepLines/>
              <w:jc w:val="right"/>
              <w:rPr>
                <w:b/>
                <w:sz w:val="20"/>
              </w:rPr>
            </w:pPr>
            <w:r w:rsidRPr="00C6642F">
              <w:rPr>
                <w:b/>
                <w:sz w:val="20"/>
              </w:rPr>
              <w:t xml:space="preserve"> (69,171)</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rPr>
                <w:b/>
                <w:sz w:val="20"/>
              </w:rPr>
            </w:pPr>
          </w:p>
        </w:tc>
        <w:tc>
          <w:tcPr>
            <w:tcW w:w="181" w:type="pct"/>
            <w:tcBorders>
              <w:top w:val="nil"/>
              <w:left w:val="nil"/>
              <w:bottom w:val="single" w:sz="12" w:space="0" w:color="000000"/>
              <w:right w:val="nil"/>
              <w:tl2br w:val="nil"/>
              <w:tr2bl w:val="nil"/>
            </w:tcBorders>
            <w:shd w:val="clear" w:color="auto" w:fill="CCEEFF"/>
            <w:vAlign w:val="bottom"/>
          </w:tcPr>
          <w:p w:rsidR="00BA5C63" w:rsidRPr="00C6642F" w:rsidRDefault="00BA5C63" w:rsidP="00BA5C63">
            <w:pPr>
              <w:keepNext/>
              <w:keepLines/>
              <w:rPr>
                <w:b/>
                <w:sz w:val="20"/>
              </w:rPr>
            </w:pPr>
          </w:p>
        </w:tc>
        <w:tc>
          <w:tcPr>
            <w:tcW w:w="713" w:type="pct"/>
            <w:tcBorders>
              <w:top w:val="nil"/>
              <w:left w:val="nil"/>
              <w:bottom w:val="single" w:sz="12" w:space="0" w:color="000000"/>
              <w:right w:val="nil"/>
              <w:tl2br w:val="nil"/>
              <w:tr2bl w:val="nil"/>
            </w:tcBorders>
            <w:shd w:val="clear" w:color="auto" w:fill="CCEEFF"/>
            <w:vAlign w:val="bottom"/>
          </w:tcPr>
          <w:p w:rsidR="00BA5C63" w:rsidRPr="00C6642F" w:rsidRDefault="006F38D0" w:rsidP="00BA5C63">
            <w:pPr>
              <w:keepNext/>
              <w:keepLines/>
              <w:ind w:right="63"/>
              <w:jc w:val="right"/>
              <w:rPr>
                <w:b/>
                <w:sz w:val="20"/>
              </w:rPr>
            </w:pPr>
            <w:r w:rsidRPr="00C6642F">
              <w:rPr>
                <w:b/>
                <w:sz w:val="20"/>
              </w:rPr>
              <w:t xml:space="preserve"> 16.20</w:t>
            </w:r>
          </w:p>
        </w:tc>
      </w:tr>
      <w:tr w:rsidR="00BA5C63" w:rsidRPr="00C6642F" w:rsidTr="00BA5C63">
        <w:trPr>
          <w:trHeight w:hRule="exact" w:val="255"/>
        </w:trPr>
        <w:tc>
          <w:tcPr>
            <w:tcW w:w="3032" w:type="pct"/>
            <w:tcBorders>
              <w:top w:val="nil"/>
              <w:left w:val="nil"/>
              <w:bottom w:val="nil"/>
              <w:right w:val="nil"/>
              <w:tl2br w:val="nil"/>
              <w:tr2bl w:val="nil"/>
            </w:tcBorders>
            <w:vAlign w:val="bottom"/>
          </w:tcPr>
          <w:p w:rsidR="00BA5C63" w:rsidRPr="00C6642F" w:rsidRDefault="006F38D0" w:rsidP="00BA5C63">
            <w:pPr>
              <w:keepNext/>
              <w:keepLines/>
              <w:rPr>
                <w:sz w:val="20"/>
              </w:rPr>
            </w:pPr>
            <w:r w:rsidRPr="00C6642F">
              <w:rPr>
                <w:sz w:val="20"/>
              </w:rPr>
              <w:t>Nonvested at December 31, 2019</w:t>
            </w:r>
          </w:p>
        </w:tc>
        <w:tc>
          <w:tcPr>
            <w:tcW w:w="114" w:type="pct"/>
            <w:tcBorders>
              <w:top w:val="nil"/>
              <w:left w:val="nil"/>
              <w:bottom w:val="nil"/>
              <w:right w:val="nil"/>
              <w:tl2br w:val="nil"/>
              <w:tr2bl w:val="nil"/>
            </w:tcBorders>
            <w:vAlign w:val="bottom"/>
          </w:tcPr>
          <w:p w:rsidR="00BA5C63" w:rsidRPr="00C6642F" w:rsidRDefault="00BA5C63" w:rsidP="00BA5C63">
            <w:pPr>
              <w:keepNext/>
              <w:keepLines/>
              <w:rPr>
                <w:sz w:val="20"/>
              </w:rPr>
            </w:pPr>
          </w:p>
        </w:tc>
        <w:tc>
          <w:tcPr>
            <w:tcW w:w="846" w:type="pct"/>
            <w:tcBorders>
              <w:top w:val="single" w:sz="0" w:space="0" w:color="000000"/>
              <w:left w:val="nil"/>
              <w:bottom w:val="double" w:sz="4" w:space="0" w:color="000000"/>
              <w:right w:val="nil"/>
              <w:tl2br w:val="nil"/>
              <w:tr2bl w:val="nil"/>
            </w:tcBorders>
            <w:vAlign w:val="bottom"/>
          </w:tcPr>
          <w:p w:rsidR="00BA5C63" w:rsidRPr="00C6642F" w:rsidRDefault="006F38D0" w:rsidP="00BA5C63">
            <w:pPr>
              <w:keepNext/>
              <w:keepLines/>
              <w:ind w:right="63"/>
              <w:jc w:val="right"/>
              <w:rPr>
                <w:b/>
                <w:sz w:val="20"/>
              </w:rPr>
            </w:pPr>
            <w:r w:rsidRPr="00C6642F">
              <w:rPr>
                <w:b/>
                <w:sz w:val="20"/>
              </w:rPr>
              <w:t xml:space="preserve"> 1,321,382</w:t>
            </w:r>
          </w:p>
        </w:tc>
        <w:tc>
          <w:tcPr>
            <w:tcW w:w="114" w:type="pct"/>
            <w:tcBorders>
              <w:top w:val="nil"/>
              <w:left w:val="nil"/>
              <w:bottom w:val="nil"/>
              <w:right w:val="nil"/>
              <w:tl2br w:val="nil"/>
              <w:tr2bl w:val="nil"/>
            </w:tcBorders>
            <w:vAlign w:val="bottom"/>
          </w:tcPr>
          <w:p w:rsidR="00BA5C63" w:rsidRPr="00C6642F" w:rsidRDefault="00BA5C63" w:rsidP="00BA5C63">
            <w:pPr>
              <w:keepNext/>
              <w:keepLines/>
              <w:rPr>
                <w:b/>
                <w:sz w:val="20"/>
              </w:rPr>
            </w:pPr>
          </w:p>
        </w:tc>
        <w:tc>
          <w:tcPr>
            <w:tcW w:w="181" w:type="pct"/>
            <w:tcBorders>
              <w:top w:val="single" w:sz="0" w:space="0" w:color="000000"/>
              <w:left w:val="nil"/>
              <w:bottom w:val="double" w:sz="4" w:space="0" w:color="000000"/>
              <w:right w:val="nil"/>
              <w:tl2br w:val="nil"/>
              <w:tr2bl w:val="nil"/>
            </w:tcBorders>
            <w:vAlign w:val="bottom"/>
          </w:tcPr>
          <w:p w:rsidR="00BA5C63" w:rsidRPr="00C6642F" w:rsidRDefault="006F38D0" w:rsidP="00BA5C63">
            <w:pPr>
              <w:keepNext/>
              <w:keepLines/>
              <w:rPr>
                <w:b/>
                <w:sz w:val="20"/>
              </w:rPr>
            </w:pPr>
            <w:r w:rsidRPr="00C6642F">
              <w:rPr>
                <w:b/>
                <w:sz w:val="20"/>
              </w:rPr>
              <w:t>$</w:t>
            </w:r>
          </w:p>
        </w:tc>
        <w:tc>
          <w:tcPr>
            <w:tcW w:w="713" w:type="pct"/>
            <w:tcBorders>
              <w:top w:val="single" w:sz="0" w:space="0" w:color="000000"/>
              <w:left w:val="nil"/>
              <w:bottom w:val="double" w:sz="4" w:space="0" w:color="000000"/>
              <w:right w:val="nil"/>
              <w:tl2br w:val="nil"/>
              <w:tr2bl w:val="nil"/>
            </w:tcBorders>
            <w:vAlign w:val="bottom"/>
          </w:tcPr>
          <w:p w:rsidR="00BA5C63" w:rsidRPr="00C6642F" w:rsidRDefault="006F38D0" w:rsidP="00BA5C63">
            <w:pPr>
              <w:keepNext/>
              <w:keepLines/>
              <w:ind w:right="63"/>
              <w:jc w:val="right"/>
              <w:rPr>
                <w:b/>
                <w:sz w:val="20"/>
              </w:rPr>
            </w:pPr>
            <w:r w:rsidRPr="00C6642F">
              <w:rPr>
                <w:b/>
                <w:sz w:val="20"/>
              </w:rPr>
              <w:t xml:space="preserve"> 15.96</w:t>
            </w:r>
          </w:p>
        </w:tc>
      </w:tr>
    </w:tbl>
    <w:p w:rsidR="00BA5C63" w:rsidRPr="00C6642F" w:rsidRDefault="00BA5C63" w:rsidP="00BA5C63">
      <w:pPr>
        <w:keepNext/>
        <w:keepLines/>
        <w:widowControl w:val="0"/>
      </w:pPr>
    </w:p>
    <w:p w:rsidR="00BA5C63" w:rsidRPr="00C6642F" w:rsidRDefault="00BA5C63" w:rsidP="00BA5C63">
      <w:pPr>
        <w:pStyle w:val="NormalWeb"/>
        <w:keepNext/>
        <w:keepLines/>
        <w:widowControl w:val="0"/>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BA5C63" w:rsidRPr="00C6642F" w:rsidTr="00BA5C63">
        <w:trPr>
          <w:trHeight w:hRule="exact" w:val="20"/>
        </w:trPr>
        <w:tc>
          <w:tcPr>
            <w:tcW w:w="2162"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603"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keepLines/>
              <w:spacing w:before="1" w:after="1"/>
              <w:rPr>
                <w:sz w:val="2"/>
              </w:rPr>
            </w:pPr>
          </w:p>
        </w:tc>
      </w:tr>
      <w:tr w:rsidR="00BA5C63" w:rsidRPr="00C6642F" w:rsidTr="00BA5C63">
        <w:trPr>
          <w:trHeight w:hRule="exact" w:val="315"/>
        </w:trPr>
        <w:tc>
          <w:tcPr>
            <w:tcW w:w="2162"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603"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keepNext/>
              <w:keepLines/>
              <w:spacing w:before="1" w:after="1"/>
              <w:jc w:val="center"/>
              <w:rPr>
                <w:b/>
                <w:sz w:val="20"/>
              </w:rPr>
            </w:pPr>
            <w:r w:rsidRPr="00C6642F">
              <w:rPr>
                <w:b/>
                <w:sz w:val="20"/>
              </w:rPr>
              <w:t xml:space="preserve">Year Ended December 31, </w:t>
            </w:r>
          </w:p>
        </w:tc>
      </w:tr>
      <w:tr w:rsidR="00BA5C63" w:rsidRPr="00C6642F" w:rsidTr="00BA5C63">
        <w:trPr>
          <w:trHeight w:hRule="exact" w:val="315"/>
        </w:trPr>
        <w:tc>
          <w:tcPr>
            <w:tcW w:w="2162"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603"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A5C63" w:rsidRPr="00C6642F" w:rsidRDefault="006F38D0" w:rsidP="00BA5C63">
            <w:pPr>
              <w:keepNext/>
              <w:keepLines/>
              <w:spacing w:before="1" w:after="1"/>
              <w:jc w:val="center"/>
              <w:rPr>
                <w:b/>
                <w:sz w:val="20"/>
              </w:rPr>
            </w:pPr>
            <w:r w:rsidRPr="00C6642F">
              <w:rPr>
                <w:b/>
                <w:sz w:val="20"/>
              </w:rPr>
              <w:t>2019</w:t>
            </w:r>
          </w:p>
        </w:tc>
        <w:tc>
          <w:tcPr>
            <w:tcW w:w="81" w:type="pct"/>
            <w:tcBorders>
              <w:top w:val="single" w:sz="0" w:space="0" w:color="000000"/>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A5C63" w:rsidRPr="00C6642F" w:rsidRDefault="006F38D0" w:rsidP="00BA5C63">
            <w:pPr>
              <w:keepNext/>
              <w:keepLines/>
              <w:spacing w:before="1" w:after="1"/>
              <w:jc w:val="center"/>
              <w:rPr>
                <w:b/>
                <w:sz w:val="20"/>
              </w:rPr>
            </w:pPr>
            <w:r w:rsidRPr="00C6642F">
              <w:rPr>
                <w:b/>
                <w:sz w:val="20"/>
              </w:rPr>
              <w:t xml:space="preserve"> 2018</w:t>
            </w:r>
          </w:p>
        </w:tc>
        <w:tc>
          <w:tcPr>
            <w:tcW w:w="81" w:type="pct"/>
            <w:tcBorders>
              <w:top w:val="single" w:sz="0" w:space="0" w:color="000000"/>
              <w:left w:val="nil"/>
              <w:bottom w:val="nil"/>
              <w:right w:val="nil"/>
              <w:tl2br w:val="nil"/>
              <w:tr2bl w:val="nil"/>
            </w:tcBorders>
            <w:shd w:val="clear" w:color="auto" w:fill="auto"/>
            <w:vAlign w:val="bottom"/>
          </w:tcPr>
          <w:p w:rsidR="00BA5C63" w:rsidRPr="00C6642F" w:rsidRDefault="00BA5C63" w:rsidP="00BA5C63">
            <w:pPr>
              <w:keepNext/>
              <w:keepLines/>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A5C63" w:rsidRPr="00C6642F" w:rsidRDefault="006F38D0" w:rsidP="00BA5C63">
            <w:pPr>
              <w:keepNext/>
              <w:keepLines/>
              <w:spacing w:before="1" w:after="1"/>
              <w:jc w:val="center"/>
              <w:rPr>
                <w:b/>
                <w:sz w:val="20"/>
              </w:rPr>
            </w:pPr>
            <w:r w:rsidRPr="00C6642F">
              <w:rPr>
                <w:b/>
                <w:sz w:val="20"/>
              </w:rPr>
              <w:t xml:space="preserve"> 2017</w:t>
            </w:r>
          </w:p>
        </w:tc>
      </w:tr>
      <w:tr w:rsidR="00BA5C63" w:rsidRPr="00C6642F" w:rsidTr="00BA5C63">
        <w:trPr>
          <w:trHeight w:hRule="exact" w:val="25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spacing w:before="1" w:after="1"/>
              <w:rPr>
                <w:i/>
                <w:sz w:val="20"/>
              </w:rPr>
            </w:pPr>
            <w:r w:rsidRPr="00C6642F">
              <w:rPr>
                <w:i/>
                <w:sz w:val="20"/>
              </w:rPr>
              <w:t>Restricted Stock Unit Awards</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603"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r>
      <w:tr w:rsidR="00BA5C63" w:rsidRPr="00C6642F" w:rsidTr="00BA5C63">
        <w:trPr>
          <w:trHeight w:hRule="exact" w:val="255"/>
        </w:trPr>
        <w:tc>
          <w:tcPr>
            <w:tcW w:w="2162" w:type="pct"/>
            <w:tcBorders>
              <w:top w:val="nil"/>
              <w:left w:val="nil"/>
              <w:bottom w:val="nil"/>
              <w:right w:val="nil"/>
              <w:tl2br w:val="nil"/>
              <w:tr2bl w:val="nil"/>
            </w:tcBorders>
            <w:vAlign w:val="bottom"/>
          </w:tcPr>
          <w:p w:rsidR="00BA5C63" w:rsidRPr="00C6642F" w:rsidRDefault="006F38D0" w:rsidP="00BA5C63">
            <w:pPr>
              <w:keepNext/>
              <w:keepLines/>
              <w:spacing w:before="1" w:after="1"/>
              <w:rPr>
                <w:sz w:val="20"/>
              </w:rPr>
            </w:pPr>
            <w:r w:rsidRPr="00C6642F">
              <w:rPr>
                <w:sz w:val="20"/>
              </w:rPr>
              <w:t>Weighted-average, grant-date fair value of awards granted</w:t>
            </w:r>
          </w:p>
        </w:tc>
        <w:tc>
          <w:tcPr>
            <w:tcW w:w="81" w:type="pct"/>
            <w:tcBorders>
              <w:top w:val="nil"/>
              <w:left w:val="nil"/>
              <w:bottom w:val="nil"/>
              <w:right w:val="nil"/>
              <w:tl2br w:val="nil"/>
              <w:tr2bl w:val="nil"/>
            </w:tcBorders>
            <w:vAlign w:val="bottom"/>
          </w:tcPr>
          <w:p w:rsidR="00BA5C63" w:rsidRPr="00C6642F" w:rsidRDefault="00BA5C63" w:rsidP="00BA5C63">
            <w:pPr>
              <w:keepNext/>
              <w:keepLines/>
              <w:spacing w:before="1" w:after="1"/>
              <w:rPr>
                <w:sz w:val="20"/>
              </w:rPr>
            </w:pPr>
          </w:p>
        </w:tc>
        <w:tc>
          <w:tcPr>
            <w:tcW w:w="603" w:type="pct"/>
            <w:tcBorders>
              <w:top w:val="nil"/>
              <w:left w:val="nil"/>
              <w:bottom w:val="nil"/>
              <w:right w:val="nil"/>
              <w:tl2br w:val="nil"/>
              <w:tr2bl w:val="nil"/>
            </w:tcBorders>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keepLines/>
              <w:spacing w:before="1" w:after="1"/>
              <w:rPr>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keepLines/>
              <w:spacing w:before="1" w:after="1"/>
              <w:rPr>
                <w:sz w:val="20"/>
              </w:rPr>
            </w:pPr>
            <w:r w:rsidRPr="00C6642F">
              <w:rPr>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keepLines/>
              <w:spacing w:before="1" w:after="1"/>
              <w:ind w:right="63"/>
              <w:jc w:val="right"/>
              <w:rPr>
                <w:b/>
                <w:sz w:val="20"/>
              </w:rPr>
            </w:pPr>
            <w:r w:rsidRPr="00C6642F">
              <w:rPr>
                <w:b/>
                <w:sz w:val="20"/>
              </w:rPr>
              <w:t xml:space="preserve"> 15.25</w:t>
            </w:r>
          </w:p>
        </w:tc>
        <w:tc>
          <w:tcPr>
            <w:tcW w:w="81" w:type="pct"/>
            <w:tcBorders>
              <w:top w:val="nil"/>
              <w:left w:val="nil"/>
              <w:bottom w:val="nil"/>
              <w:right w:val="nil"/>
              <w:tl2br w:val="nil"/>
              <w:tr2bl w:val="nil"/>
            </w:tcBorders>
            <w:vAlign w:val="bottom"/>
          </w:tcPr>
          <w:p w:rsidR="00BA5C63" w:rsidRPr="00C6642F" w:rsidRDefault="00BA5C63" w:rsidP="00BA5C63">
            <w:pPr>
              <w:keepNext/>
              <w:keepLines/>
              <w:spacing w:before="1" w:after="1"/>
              <w:rPr>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keepLines/>
              <w:spacing w:before="1" w:after="1"/>
              <w:rPr>
                <w:sz w:val="20"/>
              </w:rPr>
            </w:pPr>
            <w:r w:rsidRPr="00C6642F">
              <w:rPr>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keepLines/>
              <w:spacing w:before="1" w:after="1"/>
              <w:ind w:right="65"/>
              <w:jc w:val="right"/>
              <w:rPr>
                <w:sz w:val="20"/>
              </w:rPr>
            </w:pPr>
            <w:r w:rsidRPr="00C6642F">
              <w:rPr>
                <w:sz w:val="20"/>
              </w:rPr>
              <w:t xml:space="preserve"> 16.08</w:t>
            </w:r>
          </w:p>
        </w:tc>
        <w:tc>
          <w:tcPr>
            <w:tcW w:w="81" w:type="pct"/>
            <w:tcBorders>
              <w:top w:val="nil"/>
              <w:left w:val="nil"/>
              <w:bottom w:val="nil"/>
              <w:right w:val="nil"/>
              <w:tl2br w:val="nil"/>
              <w:tr2bl w:val="nil"/>
            </w:tcBorders>
            <w:vAlign w:val="bottom"/>
          </w:tcPr>
          <w:p w:rsidR="00BA5C63" w:rsidRPr="00C6642F" w:rsidRDefault="00BA5C63" w:rsidP="00BA5C63">
            <w:pPr>
              <w:keepNext/>
              <w:keepLines/>
              <w:spacing w:before="1" w:after="1"/>
              <w:rPr>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keepLines/>
              <w:spacing w:before="1" w:after="1"/>
              <w:rPr>
                <w:sz w:val="20"/>
              </w:rPr>
            </w:pPr>
            <w:r w:rsidRPr="00C6642F">
              <w:rPr>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keepLines/>
              <w:spacing w:before="1" w:after="1"/>
              <w:ind w:right="65"/>
              <w:jc w:val="right"/>
              <w:rPr>
                <w:sz w:val="20"/>
              </w:rPr>
            </w:pPr>
            <w:r w:rsidRPr="00C6642F">
              <w:rPr>
                <w:sz w:val="20"/>
              </w:rPr>
              <w:t xml:space="preserve"> 20.55</w:t>
            </w:r>
          </w:p>
        </w:tc>
      </w:tr>
      <w:tr w:rsidR="00BA5C63" w:rsidRPr="00C6642F" w:rsidTr="00BA5C63">
        <w:trPr>
          <w:trHeight w:hRule="exact" w:val="25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spacing w:before="1" w:after="1"/>
              <w:rPr>
                <w:sz w:val="20"/>
              </w:rPr>
            </w:pPr>
            <w:r w:rsidRPr="00C6642F">
              <w:rPr>
                <w:sz w:val="20"/>
              </w:rPr>
              <w:t>Total fair value of restricted stock units vested</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603"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spacing w:before="1" w:after="1"/>
              <w:ind w:right="63"/>
              <w:jc w:val="right"/>
              <w:rPr>
                <w:b/>
                <w:sz w:val="20"/>
              </w:rPr>
            </w:pPr>
            <w:r w:rsidRPr="00C6642F">
              <w:rPr>
                <w:b/>
                <w:sz w:val="20"/>
              </w:rPr>
              <w:t xml:space="preserve"> 9,619,773</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spacing w:before="1" w:after="1"/>
              <w:ind w:right="65"/>
              <w:jc w:val="right"/>
              <w:rPr>
                <w:sz w:val="20"/>
              </w:rPr>
            </w:pPr>
            <w:r w:rsidRPr="00C6642F">
              <w:rPr>
                <w:sz w:val="20"/>
              </w:rPr>
              <w:t xml:space="preserve"> 9,187,360</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keepLines/>
              <w:spacing w:before="1" w:after="1"/>
              <w:rPr>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keepLines/>
              <w:spacing w:before="1" w:after="1"/>
              <w:ind w:right="65"/>
              <w:jc w:val="right"/>
              <w:rPr>
                <w:sz w:val="20"/>
              </w:rPr>
            </w:pPr>
            <w:r w:rsidRPr="00C6642F">
              <w:rPr>
                <w:sz w:val="20"/>
              </w:rPr>
              <w:t xml:space="preserve"> 6,672,405</w:t>
            </w:r>
          </w:p>
        </w:tc>
      </w:tr>
    </w:tbl>
    <w:p w:rsidR="00BA5C63" w:rsidRPr="00C6642F" w:rsidRDefault="006F38D0" w:rsidP="00BA5C63">
      <w:pPr>
        <w:pStyle w:val="NormalWeb"/>
        <w:keepNext/>
        <w:spacing w:before="180" w:beforeAutospacing="0" w:after="0" w:afterAutospacing="0"/>
        <w:rPr>
          <w:b/>
          <w:i/>
          <w:sz w:val="20"/>
          <w:szCs w:val="20"/>
        </w:rPr>
      </w:pPr>
      <w:r w:rsidRPr="00C6642F">
        <w:rPr>
          <w:b/>
          <w:i/>
          <w:sz w:val="20"/>
          <w:szCs w:val="20"/>
        </w:rPr>
        <w:t>Performance Share Unit Awards</w:t>
      </w:r>
    </w:p>
    <w:p w:rsidR="00BA5C63" w:rsidRPr="00C6642F" w:rsidRDefault="006F38D0" w:rsidP="00BA5C63">
      <w:pPr>
        <w:pStyle w:val="NormalWeb"/>
        <w:keepNext/>
        <w:spacing w:before="180" w:beforeAutospacing="0" w:after="0" w:afterAutospacing="0"/>
        <w:rPr>
          <w:sz w:val="20"/>
          <w:szCs w:val="20"/>
        </w:rPr>
      </w:pPr>
      <w:r w:rsidRPr="00C6642F">
        <w:rPr>
          <w:sz w:val="20"/>
          <w:szCs w:val="20"/>
        </w:rPr>
        <w:t xml:space="preserve">Performance share units have been granted to certain executive officers. The performance unit awards will be earned only to the extent that MRC Global attains specified performance goals over a three year period relating to MRC Global’s total shareholder return compared to companies within the Philadelphia Oil Service Index and specified return on average net capital employed calculation (“RANCE”) goals established on the date in which the award was granted. The number of shares awarded at the end of the three year period could vary from zero, if performance goals are not met, to as much as 200% of target, if performance goals are exceeded.   </w:t>
      </w:r>
    </w:p>
    <w:p w:rsidR="00BA5C63" w:rsidRPr="00C6642F" w:rsidRDefault="006F38D0" w:rsidP="00BA5C63">
      <w:pPr>
        <w:pStyle w:val="NormalWeb"/>
        <w:keepNext/>
        <w:spacing w:before="180" w:beforeAutospacing="0" w:after="0" w:afterAutospacing="0"/>
        <w:rPr>
          <w:sz w:val="20"/>
          <w:szCs w:val="20"/>
        </w:rPr>
      </w:pPr>
      <w:r w:rsidRPr="00C6642F">
        <w:rPr>
          <w:sz w:val="20"/>
          <w:szCs w:val="20"/>
        </w:rPr>
        <w:t>The following tables summarizes award activity for performance unit awards:</w:t>
      </w:r>
    </w:p>
    <w:p w:rsidR="00BA5C63" w:rsidRPr="00C6642F" w:rsidRDefault="00BA5C63" w:rsidP="00BA5C63">
      <w:pPr>
        <w:pStyle w:val="NormalWeb"/>
        <w:keepNext/>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6550"/>
        <w:gridCol w:w="246"/>
        <w:gridCol w:w="1827"/>
        <w:gridCol w:w="246"/>
        <w:gridCol w:w="391"/>
        <w:gridCol w:w="1540"/>
      </w:tblGrid>
      <w:tr w:rsidR="00BA5C63" w:rsidRPr="00C6642F" w:rsidTr="00BA5C63">
        <w:trPr>
          <w:trHeight w:hRule="exact" w:val="20"/>
        </w:trPr>
        <w:tc>
          <w:tcPr>
            <w:tcW w:w="3032"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114"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846"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114"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181"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713"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r>
      <w:tr w:rsidR="00BA5C63" w:rsidRPr="00C6642F" w:rsidTr="00BA5C63">
        <w:trPr>
          <w:trHeight w:hRule="exact" w:val="300"/>
        </w:trPr>
        <w:tc>
          <w:tcPr>
            <w:tcW w:w="3032"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46"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94"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Weighted</w:t>
            </w:r>
          </w:p>
        </w:tc>
      </w:tr>
      <w:tr w:rsidR="00BA5C63" w:rsidRPr="00C6642F" w:rsidTr="00BA5C63">
        <w:trPr>
          <w:trHeight w:hRule="exact" w:val="300"/>
        </w:trPr>
        <w:tc>
          <w:tcPr>
            <w:tcW w:w="3032"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46"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94"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Average</w:t>
            </w:r>
          </w:p>
        </w:tc>
      </w:tr>
      <w:tr w:rsidR="00BA5C63" w:rsidRPr="00C6642F" w:rsidTr="00BA5C63">
        <w:trPr>
          <w:trHeight w:hRule="exact" w:val="300"/>
        </w:trPr>
        <w:tc>
          <w:tcPr>
            <w:tcW w:w="3032"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46"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94" w:type="pct"/>
            <w:gridSpan w:val="2"/>
            <w:tcBorders>
              <w:top w:val="nil"/>
              <w:left w:val="nil"/>
              <w:bottom w:val="nil"/>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Grant-Date</w:t>
            </w:r>
          </w:p>
        </w:tc>
      </w:tr>
      <w:tr w:rsidR="00BA5C63" w:rsidRPr="00C6642F" w:rsidTr="00BA5C63">
        <w:trPr>
          <w:trHeight w:hRule="exact" w:val="315"/>
        </w:trPr>
        <w:tc>
          <w:tcPr>
            <w:tcW w:w="3032"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46" w:type="pct"/>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Shares</w:t>
            </w: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94" w:type="pct"/>
            <w:gridSpan w:val="2"/>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Fair Value</w:t>
            </w:r>
          </w:p>
        </w:tc>
      </w:tr>
      <w:tr w:rsidR="00BA5C63" w:rsidRPr="00C6642F" w:rsidTr="00BA5C63">
        <w:trPr>
          <w:trHeight w:hRule="exact" w:val="255"/>
        </w:trPr>
        <w:tc>
          <w:tcPr>
            <w:tcW w:w="3032"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rPr>
                <w:i/>
                <w:sz w:val="20"/>
              </w:rPr>
            </w:pPr>
            <w:r w:rsidRPr="00C6642F">
              <w:rPr>
                <w:i/>
                <w:sz w:val="20"/>
              </w:rPr>
              <w:t>Performance Share Unit Awards</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46"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81"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713"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r>
      <w:tr w:rsidR="00BA5C63" w:rsidRPr="00C6642F" w:rsidTr="00BA5C63">
        <w:trPr>
          <w:trHeight w:hRule="exact" w:val="255"/>
        </w:trPr>
        <w:tc>
          <w:tcPr>
            <w:tcW w:w="3032" w:type="pct"/>
            <w:tcBorders>
              <w:top w:val="nil"/>
              <w:left w:val="nil"/>
              <w:bottom w:val="nil"/>
              <w:right w:val="nil"/>
              <w:tl2br w:val="nil"/>
              <w:tr2bl w:val="nil"/>
            </w:tcBorders>
            <w:vAlign w:val="bottom"/>
          </w:tcPr>
          <w:p w:rsidR="00BA5C63" w:rsidRPr="00C6642F" w:rsidRDefault="006F38D0" w:rsidP="00BA5C63">
            <w:pPr>
              <w:keepNext/>
              <w:spacing w:before="1" w:after="1"/>
              <w:rPr>
                <w:sz w:val="20"/>
              </w:rPr>
            </w:pPr>
            <w:r w:rsidRPr="00C6642F">
              <w:rPr>
                <w:sz w:val="20"/>
              </w:rPr>
              <w:t>Nonvested at December 31, 2018</w:t>
            </w:r>
          </w:p>
        </w:tc>
        <w:tc>
          <w:tcPr>
            <w:tcW w:w="114"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846" w:type="pct"/>
            <w:tcBorders>
              <w:top w:val="nil"/>
              <w:left w:val="nil"/>
              <w:bottom w:val="nil"/>
              <w:right w:val="nil"/>
              <w:tl2br w:val="nil"/>
              <w:tr2bl w:val="nil"/>
            </w:tcBorders>
            <w:vAlign w:val="bottom"/>
          </w:tcPr>
          <w:p w:rsidR="00BA5C63" w:rsidRPr="00C6642F" w:rsidRDefault="006F38D0" w:rsidP="00BA5C63">
            <w:pPr>
              <w:keepNext/>
              <w:spacing w:before="1" w:after="1"/>
              <w:ind w:right="63"/>
              <w:jc w:val="right"/>
              <w:rPr>
                <w:b/>
                <w:sz w:val="20"/>
              </w:rPr>
            </w:pPr>
            <w:r w:rsidRPr="00C6642F">
              <w:rPr>
                <w:b/>
                <w:sz w:val="20"/>
              </w:rPr>
              <w:t xml:space="preserve"> 714,681</w:t>
            </w:r>
          </w:p>
        </w:tc>
        <w:tc>
          <w:tcPr>
            <w:tcW w:w="114" w:type="pct"/>
            <w:tcBorders>
              <w:top w:val="nil"/>
              <w:left w:val="nil"/>
              <w:bottom w:val="nil"/>
              <w:right w:val="nil"/>
              <w:tl2br w:val="nil"/>
              <w:tr2bl w:val="nil"/>
            </w:tcBorders>
            <w:vAlign w:val="bottom"/>
          </w:tcPr>
          <w:p w:rsidR="00BA5C63" w:rsidRPr="00C6642F" w:rsidRDefault="00BA5C63" w:rsidP="00BA5C63">
            <w:pPr>
              <w:keepNext/>
              <w:spacing w:before="1" w:after="1"/>
              <w:rPr>
                <w:b/>
                <w:sz w:val="20"/>
              </w:rPr>
            </w:pPr>
          </w:p>
        </w:tc>
        <w:tc>
          <w:tcPr>
            <w:tcW w:w="181" w:type="pct"/>
            <w:tcBorders>
              <w:top w:val="nil"/>
              <w:left w:val="nil"/>
              <w:bottom w:val="nil"/>
              <w:right w:val="nil"/>
              <w:tl2br w:val="nil"/>
              <w:tr2bl w:val="nil"/>
            </w:tcBorders>
            <w:vAlign w:val="bottom"/>
          </w:tcPr>
          <w:p w:rsidR="00BA5C63" w:rsidRPr="00C6642F" w:rsidRDefault="006F38D0" w:rsidP="00BA5C63">
            <w:pPr>
              <w:keepNext/>
              <w:spacing w:before="1" w:after="1"/>
              <w:rPr>
                <w:b/>
                <w:sz w:val="20"/>
              </w:rPr>
            </w:pPr>
            <w:r w:rsidRPr="00C6642F">
              <w:rPr>
                <w:b/>
                <w:sz w:val="20"/>
              </w:rPr>
              <w:t>$</w:t>
            </w:r>
          </w:p>
        </w:tc>
        <w:tc>
          <w:tcPr>
            <w:tcW w:w="713" w:type="pct"/>
            <w:tcBorders>
              <w:top w:val="nil"/>
              <w:left w:val="nil"/>
              <w:bottom w:val="nil"/>
              <w:right w:val="nil"/>
              <w:tl2br w:val="nil"/>
              <w:tr2bl w:val="nil"/>
            </w:tcBorders>
            <w:vAlign w:val="bottom"/>
          </w:tcPr>
          <w:p w:rsidR="00BA5C63" w:rsidRPr="00C6642F" w:rsidRDefault="006F38D0" w:rsidP="00BA5C63">
            <w:pPr>
              <w:keepNext/>
              <w:spacing w:before="1" w:after="1"/>
              <w:ind w:right="63"/>
              <w:jc w:val="right"/>
              <w:rPr>
                <w:b/>
                <w:sz w:val="20"/>
              </w:rPr>
            </w:pPr>
            <w:r w:rsidRPr="00C6642F">
              <w:rPr>
                <w:b/>
                <w:sz w:val="20"/>
              </w:rPr>
              <w:t xml:space="preserve"> 15.80</w:t>
            </w:r>
          </w:p>
        </w:tc>
      </w:tr>
      <w:tr w:rsidR="00BA5C63" w:rsidRPr="00C6642F" w:rsidTr="00BA5C63">
        <w:trPr>
          <w:trHeight w:hRule="exact" w:val="255"/>
        </w:trPr>
        <w:tc>
          <w:tcPr>
            <w:tcW w:w="3032"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ind w:left="360"/>
              <w:rPr>
                <w:sz w:val="20"/>
              </w:rPr>
            </w:pPr>
            <w:r w:rsidRPr="00C6642F">
              <w:rPr>
                <w:sz w:val="20"/>
              </w:rPr>
              <w:t>Granted</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46"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ind w:right="63"/>
              <w:jc w:val="right"/>
              <w:rPr>
                <w:b/>
                <w:sz w:val="20"/>
              </w:rPr>
            </w:pPr>
            <w:r w:rsidRPr="00C6642F">
              <w:rPr>
                <w:b/>
                <w:sz w:val="20"/>
              </w:rPr>
              <w:t xml:space="preserve"> 242,290</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b/>
                <w:sz w:val="20"/>
              </w:rPr>
            </w:pPr>
          </w:p>
        </w:tc>
        <w:tc>
          <w:tcPr>
            <w:tcW w:w="1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b/>
                <w:sz w:val="20"/>
              </w:rPr>
            </w:pPr>
          </w:p>
        </w:tc>
        <w:tc>
          <w:tcPr>
            <w:tcW w:w="713"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ind w:right="63"/>
              <w:jc w:val="right"/>
              <w:rPr>
                <w:b/>
                <w:sz w:val="20"/>
              </w:rPr>
            </w:pPr>
            <w:r w:rsidRPr="00C6642F">
              <w:rPr>
                <w:b/>
                <w:sz w:val="20"/>
              </w:rPr>
              <w:t xml:space="preserve"> 19.40</w:t>
            </w:r>
          </w:p>
        </w:tc>
      </w:tr>
      <w:tr w:rsidR="00BA5C63" w:rsidRPr="00C6642F" w:rsidTr="00BA5C63">
        <w:trPr>
          <w:trHeight w:hRule="exact" w:val="255"/>
        </w:trPr>
        <w:tc>
          <w:tcPr>
            <w:tcW w:w="3032" w:type="pct"/>
            <w:tcBorders>
              <w:top w:val="nil"/>
              <w:left w:val="nil"/>
              <w:bottom w:val="nil"/>
              <w:right w:val="nil"/>
              <w:tl2br w:val="nil"/>
              <w:tr2bl w:val="nil"/>
            </w:tcBorders>
            <w:vAlign w:val="bottom"/>
          </w:tcPr>
          <w:p w:rsidR="00BA5C63" w:rsidRPr="00C6642F" w:rsidRDefault="006F38D0" w:rsidP="00BA5C63">
            <w:pPr>
              <w:keepNext/>
              <w:spacing w:before="1" w:after="1"/>
              <w:ind w:left="360"/>
              <w:rPr>
                <w:sz w:val="20"/>
              </w:rPr>
            </w:pPr>
            <w:r w:rsidRPr="00C6642F">
              <w:rPr>
                <w:sz w:val="20"/>
              </w:rPr>
              <w:t>Vested (1)</w:t>
            </w:r>
          </w:p>
        </w:tc>
        <w:tc>
          <w:tcPr>
            <w:tcW w:w="114"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846" w:type="pct"/>
            <w:tcBorders>
              <w:top w:val="nil"/>
              <w:left w:val="nil"/>
              <w:bottom w:val="nil"/>
              <w:right w:val="nil"/>
              <w:tl2br w:val="nil"/>
              <w:tr2bl w:val="nil"/>
            </w:tcBorders>
            <w:vAlign w:val="bottom"/>
          </w:tcPr>
          <w:p w:rsidR="00BA5C63" w:rsidRPr="00C6642F" w:rsidRDefault="006F38D0" w:rsidP="00BA5C63">
            <w:pPr>
              <w:keepNext/>
              <w:spacing w:before="1" w:after="1"/>
              <w:jc w:val="right"/>
              <w:rPr>
                <w:b/>
                <w:sz w:val="20"/>
              </w:rPr>
            </w:pPr>
            <w:r w:rsidRPr="00C6642F">
              <w:rPr>
                <w:b/>
                <w:sz w:val="20"/>
              </w:rPr>
              <w:t xml:space="preserve"> (185,393)</w:t>
            </w:r>
          </w:p>
        </w:tc>
        <w:tc>
          <w:tcPr>
            <w:tcW w:w="114" w:type="pct"/>
            <w:tcBorders>
              <w:top w:val="nil"/>
              <w:left w:val="nil"/>
              <w:bottom w:val="nil"/>
              <w:right w:val="nil"/>
              <w:tl2br w:val="nil"/>
              <w:tr2bl w:val="nil"/>
            </w:tcBorders>
            <w:vAlign w:val="bottom"/>
          </w:tcPr>
          <w:p w:rsidR="00BA5C63" w:rsidRPr="00C6642F" w:rsidRDefault="00BA5C63" w:rsidP="00BA5C63">
            <w:pPr>
              <w:keepNext/>
              <w:spacing w:before="1" w:after="1"/>
              <w:rPr>
                <w:b/>
                <w:sz w:val="20"/>
              </w:rPr>
            </w:pPr>
          </w:p>
        </w:tc>
        <w:tc>
          <w:tcPr>
            <w:tcW w:w="181" w:type="pct"/>
            <w:tcBorders>
              <w:top w:val="nil"/>
              <w:left w:val="nil"/>
              <w:bottom w:val="nil"/>
              <w:right w:val="nil"/>
              <w:tl2br w:val="nil"/>
              <w:tr2bl w:val="nil"/>
            </w:tcBorders>
            <w:vAlign w:val="bottom"/>
          </w:tcPr>
          <w:p w:rsidR="00BA5C63" w:rsidRPr="00C6642F" w:rsidRDefault="00BA5C63" w:rsidP="00BA5C63">
            <w:pPr>
              <w:keepNext/>
              <w:spacing w:before="1" w:after="1"/>
              <w:rPr>
                <w:b/>
                <w:sz w:val="20"/>
              </w:rPr>
            </w:pPr>
          </w:p>
        </w:tc>
        <w:tc>
          <w:tcPr>
            <w:tcW w:w="713" w:type="pct"/>
            <w:tcBorders>
              <w:top w:val="nil"/>
              <w:left w:val="nil"/>
              <w:bottom w:val="nil"/>
              <w:right w:val="nil"/>
              <w:tl2br w:val="nil"/>
              <w:tr2bl w:val="nil"/>
            </w:tcBorders>
            <w:vAlign w:val="bottom"/>
          </w:tcPr>
          <w:p w:rsidR="00BA5C63" w:rsidRPr="00C6642F" w:rsidRDefault="006F38D0" w:rsidP="00BA5C63">
            <w:pPr>
              <w:keepNext/>
              <w:spacing w:before="1" w:after="1"/>
              <w:ind w:right="63"/>
              <w:jc w:val="right"/>
              <w:rPr>
                <w:b/>
                <w:sz w:val="20"/>
              </w:rPr>
            </w:pPr>
            <w:r w:rsidRPr="00C6642F">
              <w:rPr>
                <w:b/>
                <w:sz w:val="20"/>
              </w:rPr>
              <w:t xml:space="preserve"> 10.45</w:t>
            </w:r>
          </w:p>
        </w:tc>
      </w:tr>
      <w:tr w:rsidR="00BA5C63" w:rsidRPr="00C6642F" w:rsidTr="00BA5C63">
        <w:trPr>
          <w:trHeight w:hRule="exact" w:val="255"/>
        </w:trPr>
        <w:tc>
          <w:tcPr>
            <w:tcW w:w="3032"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ind w:left="360"/>
              <w:rPr>
                <w:sz w:val="20"/>
              </w:rPr>
            </w:pPr>
            <w:r w:rsidRPr="00C6642F">
              <w:rPr>
                <w:sz w:val="20"/>
              </w:rPr>
              <w:t>Forfeited</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46" w:type="pct"/>
            <w:tcBorders>
              <w:top w:val="nil"/>
              <w:left w:val="nil"/>
              <w:bottom w:val="single" w:sz="12" w:space="0" w:color="000000"/>
              <w:right w:val="nil"/>
              <w:tl2br w:val="nil"/>
              <w:tr2bl w:val="nil"/>
            </w:tcBorders>
            <w:shd w:val="clear" w:color="auto" w:fill="CCEEFF"/>
            <w:vAlign w:val="bottom"/>
          </w:tcPr>
          <w:p w:rsidR="00BA5C63" w:rsidRPr="00C6642F" w:rsidRDefault="006F38D0" w:rsidP="00BA5C63">
            <w:pPr>
              <w:keepNext/>
              <w:spacing w:before="1" w:after="1"/>
              <w:jc w:val="right"/>
              <w:rPr>
                <w:b/>
                <w:sz w:val="20"/>
              </w:rPr>
            </w:pPr>
            <w:r w:rsidRPr="00C6642F">
              <w:rPr>
                <w:b/>
                <w:sz w:val="20"/>
              </w:rPr>
              <w:t xml:space="preserve"> (159,529)</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b/>
                <w:sz w:val="20"/>
              </w:rPr>
            </w:pPr>
          </w:p>
        </w:tc>
        <w:tc>
          <w:tcPr>
            <w:tcW w:w="181" w:type="pct"/>
            <w:tcBorders>
              <w:top w:val="nil"/>
              <w:left w:val="nil"/>
              <w:bottom w:val="single" w:sz="12" w:space="0" w:color="000000"/>
              <w:right w:val="nil"/>
              <w:tl2br w:val="nil"/>
              <w:tr2bl w:val="nil"/>
            </w:tcBorders>
            <w:shd w:val="clear" w:color="auto" w:fill="CCEEFF"/>
            <w:vAlign w:val="bottom"/>
          </w:tcPr>
          <w:p w:rsidR="00BA5C63" w:rsidRPr="00C6642F" w:rsidRDefault="00BA5C63" w:rsidP="00BA5C63">
            <w:pPr>
              <w:keepNext/>
              <w:spacing w:before="1" w:after="1"/>
              <w:rPr>
                <w:b/>
                <w:sz w:val="20"/>
              </w:rPr>
            </w:pPr>
          </w:p>
        </w:tc>
        <w:tc>
          <w:tcPr>
            <w:tcW w:w="713" w:type="pct"/>
            <w:tcBorders>
              <w:top w:val="nil"/>
              <w:left w:val="nil"/>
              <w:bottom w:val="single" w:sz="12" w:space="0" w:color="000000"/>
              <w:right w:val="nil"/>
              <w:tl2br w:val="nil"/>
              <w:tr2bl w:val="nil"/>
            </w:tcBorders>
            <w:shd w:val="clear" w:color="auto" w:fill="CCEEFF"/>
            <w:vAlign w:val="bottom"/>
          </w:tcPr>
          <w:p w:rsidR="00BA5C63" w:rsidRPr="00C6642F" w:rsidRDefault="006F38D0" w:rsidP="00BA5C63">
            <w:pPr>
              <w:keepNext/>
              <w:spacing w:before="1" w:after="1"/>
              <w:ind w:right="63"/>
              <w:jc w:val="right"/>
              <w:rPr>
                <w:b/>
                <w:sz w:val="20"/>
              </w:rPr>
            </w:pPr>
            <w:r w:rsidRPr="00C6642F">
              <w:rPr>
                <w:b/>
                <w:sz w:val="20"/>
              </w:rPr>
              <w:t xml:space="preserve"> 9.69</w:t>
            </w:r>
          </w:p>
        </w:tc>
      </w:tr>
      <w:tr w:rsidR="00BA5C63" w:rsidRPr="00C6642F" w:rsidTr="00BA5C63">
        <w:trPr>
          <w:trHeight w:hRule="exact" w:val="255"/>
        </w:trPr>
        <w:tc>
          <w:tcPr>
            <w:tcW w:w="3032" w:type="pct"/>
            <w:tcBorders>
              <w:top w:val="nil"/>
              <w:left w:val="nil"/>
              <w:bottom w:val="nil"/>
              <w:right w:val="nil"/>
              <w:tl2br w:val="nil"/>
              <w:tr2bl w:val="nil"/>
            </w:tcBorders>
            <w:vAlign w:val="bottom"/>
          </w:tcPr>
          <w:p w:rsidR="00BA5C63" w:rsidRPr="00C6642F" w:rsidRDefault="006F38D0" w:rsidP="00BA5C63">
            <w:pPr>
              <w:keepNext/>
              <w:spacing w:before="1" w:after="1"/>
              <w:rPr>
                <w:sz w:val="20"/>
              </w:rPr>
            </w:pPr>
            <w:r w:rsidRPr="00C6642F">
              <w:rPr>
                <w:sz w:val="20"/>
              </w:rPr>
              <w:t>Nonvested at December 31, 2019</w:t>
            </w:r>
          </w:p>
        </w:tc>
        <w:tc>
          <w:tcPr>
            <w:tcW w:w="114"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846" w:type="pct"/>
            <w:tcBorders>
              <w:top w:val="single" w:sz="0" w:space="0" w:color="000000"/>
              <w:left w:val="nil"/>
              <w:bottom w:val="double" w:sz="4" w:space="0" w:color="000000"/>
              <w:right w:val="nil"/>
              <w:tl2br w:val="nil"/>
              <w:tr2bl w:val="nil"/>
            </w:tcBorders>
            <w:vAlign w:val="bottom"/>
          </w:tcPr>
          <w:p w:rsidR="00BA5C63" w:rsidRPr="00C6642F" w:rsidRDefault="006F38D0" w:rsidP="00BA5C63">
            <w:pPr>
              <w:keepNext/>
              <w:spacing w:before="1" w:after="1"/>
              <w:ind w:right="63"/>
              <w:jc w:val="right"/>
              <w:rPr>
                <w:b/>
                <w:sz w:val="20"/>
              </w:rPr>
            </w:pPr>
            <w:r w:rsidRPr="00C6642F">
              <w:rPr>
                <w:b/>
                <w:sz w:val="20"/>
              </w:rPr>
              <w:t xml:space="preserve"> 612,049</w:t>
            </w:r>
          </w:p>
        </w:tc>
        <w:tc>
          <w:tcPr>
            <w:tcW w:w="114" w:type="pct"/>
            <w:tcBorders>
              <w:top w:val="nil"/>
              <w:left w:val="nil"/>
              <w:bottom w:val="nil"/>
              <w:right w:val="nil"/>
              <w:tl2br w:val="nil"/>
              <w:tr2bl w:val="nil"/>
            </w:tcBorders>
            <w:vAlign w:val="bottom"/>
          </w:tcPr>
          <w:p w:rsidR="00BA5C63" w:rsidRPr="00C6642F" w:rsidRDefault="00BA5C63" w:rsidP="00BA5C63">
            <w:pPr>
              <w:keepNext/>
              <w:spacing w:before="1" w:after="1"/>
              <w:rPr>
                <w:b/>
                <w:sz w:val="20"/>
              </w:rPr>
            </w:pPr>
          </w:p>
        </w:tc>
        <w:tc>
          <w:tcPr>
            <w:tcW w:w="181" w:type="pct"/>
            <w:tcBorders>
              <w:top w:val="single" w:sz="0" w:space="0" w:color="000000"/>
              <w:left w:val="nil"/>
              <w:bottom w:val="double" w:sz="4" w:space="0" w:color="000000"/>
              <w:right w:val="nil"/>
              <w:tl2br w:val="nil"/>
              <w:tr2bl w:val="nil"/>
            </w:tcBorders>
            <w:vAlign w:val="bottom"/>
          </w:tcPr>
          <w:p w:rsidR="00BA5C63" w:rsidRPr="00C6642F" w:rsidRDefault="006F38D0" w:rsidP="00BA5C63">
            <w:pPr>
              <w:keepNext/>
              <w:spacing w:before="1" w:after="1"/>
              <w:rPr>
                <w:b/>
                <w:sz w:val="20"/>
              </w:rPr>
            </w:pPr>
            <w:r w:rsidRPr="00C6642F">
              <w:rPr>
                <w:b/>
                <w:sz w:val="20"/>
              </w:rPr>
              <w:t>$</w:t>
            </w:r>
          </w:p>
        </w:tc>
        <w:tc>
          <w:tcPr>
            <w:tcW w:w="713" w:type="pct"/>
            <w:tcBorders>
              <w:top w:val="single" w:sz="0" w:space="0" w:color="000000"/>
              <w:left w:val="nil"/>
              <w:bottom w:val="double" w:sz="4" w:space="0" w:color="000000"/>
              <w:right w:val="nil"/>
              <w:tl2br w:val="nil"/>
              <w:tr2bl w:val="nil"/>
            </w:tcBorders>
            <w:vAlign w:val="bottom"/>
          </w:tcPr>
          <w:p w:rsidR="00BA5C63" w:rsidRPr="00C6642F" w:rsidRDefault="006F38D0" w:rsidP="00BA5C63">
            <w:pPr>
              <w:keepNext/>
              <w:spacing w:before="1" w:after="1"/>
              <w:ind w:right="63"/>
              <w:jc w:val="right"/>
              <w:rPr>
                <w:b/>
                <w:sz w:val="20"/>
              </w:rPr>
            </w:pPr>
            <w:r w:rsidRPr="00C6642F">
              <w:rPr>
                <w:b/>
                <w:sz w:val="20"/>
              </w:rPr>
              <w:t xml:space="preserve"> 20.60</w:t>
            </w:r>
          </w:p>
        </w:tc>
      </w:tr>
    </w:tbl>
    <w:p w:rsidR="00BA5C63" w:rsidRPr="00C6642F" w:rsidRDefault="006F38D0" w:rsidP="00BA5C63">
      <w:pPr>
        <w:pStyle w:val="rfn"/>
        <w:keepNext/>
        <w:pBdr>
          <w:bottom w:val="single" w:sz="4" w:space="1" w:color="auto"/>
        </w:pBdr>
      </w:pPr>
      <w:r w:rsidRPr="00C6642F">
        <w:t> </w:t>
      </w:r>
    </w:p>
    <w:p w:rsidR="00BA5C63" w:rsidRPr="00C6642F" w:rsidRDefault="006F38D0" w:rsidP="00BA5C63">
      <w:pPr>
        <w:pStyle w:val="NormalWeb"/>
        <w:keepNext/>
        <w:numPr>
          <w:ilvl w:val="0"/>
          <w:numId w:val="35"/>
        </w:numPr>
        <w:spacing w:before="0" w:beforeAutospacing="0" w:after="0" w:afterAutospacing="0"/>
        <w:ind w:left="360"/>
        <w:rPr>
          <w:sz w:val="20"/>
          <w:szCs w:val="20"/>
        </w:rPr>
      </w:pPr>
      <w:r w:rsidRPr="00C6642F">
        <w:rPr>
          <w:sz w:val="20"/>
          <w:szCs w:val="20"/>
        </w:rPr>
        <w:t xml:space="preserve">Excludes 158,661 shares awarded for performance above goals. </w:t>
      </w:r>
    </w:p>
    <w:p w:rsidR="00BA5C63" w:rsidRPr="00C6642F" w:rsidRDefault="00BA5C63" w:rsidP="00BA5C63">
      <w:pPr>
        <w:pStyle w:val="NormalWeb"/>
        <w:keepNext/>
        <w:spacing w:before="0" w:beforeAutospacing="0" w:after="0" w:afterAutospacing="0"/>
        <w:ind w:left="360"/>
        <w:rPr>
          <w:sz w:val="20"/>
          <w:szCs w:val="20"/>
        </w:rPr>
      </w:pPr>
    </w:p>
    <w:p w:rsidR="00BA5C63" w:rsidRPr="00C6642F" w:rsidRDefault="00BA5C63" w:rsidP="00BA5C63">
      <w:pPr>
        <w:pStyle w:val="NormalWeb"/>
        <w:keepNext/>
        <w:spacing w:before="0" w:beforeAutospacing="0" w:after="0" w:afterAutospacing="0"/>
        <w:rPr>
          <w:i/>
          <w:iCs/>
          <w:sz w:val="2"/>
          <w:szCs w:val="20"/>
          <w:u w:val="single"/>
        </w:rPr>
      </w:pP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BA5C63" w:rsidRPr="00C6642F" w:rsidTr="00BA5C63">
        <w:trPr>
          <w:trHeight w:hRule="exact" w:val="20"/>
        </w:trPr>
        <w:tc>
          <w:tcPr>
            <w:tcW w:w="2162"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603"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r>
      <w:tr w:rsidR="00BA5C63" w:rsidRPr="00C6642F" w:rsidTr="00BA5C63">
        <w:trPr>
          <w:trHeight w:hRule="exact" w:val="315"/>
        </w:trPr>
        <w:tc>
          <w:tcPr>
            <w:tcW w:w="2162"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 xml:space="preserve">Year Ended December 31, </w:t>
            </w:r>
          </w:p>
        </w:tc>
      </w:tr>
      <w:tr w:rsidR="00BA5C63" w:rsidRPr="00C6642F" w:rsidTr="00BA5C63">
        <w:trPr>
          <w:trHeight w:hRule="exact" w:val="315"/>
        </w:trPr>
        <w:tc>
          <w:tcPr>
            <w:tcW w:w="2162"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2019</w:t>
            </w:r>
          </w:p>
        </w:tc>
        <w:tc>
          <w:tcPr>
            <w:tcW w:w="81" w:type="pct"/>
            <w:tcBorders>
              <w:top w:val="single" w:sz="0" w:space="0" w:color="000000"/>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 xml:space="preserve"> 2018</w:t>
            </w:r>
          </w:p>
        </w:tc>
        <w:tc>
          <w:tcPr>
            <w:tcW w:w="81" w:type="pct"/>
            <w:tcBorders>
              <w:top w:val="single" w:sz="0" w:space="0" w:color="000000"/>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 xml:space="preserve"> 2017</w:t>
            </w:r>
          </w:p>
        </w:tc>
      </w:tr>
      <w:tr w:rsidR="00BA5C63" w:rsidRPr="00C6642F" w:rsidTr="00BA5C63">
        <w:trPr>
          <w:trHeight w:hRule="exact" w:val="25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rPr>
                <w:i/>
                <w:sz w:val="20"/>
              </w:rPr>
            </w:pPr>
            <w:r w:rsidRPr="00C6642F">
              <w:rPr>
                <w:i/>
                <w:sz w:val="20"/>
              </w:rPr>
              <w:t>Performance Share Unit Awards</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r>
      <w:tr w:rsidR="00BA5C63" w:rsidRPr="00C6642F" w:rsidTr="00BA5C63">
        <w:trPr>
          <w:trHeight w:hRule="exact" w:val="255"/>
        </w:trPr>
        <w:tc>
          <w:tcPr>
            <w:tcW w:w="2162" w:type="pct"/>
            <w:tcBorders>
              <w:top w:val="nil"/>
              <w:left w:val="nil"/>
              <w:bottom w:val="nil"/>
              <w:right w:val="nil"/>
              <w:tl2br w:val="nil"/>
              <w:tr2bl w:val="nil"/>
            </w:tcBorders>
            <w:vAlign w:val="bottom"/>
          </w:tcPr>
          <w:p w:rsidR="00BA5C63" w:rsidRPr="00C6642F" w:rsidRDefault="006F38D0" w:rsidP="00BA5C63">
            <w:pPr>
              <w:keepNext/>
              <w:spacing w:before="1" w:after="1"/>
              <w:rPr>
                <w:sz w:val="20"/>
              </w:rPr>
            </w:pPr>
            <w:r w:rsidRPr="00C6642F">
              <w:rPr>
                <w:sz w:val="20"/>
              </w:rPr>
              <w:t>Weighted-average, grant-date fair value of awards granted</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spacing w:before="1" w:after="1"/>
              <w:rPr>
                <w:sz w:val="20"/>
              </w:rPr>
            </w:pPr>
            <w:r w:rsidRPr="00C6642F">
              <w:rPr>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spacing w:before="1" w:after="1"/>
              <w:ind w:right="63"/>
              <w:jc w:val="right"/>
              <w:rPr>
                <w:b/>
                <w:sz w:val="20"/>
              </w:rPr>
            </w:pPr>
            <w:r w:rsidRPr="00C6642F">
              <w:rPr>
                <w:b/>
                <w:sz w:val="20"/>
              </w:rPr>
              <w:t xml:space="preserve"> 19.40</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spacing w:before="1" w:after="1"/>
              <w:rPr>
                <w:sz w:val="20"/>
              </w:rPr>
            </w:pPr>
            <w:r w:rsidRPr="00C6642F">
              <w:rPr>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spacing w:before="1" w:after="1"/>
              <w:ind w:right="65"/>
              <w:jc w:val="right"/>
              <w:rPr>
                <w:sz w:val="20"/>
              </w:rPr>
            </w:pPr>
            <w:r w:rsidRPr="00C6642F">
              <w:rPr>
                <w:sz w:val="20"/>
              </w:rPr>
              <w:t xml:space="preserve"> 18.87</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spacing w:before="1" w:after="1"/>
              <w:rPr>
                <w:sz w:val="20"/>
              </w:rPr>
            </w:pPr>
            <w:r w:rsidRPr="00C6642F">
              <w:rPr>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spacing w:before="1" w:after="1"/>
              <w:ind w:right="65"/>
              <w:jc w:val="right"/>
              <w:rPr>
                <w:sz w:val="20"/>
              </w:rPr>
            </w:pPr>
            <w:r w:rsidRPr="00C6642F">
              <w:rPr>
                <w:sz w:val="20"/>
              </w:rPr>
              <w:t xml:space="preserve"> 24.18</w:t>
            </w:r>
          </w:p>
        </w:tc>
      </w:tr>
      <w:tr w:rsidR="00BA5C63" w:rsidRPr="00C6642F" w:rsidTr="00BA5C63">
        <w:trPr>
          <w:trHeight w:hRule="exact" w:val="25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rPr>
                <w:sz w:val="20"/>
              </w:rPr>
            </w:pPr>
            <w:r w:rsidRPr="00C6642F">
              <w:rPr>
                <w:sz w:val="20"/>
              </w:rPr>
              <w:t>Total fair value of performance share units vested</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ind w:right="63"/>
              <w:jc w:val="right"/>
              <w:rPr>
                <w:b/>
                <w:sz w:val="20"/>
              </w:rPr>
            </w:pPr>
            <w:r w:rsidRPr="00C6642F">
              <w:rPr>
                <w:b/>
                <w:sz w:val="20"/>
              </w:rPr>
              <w:t xml:space="preserve"> 5,921,169</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ind w:right="65"/>
              <w:jc w:val="right"/>
              <w:rPr>
                <w:sz w:val="20"/>
              </w:rPr>
            </w:pPr>
            <w:r w:rsidRPr="00C6642F">
              <w:rPr>
                <w:sz w:val="20"/>
              </w:rPr>
              <w:t xml:space="preserve"> 2,349,749</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ind w:right="65"/>
              <w:jc w:val="right"/>
              <w:rPr>
                <w:sz w:val="20"/>
              </w:rPr>
            </w:pPr>
            <w:r w:rsidRPr="00C6642F">
              <w:rPr>
                <w:sz w:val="20"/>
              </w:rPr>
              <w:t xml:space="preserve"> -</w:t>
            </w:r>
          </w:p>
        </w:tc>
      </w:tr>
    </w:tbl>
    <w:p w:rsidR="00BA5C63" w:rsidRPr="00C6642F" w:rsidRDefault="00BA5C63" w:rsidP="00BA5C63">
      <w:pPr>
        <w:pStyle w:val="NormalWeb"/>
        <w:widowControl w:val="0"/>
        <w:spacing w:before="0" w:beforeAutospacing="0" w:after="0" w:afterAutospacing="0"/>
      </w:pPr>
    </w:p>
    <w:p w:rsidR="00BA5C63" w:rsidRPr="00C6642F" w:rsidRDefault="006F38D0" w:rsidP="00BA5C63">
      <w:pPr>
        <w:pStyle w:val="NormalWeb"/>
        <w:keepNext/>
        <w:spacing w:before="0" w:beforeAutospacing="0" w:after="0" w:afterAutospacing="0"/>
      </w:pPr>
      <w:r w:rsidRPr="00C6642F">
        <w:rPr>
          <w:sz w:val="20"/>
          <w:szCs w:val="20"/>
        </w:rPr>
        <w:t xml:space="preserve">Recognized compensation expense and related income tax benefits under our equity-based compensation plans are set forth in the table below (in millions): </w:t>
      </w:r>
    </w:p>
    <w:p w:rsidR="00BA5C63" w:rsidRPr="00C6642F" w:rsidRDefault="006F38D0" w:rsidP="00BA5C63">
      <w:pPr>
        <w:pStyle w:val="NormalWeb"/>
        <w:keepNext/>
        <w:spacing w:before="0" w:beforeAutospacing="0" w:after="0" w:afterAutospacing="0"/>
        <w:rPr>
          <w:sz w:val="2"/>
          <w:szCs w:val="18"/>
        </w:rPr>
      </w:pPr>
      <w:r w:rsidRPr="00C6642F">
        <w:rPr>
          <w:sz w:val="2"/>
          <w:szCs w:val="18"/>
        </w:rPr>
        <w:t> </w:t>
      </w:r>
    </w:p>
    <w:tbl>
      <w:tblPr>
        <w:tblW w:w="5000" w:type="pct"/>
        <w:tblCellMar>
          <w:left w:w="0" w:type="dxa"/>
          <w:right w:w="0" w:type="dxa"/>
        </w:tblCellMar>
        <w:tblLook w:val="04A0" w:firstRow="1" w:lastRow="0" w:firstColumn="1" w:lastColumn="0" w:noHBand="0" w:noVBand="1"/>
      </w:tblPr>
      <w:tblGrid>
        <w:gridCol w:w="4670"/>
        <w:gridCol w:w="175"/>
        <w:gridCol w:w="1302"/>
        <w:gridCol w:w="175"/>
        <w:gridCol w:w="279"/>
        <w:gridCol w:w="1097"/>
        <w:gridCol w:w="175"/>
        <w:gridCol w:w="279"/>
        <w:gridCol w:w="1097"/>
        <w:gridCol w:w="175"/>
        <w:gridCol w:w="279"/>
        <w:gridCol w:w="1097"/>
      </w:tblGrid>
      <w:tr w:rsidR="00BA5C63" w:rsidRPr="00C6642F" w:rsidTr="00BA5C63">
        <w:trPr>
          <w:trHeight w:hRule="exact" w:val="20"/>
        </w:trPr>
        <w:tc>
          <w:tcPr>
            <w:tcW w:w="2162"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603"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81"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129"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c>
          <w:tcPr>
            <w:tcW w:w="508" w:type="pct"/>
            <w:tcBorders>
              <w:top w:val="nil"/>
              <w:left w:val="nil"/>
              <w:bottom w:val="nil"/>
              <w:right w:val="nil"/>
            </w:tcBorders>
            <w:shd w:val="clear" w:color="auto" w:fill="auto"/>
            <w:vAlign w:val="bottom"/>
          </w:tcPr>
          <w:p w:rsidR="00BA5C63" w:rsidRPr="00C6642F" w:rsidRDefault="00BA5C63" w:rsidP="00BA5C63">
            <w:pPr>
              <w:keepNext/>
              <w:spacing w:before="1" w:after="1"/>
              <w:rPr>
                <w:sz w:val="2"/>
              </w:rPr>
            </w:pPr>
          </w:p>
        </w:tc>
      </w:tr>
      <w:tr w:rsidR="00BA5C63" w:rsidRPr="00C6642F" w:rsidTr="00BA5C63">
        <w:trPr>
          <w:trHeight w:hRule="exact" w:val="315"/>
        </w:trPr>
        <w:tc>
          <w:tcPr>
            <w:tcW w:w="2162"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 xml:space="preserve">Year Ended December 31, </w:t>
            </w:r>
          </w:p>
        </w:tc>
      </w:tr>
      <w:tr w:rsidR="00BA5C63" w:rsidRPr="00C6642F" w:rsidTr="00BA5C63">
        <w:trPr>
          <w:trHeight w:hRule="exact" w:val="315"/>
        </w:trPr>
        <w:tc>
          <w:tcPr>
            <w:tcW w:w="2162"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2019</w:t>
            </w:r>
          </w:p>
        </w:tc>
        <w:tc>
          <w:tcPr>
            <w:tcW w:w="81" w:type="pct"/>
            <w:tcBorders>
              <w:top w:val="single" w:sz="0" w:space="0" w:color="000000"/>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 xml:space="preserve"> 2018</w:t>
            </w:r>
          </w:p>
        </w:tc>
        <w:tc>
          <w:tcPr>
            <w:tcW w:w="81" w:type="pct"/>
            <w:tcBorders>
              <w:top w:val="single" w:sz="0" w:space="0" w:color="000000"/>
              <w:left w:val="nil"/>
              <w:bottom w:val="nil"/>
              <w:right w:val="nil"/>
              <w:tl2br w:val="nil"/>
              <w:tr2bl w:val="nil"/>
            </w:tcBorders>
            <w:shd w:val="clear" w:color="auto" w:fill="auto"/>
            <w:vAlign w:val="bottom"/>
          </w:tcPr>
          <w:p w:rsidR="00BA5C63" w:rsidRPr="00C6642F" w:rsidRDefault="00BA5C63" w:rsidP="00BA5C63">
            <w:pPr>
              <w:keepNext/>
              <w:spacing w:before="1" w:after="1"/>
              <w:rPr>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BA5C63" w:rsidRPr="00C6642F" w:rsidRDefault="006F38D0" w:rsidP="00BA5C63">
            <w:pPr>
              <w:keepNext/>
              <w:spacing w:before="1" w:after="1"/>
              <w:jc w:val="center"/>
              <w:rPr>
                <w:b/>
                <w:sz w:val="20"/>
              </w:rPr>
            </w:pPr>
            <w:r w:rsidRPr="00C6642F">
              <w:rPr>
                <w:b/>
                <w:sz w:val="20"/>
              </w:rPr>
              <w:t xml:space="preserve"> 2017</w:t>
            </w:r>
          </w:p>
        </w:tc>
      </w:tr>
      <w:tr w:rsidR="00BA5C63" w:rsidRPr="00C6642F" w:rsidTr="00BA5C63">
        <w:trPr>
          <w:trHeight w:hRule="exact" w:val="25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rPr>
                <w:sz w:val="20"/>
              </w:rPr>
            </w:pPr>
            <w:r w:rsidRPr="00C6642F">
              <w:rPr>
                <w:sz w:val="20"/>
              </w:rPr>
              <w:t>Equity-based compensation expense:</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r>
      <w:tr w:rsidR="00BA5C63" w:rsidRPr="00C6642F" w:rsidTr="00BA5C63">
        <w:trPr>
          <w:trHeight w:hRule="exact" w:val="255"/>
        </w:trPr>
        <w:tc>
          <w:tcPr>
            <w:tcW w:w="2162" w:type="pct"/>
            <w:tcBorders>
              <w:top w:val="nil"/>
              <w:left w:val="nil"/>
              <w:bottom w:val="nil"/>
              <w:right w:val="nil"/>
              <w:tl2br w:val="nil"/>
              <w:tr2bl w:val="nil"/>
            </w:tcBorders>
            <w:vAlign w:val="bottom"/>
          </w:tcPr>
          <w:p w:rsidR="00BA5C63" w:rsidRPr="00C6642F" w:rsidRDefault="006F38D0" w:rsidP="00BA5C63">
            <w:pPr>
              <w:keepNext/>
              <w:spacing w:before="1" w:after="1"/>
              <w:ind w:left="360"/>
              <w:rPr>
                <w:sz w:val="20"/>
              </w:rPr>
            </w:pPr>
            <w:r w:rsidRPr="00C6642F">
              <w:rPr>
                <w:sz w:val="20"/>
              </w:rPr>
              <w:t>Stock options</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spacing w:before="1" w:after="1"/>
              <w:rPr>
                <w:b/>
                <w:sz w:val="20"/>
              </w:rPr>
            </w:pPr>
            <w:r w:rsidRPr="00C6642F">
              <w:rPr>
                <w:b/>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spacing w:before="1" w:after="1"/>
              <w:ind w:right="63"/>
              <w:jc w:val="right"/>
              <w:rPr>
                <w:b/>
                <w:sz w:val="20"/>
              </w:rPr>
            </w:pPr>
            <w:r w:rsidRPr="00C6642F">
              <w:rPr>
                <w:b/>
                <w:sz w:val="20"/>
              </w:rPr>
              <w:t xml:space="preserve"> -</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spacing w:before="1" w:after="1"/>
              <w:rPr>
                <w:sz w:val="20"/>
              </w:rPr>
            </w:pPr>
            <w:r w:rsidRPr="00C6642F">
              <w:rPr>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spacing w:before="1" w:after="1"/>
              <w:ind w:right="65"/>
              <w:jc w:val="right"/>
              <w:rPr>
                <w:sz w:val="20"/>
              </w:rPr>
            </w:pPr>
            <w:r w:rsidRPr="00C6642F">
              <w:rPr>
                <w:sz w:val="20"/>
              </w:rPr>
              <w:t xml:space="preserve"> -</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vAlign w:val="bottom"/>
          </w:tcPr>
          <w:p w:rsidR="00BA5C63" w:rsidRPr="00C6642F" w:rsidRDefault="006F38D0" w:rsidP="00BA5C63">
            <w:pPr>
              <w:keepNext/>
              <w:spacing w:before="1" w:after="1"/>
              <w:rPr>
                <w:sz w:val="20"/>
              </w:rPr>
            </w:pPr>
            <w:r w:rsidRPr="00C6642F">
              <w:rPr>
                <w:sz w:val="20"/>
              </w:rPr>
              <w:t>$</w:t>
            </w:r>
          </w:p>
        </w:tc>
        <w:tc>
          <w:tcPr>
            <w:tcW w:w="508" w:type="pct"/>
            <w:tcBorders>
              <w:top w:val="nil"/>
              <w:left w:val="nil"/>
              <w:bottom w:val="nil"/>
              <w:right w:val="nil"/>
              <w:tl2br w:val="nil"/>
              <w:tr2bl w:val="nil"/>
            </w:tcBorders>
            <w:vAlign w:val="bottom"/>
          </w:tcPr>
          <w:p w:rsidR="00BA5C63" w:rsidRPr="00C6642F" w:rsidRDefault="006F38D0" w:rsidP="00BA5C63">
            <w:pPr>
              <w:keepNext/>
              <w:spacing w:before="1" w:after="1"/>
              <w:ind w:right="65"/>
              <w:jc w:val="right"/>
              <w:rPr>
                <w:sz w:val="20"/>
              </w:rPr>
            </w:pPr>
            <w:r w:rsidRPr="00C6642F">
              <w:rPr>
                <w:sz w:val="20"/>
              </w:rPr>
              <w:t xml:space="preserve"> 2</w:t>
            </w:r>
          </w:p>
        </w:tc>
      </w:tr>
      <w:tr w:rsidR="00BA5C63" w:rsidRPr="00C6642F" w:rsidTr="00BA5C63">
        <w:trPr>
          <w:trHeight w:hRule="exact" w:val="25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ind w:left="360"/>
              <w:rPr>
                <w:sz w:val="20"/>
              </w:rPr>
            </w:pPr>
            <w:r w:rsidRPr="00C6642F">
              <w:rPr>
                <w:sz w:val="20"/>
              </w:rPr>
              <w:t>Restricted stock awards</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b/>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ind w:right="63"/>
              <w:jc w:val="right"/>
              <w:rPr>
                <w:b/>
                <w:sz w:val="20"/>
              </w:rPr>
            </w:pPr>
            <w:r w:rsidRPr="00C6642F">
              <w:rPr>
                <w:b/>
                <w:sz w:val="20"/>
              </w:rPr>
              <w:t xml:space="preserve"> 1</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ind w:right="65"/>
              <w:jc w:val="right"/>
              <w:rPr>
                <w:sz w:val="20"/>
              </w:rPr>
            </w:pPr>
            <w:r w:rsidRPr="00C6642F">
              <w:rPr>
                <w:sz w:val="20"/>
              </w:rPr>
              <w:t xml:space="preserve"> 2</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ind w:right="65"/>
              <w:jc w:val="right"/>
              <w:rPr>
                <w:sz w:val="20"/>
              </w:rPr>
            </w:pPr>
            <w:r w:rsidRPr="00C6642F">
              <w:rPr>
                <w:sz w:val="20"/>
              </w:rPr>
              <w:t xml:space="preserve"> 4</w:t>
            </w:r>
          </w:p>
        </w:tc>
      </w:tr>
      <w:tr w:rsidR="00BA5C63" w:rsidRPr="00C6642F" w:rsidTr="00BA5C63">
        <w:trPr>
          <w:trHeight w:hRule="exact" w:val="255"/>
        </w:trPr>
        <w:tc>
          <w:tcPr>
            <w:tcW w:w="2162" w:type="pct"/>
            <w:tcBorders>
              <w:top w:val="nil"/>
              <w:left w:val="nil"/>
              <w:bottom w:val="nil"/>
              <w:right w:val="nil"/>
              <w:tl2br w:val="nil"/>
              <w:tr2bl w:val="nil"/>
            </w:tcBorders>
            <w:vAlign w:val="bottom"/>
          </w:tcPr>
          <w:p w:rsidR="00BA5C63" w:rsidRPr="00C6642F" w:rsidRDefault="006F38D0" w:rsidP="00BA5C63">
            <w:pPr>
              <w:keepNext/>
              <w:spacing w:before="1" w:after="1"/>
              <w:ind w:left="360"/>
              <w:rPr>
                <w:sz w:val="20"/>
              </w:rPr>
            </w:pPr>
            <w:r w:rsidRPr="00C6642F">
              <w:rPr>
                <w:sz w:val="20"/>
              </w:rPr>
              <w:t>Restricted stock unit awards</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spacing w:before="1" w:after="1"/>
              <w:rPr>
                <w:b/>
                <w:sz w:val="20"/>
              </w:rPr>
            </w:pPr>
          </w:p>
        </w:tc>
        <w:tc>
          <w:tcPr>
            <w:tcW w:w="508" w:type="pct"/>
            <w:tcBorders>
              <w:top w:val="nil"/>
              <w:left w:val="nil"/>
              <w:bottom w:val="nil"/>
              <w:right w:val="nil"/>
              <w:tl2br w:val="nil"/>
              <w:tr2bl w:val="nil"/>
            </w:tcBorders>
            <w:vAlign w:val="bottom"/>
          </w:tcPr>
          <w:p w:rsidR="00BA5C63" w:rsidRPr="00C6642F" w:rsidRDefault="006F38D0" w:rsidP="00BA5C63">
            <w:pPr>
              <w:keepNext/>
              <w:spacing w:before="1" w:after="1"/>
              <w:ind w:right="63"/>
              <w:jc w:val="right"/>
              <w:rPr>
                <w:b/>
                <w:sz w:val="20"/>
              </w:rPr>
            </w:pPr>
            <w:r w:rsidRPr="00C6642F">
              <w:rPr>
                <w:b/>
                <w:sz w:val="20"/>
              </w:rPr>
              <w:t xml:space="preserve"> 10</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508" w:type="pct"/>
            <w:tcBorders>
              <w:top w:val="nil"/>
              <w:left w:val="nil"/>
              <w:bottom w:val="nil"/>
              <w:right w:val="nil"/>
              <w:tl2br w:val="nil"/>
              <w:tr2bl w:val="nil"/>
            </w:tcBorders>
            <w:vAlign w:val="bottom"/>
          </w:tcPr>
          <w:p w:rsidR="00BA5C63" w:rsidRPr="00C6642F" w:rsidRDefault="006F38D0" w:rsidP="00BA5C63">
            <w:pPr>
              <w:keepNext/>
              <w:spacing w:before="1" w:after="1"/>
              <w:ind w:right="65"/>
              <w:jc w:val="right"/>
              <w:rPr>
                <w:sz w:val="20"/>
              </w:rPr>
            </w:pPr>
            <w:r w:rsidRPr="00C6642F">
              <w:rPr>
                <w:sz w:val="20"/>
              </w:rPr>
              <w:t xml:space="preserve"> 9</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508" w:type="pct"/>
            <w:tcBorders>
              <w:top w:val="nil"/>
              <w:left w:val="nil"/>
              <w:bottom w:val="nil"/>
              <w:right w:val="nil"/>
              <w:tl2br w:val="nil"/>
              <w:tr2bl w:val="nil"/>
            </w:tcBorders>
            <w:vAlign w:val="bottom"/>
          </w:tcPr>
          <w:p w:rsidR="00BA5C63" w:rsidRPr="00C6642F" w:rsidRDefault="006F38D0" w:rsidP="00BA5C63">
            <w:pPr>
              <w:keepNext/>
              <w:spacing w:before="1" w:after="1"/>
              <w:ind w:right="65"/>
              <w:jc w:val="right"/>
              <w:rPr>
                <w:sz w:val="20"/>
              </w:rPr>
            </w:pPr>
            <w:r w:rsidRPr="00C6642F">
              <w:rPr>
                <w:sz w:val="20"/>
              </w:rPr>
              <w:t xml:space="preserve"> 8</w:t>
            </w:r>
          </w:p>
        </w:tc>
      </w:tr>
      <w:tr w:rsidR="00BA5C63" w:rsidRPr="00C6642F" w:rsidTr="00BA5C63">
        <w:trPr>
          <w:trHeight w:hRule="exact" w:val="25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ind w:left="360"/>
              <w:rPr>
                <w:sz w:val="20"/>
              </w:rPr>
            </w:pPr>
            <w:r w:rsidRPr="00C6642F">
              <w:rPr>
                <w:sz w:val="20"/>
              </w:rPr>
              <w:t>Performance share unit awards</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nil"/>
              <w:left w:val="nil"/>
              <w:bottom w:val="single" w:sz="12" w:space="0" w:color="000000"/>
              <w:right w:val="nil"/>
              <w:tl2br w:val="nil"/>
              <w:tr2bl w:val="nil"/>
            </w:tcBorders>
            <w:shd w:val="clear" w:color="auto" w:fill="CCEEFF"/>
            <w:vAlign w:val="bottom"/>
          </w:tcPr>
          <w:p w:rsidR="00BA5C63" w:rsidRPr="00C6642F" w:rsidRDefault="00BA5C63" w:rsidP="00BA5C63">
            <w:pPr>
              <w:keepNext/>
              <w:spacing w:before="1" w:after="1"/>
              <w:rPr>
                <w:b/>
                <w:sz w:val="20"/>
              </w:rPr>
            </w:pPr>
          </w:p>
        </w:tc>
        <w:tc>
          <w:tcPr>
            <w:tcW w:w="508" w:type="pct"/>
            <w:tcBorders>
              <w:top w:val="nil"/>
              <w:left w:val="nil"/>
              <w:bottom w:val="single" w:sz="12" w:space="0" w:color="000000"/>
              <w:right w:val="nil"/>
              <w:tl2br w:val="nil"/>
              <w:tr2bl w:val="nil"/>
            </w:tcBorders>
            <w:shd w:val="clear" w:color="auto" w:fill="CCEEFF"/>
            <w:vAlign w:val="bottom"/>
          </w:tcPr>
          <w:p w:rsidR="00BA5C63" w:rsidRPr="00C6642F" w:rsidRDefault="006F38D0" w:rsidP="00BA5C63">
            <w:pPr>
              <w:keepNext/>
              <w:spacing w:before="1" w:after="1"/>
              <w:ind w:right="63"/>
              <w:jc w:val="right"/>
              <w:rPr>
                <w:b/>
                <w:sz w:val="20"/>
              </w:rPr>
            </w:pPr>
            <w:r w:rsidRPr="00C6642F">
              <w:rPr>
                <w:b/>
                <w:sz w:val="20"/>
              </w:rPr>
              <w:t xml:space="preserve"> 5</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nil"/>
              <w:left w:val="nil"/>
              <w:bottom w:val="single" w:sz="12" w:space="0" w:color="000000"/>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nil"/>
              <w:left w:val="nil"/>
              <w:bottom w:val="single" w:sz="12" w:space="0" w:color="000000"/>
              <w:right w:val="nil"/>
              <w:tl2br w:val="nil"/>
              <w:tr2bl w:val="nil"/>
            </w:tcBorders>
            <w:shd w:val="clear" w:color="auto" w:fill="CCEEFF"/>
            <w:vAlign w:val="bottom"/>
          </w:tcPr>
          <w:p w:rsidR="00BA5C63" w:rsidRPr="00C6642F" w:rsidRDefault="006F38D0" w:rsidP="00BA5C63">
            <w:pPr>
              <w:keepNext/>
              <w:spacing w:before="1" w:after="1"/>
              <w:ind w:right="65"/>
              <w:jc w:val="right"/>
              <w:rPr>
                <w:sz w:val="20"/>
              </w:rPr>
            </w:pPr>
            <w:r w:rsidRPr="00C6642F">
              <w:rPr>
                <w:sz w:val="20"/>
              </w:rPr>
              <w:t xml:space="preserve"> 3</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nil"/>
              <w:left w:val="nil"/>
              <w:bottom w:val="single" w:sz="12" w:space="0" w:color="000000"/>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508" w:type="pct"/>
            <w:tcBorders>
              <w:top w:val="nil"/>
              <w:left w:val="nil"/>
              <w:bottom w:val="single" w:sz="12" w:space="0" w:color="000000"/>
              <w:right w:val="nil"/>
              <w:tl2br w:val="nil"/>
              <w:tr2bl w:val="nil"/>
            </w:tcBorders>
            <w:shd w:val="clear" w:color="auto" w:fill="CCEEFF"/>
            <w:vAlign w:val="bottom"/>
          </w:tcPr>
          <w:p w:rsidR="00BA5C63" w:rsidRPr="00C6642F" w:rsidRDefault="006F38D0" w:rsidP="00BA5C63">
            <w:pPr>
              <w:keepNext/>
              <w:spacing w:before="1" w:after="1"/>
              <w:ind w:right="65"/>
              <w:jc w:val="right"/>
              <w:rPr>
                <w:sz w:val="20"/>
              </w:rPr>
            </w:pPr>
            <w:r w:rsidRPr="00C6642F">
              <w:rPr>
                <w:sz w:val="20"/>
              </w:rPr>
              <w:t xml:space="preserve"> 2</w:t>
            </w:r>
          </w:p>
        </w:tc>
      </w:tr>
      <w:tr w:rsidR="00BA5C63" w:rsidRPr="00C6642F" w:rsidTr="00BA5C63">
        <w:trPr>
          <w:trHeight w:hRule="exact" w:val="375"/>
        </w:trPr>
        <w:tc>
          <w:tcPr>
            <w:tcW w:w="2162" w:type="pct"/>
            <w:tcBorders>
              <w:top w:val="nil"/>
              <w:left w:val="nil"/>
              <w:bottom w:val="nil"/>
              <w:right w:val="nil"/>
              <w:tl2br w:val="nil"/>
              <w:tr2bl w:val="nil"/>
            </w:tcBorders>
            <w:vAlign w:val="bottom"/>
          </w:tcPr>
          <w:p w:rsidR="00BA5C63" w:rsidRPr="00C6642F" w:rsidRDefault="006F38D0" w:rsidP="00BA5C63">
            <w:pPr>
              <w:keepNext/>
              <w:spacing w:before="1" w:after="1"/>
              <w:rPr>
                <w:sz w:val="20"/>
              </w:rPr>
            </w:pPr>
            <w:r w:rsidRPr="00C6642F">
              <w:rPr>
                <w:sz w:val="20"/>
              </w:rPr>
              <w:t>Total equity-based compensation expense</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single" w:sz="0" w:space="0" w:color="000000"/>
              <w:left w:val="nil"/>
              <w:bottom w:val="double" w:sz="4" w:space="0" w:color="000000"/>
              <w:right w:val="nil"/>
              <w:tl2br w:val="nil"/>
              <w:tr2bl w:val="nil"/>
            </w:tcBorders>
            <w:vAlign w:val="bottom"/>
          </w:tcPr>
          <w:p w:rsidR="00BA5C63" w:rsidRPr="00C6642F" w:rsidRDefault="006F38D0" w:rsidP="00BA5C63">
            <w:pPr>
              <w:keepNext/>
              <w:spacing w:before="1" w:after="1"/>
              <w:rPr>
                <w:b/>
                <w:sz w:val="20"/>
              </w:rPr>
            </w:pPr>
            <w:r w:rsidRPr="00C6642F">
              <w:rPr>
                <w:b/>
                <w:sz w:val="20"/>
              </w:rPr>
              <w:t>$</w:t>
            </w:r>
          </w:p>
        </w:tc>
        <w:tc>
          <w:tcPr>
            <w:tcW w:w="508" w:type="pct"/>
            <w:tcBorders>
              <w:top w:val="single" w:sz="0" w:space="0" w:color="000000"/>
              <w:left w:val="nil"/>
              <w:bottom w:val="double" w:sz="4" w:space="0" w:color="000000"/>
              <w:right w:val="nil"/>
              <w:tl2br w:val="nil"/>
              <w:tr2bl w:val="nil"/>
            </w:tcBorders>
            <w:vAlign w:val="bottom"/>
          </w:tcPr>
          <w:p w:rsidR="00BA5C63" w:rsidRPr="00C6642F" w:rsidRDefault="006F38D0" w:rsidP="00BA5C63">
            <w:pPr>
              <w:keepNext/>
              <w:spacing w:before="1" w:after="1"/>
              <w:ind w:right="63"/>
              <w:jc w:val="right"/>
              <w:rPr>
                <w:b/>
                <w:sz w:val="20"/>
              </w:rPr>
            </w:pPr>
            <w:r w:rsidRPr="00C6642F">
              <w:rPr>
                <w:b/>
                <w:sz w:val="20"/>
              </w:rPr>
              <w:t xml:space="preserve"> 16</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single" w:sz="0" w:space="0" w:color="000000"/>
              <w:left w:val="nil"/>
              <w:bottom w:val="double" w:sz="4" w:space="0" w:color="000000"/>
              <w:right w:val="nil"/>
              <w:tl2br w:val="nil"/>
              <w:tr2bl w:val="nil"/>
            </w:tcBorders>
            <w:vAlign w:val="bottom"/>
          </w:tcPr>
          <w:p w:rsidR="00BA5C63" w:rsidRPr="00C6642F" w:rsidRDefault="006F38D0" w:rsidP="00BA5C63">
            <w:pPr>
              <w:keepNext/>
              <w:spacing w:before="1" w:after="1"/>
              <w:rPr>
                <w:sz w:val="20"/>
              </w:rPr>
            </w:pPr>
            <w:r w:rsidRPr="00C6642F">
              <w:rPr>
                <w:sz w:val="20"/>
              </w:rPr>
              <w:t>$</w:t>
            </w:r>
          </w:p>
        </w:tc>
        <w:tc>
          <w:tcPr>
            <w:tcW w:w="508" w:type="pct"/>
            <w:tcBorders>
              <w:top w:val="single" w:sz="0" w:space="0" w:color="000000"/>
              <w:left w:val="nil"/>
              <w:bottom w:val="double" w:sz="4" w:space="0" w:color="000000"/>
              <w:right w:val="nil"/>
              <w:tl2br w:val="nil"/>
              <w:tr2bl w:val="nil"/>
            </w:tcBorders>
            <w:vAlign w:val="bottom"/>
          </w:tcPr>
          <w:p w:rsidR="00BA5C63" w:rsidRPr="00C6642F" w:rsidRDefault="006F38D0" w:rsidP="00BA5C63">
            <w:pPr>
              <w:keepNext/>
              <w:spacing w:before="1" w:after="1"/>
              <w:ind w:right="65"/>
              <w:jc w:val="right"/>
              <w:rPr>
                <w:sz w:val="20"/>
              </w:rPr>
            </w:pPr>
            <w:r w:rsidRPr="00C6642F">
              <w:rPr>
                <w:sz w:val="20"/>
              </w:rPr>
              <w:t xml:space="preserve"> 14</w:t>
            </w:r>
          </w:p>
        </w:tc>
        <w:tc>
          <w:tcPr>
            <w:tcW w:w="81" w:type="pct"/>
            <w:tcBorders>
              <w:top w:val="nil"/>
              <w:left w:val="nil"/>
              <w:bottom w:val="nil"/>
              <w:right w:val="nil"/>
              <w:tl2br w:val="nil"/>
              <w:tr2bl w:val="nil"/>
            </w:tcBorders>
            <w:vAlign w:val="bottom"/>
          </w:tcPr>
          <w:p w:rsidR="00BA5C63" w:rsidRPr="00C6642F" w:rsidRDefault="00BA5C63" w:rsidP="00BA5C63">
            <w:pPr>
              <w:keepNext/>
              <w:spacing w:before="1" w:after="1"/>
              <w:rPr>
                <w:sz w:val="20"/>
              </w:rPr>
            </w:pPr>
          </w:p>
        </w:tc>
        <w:tc>
          <w:tcPr>
            <w:tcW w:w="129" w:type="pct"/>
            <w:tcBorders>
              <w:top w:val="single" w:sz="0" w:space="0" w:color="000000"/>
              <w:left w:val="nil"/>
              <w:bottom w:val="double" w:sz="4" w:space="0" w:color="000000"/>
              <w:right w:val="nil"/>
              <w:tl2br w:val="nil"/>
              <w:tr2bl w:val="nil"/>
            </w:tcBorders>
            <w:vAlign w:val="bottom"/>
          </w:tcPr>
          <w:p w:rsidR="00BA5C63" w:rsidRPr="00C6642F" w:rsidRDefault="006F38D0" w:rsidP="00BA5C63">
            <w:pPr>
              <w:keepNext/>
              <w:spacing w:before="1" w:after="1"/>
              <w:rPr>
                <w:sz w:val="20"/>
              </w:rPr>
            </w:pPr>
            <w:r w:rsidRPr="00C6642F">
              <w:rPr>
                <w:sz w:val="20"/>
              </w:rPr>
              <w:t>$</w:t>
            </w:r>
          </w:p>
        </w:tc>
        <w:tc>
          <w:tcPr>
            <w:tcW w:w="508" w:type="pct"/>
            <w:tcBorders>
              <w:top w:val="single" w:sz="0" w:space="0" w:color="000000"/>
              <w:left w:val="nil"/>
              <w:bottom w:val="double" w:sz="4" w:space="0" w:color="000000"/>
              <w:right w:val="nil"/>
              <w:tl2br w:val="nil"/>
              <w:tr2bl w:val="nil"/>
            </w:tcBorders>
            <w:vAlign w:val="bottom"/>
          </w:tcPr>
          <w:p w:rsidR="00BA5C63" w:rsidRPr="00C6642F" w:rsidRDefault="006F38D0" w:rsidP="00BA5C63">
            <w:pPr>
              <w:keepNext/>
              <w:spacing w:before="1" w:after="1"/>
              <w:ind w:right="65"/>
              <w:jc w:val="right"/>
              <w:rPr>
                <w:sz w:val="20"/>
              </w:rPr>
            </w:pPr>
            <w:r w:rsidRPr="00C6642F">
              <w:rPr>
                <w:sz w:val="20"/>
              </w:rPr>
              <w:t xml:space="preserve"> 16</w:t>
            </w:r>
          </w:p>
        </w:tc>
      </w:tr>
      <w:tr w:rsidR="00BA5C63" w:rsidRPr="00C6642F" w:rsidTr="00BA5C63">
        <w:trPr>
          <w:trHeight w:hRule="exact" w:val="375"/>
        </w:trPr>
        <w:tc>
          <w:tcPr>
            <w:tcW w:w="2162" w:type="pct"/>
            <w:tcBorders>
              <w:top w:val="nil"/>
              <w:left w:val="nil"/>
              <w:bottom w:val="nil"/>
              <w:right w:val="nil"/>
              <w:tl2br w:val="nil"/>
              <w:tr2bl w:val="nil"/>
            </w:tcBorders>
            <w:shd w:val="clear" w:color="auto" w:fill="CCEEFF"/>
            <w:vAlign w:val="bottom"/>
          </w:tcPr>
          <w:p w:rsidR="00BA5C63" w:rsidRPr="00C6642F" w:rsidRDefault="006F38D0" w:rsidP="00BA5C63">
            <w:pPr>
              <w:keepNext/>
              <w:spacing w:before="1" w:after="1"/>
              <w:rPr>
                <w:sz w:val="20"/>
              </w:rPr>
            </w:pPr>
            <w:r w:rsidRPr="00C6642F">
              <w:rPr>
                <w:sz w:val="20"/>
              </w:rPr>
              <w:t>Income tax benefits related to equity-based compensation</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603"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double" w:sz="0" w:space="0" w:color="000000"/>
              <w:left w:val="nil"/>
              <w:bottom w:val="double" w:sz="4" w:space="0" w:color="000000"/>
              <w:right w:val="nil"/>
              <w:tl2br w:val="nil"/>
              <w:tr2bl w:val="nil"/>
            </w:tcBorders>
            <w:shd w:val="clear" w:color="auto" w:fill="CCEEFF"/>
            <w:vAlign w:val="bottom"/>
          </w:tcPr>
          <w:p w:rsidR="00BA5C63" w:rsidRPr="00C6642F" w:rsidRDefault="006F38D0" w:rsidP="00BA5C63">
            <w:pPr>
              <w:keepNext/>
              <w:spacing w:before="1" w:after="1"/>
              <w:rPr>
                <w:b/>
                <w:sz w:val="20"/>
              </w:rPr>
            </w:pPr>
            <w:r w:rsidRPr="00C6642F">
              <w:rPr>
                <w:b/>
                <w:sz w:val="20"/>
              </w:rPr>
              <w:t>$</w:t>
            </w:r>
          </w:p>
        </w:tc>
        <w:tc>
          <w:tcPr>
            <w:tcW w:w="508" w:type="pct"/>
            <w:tcBorders>
              <w:top w:val="single" w:sz="0" w:space="0" w:color="000000"/>
              <w:left w:val="nil"/>
              <w:bottom w:val="double" w:sz="4" w:space="0" w:color="000000"/>
              <w:right w:val="nil"/>
              <w:tl2br w:val="nil"/>
              <w:tr2bl w:val="nil"/>
            </w:tcBorders>
            <w:shd w:val="clear" w:color="auto" w:fill="CCEEFF"/>
            <w:vAlign w:val="bottom"/>
          </w:tcPr>
          <w:p w:rsidR="00BA5C63" w:rsidRPr="00C6642F" w:rsidRDefault="006F38D0" w:rsidP="00BA5C63">
            <w:pPr>
              <w:keepNext/>
              <w:spacing w:before="1" w:after="1"/>
              <w:ind w:right="63"/>
              <w:jc w:val="right"/>
              <w:rPr>
                <w:b/>
                <w:sz w:val="20"/>
              </w:rPr>
            </w:pPr>
            <w:r w:rsidRPr="00C6642F">
              <w:rPr>
                <w:b/>
                <w:sz w:val="20"/>
              </w:rPr>
              <w:t xml:space="preserve"> 4</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double" w:sz="0" w:space="0" w:color="000000"/>
              <w:left w:val="nil"/>
              <w:bottom w:val="double" w:sz="4" w:space="0" w:color="000000"/>
              <w:right w:val="nil"/>
              <w:tl2br w:val="nil"/>
              <w:tr2bl w:val="nil"/>
            </w:tcBorders>
            <w:shd w:val="clear" w:color="auto" w:fill="CCEEFF"/>
            <w:vAlign w:val="bottom"/>
          </w:tcPr>
          <w:p w:rsidR="00BA5C63" w:rsidRPr="00C6642F" w:rsidRDefault="006F38D0" w:rsidP="00BA5C63">
            <w:pPr>
              <w:keepNext/>
              <w:spacing w:before="1" w:after="1"/>
              <w:rPr>
                <w:sz w:val="20"/>
              </w:rPr>
            </w:pPr>
            <w:r w:rsidRPr="00C6642F">
              <w:rPr>
                <w:sz w:val="20"/>
              </w:rPr>
              <w:t>$</w:t>
            </w:r>
          </w:p>
        </w:tc>
        <w:tc>
          <w:tcPr>
            <w:tcW w:w="508" w:type="pct"/>
            <w:tcBorders>
              <w:top w:val="single" w:sz="0" w:space="0" w:color="000000"/>
              <w:left w:val="nil"/>
              <w:bottom w:val="double" w:sz="4" w:space="0" w:color="000000"/>
              <w:right w:val="nil"/>
              <w:tl2br w:val="nil"/>
              <w:tr2bl w:val="nil"/>
            </w:tcBorders>
            <w:shd w:val="clear" w:color="auto" w:fill="CCEEFF"/>
            <w:vAlign w:val="bottom"/>
          </w:tcPr>
          <w:p w:rsidR="00BA5C63" w:rsidRPr="00C6642F" w:rsidRDefault="006F38D0" w:rsidP="00BA5C63">
            <w:pPr>
              <w:keepNext/>
              <w:spacing w:before="1" w:after="1"/>
              <w:ind w:right="65"/>
              <w:jc w:val="right"/>
              <w:rPr>
                <w:sz w:val="20"/>
              </w:rPr>
            </w:pPr>
            <w:r w:rsidRPr="00C6642F">
              <w:rPr>
                <w:sz w:val="20"/>
              </w:rPr>
              <w:t xml:space="preserve"> 3</w:t>
            </w:r>
          </w:p>
        </w:tc>
        <w:tc>
          <w:tcPr>
            <w:tcW w:w="81" w:type="pct"/>
            <w:tcBorders>
              <w:top w:val="nil"/>
              <w:left w:val="nil"/>
              <w:bottom w:val="nil"/>
              <w:right w:val="nil"/>
              <w:tl2br w:val="nil"/>
              <w:tr2bl w:val="nil"/>
            </w:tcBorders>
            <w:shd w:val="clear" w:color="auto" w:fill="CCEEFF"/>
            <w:vAlign w:val="bottom"/>
          </w:tcPr>
          <w:p w:rsidR="00BA5C63" w:rsidRPr="00C6642F" w:rsidRDefault="00BA5C63" w:rsidP="00BA5C63">
            <w:pPr>
              <w:keepNext/>
              <w:spacing w:before="1" w:after="1"/>
              <w:rPr>
                <w:sz w:val="20"/>
              </w:rPr>
            </w:pPr>
          </w:p>
        </w:tc>
        <w:tc>
          <w:tcPr>
            <w:tcW w:w="129" w:type="pct"/>
            <w:tcBorders>
              <w:top w:val="double" w:sz="0" w:space="0" w:color="000000"/>
              <w:left w:val="nil"/>
              <w:bottom w:val="double" w:sz="4" w:space="0" w:color="000000"/>
              <w:right w:val="nil"/>
              <w:tl2br w:val="nil"/>
              <w:tr2bl w:val="nil"/>
            </w:tcBorders>
            <w:shd w:val="clear" w:color="auto" w:fill="CCEEFF"/>
            <w:vAlign w:val="bottom"/>
          </w:tcPr>
          <w:p w:rsidR="00BA5C63" w:rsidRPr="00C6642F" w:rsidRDefault="006F38D0" w:rsidP="00BA5C63">
            <w:pPr>
              <w:keepNext/>
              <w:spacing w:before="1" w:after="1"/>
              <w:rPr>
                <w:sz w:val="20"/>
              </w:rPr>
            </w:pPr>
            <w:r w:rsidRPr="00C6642F">
              <w:rPr>
                <w:sz w:val="20"/>
              </w:rPr>
              <w:t>$</w:t>
            </w:r>
          </w:p>
        </w:tc>
        <w:tc>
          <w:tcPr>
            <w:tcW w:w="508" w:type="pct"/>
            <w:tcBorders>
              <w:top w:val="single" w:sz="0" w:space="0" w:color="000000"/>
              <w:left w:val="nil"/>
              <w:bottom w:val="double" w:sz="4" w:space="0" w:color="000000"/>
              <w:right w:val="nil"/>
              <w:tl2br w:val="nil"/>
              <w:tr2bl w:val="nil"/>
            </w:tcBorders>
            <w:shd w:val="clear" w:color="auto" w:fill="CCEEFF"/>
            <w:vAlign w:val="bottom"/>
          </w:tcPr>
          <w:p w:rsidR="00BA5C63" w:rsidRPr="00C6642F" w:rsidRDefault="006F38D0" w:rsidP="00BA5C63">
            <w:pPr>
              <w:keepNext/>
              <w:spacing w:before="1" w:after="1"/>
              <w:ind w:right="65"/>
              <w:jc w:val="right"/>
              <w:rPr>
                <w:sz w:val="20"/>
              </w:rPr>
            </w:pPr>
            <w:r w:rsidRPr="00C6642F">
              <w:rPr>
                <w:sz w:val="20"/>
              </w:rPr>
              <w:t xml:space="preserve"> 6</w:t>
            </w:r>
          </w:p>
        </w:tc>
      </w:tr>
    </w:tbl>
    <w:p w:rsidR="00BA5C63" w:rsidRPr="00C6642F" w:rsidRDefault="00BA5C63" w:rsidP="00BA5C63"/>
    <w:p w:rsidR="00BA5C63" w:rsidRPr="00C6642F" w:rsidRDefault="006F38D0" w:rsidP="00BA5C63">
      <w:pPr>
        <w:pStyle w:val="NormalWeb"/>
        <w:widowControl w:val="0"/>
        <w:spacing w:before="180" w:beforeAutospacing="0" w:after="0" w:afterAutospacing="0"/>
        <w:rPr>
          <w:sz w:val="20"/>
          <w:szCs w:val="20"/>
        </w:rPr>
      </w:pPr>
      <w:r w:rsidRPr="00C6642F">
        <w:rPr>
          <w:sz w:val="20"/>
          <w:szCs w:val="20"/>
        </w:rPr>
        <w:t xml:space="preserve">Unrecognized compensation expense under our equity-based compensation plans is set forth in the table below (in millions): </w:t>
      </w:r>
    </w:p>
    <w:tbl>
      <w:tblPr>
        <w:tblW w:w="5000" w:type="pct"/>
        <w:tblCellMar>
          <w:left w:w="0" w:type="dxa"/>
          <w:right w:w="0" w:type="dxa"/>
        </w:tblCellMar>
        <w:tblLook w:val="04A0" w:firstRow="1" w:lastRow="0" w:firstColumn="1" w:lastColumn="0" w:noHBand="0" w:noVBand="1"/>
      </w:tblPr>
      <w:tblGrid>
        <w:gridCol w:w="6550"/>
        <w:gridCol w:w="246"/>
        <w:gridCol w:w="1827"/>
        <w:gridCol w:w="246"/>
        <w:gridCol w:w="391"/>
        <w:gridCol w:w="1540"/>
      </w:tblGrid>
      <w:tr w:rsidR="00BA5C63" w:rsidRPr="00C6642F" w:rsidTr="00BA5C63">
        <w:trPr>
          <w:trHeight w:hRule="exact" w:val="20"/>
        </w:trPr>
        <w:tc>
          <w:tcPr>
            <w:tcW w:w="3032" w:type="pct"/>
            <w:tcBorders>
              <w:top w:val="nil"/>
              <w:left w:val="nil"/>
              <w:bottom w:val="nil"/>
              <w:right w:val="nil"/>
            </w:tcBorders>
            <w:shd w:val="clear" w:color="auto" w:fill="auto"/>
            <w:vAlign w:val="bottom"/>
          </w:tcPr>
          <w:p w:rsidR="00BA5C63" w:rsidRPr="00C6642F" w:rsidRDefault="00BA5C63" w:rsidP="00BA5C63">
            <w:pPr>
              <w:spacing w:before="1" w:after="1"/>
              <w:rPr>
                <w:sz w:val="2"/>
              </w:rPr>
            </w:pPr>
          </w:p>
        </w:tc>
        <w:tc>
          <w:tcPr>
            <w:tcW w:w="114" w:type="pct"/>
            <w:tcBorders>
              <w:top w:val="nil"/>
              <w:left w:val="nil"/>
              <w:bottom w:val="nil"/>
              <w:right w:val="nil"/>
            </w:tcBorders>
            <w:shd w:val="clear" w:color="auto" w:fill="auto"/>
            <w:vAlign w:val="bottom"/>
          </w:tcPr>
          <w:p w:rsidR="00BA5C63" w:rsidRPr="00C6642F" w:rsidRDefault="00BA5C63" w:rsidP="00BA5C63">
            <w:pPr>
              <w:spacing w:before="1" w:after="1"/>
              <w:rPr>
                <w:sz w:val="2"/>
              </w:rPr>
            </w:pPr>
          </w:p>
        </w:tc>
        <w:tc>
          <w:tcPr>
            <w:tcW w:w="846" w:type="pct"/>
            <w:tcBorders>
              <w:top w:val="nil"/>
              <w:left w:val="nil"/>
              <w:bottom w:val="nil"/>
              <w:right w:val="nil"/>
            </w:tcBorders>
            <w:shd w:val="clear" w:color="auto" w:fill="auto"/>
            <w:vAlign w:val="bottom"/>
          </w:tcPr>
          <w:p w:rsidR="00BA5C63" w:rsidRPr="00C6642F" w:rsidRDefault="00BA5C63" w:rsidP="00BA5C63">
            <w:pPr>
              <w:spacing w:before="1" w:after="1"/>
              <w:rPr>
                <w:sz w:val="2"/>
              </w:rPr>
            </w:pPr>
          </w:p>
        </w:tc>
        <w:tc>
          <w:tcPr>
            <w:tcW w:w="114" w:type="pct"/>
            <w:tcBorders>
              <w:top w:val="nil"/>
              <w:left w:val="nil"/>
              <w:bottom w:val="nil"/>
              <w:right w:val="nil"/>
            </w:tcBorders>
            <w:shd w:val="clear" w:color="auto" w:fill="auto"/>
            <w:vAlign w:val="bottom"/>
          </w:tcPr>
          <w:p w:rsidR="00BA5C63" w:rsidRPr="00C6642F" w:rsidRDefault="00BA5C63" w:rsidP="00BA5C63">
            <w:pPr>
              <w:spacing w:before="1" w:after="1"/>
              <w:rPr>
                <w:sz w:val="2"/>
              </w:rPr>
            </w:pPr>
          </w:p>
        </w:tc>
        <w:tc>
          <w:tcPr>
            <w:tcW w:w="181" w:type="pct"/>
            <w:tcBorders>
              <w:top w:val="nil"/>
              <w:left w:val="nil"/>
              <w:bottom w:val="nil"/>
              <w:right w:val="nil"/>
            </w:tcBorders>
            <w:shd w:val="clear" w:color="auto" w:fill="auto"/>
            <w:vAlign w:val="bottom"/>
          </w:tcPr>
          <w:p w:rsidR="00BA5C63" w:rsidRPr="00C6642F" w:rsidRDefault="00BA5C63" w:rsidP="00BA5C63">
            <w:pPr>
              <w:spacing w:before="1" w:after="1"/>
              <w:rPr>
                <w:sz w:val="2"/>
              </w:rPr>
            </w:pPr>
          </w:p>
        </w:tc>
        <w:tc>
          <w:tcPr>
            <w:tcW w:w="713" w:type="pct"/>
            <w:tcBorders>
              <w:top w:val="nil"/>
              <w:left w:val="nil"/>
              <w:bottom w:val="nil"/>
              <w:right w:val="nil"/>
            </w:tcBorders>
            <w:shd w:val="clear" w:color="auto" w:fill="auto"/>
            <w:vAlign w:val="bottom"/>
          </w:tcPr>
          <w:p w:rsidR="00BA5C63" w:rsidRPr="00C6642F" w:rsidRDefault="00BA5C63" w:rsidP="00BA5C63">
            <w:pPr>
              <w:spacing w:before="1" w:after="1"/>
              <w:rPr>
                <w:sz w:val="2"/>
              </w:rPr>
            </w:pPr>
          </w:p>
        </w:tc>
      </w:tr>
      <w:tr w:rsidR="00BA5C63" w:rsidRPr="00C6642F" w:rsidTr="00BA5C63">
        <w:trPr>
          <w:trHeight w:hRule="exact" w:val="255"/>
        </w:trPr>
        <w:tc>
          <w:tcPr>
            <w:tcW w:w="3032" w:type="pct"/>
            <w:tcBorders>
              <w:top w:val="nil"/>
              <w:left w:val="nil"/>
              <w:bottom w:val="nil"/>
              <w:right w:val="nil"/>
              <w:tl2br w:val="nil"/>
              <w:tr2bl w:val="nil"/>
            </w:tcBorders>
            <w:shd w:val="clear" w:color="auto" w:fill="auto"/>
            <w:vAlign w:val="bottom"/>
          </w:tcPr>
          <w:p w:rsidR="00BA5C63" w:rsidRPr="00C6642F" w:rsidRDefault="00BA5C63" w:rsidP="00BA5C63">
            <w:pPr>
              <w:spacing w:before="1" w:after="1"/>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spacing w:before="1" w:after="1"/>
              <w:rPr>
                <w:sz w:val="20"/>
              </w:rPr>
            </w:pPr>
          </w:p>
        </w:tc>
        <w:tc>
          <w:tcPr>
            <w:tcW w:w="846" w:type="pct"/>
            <w:tcBorders>
              <w:top w:val="nil"/>
              <w:left w:val="nil"/>
              <w:bottom w:val="nil"/>
              <w:right w:val="nil"/>
              <w:tl2br w:val="nil"/>
              <w:tr2bl w:val="nil"/>
            </w:tcBorders>
            <w:shd w:val="clear" w:color="auto" w:fill="auto"/>
            <w:vAlign w:val="bottom"/>
          </w:tcPr>
          <w:p w:rsidR="00BA5C63" w:rsidRPr="00C6642F" w:rsidRDefault="006F38D0" w:rsidP="00BA5C63">
            <w:pPr>
              <w:spacing w:before="1" w:after="1"/>
              <w:jc w:val="center"/>
              <w:rPr>
                <w:b/>
                <w:sz w:val="20"/>
              </w:rPr>
            </w:pPr>
            <w:r w:rsidRPr="00C6642F">
              <w:rPr>
                <w:b/>
                <w:sz w:val="20"/>
              </w:rPr>
              <w:t>Weighted-</w:t>
            </w: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spacing w:before="1" w:after="1"/>
              <w:rPr>
                <w:sz w:val="20"/>
              </w:rPr>
            </w:pPr>
          </w:p>
        </w:tc>
        <w:tc>
          <w:tcPr>
            <w:tcW w:w="181" w:type="pct"/>
            <w:tcBorders>
              <w:top w:val="nil"/>
              <w:left w:val="nil"/>
              <w:bottom w:val="nil"/>
              <w:right w:val="nil"/>
              <w:tl2br w:val="nil"/>
              <w:tr2bl w:val="nil"/>
            </w:tcBorders>
            <w:shd w:val="clear" w:color="auto" w:fill="auto"/>
            <w:vAlign w:val="bottom"/>
          </w:tcPr>
          <w:p w:rsidR="00BA5C63" w:rsidRPr="00C6642F" w:rsidRDefault="00BA5C63" w:rsidP="00BA5C63">
            <w:pPr>
              <w:spacing w:before="1" w:after="1"/>
              <w:rPr>
                <w:sz w:val="20"/>
              </w:rPr>
            </w:pPr>
          </w:p>
        </w:tc>
        <w:tc>
          <w:tcPr>
            <w:tcW w:w="713" w:type="pct"/>
            <w:tcBorders>
              <w:top w:val="nil"/>
              <w:left w:val="nil"/>
              <w:bottom w:val="nil"/>
              <w:right w:val="nil"/>
              <w:tl2br w:val="nil"/>
              <w:tr2bl w:val="nil"/>
            </w:tcBorders>
            <w:shd w:val="clear" w:color="auto" w:fill="auto"/>
            <w:vAlign w:val="bottom"/>
          </w:tcPr>
          <w:p w:rsidR="00BA5C63" w:rsidRPr="00C6642F" w:rsidRDefault="00BA5C63" w:rsidP="00BA5C63">
            <w:pPr>
              <w:spacing w:before="1" w:after="1"/>
              <w:rPr>
                <w:sz w:val="20"/>
              </w:rPr>
            </w:pPr>
          </w:p>
        </w:tc>
      </w:tr>
      <w:tr w:rsidR="00BA5C63" w:rsidRPr="00C6642F" w:rsidTr="00BA5C63">
        <w:trPr>
          <w:trHeight w:hRule="exact" w:val="300"/>
        </w:trPr>
        <w:tc>
          <w:tcPr>
            <w:tcW w:w="3032" w:type="pct"/>
            <w:tcBorders>
              <w:top w:val="nil"/>
              <w:left w:val="nil"/>
              <w:bottom w:val="nil"/>
              <w:right w:val="nil"/>
              <w:tl2br w:val="nil"/>
              <w:tr2bl w:val="nil"/>
            </w:tcBorders>
            <w:shd w:val="clear" w:color="auto" w:fill="auto"/>
            <w:vAlign w:val="bottom"/>
          </w:tcPr>
          <w:p w:rsidR="00BA5C63" w:rsidRPr="00C6642F" w:rsidRDefault="00BA5C63" w:rsidP="00BA5C63">
            <w:pPr>
              <w:spacing w:before="1" w:after="1"/>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spacing w:before="1" w:after="1"/>
              <w:rPr>
                <w:sz w:val="20"/>
              </w:rPr>
            </w:pPr>
          </w:p>
        </w:tc>
        <w:tc>
          <w:tcPr>
            <w:tcW w:w="846" w:type="pct"/>
            <w:tcBorders>
              <w:top w:val="nil"/>
              <w:left w:val="nil"/>
              <w:bottom w:val="nil"/>
              <w:right w:val="nil"/>
              <w:tl2br w:val="nil"/>
              <w:tr2bl w:val="nil"/>
            </w:tcBorders>
            <w:shd w:val="clear" w:color="auto" w:fill="auto"/>
            <w:vAlign w:val="bottom"/>
          </w:tcPr>
          <w:p w:rsidR="00BA5C63" w:rsidRPr="00C6642F" w:rsidRDefault="006F38D0" w:rsidP="00BA5C63">
            <w:pPr>
              <w:spacing w:before="1" w:after="1"/>
              <w:jc w:val="center"/>
              <w:rPr>
                <w:b/>
                <w:sz w:val="20"/>
              </w:rPr>
            </w:pPr>
            <w:r w:rsidRPr="00C6642F">
              <w:rPr>
                <w:b/>
                <w:sz w:val="20"/>
              </w:rPr>
              <w:t>Average Vesting</w:t>
            </w: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spacing w:before="1" w:after="1"/>
              <w:rPr>
                <w:sz w:val="20"/>
              </w:rPr>
            </w:pPr>
          </w:p>
        </w:tc>
        <w:tc>
          <w:tcPr>
            <w:tcW w:w="1" w:type="pct"/>
            <w:gridSpan w:val="2"/>
            <w:tcBorders>
              <w:top w:val="nil"/>
              <w:left w:val="nil"/>
              <w:bottom w:val="nil"/>
              <w:right w:val="nil"/>
              <w:tl2br w:val="nil"/>
              <w:tr2bl w:val="nil"/>
            </w:tcBorders>
            <w:shd w:val="clear" w:color="auto" w:fill="auto"/>
            <w:vAlign w:val="bottom"/>
          </w:tcPr>
          <w:p w:rsidR="00BA5C63" w:rsidRPr="00C6642F" w:rsidRDefault="006F38D0" w:rsidP="00BA5C63">
            <w:pPr>
              <w:spacing w:before="1" w:after="1"/>
              <w:jc w:val="center"/>
              <w:rPr>
                <w:b/>
                <w:sz w:val="20"/>
              </w:rPr>
            </w:pPr>
            <w:r w:rsidRPr="00C6642F">
              <w:rPr>
                <w:b/>
                <w:sz w:val="20"/>
              </w:rPr>
              <w:t xml:space="preserve">December 31, </w:t>
            </w:r>
          </w:p>
        </w:tc>
      </w:tr>
      <w:tr w:rsidR="00BA5C63" w:rsidRPr="00C6642F" w:rsidTr="00BA5C63">
        <w:trPr>
          <w:trHeight w:hRule="exact" w:val="315"/>
        </w:trPr>
        <w:tc>
          <w:tcPr>
            <w:tcW w:w="3032" w:type="pct"/>
            <w:tcBorders>
              <w:top w:val="nil"/>
              <w:left w:val="nil"/>
              <w:bottom w:val="nil"/>
              <w:right w:val="nil"/>
              <w:tl2br w:val="nil"/>
              <w:tr2bl w:val="nil"/>
            </w:tcBorders>
            <w:shd w:val="clear" w:color="auto" w:fill="auto"/>
            <w:vAlign w:val="bottom"/>
          </w:tcPr>
          <w:p w:rsidR="00BA5C63" w:rsidRPr="00C6642F" w:rsidRDefault="00BA5C63" w:rsidP="00BA5C63">
            <w:pPr>
              <w:spacing w:before="1" w:after="1"/>
              <w:rPr>
                <w:sz w:val="20"/>
              </w:rPr>
            </w:pP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spacing w:before="1" w:after="1"/>
              <w:rPr>
                <w:sz w:val="20"/>
              </w:rPr>
            </w:pPr>
          </w:p>
        </w:tc>
        <w:tc>
          <w:tcPr>
            <w:tcW w:w="846" w:type="pct"/>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spacing w:before="1" w:after="1"/>
              <w:jc w:val="center"/>
              <w:rPr>
                <w:b/>
                <w:sz w:val="20"/>
              </w:rPr>
            </w:pPr>
            <w:r w:rsidRPr="00C6642F">
              <w:rPr>
                <w:b/>
                <w:sz w:val="20"/>
              </w:rPr>
              <w:t>Period (in years)</w:t>
            </w:r>
          </w:p>
        </w:tc>
        <w:tc>
          <w:tcPr>
            <w:tcW w:w="114" w:type="pct"/>
            <w:tcBorders>
              <w:top w:val="nil"/>
              <w:left w:val="nil"/>
              <w:bottom w:val="nil"/>
              <w:right w:val="nil"/>
              <w:tl2br w:val="nil"/>
              <w:tr2bl w:val="nil"/>
            </w:tcBorders>
            <w:shd w:val="clear" w:color="auto" w:fill="auto"/>
            <w:vAlign w:val="bottom"/>
          </w:tcPr>
          <w:p w:rsidR="00BA5C63" w:rsidRPr="00C6642F" w:rsidRDefault="00BA5C63" w:rsidP="00BA5C63">
            <w:pPr>
              <w:spacing w:before="1" w:after="1"/>
              <w:rPr>
                <w:sz w:val="20"/>
              </w:rPr>
            </w:pPr>
          </w:p>
        </w:tc>
        <w:tc>
          <w:tcPr>
            <w:tcW w:w="1" w:type="pct"/>
            <w:gridSpan w:val="2"/>
            <w:tcBorders>
              <w:top w:val="nil"/>
              <w:left w:val="nil"/>
              <w:bottom w:val="single" w:sz="12" w:space="0" w:color="000000"/>
              <w:right w:val="nil"/>
              <w:tl2br w:val="nil"/>
              <w:tr2bl w:val="nil"/>
            </w:tcBorders>
            <w:shd w:val="clear" w:color="auto" w:fill="auto"/>
            <w:vAlign w:val="bottom"/>
          </w:tcPr>
          <w:p w:rsidR="00BA5C63" w:rsidRPr="00C6642F" w:rsidRDefault="006F38D0" w:rsidP="00BA5C63">
            <w:pPr>
              <w:spacing w:before="1" w:after="1"/>
              <w:jc w:val="center"/>
              <w:rPr>
                <w:b/>
                <w:sz w:val="20"/>
              </w:rPr>
            </w:pPr>
            <w:r w:rsidRPr="00C6642F">
              <w:rPr>
                <w:b/>
                <w:sz w:val="20"/>
              </w:rPr>
              <w:t>2019</w:t>
            </w:r>
          </w:p>
        </w:tc>
      </w:tr>
      <w:tr w:rsidR="00BA5C63" w:rsidRPr="00C6642F" w:rsidTr="00BA5C63">
        <w:trPr>
          <w:trHeight w:hRule="exact" w:val="255"/>
        </w:trPr>
        <w:tc>
          <w:tcPr>
            <w:tcW w:w="3032" w:type="pct"/>
            <w:tcBorders>
              <w:top w:val="nil"/>
              <w:left w:val="nil"/>
              <w:bottom w:val="nil"/>
              <w:right w:val="nil"/>
              <w:tl2br w:val="nil"/>
              <w:tr2bl w:val="nil"/>
            </w:tcBorders>
            <w:shd w:val="clear" w:color="auto" w:fill="CCEEFF"/>
            <w:vAlign w:val="bottom"/>
          </w:tcPr>
          <w:p w:rsidR="00BA5C63" w:rsidRPr="00C6642F" w:rsidRDefault="006F38D0" w:rsidP="00BA5C63">
            <w:pPr>
              <w:spacing w:before="1" w:after="1"/>
              <w:rPr>
                <w:sz w:val="20"/>
              </w:rPr>
            </w:pPr>
            <w:r w:rsidRPr="00C6642F">
              <w:rPr>
                <w:sz w:val="20"/>
              </w:rPr>
              <w:t>Unrecognized equity-based compensation expense:</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spacing w:before="1" w:after="1"/>
              <w:rPr>
                <w:sz w:val="20"/>
              </w:rPr>
            </w:pPr>
          </w:p>
        </w:tc>
        <w:tc>
          <w:tcPr>
            <w:tcW w:w="846"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spacing w:before="1" w:after="1"/>
              <w:rPr>
                <w:sz w:val="20"/>
              </w:rPr>
            </w:pP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spacing w:before="1" w:after="1"/>
              <w:rPr>
                <w:sz w:val="20"/>
              </w:rPr>
            </w:pPr>
          </w:p>
        </w:tc>
        <w:tc>
          <w:tcPr>
            <w:tcW w:w="181"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spacing w:before="1" w:after="1"/>
              <w:rPr>
                <w:sz w:val="20"/>
              </w:rPr>
            </w:pPr>
          </w:p>
        </w:tc>
        <w:tc>
          <w:tcPr>
            <w:tcW w:w="713" w:type="pct"/>
            <w:tcBorders>
              <w:top w:val="single" w:sz="0" w:space="0" w:color="000000"/>
              <w:left w:val="nil"/>
              <w:bottom w:val="nil"/>
              <w:right w:val="nil"/>
              <w:tl2br w:val="nil"/>
              <w:tr2bl w:val="nil"/>
            </w:tcBorders>
            <w:shd w:val="clear" w:color="auto" w:fill="CCEEFF"/>
            <w:vAlign w:val="bottom"/>
          </w:tcPr>
          <w:p w:rsidR="00BA5C63" w:rsidRPr="00C6642F" w:rsidRDefault="00BA5C63" w:rsidP="00BA5C63">
            <w:pPr>
              <w:spacing w:before="1" w:after="1"/>
              <w:rPr>
                <w:sz w:val="20"/>
              </w:rPr>
            </w:pPr>
          </w:p>
        </w:tc>
      </w:tr>
      <w:tr w:rsidR="00BA5C63" w:rsidRPr="00C6642F" w:rsidTr="00BA5C63">
        <w:trPr>
          <w:trHeight w:hRule="exact" w:val="255"/>
        </w:trPr>
        <w:tc>
          <w:tcPr>
            <w:tcW w:w="3032" w:type="pct"/>
            <w:tcBorders>
              <w:top w:val="nil"/>
              <w:left w:val="nil"/>
              <w:bottom w:val="nil"/>
              <w:right w:val="nil"/>
              <w:tl2br w:val="nil"/>
              <w:tr2bl w:val="nil"/>
            </w:tcBorders>
            <w:vAlign w:val="bottom"/>
          </w:tcPr>
          <w:p w:rsidR="00BA5C63" w:rsidRPr="00C6642F" w:rsidRDefault="006F38D0" w:rsidP="00BA5C63">
            <w:pPr>
              <w:spacing w:before="1" w:after="1"/>
              <w:ind w:left="360"/>
              <w:rPr>
                <w:sz w:val="20"/>
              </w:rPr>
            </w:pPr>
            <w:r w:rsidRPr="00C6642F">
              <w:rPr>
                <w:sz w:val="20"/>
              </w:rPr>
              <w:t>Restricted stock awards</w:t>
            </w:r>
          </w:p>
        </w:tc>
        <w:tc>
          <w:tcPr>
            <w:tcW w:w="114" w:type="pct"/>
            <w:tcBorders>
              <w:top w:val="nil"/>
              <w:left w:val="nil"/>
              <w:bottom w:val="nil"/>
              <w:right w:val="nil"/>
              <w:tl2br w:val="nil"/>
              <w:tr2bl w:val="nil"/>
            </w:tcBorders>
            <w:vAlign w:val="bottom"/>
          </w:tcPr>
          <w:p w:rsidR="00BA5C63" w:rsidRPr="00C6642F" w:rsidRDefault="00BA5C63" w:rsidP="00BA5C63">
            <w:pPr>
              <w:spacing w:before="1" w:after="1"/>
              <w:rPr>
                <w:sz w:val="20"/>
              </w:rPr>
            </w:pPr>
          </w:p>
        </w:tc>
        <w:tc>
          <w:tcPr>
            <w:tcW w:w="846" w:type="pct"/>
            <w:tcBorders>
              <w:top w:val="nil"/>
              <w:left w:val="nil"/>
              <w:bottom w:val="nil"/>
              <w:right w:val="nil"/>
              <w:tl2br w:val="nil"/>
              <w:tr2bl w:val="nil"/>
            </w:tcBorders>
            <w:vAlign w:val="bottom"/>
          </w:tcPr>
          <w:p w:rsidR="00BA5C63" w:rsidRPr="00C6642F" w:rsidRDefault="006F38D0" w:rsidP="00BA5C63">
            <w:pPr>
              <w:spacing w:before="1" w:after="1"/>
              <w:jc w:val="center"/>
              <w:rPr>
                <w:sz w:val="20"/>
              </w:rPr>
            </w:pPr>
            <w:r w:rsidRPr="00C6642F">
              <w:rPr>
                <w:sz w:val="20"/>
              </w:rPr>
              <w:t>0.3</w:t>
            </w:r>
          </w:p>
        </w:tc>
        <w:tc>
          <w:tcPr>
            <w:tcW w:w="114" w:type="pct"/>
            <w:tcBorders>
              <w:top w:val="nil"/>
              <w:left w:val="nil"/>
              <w:bottom w:val="nil"/>
              <w:right w:val="nil"/>
              <w:tl2br w:val="nil"/>
              <w:tr2bl w:val="nil"/>
            </w:tcBorders>
            <w:vAlign w:val="bottom"/>
          </w:tcPr>
          <w:p w:rsidR="00BA5C63" w:rsidRPr="00C6642F" w:rsidRDefault="00BA5C63" w:rsidP="00BA5C63">
            <w:pPr>
              <w:spacing w:before="1" w:after="1"/>
              <w:rPr>
                <w:sz w:val="20"/>
              </w:rPr>
            </w:pPr>
          </w:p>
        </w:tc>
        <w:tc>
          <w:tcPr>
            <w:tcW w:w="181" w:type="pct"/>
            <w:tcBorders>
              <w:top w:val="nil"/>
              <w:left w:val="nil"/>
              <w:bottom w:val="nil"/>
              <w:right w:val="nil"/>
              <w:tl2br w:val="nil"/>
              <w:tr2bl w:val="nil"/>
            </w:tcBorders>
            <w:vAlign w:val="bottom"/>
          </w:tcPr>
          <w:p w:rsidR="00BA5C63" w:rsidRPr="00C6642F" w:rsidRDefault="006F38D0" w:rsidP="00BA5C63">
            <w:pPr>
              <w:spacing w:before="1" w:after="1"/>
              <w:rPr>
                <w:b/>
                <w:sz w:val="20"/>
              </w:rPr>
            </w:pPr>
            <w:r w:rsidRPr="00C6642F">
              <w:rPr>
                <w:b/>
                <w:sz w:val="20"/>
              </w:rPr>
              <w:t>$</w:t>
            </w:r>
          </w:p>
        </w:tc>
        <w:tc>
          <w:tcPr>
            <w:tcW w:w="713" w:type="pct"/>
            <w:tcBorders>
              <w:top w:val="nil"/>
              <w:left w:val="nil"/>
              <w:bottom w:val="nil"/>
              <w:right w:val="nil"/>
              <w:tl2br w:val="nil"/>
              <w:tr2bl w:val="nil"/>
            </w:tcBorders>
            <w:vAlign w:val="bottom"/>
          </w:tcPr>
          <w:p w:rsidR="00BA5C63" w:rsidRPr="00C6642F" w:rsidRDefault="006F38D0" w:rsidP="00BA5C63">
            <w:pPr>
              <w:spacing w:before="1" w:after="1"/>
              <w:ind w:right="63"/>
              <w:jc w:val="right"/>
              <w:rPr>
                <w:b/>
                <w:sz w:val="20"/>
              </w:rPr>
            </w:pPr>
            <w:r w:rsidRPr="00C6642F">
              <w:rPr>
                <w:b/>
                <w:sz w:val="20"/>
              </w:rPr>
              <w:t xml:space="preserve"> 1</w:t>
            </w:r>
          </w:p>
        </w:tc>
      </w:tr>
      <w:tr w:rsidR="00BA5C63" w:rsidRPr="00C6642F" w:rsidTr="00BA5C63">
        <w:trPr>
          <w:trHeight w:hRule="exact" w:val="255"/>
        </w:trPr>
        <w:tc>
          <w:tcPr>
            <w:tcW w:w="3032" w:type="pct"/>
            <w:tcBorders>
              <w:top w:val="nil"/>
              <w:left w:val="nil"/>
              <w:bottom w:val="nil"/>
              <w:right w:val="nil"/>
              <w:tl2br w:val="nil"/>
              <w:tr2bl w:val="nil"/>
            </w:tcBorders>
            <w:shd w:val="clear" w:color="auto" w:fill="CCEEFF"/>
            <w:vAlign w:val="bottom"/>
          </w:tcPr>
          <w:p w:rsidR="00BA5C63" w:rsidRPr="00C6642F" w:rsidRDefault="006F38D0" w:rsidP="00BA5C63">
            <w:pPr>
              <w:spacing w:before="1" w:after="1"/>
              <w:ind w:left="360"/>
              <w:rPr>
                <w:sz w:val="20"/>
              </w:rPr>
            </w:pPr>
            <w:r w:rsidRPr="00C6642F">
              <w:rPr>
                <w:sz w:val="20"/>
              </w:rPr>
              <w:t>Restricted stock unit awards</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spacing w:before="1" w:after="1"/>
              <w:rPr>
                <w:sz w:val="20"/>
              </w:rPr>
            </w:pPr>
          </w:p>
        </w:tc>
        <w:tc>
          <w:tcPr>
            <w:tcW w:w="846" w:type="pct"/>
            <w:tcBorders>
              <w:top w:val="nil"/>
              <w:left w:val="nil"/>
              <w:bottom w:val="nil"/>
              <w:right w:val="nil"/>
              <w:tl2br w:val="nil"/>
              <w:tr2bl w:val="nil"/>
            </w:tcBorders>
            <w:shd w:val="clear" w:color="auto" w:fill="CCEEFF"/>
            <w:vAlign w:val="bottom"/>
          </w:tcPr>
          <w:p w:rsidR="00BA5C63" w:rsidRPr="00C6642F" w:rsidRDefault="006F38D0" w:rsidP="00BA5C63">
            <w:pPr>
              <w:spacing w:before="1" w:after="1"/>
              <w:jc w:val="center"/>
              <w:rPr>
                <w:sz w:val="20"/>
              </w:rPr>
            </w:pPr>
            <w:r w:rsidRPr="00C6642F">
              <w:rPr>
                <w:sz w:val="20"/>
              </w:rPr>
              <w:t>0.8</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spacing w:before="1" w:after="1"/>
              <w:rPr>
                <w:sz w:val="20"/>
              </w:rPr>
            </w:pPr>
          </w:p>
        </w:tc>
        <w:tc>
          <w:tcPr>
            <w:tcW w:w="181" w:type="pct"/>
            <w:tcBorders>
              <w:top w:val="nil"/>
              <w:left w:val="nil"/>
              <w:bottom w:val="nil"/>
              <w:right w:val="nil"/>
              <w:tl2br w:val="nil"/>
              <w:tr2bl w:val="nil"/>
            </w:tcBorders>
            <w:shd w:val="clear" w:color="auto" w:fill="CCEEFF"/>
            <w:vAlign w:val="bottom"/>
          </w:tcPr>
          <w:p w:rsidR="00BA5C63" w:rsidRPr="00C6642F" w:rsidRDefault="00BA5C63" w:rsidP="00BA5C63">
            <w:pPr>
              <w:spacing w:before="1" w:after="1"/>
              <w:rPr>
                <w:sz w:val="20"/>
              </w:rPr>
            </w:pPr>
          </w:p>
        </w:tc>
        <w:tc>
          <w:tcPr>
            <w:tcW w:w="713" w:type="pct"/>
            <w:tcBorders>
              <w:top w:val="nil"/>
              <w:left w:val="nil"/>
              <w:bottom w:val="nil"/>
              <w:right w:val="nil"/>
              <w:tl2br w:val="nil"/>
              <w:tr2bl w:val="nil"/>
            </w:tcBorders>
            <w:shd w:val="clear" w:color="auto" w:fill="CCEEFF"/>
            <w:vAlign w:val="bottom"/>
          </w:tcPr>
          <w:p w:rsidR="00BA5C63" w:rsidRPr="00C6642F" w:rsidRDefault="006F38D0" w:rsidP="00BA5C63">
            <w:pPr>
              <w:spacing w:before="1" w:after="1"/>
              <w:ind w:right="63"/>
              <w:jc w:val="right"/>
              <w:rPr>
                <w:b/>
                <w:sz w:val="20"/>
              </w:rPr>
            </w:pPr>
            <w:r w:rsidRPr="00C6642F">
              <w:rPr>
                <w:b/>
                <w:sz w:val="20"/>
              </w:rPr>
              <w:t xml:space="preserve"> 8</w:t>
            </w:r>
          </w:p>
        </w:tc>
      </w:tr>
      <w:tr w:rsidR="00BA5C63" w:rsidRPr="00C6642F" w:rsidTr="00BA5C63">
        <w:trPr>
          <w:trHeight w:hRule="exact" w:val="255"/>
        </w:trPr>
        <w:tc>
          <w:tcPr>
            <w:tcW w:w="3032" w:type="pct"/>
            <w:tcBorders>
              <w:top w:val="nil"/>
              <w:left w:val="nil"/>
              <w:bottom w:val="nil"/>
              <w:right w:val="nil"/>
              <w:tl2br w:val="nil"/>
              <w:tr2bl w:val="nil"/>
            </w:tcBorders>
            <w:vAlign w:val="bottom"/>
          </w:tcPr>
          <w:p w:rsidR="00BA5C63" w:rsidRPr="00C6642F" w:rsidRDefault="006F38D0" w:rsidP="00BA5C63">
            <w:pPr>
              <w:spacing w:before="1" w:after="1"/>
              <w:ind w:left="360"/>
              <w:rPr>
                <w:sz w:val="20"/>
              </w:rPr>
            </w:pPr>
            <w:r w:rsidRPr="00C6642F">
              <w:rPr>
                <w:sz w:val="20"/>
              </w:rPr>
              <w:t>Performance share unit awards</w:t>
            </w:r>
          </w:p>
        </w:tc>
        <w:tc>
          <w:tcPr>
            <w:tcW w:w="114" w:type="pct"/>
            <w:tcBorders>
              <w:top w:val="nil"/>
              <w:left w:val="nil"/>
              <w:bottom w:val="nil"/>
              <w:right w:val="nil"/>
              <w:tl2br w:val="nil"/>
              <w:tr2bl w:val="nil"/>
            </w:tcBorders>
            <w:vAlign w:val="bottom"/>
          </w:tcPr>
          <w:p w:rsidR="00BA5C63" w:rsidRPr="00C6642F" w:rsidRDefault="00BA5C63" w:rsidP="00BA5C63">
            <w:pPr>
              <w:spacing w:before="1" w:after="1"/>
              <w:rPr>
                <w:sz w:val="20"/>
              </w:rPr>
            </w:pPr>
          </w:p>
        </w:tc>
        <w:tc>
          <w:tcPr>
            <w:tcW w:w="846" w:type="pct"/>
            <w:tcBorders>
              <w:top w:val="nil"/>
              <w:left w:val="nil"/>
              <w:bottom w:val="nil"/>
              <w:right w:val="nil"/>
              <w:tl2br w:val="nil"/>
              <w:tr2bl w:val="nil"/>
            </w:tcBorders>
            <w:vAlign w:val="bottom"/>
          </w:tcPr>
          <w:p w:rsidR="00BA5C63" w:rsidRPr="00C6642F" w:rsidRDefault="006F38D0" w:rsidP="00BA5C63">
            <w:pPr>
              <w:spacing w:before="1" w:after="1"/>
              <w:jc w:val="center"/>
              <w:rPr>
                <w:sz w:val="20"/>
              </w:rPr>
            </w:pPr>
            <w:r w:rsidRPr="00C6642F">
              <w:rPr>
                <w:sz w:val="20"/>
              </w:rPr>
              <w:t>1.3</w:t>
            </w:r>
          </w:p>
        </w:tc>
        <w:tc>
          <w:tcPr>
            <w:tcW w:w="114" w:type="pct"/>
            <w:tcBorders>
              <w:top w:val="nil"/>
              <w:left w:val="nil"/>
              <w:bottom w:val="nil"/>
              <w:right w:val="nil"/>
              <w:tl2br w:val="nil"/>
              <w:tr2bl w:val="nil"/>
            </w:tcBorders>
            <w:vAlign w:val="bottom"/>
          </w:tcPr>
          <w:p w:rsidR="00BA5C63" w:rsidRPr="00C6642F" w:rsidRDefault="00BA5C63" w:rsidP="00BA5C63">
            <w:pPr>
              <w:spacing w:before="1" w:after="1"/>
              <w:rPr>
                <w:sz w:val="20"/>
              </w:rPr>
            </w:pPr>
          </w:p>
        </w:tc>
        <w:tc>
          <w:tcPr>
            <w:tcW w:w="181" w:type="pct"/>
            <w:tcBorders>
              <w:top w:val="nil"/>
              <w:left w:val="nil"/>
              <w:bottom w:val="single" w:sz="12" w:space="0" w:color="000000"/>
              <w:right w:val="nil"/>
              <w:tl2br w:val="nil"/>
              <w:tr2bl w:val="nil"/>
            </w:tcBorders>
            <w:vAlign w:val="bottom"/>
          </w:tcPr>
          <w:p w:rsidR="00BA5C63" w:rsidRPr="00C6642F" w:rsidRDefault="00BA5C63" w:rsidP="00BA5C63">
            <w:pPr>
              <w:spacing w:before="1" w:after="1"/>
              <w:rPr>
                <w:b/>
                <w:sz w:val="20"/>
              </w:rPr>
            </w:pPr>
          </w:p>
        </w:tc>
        <w:tc>
          <w:tcPr>
            <w:tcW w:w="713" w:type="pct"/>
            <w:tcBorders>
              <w:top w:val="nil"/>
              <w:left w:val="nil"/>
              <w:bottom w:val="single" w:sz="12" w:space="0" w:color="000000"/>
              <w:right w:val="nil"/>
              <w:tl2br w:val="nil"/>
              <w:tr2bl w:val="nil"/>
            </w:tcBorders>
            <w:vAlign w:val="bottom"/>
          </w:tcPr>
          <w:p w:rsidR="00BA5C63" w:rsidRPr="00C6642F" w:rsidRDefault="006F38D0" w:rsidP="00BA5C63">
            <w:pPr>
              <w:spacing w:before="1" w:after="1"/>
              <w:ind w:right="63"/>
              <w:jc w:val="right"/>
              <w:rPr>
                <w:b/>
                <w:sz w:val="20"/>
              </w:rPr>
            </w:pPr>
            <w:r w:rsidRPr="00C6642F">
              <w:rPr>
                <w:b/>
                <w:sz w:val="20"/>
              </w:rPr>
              <w:t xml:space="preserve"> 3</w:t>
            </w:r>
          </w:p>
        </w:tc>
      </w:tr>
      <w:tr w:rsidR="00BA5C63" w:rsidRPr="00C6642F" w:rsidTr="00BA5C63">
        <w:trPr>
          <w:trHeight w:hRule="exact" w:val="405"/>
        </w:trPr>
        <w:tc>
          <w:tcPr>
            <w:tcW w:w="3032" w:type="pct"/>
            <w:tcBorders>
              <w:top w:val="nil"/>
              <w:left w:val="nil"/>
              <w:bottom w:val="nil"/>
              <w:right w:val="nil"/>
              <w:tl2br w:val="nil"/>
              <w:tr2bl w:val="nil"/>
            </w:tcBorders>
            <w:shd w:val="clear" w:color="auto" w:fill="CCEEFF"/>
            <w:vAlign w:val="bottom"/>
          </w:tcPr>
          <w:p w:rsidR="00BA5C63" w:rsidRPr="00C6642F" w:rsidRDefault="006F38D0" w:rsidP="00BA5C63">
            <w:pPr>
              <w:spacing w:before="1" w:after="1"/>
              <w:rPr>
                <w:sz w:val="20"/>
              </w:rPr>
            </w:pPr>
            <w:r w:rsidRPr="00C6642F">
              <w:rPr>
                <w:sz w:val="20"/>
              </w:rPr>
              <w:t>Total unrecognized equity-based compensation expense</w:t>
            </w: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spacing w:before="1" w:after="1"/>
              <w:rPr>
                <w:sz w:val="20"/>
              </w:rPr>
            </w:pPr>
          </w:p>
        </w:tc>
        <w:tc>
          <w:tcPr>
            <w:tcW w:w="846" w:type="pct"/>
            <w:tcBorders>
              <w:top w:val="nil"/>
              <w:left w:val="nil"/>
              <w:bottom w:val="nil"/>
              <w:right w:val="nil"/>
              <w:tl2br w:val="nil"/>
              <w:tr2bl w:val="nil"/>
            </w:tcBorders>
            <w:shd w:val="clear" w:color="auto" w:fill="CCEEFF"/>
            <w:vAlign w:val="bottom"/>
          </w:tcPr>
          <w:p w:rsidR="00BA5C63" w:rsidRPr="00C6642F" w:rsidRDefault="00BA5C63" w:rsidP="00BA5C63">
            <w:pPr>
              <w:spacing w:before="1" w:after="1"/>
              <w:rPr>
                <w:sz w:val="20"/>
              </w:rPr>
            </w:pPr>
          </w:p>
        </w:tc>
        <w:tc>
          <w:tcPr>
            <w:tcW w:w="114" w:type="pct"/>
            <w:tcBorders>
              <w:top w:val="nil"/>
              <w:left w:val="nil"/>
              <w:bottom w:val="nil"/>
              <w:right w:val="nil"/>
              <w:tl2br w:val="nil"/>
              <w:tr2bl w:val="nil"/>
            </w:tcBorders>
            <w:shd w:val="clear" w:color="auto" w:fill="CCEEFF"/>
            <w:vAlign w:val="bottom"/>
          </w:tcPr>
          <w:p w:rsidR="00BA5C63" w:rsidRPr="00C6642F" w:rsidRDefault="00BA5C63" w:rsidP="00BA5C63">
            <w:pPr>
              <w:spacing w:before="1" w:after="1"/>
              <w:rPr>
                <w:sz w:val="20"/>
              </w:rPr>
            </w:pPr>
          </w:p>
        </w:tc>
        <w:tc>
          <w:tcPr>
            <w:tcW w:w="181" w:type="pct"/>
            <w:tcBorders>
              <w:top w:val="single" w:sz="0" w:space="0" w:color="000000"/>
              <w:left w:val="nil"/>
              <w:bottom w:val="double" w:sz="4" w:space="0" w:color="000000"/>
              <w:right w:val="nil"/>
              <w:tl2br w:val="nil"/>
              <w:tr2bl w:val="nil"/>
            </w:tcBorders>
            <w:shd w:val="clear" w:color="auto" w:fill="CCEEFF"/>
            <w:vAlign w:val="bottom"/>
          </w:tcPr>
          <w:p w:rsidR="00BA5C63" w:rsidRPr="00C6642F" w:rsidRDefault="006F38D0" w:rsidP="00BA5C63">
            <w:pPr>
              <w:spacing w:before="1" w:after="1"/>
              <w:rPr>
                <w:b/>
                <w:sz w:val="20"/>
              </w:rPr>
            </w:pPr>
            <w:r w:rsidRPr="00C6642F">
              <w:rPr>
                <w:b/>
                <w:sz w:val="20"/>
              </w:rPr>
              <w:t>$</w:t>
            </w:r>
          </w:p>
        </w:tc>
        <w:tc>
          <w:tcPr>
            <w:tcW w:w="713" w:type="pct"/>
            <w:tcBorders>
              <w:top w:val="single" w:sz="0" w:space="0" w:color="000000"/>
              <w:left w:val="nil"/>
              <w:bottom w:val="double" w:sz="4" w:space="0" w:color="000000"/>
              <w:right w:val="nil"/>
              <w:tl2br w:val="nil"/>
              <w:tr2bl w:val="nil"/>
            </w:tcBorders>
            <w:shd w:val="clear" w:color="auto" w:fill="CCEEFF"/>
            <w:vAlign w:val="bottom"/>
          </w:tcPr>
          <w:p w:rsidR="00BA5C63" w:rsidRPr="00C6642F" w:rsidRDefault="006F38D0" w:rsidP="00BA5C63">
            <w:pPr>
              <w:spacing w:before="1" w:after="1"/>
              <w:ind w:right="63"/>
              <w:jc w:val="right"/>
              <w:rPr>
                <w:b/>
                <w:sz w:val="20"/>
              </w:rPr>
            </w:pPr>
            <w:r w:rsidRPr="00C6642F">
              <w:rPr>
                <w:b/>
                <w:sz w:val="20"/>
              </w:rPr>
              <w:t xml:space="preserve"> 12</w:t>
            </w:r>
          </w:p>
        </w:tc>
      </w:tr>
    </w:tbl>
    <w:p w:rsidR="00BA5C63" w:rsidRPr="00DE254A" w:rsidRDefault="006F38D0" w:rsidP="00BA5C63">
      <w:pPr>
        <w:pStyle w:val="NormalWeb"/>
        <w:keepNext/>
        <w:keepLines/>
        <w:widowControl w:val="0"/>
        <w:spacing w:before="180" w:after="0"/>
        <w:rPr>
          <w:sz w:val="20"/>
          <w:szCs w:val="20"/>
        </w:rPr>
      </w:pPr>
      <w:r w:rsidRPr="00C6642F">
        <w:rPr>
          <w:b/>
          <w:bCs/>
          <w:sz w:val="20"/>
          <w:szCs w:val="20"/>
          <w:u w:val="single"/>
        </w:rPr>
        <w:t>Defined Contribution Employee Benefit Plans</w:t>
      </w:r>
      <w:r w:rsidRPr="00C6642F">
        <w:rPr>
          <w:sz w:val="20"/>
          <w:szCs w:val="20"/>
        </w:rPr>
        <w:t xml:space="preserve">: We maintain defined contribution employee benefit plans in a number of countries in which we operate including the U.S. and Canada. These plans generally allow employees the option to defer a percentage of their compensation in accordance with local tax laws. In addition, we make contributions under these plans ranging from 1% to 10% of eligible compensation. Expense under defined contribution plans were $9 million, $10 million and $9 million for the years ended December 31, 2019, 2018 and 2017. </w:t>
      </w:r>
    </w:p>
    <w:p w:rsidR="000121CD" w:rsidRPr="00C6642F" w:rsidRDefault="00590862" w:rsidP="009F1AEA">
      <w:pPr>
        <w:pStyle w:val="NormalWeb"/>
        <w:keepNext/>
        <w:widowControl w:val="0"/>
        <w:spacing w:before="120" w:beforeAutospacing="0" w:after="0" w:afterAutospacing="0"/>
      </w:pPr>
      <w:r w:rsidRPr="00C6642F">
        <w:rPr>
          <w:b/>
          <w:bCs/>
          <w:sz w:val="20"/>
          <w:szCs w:val="20"/>
          <w:u w:val="single"/>
        </w:rPr>
        <w:t>NOTE 1</w:t>
      </w:r>
      <w:r w:rsidR="000D0795" w:rsidRPr="00C6642F">
        <w:rPr>
          <w:b/>
          <w:bCs/>
          <w:sz w:val="20"/>
          <w:szCs w:val="20"/>
          <w:u w:val="single"/>
        </w:rPr>
        <w:t>4</w:t>
      </w:r>
      <w:r w:rsidRPr="00C6642F">
        <w:rPr>
          <w:b/>
          <w:bCs/>
          <w:sz w:val="20"/>
          <w:szCs w:val="20"/>
          <w:u w:val="single"/>
        </w:rPr>
        <w:t xml:space="preserve">—RELATED PARTY TRANSACTIONS </w:t>
      </w:r>
    </w:p>
    <w:p w:rsidR="000121CD" w:rsidRPr="00C6642F" w:rsidRDefault="00590862" w:rsidP="009F1AEA">
      <w:pPr>
        <w:pStyle w:val="NormalWeb"/>
        <w:keepNext/>
        <w:widowControl w:val="0"/>
        <w:spacing w:before="120" w:beforeAutospacing="0" w:after="0" w:afterAutospacing="0"/>
      </w:pPr>
      <w:r w:rsidRPr="00C6642F">
        <w:rPr>
          <w:b/>
          <w:bCs/>
          <w:i/>
          <w:iCs/>
          <w:sz w:val="20"/>
          <w:szCs w:val="20"/>
        </w:rPr>
        <w:t xml:space="preserve">Leases </w:t>
      </w:r>
    </w:p>
    <w:p w:rsidR="000121CD" w:rsidRPr="00C6642F" w:rsidRDefault="00590862" w:rsidP="009F1AEA">
      <w:pPr>
        <w:pStyle w:val="NormalWeb"/>
        <w:keepNext/>
        <w:widowControl w:val="0"/>
        <w:spacing w:before="120" w:beforeAutospacing="0" w:after="0" w:afterAutospacing="0"/>
      </w:pPr>
      <w:r w:rsidRPr="00C6642F">
        <w:rPr>
          <w:sz w:val="20"/>
          <w:szCs w:val="20"/>
        </w:rPr>
        <w:t>We lease land and buildings at various locations from Hansford Associates Limited Partnership (“Hansford Associates”) and Prideco LLC (“Prideco”). Certain of our directors participate in ownership of Hansford Associates and Prideco. Most of these leases are renewable for various periods through 202</w:t>
      </w:r>
      <w:r w:rsidR="00B46C21" w:rsidRPr="00C6642F">
        <w:rPr>
          <w:sz w:val="20"/>
          <w:szCs w:val="20"/>
        </w:rPr>
        <w:t>4</w:t>
      </w:r>
      <w:r w:rsidRPr="00C6642F">
        <w:rPr>
          <w:sz w:val="20"/>
          <w:szCs w:val="20"/>
        </w:rPr>
        <w:t xml:space="preserve"> and are renewable at our option. The renewal options are subject to escalation clauses. These leases contain clauses for payment of real estate taxes, maintenance, insurance and certain other operating expenses of the properties. </w:t>
      </w:r>
    </w:p>
    <w:p w:rsidR="000121CD" w:rsidRPr="00C6642F" w:rsidRDefault="00590862">
      <w:pPr>
        <w:pStyle w:val="NormalWeb"/>
        <w:widowControl w:val="0"/>
        <w:spacing w:before="120" w:beforeAutospacing="0" w:after="0" w:afterAutospacing="0"/>
        <w:rPr>
          <w:sz w:val="20"/>
          <w:szCs w:val="20"/>
        </w:rPr>
      </w:pPr>
      <w:r w:rsidRPr="00C6642F">
        <w:rPr>
          <w:sz w:val="20"/>
          <w:szCs w:val="20"/>
        </w:rPr>
        <w:t>Rent expense attributable to related parties was $</w:t>
      </w:r>
      <w:r w:rsidR="004067D9" w:rsidRPr="00C6642F">
        <w:rPr>
          <w:sz w:val="20"/>
          <w:szCs w:val="20"/>
        </w:rPr>
        <w:t>1</w:t>
      </w:r>
      <w:r w:rsidRPr="00C6642F">
        <w:rPr>
          <w:sz w:val="20"/>
          <w:szCs w:val="20"/>
        </w:rPr>
        <w:t xml:space="preserve"> million for the year ended </w:t>
      </w:r>
      <w:r w:rsidR="003627E3" w:rsidRPr="00C6642F">
        <w:rPr>
          <w:sz w:val="20"/>
          <w:szCs w:val="20"/>
        </w:rPr>
        <w:t>December 31, 2019</w:t>
      </w:r>
      <w:r w:rsidR="00B46C21" w:rsidRPr="00C6642F">
        <w:rPr>
          <w:sz w:val="20"/>
          <w:szCs w:val="20"/>
        </w:rPr>
        <w:t xml:space="preserve"> and $2 million for</w:t>
      </w:r>
      <w:r w:rsidR="008B772B" w:rsidRPr="00C6642F">
        <w:rPr>
          <w:sz w:val="20"/>
          <w:szCs w:val="20"/>
        </w:rPr>
        <w:t xml:space="preserve"> each of</w:t>
      </w:r>
      <w:r w:rsidR="00B46C21" w:rsidRPr="00C6642F">
        <w:rPr>
          <w:sz w:val="20"/>
          <w:szCs w:val="20"/>
        </w:rPr>
        <w:t xml:space="preserve"> the years ended December 31,</w:t>
      </w:r>
      <w:r w:rsidR="003627E3" w:rsidRPr="00C6642F">
        <w:rPr>
          <w:sz w:val="20"/>
          <w:szCs w:val="20"/>
        </w:rPr>
        <w:t xml:space="preserve"> 2018 and 2017</w:t>
      </w:r>
      <w:r w:rsidRPr="00C6642F">
        <w:rPr>
          <w:sz w:val="20"/>
          <w:szCs w:val="20"/>
        </w:rPr>
        <w:t xml:space="preserve">. </w:t>
      </w:r>
    </w:p>
    <w:p w:rsidR="000121CD" w:rsidRPr="00C6642F" w:rsidRDefault="00590862">
      <w:pPr>
        <w:pStyle w:val="NormalWeb"/>
        <w:widowControl w:val="0"/>
        <w:spacing w:before="120" w:beforeAutospacing="0" w:after="0" w:afterAutospacing="0"/>
        <w:rPr>
          <w:sz w:val="20"/>
          <w:szCs w:val="20"/>
        </w:rPr>
      </w:pPr>
      <w:r w:rsidRPr="00C6642F">
        <w:rPr>
          <w:sz w:val="2"/>
        </w:rPr>
        <w:t xml:space="preserve"> </w:t>
      </w:r>
      <w:r w:rsidRPr="00C6642F">
        <w:rPr>
          <w:sz w:val="20"/>
          <w:szCs w:val="20"/>
        </w:rPr>
        <w:t xml:space="preserve">Future minimum rental payments required under operating leases with related parties that have initial or remaining non-cancelable lease terms in excess of one year are $1 million </w:t>
      </w:r>
      <w:r w:rsidR="00B635BE" w:rsidRPr="00C6642F">
        <w:rPr>
          <w:sz w:val="20"/>
          <w:szCs w:val="20"/>
        </w:rPr>
        <w:t xml:space="preserve">per year from </w:t>
      </w:r>
      <w:r w:rsidRPr="00C6642F">
        <w:rPr>
          <w:sz w:val="20"/>
          <w:szCs w:val="20"/>
        </w:rPr>
        <w:t>20</w:t>
      </w:r>
      <w:r w:rsidR="006B5902" w:rsidRPr="00C6642F">
        <w:rPr>
          <w:sz w:val="20"/>
          <w:szCs w:val="20"/>
        </w:rPr>
        <w:t>20</w:t>
      </w:r>
      <w:r w:rsidR="00B635BE" w:rsidRPr="00C6642F">
        <w:rPr>
          <w:sz w:val="20"/>
          <w:szCs w:val="20"/>
        </w:rPr>
        <w:t xml:space="preserve"> to 2023.</w:t>
      </w:r>
      <w:r w:rsidRPr="00C6642F">
        <w:rPr>
          <w:sz w:val="20"/>
          <w:szCs w:val="20"/>
        </w:rPr>
        <w:t xml:space="preserve"> </w:t>
      </w:r>
    </w:p>
    <w:p w:rsidR="000121CD" w:rsidRPr="00C6642F" w:rsidRDefault="00590862">
      <w:pPr>
        <w:pStyle w:val="NormalWeb"/>
        <w:widowControl w:val="0"/>
        <w:spacing w:before="120" w:beforeAutospacing="0" w:after="0" w:afterAutospacing="0"/>
        <w:rPr>
          <w:b/>
          <w:i/>
          <w:sz w:val="20"/>
          <w:szCs w:val="20"/>
        </w:rPr>
      </w:pPr>
      <w:r w:rsidRPr="00C6642F">
        <w:rPr>
          <w:b/>
          <w:i/>
          <w:sz w:val="20"/>
          <w:szCs w:val="20"/>
        </w:rPr>
        <w:t>Customers</w:t>
      </w:r>
    </w:p>
    <w:p w:rsidR="000121CD" w:rsidRDefault="00590862">
      <w:pPr>
        <w:pStyle w:val="NormalWeb"/>
        <w:widowControl w:val="0"/>
        <w:spacing w:before="120" w:beforeAutospacing="0" w:after="0" w:afterAutospacing="0"/>
        <w:rPr>
          <w:sz w:val="20"/>
          <w:szCs w:val="20"/>
        </w:rPr>
      </w:pPr>
      <w:r w:rsidRPr="00C6642F">
        <w:rPr>
          <w:sz w:val="20"/>
          <w:szCs w:val="20"/>
        </w:rPr>
        <w:t>Certain members of our Board of Directors are also on the board of directors of certain of our customers with which we do business in the ordinary course. We recognized revenue of $</w:t>
      </w:r>
      <w:r w:rsidR="004067D9" w:rsidRPr="00C6642F">
        <w:rPr>
          <w:sz w:val="20"/>
          <w:szCs w:val="20"/>
        </w:rPr>
        <w:t>18</w:t>
      </w:r>
      <w:r w:rsidRPr="00C6642F">
        <w:rPr>
          <w:sz w:val="20"/>
          <w:szCs w:val="20"/>
        </w:rPr>
        <w:t xml:space="preserve"> million, $</w:t>
      </w:r>
      <w:r w:rsidR="006B5902" w:rsidRPr="00C6642F">
        <w:rPr>
          <w:sz w:val="20"/>
          <w:szCs w:val="20"/>
        </w:rPr>
        <w:t>34</w:t>
      </w:r>
      <w:r w:rsidRPr="00C6642F">
        <w:rPr>
          <w:sz w:val="20"/>
          <w:szCs w:val="20"/>
        </w:rPr>
        <w:t xml:space="preserve"> million and $</w:t>
      </w:r>
      <w:r w:rsidR="006B5902" w:rsidRPr="00C6642F">
        <w:rPr>
          <w:sz w:val="20"/>
          <w:szCs w:val="20"/>
        </w:rPr>
        <w:t>5</w:t>
      </w:r>
      <w:r w:rsidRPr="00C6642F">
        <w:rPr>
          <w:sz w:val="20"/>
          <w:szCs w:val="20"/>
        </w:rPr>
        <w:t xml:space="preserve"> million from these customers for the years ended </w:t>
      </w:r>
      <w:r w:rsidR="003627E3" w:rsidRPr="00C6642F">
        <w:rPr>
          <w:sz w:val="20"/>
          <w:szCs w:val="20"/>
        </w:rPr>
        <w:t>December 31, 2019, 2018 and 2017</w:t>
      </w:r>
      <w:r w:rsidRPr="00C6642F">
        <w:rPr>
          <w:sz w:val="20"/>
          <w:szCs w:val="20"/>
        </w:rPr>
        <w:t>, respectively. There was $</w:t>
      </w:r>
      <w:r w:rsidR="004067D9" w:rsidRPr="00C6642F">
        <w:rPr>
          <w:sz w:val="20"/>
          <w:szCs w:val="20"/>
        </w:rPr>
        <w:t>1</w:t>
      </w:r>
      <w:r w:rsidRPr="00C6642F">
        <w:rPr>
          <w:sz w:val="20"/>
          <w:szCs w:val="20"/>
        </w:rPr>
        <w:t xml:space="preserve"> million and $</w:t>
      </w:r>
      <w:r w:rsidR="00DF0BDF" w:rsidRPr="00C6642F">
        <w:rPr>
          <w:sz w:val="20"/>
          <w:szCs w:val="20"/>
        </w:rPr>
        <w:t>5</w:t>
      </w:r>
      <w:r w:rsidRPr="00C6642F">
        <w:rPr>
          <w:sz w:val="20"/>
          <w:szCs w:val="20"/>
        </w:rPr>
        <w:t xml:space="preserve"> million of accounts receivable with these customers outstanding as of </w:t>
      </w:r>
      <w:r w:rsidR="003627E3" w:rsidRPr="00C6642F">
        <w:rPr>
          <w:sz w:val="20"/>
          <w:szCs w:val="20"/>
        </w:rPr>
        <w:t>December 31, 2019</w:t>
      </w:r>
      <w:r w:rsidRPr="00C6642F">
        <w:rPr>
          <w:sz w:val="20"/>
          <w:szCs w:val="20"/>
        </w:rPr>
        <w:t xml:space="preserve"> and </w:t>
      </w:r>
      <w:r w:rsidR="003627E3" w:rsidRPr="00C6642F">
        <w:rPr>
          <w:sz w:val="20"/>
          <w:szCs w:val="20"/>
        </w:rPr>
        <w:t>2018</w:t>
      </w:r>
      <w:r w:rsidRPr="00C6642F">
        <w:rPr>
          <w:sz w:val="20"/>
          <w:szCs w:val="20"/>
        </w:rPr>
        <w:t>.</w:t>
      </w:r>
    </w:p>
    <w:p w:rsidR="000121CD" w:rsidRPr="00C6642F" w:rsidRDefault="00590862">
      <w:pPr>
        <w:pStyle w:val="NormalWeb"/>
        <w:keepNext/>
        <w:keepLines/>
        <w:widowControl w:val="0"/>
        <w:spacing w:before="270" w:beforeAutospacing="0" w:after="0" w:afterAutospacing="0"/>
      </w:pPr>
      <w:r w:rsidRPr="00C6642F">
        <w:rPr>
          <w:b/>
          <w:bCs/>
          <w:sz w:val="20"/>
          <w:szCs w:val="20"/>
          <w:u w:val="single"/>
        </w:rPr>
        <w:t>NOTE 1</w:t>
      </w:r>
      <w:r w:rsidR="000D0795" w:rsidRPr="00C6642F">
        <w:rPr>
          <w:b/>
          <w:bCs/>
          <w:sz w:val="20"/>
          <w:szCs w:val="20"/>
          <w:u w:val="single"/>
        </w:rPr>
        <w:t>5</w:t>
      </w:r>
      <w:r w:rsidRPr="00C6642F">
        <w:rPr>
          <w:b/>
          <w:bCs/>
          <w:sz w:val="20"/>
          <w:szCs w:val="20"/>
          <w:u w:val="single"/>
        </w:rPr>
        <w:t xml:space="preserve">—SEGMENT, GEOGRAPHIC AND PRODUCT LINE INFORMATION </w:t>
      </w:r>
    </w:p>
    <w:p w:rsidR="000121CD" w:rsidRPr="00C6642F" w:rsidRDefault="00773166">
      <w:pPr>
        <w:pStyle w:val="NormalWeb"/>
        <w:keepNext/>
        <w:keepLines/>
        <w:widowControl w:val="0"/>
        <w:spacing w:before="90" w:after="0" w:afterAutospacing="0"/>
        <w:rPr>
          <w:sz w:val="20"/>
          <w:szCs w:val="20"/>
        </w:rPr>
      </w:pPr>
      <w:r w:rsidRPr="00C6642F">
        <w:rPr>
          <w:sz w:val="20"/>
          <w:szCs w:val="20"/>
        </w:rPr>
        <w:t xml:space="preserve">In 2019, as a result of changes in our management structure, we combined our U.S. Eastern Region and Gulf Coast and our U.S. Western region into </w:t>
      </w:r>
      <w:r w:rsidR="00B635BE" w:rsidRPr="00C6642F">
        <w:rPr>
          <w:sz w:val="20"/>
          <w:szCs w:val="20"/>
        </w:rPr>
        <w:t>one</w:t>
      </w:r>
      <w:r w:rsidRPr="00C6642F">
        <w:rPr>
          <w:sz w:val="20"/>
          <w:szCs w:val="20"/>
        </w:rPr>
        <w:t xml:space="preserve"> operating segment. Previously, the</w:t>
      </w:r>
      <w:r w:rsidR="006135CE" w:rsidRPr="00C6642F">
        <w:rPr>
          <w:sz w:val="20"/>
          <w:szCs w:val="20"/>
        </w:rPr>
        <w:t xml:space="preserve"> two </w:t>
      </w:r>
      <w:r w:rsidRPr="00C6642F">
        <w:rPr>
          <w:sz w:val="20"/>
          <w:szCs w:val="20"/>
        </w:rPr>
        <w:t>separate</w:t>
      </w:r>
      <w:r w:rsidR="006135CE" w:rsidRPr="00C6642F">
        <w:rPr>
          <w:sz w:val="20"/>
          <w:szCs w:val="20"/>
        </w:rPr>
        <w:t xml:space="preserve"> U.S.</w:t>
      </w:r>
      <w:r w:rsidRPr="00C6642F">
        <w:rPr>
          <w:sz w:val="20"/>
          <w:szCs w:val="20"/>
        </w:rPr>
        <w:t xml:space="preserve"> operating segments were combined for reporting purposes as a result of their economic similarity.  Following this change, our business is comprised of three operating and reportable segments: U.S., Canada and International. </w:t>
      </w:r>
      <w:r w:rsidR="00590862" w:rsidRPr="00C6642F">
        <w:rPr>
          <w:sz w:val="20"/>
          <w:szCs w:val="20"/>
        </w:rPr>
        <w:t xml:space="preserve">Our International segment consists of our operations outside of the U.S. and Canada. These segments represent our business of selling PVF and other infrastructure products and services to the energy sector across each of the upstream (exploration, production and extraction of underground oil and gas), midstream (gathering and transmission of oil and gas, gas utilities, and the storage and distribution of oil and gas) and downstream (crude oil refining, petrochemical and chemical processing and general industrials) markets. </w:t>
      </w:r>
    </w:p>
    <w:p w:rsidR="000121CD" w:rsidRPr="00C6642F" w:rsidRDefault="00590862">
      <w:pPr>
        <w:pStyle w:val="NormalWeb"/>
        <w:keepNext/>
        <w:keepLines/>
        <w:widowControl w:val="0"/>
        <w:spacing w:before="90" w:beforeAutospacing="0" w:after="0" w:afterAutospacing="0"/>
        <w:rPr>
          <w:sz w:val="18"/>
          <w:szCs w:val="18"/>
        </w:rPr>
      </w:pPr>
      <w:r w:rsidRPr="00C6642F">
        <w:rPr>
          <w:sz w:val="20"/>
          <w:szCs w:val="20"/>
        </w:rPr>
        <w:t xml:space="preserve">The following table presents financial information for each segment (in millions): </w:t>
      </w:r>
      <w:r w:rsidRPr="00C6642F">
        <w:rPr>
          <w:sz w:val="18"/>
          <w:szCs w:val="18"/>
        </w:rPr>
        <w:t> </w:t>
      </w:r>
    </w:p>
    <w:p w:rsidR="000121CD" w:rsidRPr="00C6642F" w:rsidRDefault="000121CD">
      <w:pPr>
        <w:keepNext/>
        <w:keepLines/>
        <w:widowControl w:val="0"/>
        <w:rPr>
          <w:sz w:val="2"/>
        </w:rPr>
      </w:pPr>
    </w:p>
    <w:p w:rsidR="000121CD" w:rsidRPr="00C6642F" w:rsidRDefault="000121CD">
      <w:pPr>
        <w:pStyle w:val="NormalWeb"/>
        <w:keepNext/>
        <w:keepLines/>
        <w:widowControl w:val="0"/>
        <w:spacing w:before="0" w:beforeAutospacing="0" w:after="0" w:afterAutospacing="0"/>
        <w:rPr>
          <w:sz w:val="2"/>
          <w:szCs w:val="2"/>
        </w:rPr>
      </w:pPr>
    </w:p>
    <w:p w:rsidR="000121CD" w:rsidRPr="00C6642F" w:rsidRDefault="000121CD">
      <w:pPr>
        <w:pStyle w:val="NormalWeb"/>
        <w:keepNext/>
        <w:keepLines/>
        <w:widowControl w:val="0"/>
        <w:spacing w:before="0" w:beforeAutospacing="0" w:after="0" w:afterAutospacing="0"/>
        <w:rPr>
          <w:sz w:val="2"/>
          <w:szCs w:val="2"/>
        </w:rPr>
      </w:pPr>
    </w:p>
    <w:tbl>
      <w:tblPr>
        <w:tblW w:w="5000" w:type="pct"/>
        <w:tblCellMar>
          <w:left w:w="0" w:type="dxa"/>
          <w:right w:w="0" w:type="dxa"/>
        </w:tblCellMar>
        <w:tblLook w:val="04A0" w:firstRow="1" w:lastRow="0" w:firstColumn="1" w:lastColumn="0" w:noHBand="0" w:noVBand="1"/>
      </w:tblPr>
      <w:tblGrid>
        <w:gridCol w:w="5085"/>
        <w:gridCol w:w="248"/>
        <w:gridCol w:w="363"/>
        <w:gridCol w:w="1296"/>
        <w:gridCol w:w="248"/>
        <w:gridCol w:w="363"/>
        <w:gridCol w:w="1296"/>
        <w:gridCol w:w="248"/>
        <w:gridCol w:w="363"/>
        <w:gridCol w:w="1290"/>
      </w:tblGrid>
      <w:tr w:rsidR="0018024C" w:rsidRPr="00C6642F" w:rsidTr="0018024C">
        <w:trPr>
          <w:trHeight w:hRule="exact" w:val="20"/>
        </w:trPr>
        <w:tc>
          <w:tcPr>
            <w:tcW w:w="2354"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15"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68"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600"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15"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68"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600"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15"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68"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597"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r>
      <w:tr w:rsidR="0018024C" w:rsidRPr="00C6642F" w:rsidTr="0018024C">
        <w:trPr>
          <w:trHeight w:hRule="exact" w:val="300"/>
        </w:trPr>
        <w:tc>
          <w:tcPr>
            <w:tcW w:w="2354"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color w:val="000000"/>
                <w:sz w:val="20"/>
              </w:rPr>
            </w:pPr>
          </w:p>
        </w:tc>
        <w:tc>
          <w:tcPr>
            <w:tcW w:w="115"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b/>
                <w:color w:val="000000"/>
                <w:sz w:val="20"/>
              </w:rPr>
            </w:pPr>
          </w:p>
        </w:tc>
        <w:tc>
          <w:tcPr>
            <w:tcW w:w="1" w:type="pct"/>
            <w:gridSpan w:val="8"/>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color w:val="000000"/>
                <w:sz w:val="20"/>
              </w:rPr>
            </w:pPr>
            <w:r w:rsidRPr="00C6642F">
              <w:rPr>
                <w:b/>
                <w:color w:val="000000"/>
                <w:sz w:val="20"/>
              </w:rPr>
              <w:t>Year Ended December 31,</w:t>
            </w:r>
          </w:p>
        </w:tc>
      </w:tr>
      <w:tr w:rsidR="0018024C" w:rsidRPr="00C6642F" w:rsidTr="0018024C">
        <w:trPr>
          <w:trHeight w:hRule="exact" w:val="315"/>
        </w:trPr>
        <w:tc>
          <w:tcPr>
            <w:tcW w:w="2354"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color w:val="000000"/>
                <w:sz w:val="20"/>
              </w:rPr>
            </w:pPr>
          </w:p>
        </w:tc>
        <w:tc>
          <w:tcPr>
            <w:tcW w:w="115"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b/>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color w:val="000000"/>
                <w:sz w:val="20"/>
              </w:rPr>
            </w:pPr>
            <w:r w:rsidRPr="00C6642F">
              <w:rPr>
                <w:b/>
                <w:color w:val="000000"/>
                <w:sz w:val="20"/>
              </w:rPr>
              <w:t>2019</w:t>
            </w:r>
          </w:p>
        </w:tc>
        <w:tc>
          <w:tcPr>
            <w:tcW w:w="115"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color w:val="000000"/>
                <w:sz w:val="20"/>
              </w:rPr>
            </w:pPr>
            <w:r w:rsidRPr="00C6642F">
              <w:rPr>
                <w:b/>
                <w:color w:val="000000"/>
                <w:sz w:val="20"/>
              </w:rPr>
              <w:t>2018</w:t>
            </w:r>
          </w:p>
        </w:tc>
        <w:tc>
          <w:tcPr>
            <w:tcW w:w="115"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color w:val="000000"/>
                <w:sz w:val="20"/>
              </w:rPr>
            </w:pPr>
            <w:r w:rsidRPr="00C6642F">
              <w:rPr>
                <w:b/>
                <w:color w:val="000000"/>
                <w:sz w:val="20"/>
              </w:rPr>
              <w:t>2017</w:t>
            </w:r>
          </w:p>
        </w:tc>
      </w:tr>
      <w:tr w:rsidR="0018024C" w:rsidRPr="00C6642F" w:rsidTr="0018024C">
        <w:trPr>
          <w:trHeight w:hRule="exact" w:val="255"/>
        </w:trPr>
        <w:tc>
          <w:tcPr>
            <w:tcW w:w="2354"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r w:rsidRPr="00C6642F">
              <w:rPr>
                <w:b/>
                <w:color w:val="000000"/>
                <w:sz w:val="20"/>
              </w:rPr>
              <w:t>Sales</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600"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600"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59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r>
      <w:tr w:rsidR="0018024C" w:rsidRPr="00C6642F" w:rsidTr="0018024C">
        <w:trPr>
          <w:trHeight w:hRule="exact" w:val="255"/>
        </w:trPr>
        <w:tc>
          <w:tcPr>
            <w:tcW w:w="2354"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U.S.</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18024C" w:rsidRPr="00C6642F" w:rsidRDefault="0018024C" w:rsidP="0018024C">
            <w:pPr>
              <w:keepNext/>
              <w:keepLines/>
              <w:spacing w:before="1" w:after="1"/>
              <w:rPr>
                <w:b/>
                <w:color w:val="000000"/>
                <w:sz w:val="20"/>
              </w:rPr>
            </w:pPr>
            <w:r w:rsidRPr="00C6642F">
              <w:rPr>
                <w:b/>
                <w:color w:val="000000"/>
                <w:sz w:val="20"/>
              </w:rPr>
              <w:t>$</w:t>
            </w:r>
          </w:p>
        </w:tc>
        <w:tc>
          <w:tcPr>
            <w:tcW w:w="600"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2,956</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600"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3,321</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597"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2,860</w:t>
            </w:r>
          </w:p>
        </w:tc>
      </w:tr>
      <w:tr w:rsidR="0018024C" w:rsidRPr="00C6642F" w:rsidTr="0018024C">
        <w:trPr>
          <w:trHeight w:hRule="exact" w:val="255"/>
        </w:trPr>
        <w:tc>
          <w:tcPr>
            <w:tcW w:w="2354"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Canada</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226</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315</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294</w:t>
            </w:r>
          </w:p>
        </w:tc>
      </w:tr>
      <w:tr w:rsidR="0018024C" w:rsidRPr="00C6642F" w:rsidTr="0018024C">
        <w:trPr>
          <w:trHeight w:hRule="exact" w:val="255"/>
        </w:trPr>
        <w:tc>
          <w:tcPr>
            <w:tcW w:w="2354"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International</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b/>
                <w:color w:val="000000"/>
                <w:sz w:val="20"/>
              </w:rPr>
            </w:pPr>
          </w:p>
        </w:tc>
        <w:tc>
          <w:tcPr>
            <w:tcW w:w="600"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480</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color w:val="000000"/>
                <w:sz w:val="20"/>
              </w:rPr>
            </w:pPr>
          </w:p>
        </w:tc>
        <w:tc>
          <w:tcPr>
            <w:tcW w:w="600"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536</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color w:val="000000"/>
                <w:sz w:val="20"/>
              </w:rPr>
            </w:pPr>
          </w:p>
        </w:tc>
        <w:tc>
          <w:tcPr>
            <w:tcW w:w="597"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492</w:t>
            </w:r>
          </w:p>
        </w:tc>
      </w:tr>
      <w:tr w:rsidR="0018024C" w:rsidRPr="00C6642F" w:rsidTr="0018024C">
        <w:trPr>
          <w:trHeight w:hRule="exact" w:val="330"/>
        </w:trPr>
        <w:tc>
          <w:tcPr>
            <w:tcW w:w="2354"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Consolidated sales</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r w:rsidRPr="00C6642F">
              <w:rPr>
                <w:b/>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3,662</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4,172</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597"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3,646</w:t>
            </w:r>
          </w:p>
        </w:tc>
      </w:tr>
      <w:tr w:rsidR="0018024C" w:rsidRPr="00C6642F" w:rsidTr="0018024C">
        <w:trPr>
          <w:trHeight w:hRule="exact" w:val="255"/>
        </w:trPr>
        <w:tc>
          <w:tcPr>
            <w:tcW w:w="2354"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b/>
                <w:color w:val="000000"/>
                <w:sz w:val="20"/>
              </w:rPr>
            </w:pPr>
          </w:p>
        </w:tc>
        <w:tc>
          <w:tcPr>
            <w:tcW w:w="600"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b/>
                <w:color w:val="000000"/>
                <w:sz w:val="20"/>
              </w:rPr>
            </w:pP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600"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b/>
                <w:color w:val="000000"/>
                <w:sz w:val="20"/>
              </w:rPr>
            </w:pP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597"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r>
      <w:tr w:rsidR="0018024C" w:rsidRPr="00C6642F" w:rsidTr="0018024C">
        <w:trPr>
          <w:trHeight w:hRule="exact" w:val="255"/>
        </w:trPr>
        <w:tc>
          <w:tcPr>
            <w:tcW w:w="2354"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r w:rsidRPr="00C6642F">
              <w:rPr>
                <w:b/>
                <w:color w:val="000000"/>
                <w:sz w:val="20"/>
              </w:rPr>
              <w:t>Depreciation and amortization</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r>
      <w:tr w:rsidR="0018024C" w:rsidRPr="00C6642F" w:rsidTr="0018024C">
        <w:trPr>
          <w:trHeight w:hRule="exact" w:val="255"/>
        </w:trPr>
        <w:tc>
          <w:tcPr>
            <w:tcW w:w="2354"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U.S.</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18024C" w:rsidRPr="00C6642F" w:rsidRDefault="0018024C" w:rsidP="0018024C">
            <w:pPr>
              <w:keepNext/>
              <w:keepLines/>
              <w:spacing w:before="1" w:after="1"/>
              <w:rPr>
                <w:b/>
                <w:color w:val="000000"/>
                <w:sz w:val="20"/>
              </w:rPr>
            </w:pPr>
            <w:r w:rsidRPr="00C6642F">
              <w:rPr>
                <w:b/>
                <w:color w:val="000000"/>
                <w:sz w:val="20"/>
              </w:rPr>
              <w:t>$</w:t>
            </w:r>
          </w:p>
        </w:tc>
        <w:tc>
          <w:tcPr>
            <w:tcW w:w="600"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15</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600"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16</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597"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15</w:t>
            </w:r>
          </w:p>
        </w:tc>
      </w:tr>
      <w:tr w:rsidR="0018024C" w:rsidRPr="00C6642F" w:rsidTr="0018024C">
        <w:trPr>
          <w:trHeight w:hRule="exact" w:val="255"/>
        </w:trPr>
        <w:tc>
          <w:tcPr>
            <w:tcW w:w="2354"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Canada</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1</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1</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1</w:t>
            </w:r>
          </w:p>
        </w:tc>
      </w:tr>
      <w:tr w:rsidR="0018024C" w:rsidRPr="00C6642F" w:rsidTr="0018024C">
        <w:trPr>
          <w:trHeight w:hRule="exact" w:val="255"/>
        </w:trPr>
        <w:tc>
          <w:tcPr>
            <w:tcW w:w="2354"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International</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b/>
                <w:color w:val="000000"/>
                <w:sz w:val="20"/>
              </w:rPr>
            </w:pPr>
          </w:p>
        </w:tc>
        <w:tc>
          <w:tcPr>
            <w:tcW w:w="600"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5</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color w:val="000000"/>
                <w:sz w:val="20"/>
              </w:rPr>
            </w:pPr>
          </w:p>
        </w:tc>
        <w:tc>
          <w:tcPr>
            <w:tcW w:w="600"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6</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color w:val="000000"/>
                <w:sz w:val="20"/>
              </w:rPr>
            </w:pPr>
          </w:p>
        </w:tc>
        <w:tc>
          <w:tcPr>
            <w:tcW w:w="597"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6</w:t>
            </w:r>
          </w:p>
        </w:tc>
      </w:tr>
      <w:tr w:rsidR="0018024C" w:rsidRPr="00C6642F" w:rsidTr="0018024C">
        <w:trPr>
          <w:trHeight w:hRule="exact" w:val="330"/>
        </w:trPr>
        <w:tc>
          <w:tcPr>
            <w:tcW w:w="2354"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Total depreciation and amortization expense</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r w:rsidRPr="00C6642F">
              <w:rPr>
                <w:b/>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21</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23</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597"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22</w:t>
            </w:r>
          </w:p>
        </w:tc>
      </w:tr>
      <w:tr w:rsidR="0018024C" w:rsidRPr="00C6642F" w:rsidTr="0018024C">
        <w:trPr>
          <w:trHeight w:hRule="exact" w:val="255"/>
        </w:trPr>
        <w:tc>
          <w:tcPr>
            <w:tcW w:w="2354"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b/>
                <w:color w:val="000000"/>
                <w:sz w:val="20"/>
              </w:rPr>
            </w:pPr>
          </w:p>
        </w:tc>
        <w:tc>
          <w:tcPr>
            <w:tcW w:w="600"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b/>
                <w:color w:val="000000"/>
                <w:sz w:val="20"/>
              </w:rPr>
            </w:pP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600"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b/>
                <w:color w:val="000000"/>
                <w:sz w:val="20"/>
              </w:rPr>
            </w:pP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597"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r>
      <w:tr w:rsidR="0018024C" w:rsidRPr="00C6642F" w:rsidTr="0018024C">
        <w:trPr>
          <w:trHeight w:hRule="exact" w:val="255"/>
        </w:trPr>
        <w:tc>
          <w:tcPr>
            <w:tcW w:w="2354"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r w:rsidRPr="00C6642F">
              <w:rPr>
                <w:b/>
                <w:color w:val="000000"/>
                <w:sz w:val="20"/>
              </w:rPr>
              <w:t>Amortization of intangibles</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r>
      <w:tr w:rsidR="0018024C" w:rsidRPr="00C6642F" w:rsidTr="0018024C">
        <w:trPr>
          <w:trHeight w:hRule="exact" w:val="255"/>
        </w:trPr>
        <w:tc>
          <w:tcPr>
            <w:tcW w:w="2354"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U.S.</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18024C" w:rsidRPr="00C6642F" w:rsidRDefault="0018024C" w:rsidP="0018024C">
            <w:pPr>
              <w:keepNext/>
              <w:keepLines/>
              <w:spacing w:before="1" w:after="1"/>
              <w:rPr>
                <w:b/>
                <w:color w:val="000000"/>
                <w:sz w:val="20"/>
              </w:rPr>
            </w:pPr>
            <w:r w:rsidRPr="00C6642F">
              <w:rPr>
                <w:b/>
                <w:color w:val="000000"/>
                <w:sz w:val="20"/>
              </w:rPr>
              <w:t>$</w:t>
            </w:r>
          </w:p>
        </w:tc>
        <w:tc>
          <w:tcPr>
            <w:tcW w:w="600"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39</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600"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42</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597"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41</w:t>
            </w:r>
          </w:p>
        </w:tc>
      </w:tr>
      <w:tr w:rsidR="0018024C" w:rsidRPr="00C6642F" w:rsidTr="0018024C">
        <w:trPr>
          <w:trHeight w:hRule="exact" w:val="255"/>
        </w:trPr>
        <w:tc>
          <w:tcPr>
            <w:tcW w:w="2354"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Canada</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1</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1</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2</w:t>
            </w:r>
          </w:p>
        </w:tc>
      </w:tr>
      <w:tr w:rsidR="0018024C" w:rsidRPr="00C6642F" w:rsidTr="0018024C">
        <w:trPr>
          <w:trHeight w:hRule="exact" w:val="255"/>
        </w:trPr>
        <w:tc>
          <w:tcPr>
            <w:tcW w:w="2354"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International</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b/>
                <w:color w:val="000000"/>
                <w:sz w:val="20"/>
              </w:rPr>
            </w:pPr>
          </w:p>
        </w:tc>
        <w:tc>
          <w:tcPr>
            <w:tcW w:w="600"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2</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color w:val="000000"/>
                <w:sz w:val="20"/>
              </w:rPr>
            </w:pPr>
          </w:p>
        </w:tc>
        <w:tc>
          <w:tcPr>
            <w:tcW w:w="600"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2</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color w:val="000000"/>
                <w:sz w:val="20"/>
              </w:rPr>
            </w:pPr>
          </w:p>
        </w:tc>
        <w:tc>
          <w:tcPr>
            <w:tcW w:w="597"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2</w:t>
            </w:r>
          </w:p>
        </w:tc>
      </w:tr>
      <w:tr w:rsidR="0018024C" w:rsidRPr="00C6642F" w:rsidTr="0018024C">
        <w:trPr>
          <w:trHeight w:hRule="exact" w:val="255"/>
        </w:trPr>
        <w:tc>
          <w:tcPr>
            <w:tcW w:w="2354"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Total amortization of intangibles expense</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r w:rsidRPr="00C6642F">
              <w:rPr>
                <w:b/>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42</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45</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597"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45</w:t>
            </w:r>
          </w:p>
        </w:tc>
      </w:tr>
      <w:tr w:rsidR="0018024C" w:rsidRPr="00C6642F" w:rsidTr="0018024C">
        <w:trPr>
          <w:trHeight w:hRule="exact" w:val="255"/>
        </w:trPr>
        <w:tc>
          <w:tcPr>
            <w:tcW w:w="2354"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b/>
                <w:color w:val="000000"/>
                <w:sz w:val="20"/>
              </w:rPr>
            </w:pPr>
          </w:p>
        </w:tc>
        <w:tc>
          <w:tcPr>
            <w:tcW w:w="600"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b/>
                <w:color w:val="000000"/>
                <w:sz w:val="20"/>
              </w:rPr>
            </w:pP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600"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597" w:type="pct"/>
            <w:tcBorders>
              <w:top w:val="double" w:sz="0" w:space="0" w:color="000000"/>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r>
      <w:tr w:rsidR="0018024C" w:rsidRPr="00C6642F" w:rsidTr="0018024C">
        <w:trPr>
          <w:trHeight w:hRule="exact" w:val="255"/>
        </w:trPr>
        <w:tc>
          <w:tcPr>
            <w:tcW w:w="2354"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r w:rsidRPr="00C6642F">
              <w:rPr>
                <w:b/>
                <w:color w:val="000000"/>
                <w:sz w:val="20"/>
              </w:rPr>
              <w:t>Operating income (loss)</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r>
      <w:tr w:rsidR="0018024C" w:rsidRPr="00C6642F" w:rsidTr="0018024C">
        <w:trPr>
          <w:trHeight w:hRule="exact" w:val="255"/>
        </w:trPr>
        <w:tc>
          <w:tcPr>
            <w:tcW w:w="2354"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 xml:space="preserve">U.S. </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18024C" w:rsidRPr="00C6642F" w:rsidRDefault="0018024C" w:rsidP="0018024C">
            <w:pPr>
              <w:keepNext/>
              <w:keepLines/>
              <w:spacing w:before="1" w:after="1"/>
              <w:rPr>
                <w:b/>
                <w:color w:val="000000"/>
                <w:sz w:val="20"/>
              </w:rPr>
            </w:pPr>
            <w:r w:rsidRPr="00C6642F">
              <w:rPr>
                <w:b/>
                <w:color w:val="000000"/>
                <w:sz w:val="20"/>
              </w:rPr>
              <w:t>$</w:t>
            </w:r>
          </w:p>
        </w:tc>
        <w:tc>
          <w:tcPr>
            <w:tcW w:w="600"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104</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600"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112</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597"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67</w:t>
            </w:r>
          </w:p>
        </w:tc>
      </w:tr>
      <w:tr w:rsidR="0018024C" w:rsidRPr="00C6642F" w:rsidTr="0018024C">
        <w:trPr>
          <w:trHeight w:hRule="exact" w:val="255"/>
        </w:trPr>
        <w:tc>
          <w:tcPr>
            <w:tcW w:w="2354"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Canada</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jc w:val="right"/>
              <w:rPr>
                <w:b/>
                <w:color w:val="000000"/>
                <w:sz w:val="20"/>
              </w:rPr>
            </w:pPr>
            <w:r w:rsidRPr="00C6642F">
              <w:rPr>
                <w:b/>
                <w:color w:val="000000"/>
                <w:sz w:val="20"/>
              </w:rPr>
              <w:t xml:space="preserve"> (1)</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9</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11</w:t>
            </w:r>
          </w:p>
        </w:tc>
      </w:tr>
      <w:tr w:rsidR="0018024C" w:rsidRPr="00C6642F" w:rsidTr="0018024C">
        <w:trPr>
          <w:trHeight w:hRule="exact" w:val="255"/>
        </w:trPr>
        <w:tc>
          <w:tcPr>
            <w:tcW w:w="2354"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 xml:space="preserve">International </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b/>
                <w:color w:val="000000"/>
                <w:sz w:val="20"/>
              </w:rPr>
            </w:pPr>
          </w:p>
        </w:tc>
        <w:tc>
          <w:tcPr>
            <w:tcW w:w="600"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color w:val="000000"/>
                <w:sz w:val="20"/>
              </w:rPr>
            </w:pPr>
          </w:p>
        </w:tc>
        <w:tc>
          <w:tcPr>
            <w:tcW w:w="600"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6</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color w:val="000000"/>
                <w:sz w:val="20"/>
              </w:rPr>
            </w:pPr>
          </w:p>
        </w:tc>
        <w:tc>
          <w:tcPr>
            <w:tcW w:w="597"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3"/>
              <w:jc w:val="right"/>
              <w:rPr>
                <w:color w:val="000000"/>
                <w:sz w:val="20"/>
              </w:rPr>
            </w:pPr>
            <w:r w:rsidRPr="00C6642F">
              <w:rPr>
                <w:color w:val="000000"/>
                <w:sz w:val="20"/>
              </w:rPr>
              <w:t xml:space="preserve"> (32)</w:t>
            </w:r>
          </w:p>
        </w:tc>
      </w:tr>
      <w:tr w:rsidR="0018024C" w:rsidRPr="00C6642F" w:rsidTr="0018024C">
        <w:trPr>
          <w:trHeight w:hRule="exact" w:val="255"/>
        </w:trPr>
        <w:tc>
          <w:tcPr>
            <w:tcW w:w="2354"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Total operating income</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p>
        </w:tc>
        <w:tc>
          <w:tcPr>
            <w:tcW w:w="600"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103</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600"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127</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59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46</w:t>
            </w:r>
          </w:p>
        </w:tc>
      </w:tr>
      <w:tr w:rsidR="0018024C" w:rsidRPr="00C6642F" w:rsidTr="0018024C">
        <w:trPr>
          <w:trHeight w:hRule="exact" w:val="255"/>
        </w:trPr>
        <w:tc>
          <w:tcPr>
            <w:tcW w:w="2354"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18024C" w:rsidRPr="00C6642F" w:rsidRDefault="0018024C" w:rsidP="0018024C">
            <w:pPr>
              <w:keepNext/>
              <w:keepLines/>
              <w:spacing w:before="1" w:after="1"/>
              <w:rPr>
                <w:b/>
                <w:color w:val="000000"/>
                <w:sz w:val="20"/>
              </w:rPr>
            </w:pPr>
          </w:p>
        </w:tc>
        <w:tc>
          <w:tcPr>
            <w:tcW w:w="600" w:type="pct"/>
            <w:tcBorders>
              <w:top w:val="nil"/>
              <w:left w:val="nil"/>
              <w:bottom w:val="nil"/>
              <w:right w:val="nil"/>
              <w:tl2br w:val="nil"/>
              <w:tr2bl w:val="nil"/>
            </w:tcBorders>
            <w:vAlign w:val="bottom"/>
          </w:tcPr>
          <w:p w:rsidR="0018024C" w:rsidRPr="00C6642F" w:rsidRDefault="0018024C" w:rsidP="0018024C">
            <w:pPr>
              <w:keepNext/>
              <w:keepLines/>
              <w:spacing w:before="1" w:after="1"/>
              <w:rPr>
                <w:b/>
                <w:color w:val="000000"/>
                <w:sz w:val="20"/>
              </w:rPr>
            </w:pP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600"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597"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r>
      <w:tr w:rsidR="0018024C" w:rsidRPr="00C6642F" w:rsidTr="0018024C">
        <w:trPr>
          <w:trHeight w:hRule="exact" w:val="255"/>
        </w:trPr>
        <w:tc>
          <w:tcPr>
            <w:tcW w:w="2354"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r w:rsidRPr="00C6642F">
              <w:rPr>
                <w:b/>
                <w:color w:val="000000"/>
                <w:sz w:val="20"/>
              </w:rPr>
              <w:t>Interest expense</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p>
        </w:tc>
        <w:tc>
          <w:tcPr>
            <w:tcW w:w="6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jc w:val="right"/>
              <w:rPr>
                <w:b/>
                <w:color w:val="000000"/>
                <w:sz w:val="20"/>
              </w:rPr>
            </w:pPr>
            <w:r w:rsidRPr="00C6642F">
              <w:rPr>
                <w:b/>
                <w:color w:val="000000"/>
                <w:sz w:val="20"/>
              </w:rPr>
              <w:t xml:space="preserve"> (40)</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600"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3"/>
              <w:jc w:val="right"/>
              <w:rPr>
                <w:color w:val="000000"/>
                <w:sz w:val="20"/>
              </w:rPr>
            </w:pPr>
            <w:r w:rsidRPr="00C6642F">
              <w:rPr>
                <w:color w:val="000000"/>
                <w:sz w:val="20"/>
              </w:rPr>
              <w:t xml:space="preserve"> (38)</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597"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3"/>
              <w:jc w:val="right"/>
              <w:rPr>
                <w:color w:val="000000"/>
                <w:sz w:val="20"/>
              </w:rPr>
            </w:pPr>
            <w:r w:rsidRPr="00C6642F">
              <w:rPr>
                <w:color w:val="000000"/>
                <w:sz w:val="20"/>
              </w:rPr>
              <w:t xml:space="preserve"> (31)</w:t>
            </w:r>
          </w:p>
        </w:tc>
      </w:tr>
      <w:tr w:rsidR="0018024C" w:rsidRPr="00C6642F" w:rsidTr="0018024C">
        <w:trPr>
          <w:trHeight w:hRule="exact" w:val="255"/>
        </w:trPr>
        <w:tc>
          <w:tcPr>
            <w:tcW w:w="2354" w:type="pct"/>
            <w:tcBorders>
              <w:top w:val="nil"/>
              <w:left w:val="nil"/>
              <w:bottom w:val="nil"/>
              <w:right w:val="nil"/>
              <w:tl2br w:val="nil"/>
              <w:tr2bl w:val="nil"/>
            </w:tcBorders>
            <w:vAlign w:val="bottom"/>
          </w:tcPr>
          <w:p w:rsidR="0018024C" w:rsidRPr="00C6642F" w:rsidRDefault="0018024C" w:rsidP="0018024C">
            <w:pPr>
              <w:keepNext/>
              <w:keepLines/>
              <w:spacing w:before="1" w:after="1"/>
              <w:rPr>
                <w:b/>
                <w:color w:val="000000"/>
                <w:sz w:val="20"/>
              </w:rPr>
            </w:pPr>
            <w:r w:rsidRPr="00C6642F">
              <w:rPr>
                <w:b/>
                <w:color w:val="000000"/>
                <w:sz w:val="20"/>
              </w:rPr>
              <w:t>Other income (expense)</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b/>
                <w:color w:val="000000"/>
                <w:sz w:val="20"/>
              </w:rPr>
            </w:pPr>
          </w:p>
        </w:tc>
        <w:tc>
          <w:tcPr>
            <w:tcW w:w="600"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3</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color w:val="000000"/>
                <w:sz w:val="20"/>
              </w:rPr>
            </w:pPr>
          </w:p>
        </w:tc>
        <w:tc>
          <w:tcPr>
            <w:tcW w:w="600"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6</w:t>
            </w:r>
          </w:p>
        </w:tc>
        <w:tc>
          <w:tcPr>
            <w:tcW w:w="115"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16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color w:val="000000"/>
                <w:sz w:val="20"/>
              </w:rPr>
            </w:pPr>
          </w:p>
        </w:tc>
        <w:tc>
          <w:tcPr>
            <w:tcW w:w="597"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3"/>
              <w:jc w:val="right"/>
              <w:rPr>
                <w:color w:val="000000"/>
                <w:sz w:val="20"/>
              </w:rPr>
            </w:pPr>
            <w:r w:rsidRPr="00C6642F">
              <w:rPr>
                <w:color w:val="000000"/>
                <w:sz w:val="20"/>
              </w:rPr>
              <w:t xml:space="preserve"> (8)</w:t>
            </w:r>
          </w:p>
        </w:tc>
      </w:tr>
      <w:tr w:rsidR="0018024C" w:rsidRPr="00C6642F" w:rsidTr="0018024C">
        <w:trPr>
          <w:trHeight w:hRule="exact" w:val="375"/>
        </w:trPr>
        <w:tc>
          <w:tcPr>
            <w:tcW w:w="2354"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r w:rsidRPr="00C6642F">
              <w:rPr>
                <w:b/>
                <w:color w:val="000000"/>
                <w:sz w:val="20"/>
              </w:rPr>
              <w:t>Income before income taxes</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r w:rsidRPr="00C6642F">
              <w:rPr>
                <w:b/>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66</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600"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95</w:t>
            </w:r>
          </w:p>
        </w:tc>
        <w:tc>
          <w:tcPr>
            <w:tcW w:w="115"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16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597"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7</w:t>
            </w:r>
          </w:p>
        </w:tc>
      </w:tr>
    </w:tbl>
    <w:p w:rsidR="000121CD" w:rsidRPr="00C6642F" w:rsidRDefault="00590862">
      <w:pPr>
        <w:pStyle w:val="NormalWeb"/>
        <w:keepNext/>
        <w:keepLines/>
        <w:widowControl w:val="0"/>
        <w:tabs>
          <w:tab w:val="left" w:pos="1545"/>
        </w:tabs>
        <w:spacing w:before="180" w:beforeAutospacing="0" w:after="0" w:afterAutospacing="0"/>
        <w:rPr>
          <w:sz w:val="2"/>
          <w:szCs w:val="2"/>
        </w:rPr>
      </w:pPr>
      <w:r w:rsidRPr="00C6642F">
        <w:rPr>
          <w:sz w:val="20"/>
          <w:szCs w:val="20"/>
        </w:rPr>
        <w:t>Total assets by segment are as follows (in millions):</w:t>
      </w:r>
    </w:p>
    <w:p w:rsidR="000121CD" w:rsidRPr="00C6642F" w:rsidRDefault="000121CD">
      <w:pPr>
        <w:pStyle w:val="NormalWeb"/>
        <w:keepNext/>
        <w:keepLines/>
        <w:widowControl w:val="0"/>
        <w:spacing w:before="0" w:beforeAutospacing="0" w:after="0" w:afterAutospacing="0"/>
        <w:rPr>
          <w:sz w:val="2"/>
          <w:szCs w:val="2"/>
        </w:rPr>
      </w:pPr>
    </w:p>
    <w:tbl>
      <w:tblPr>
        <w:tblW w:w="5000" w:type="pct"/>
        <w:tblCellMar>
          <w:left w:w="0" w:type="dxa"/>
          <w:right w:w="0" w:type="dxa"/>
        </w:tblCellMar>
        <w:tblLook w:val="04A0" w:firstRow="1" w:lastRow="0" w:firstColumn="1" w:lastColumn="0" w:noHBand="0" w:noVBand="1"/>
      </w:tblPr>
      <w:tblGrid>
        <w:gridCol w:w="6181"/>
        <w:gridCol w:w="301"/>
        <w:gridCol w:w="438"/>
        <w:gridCol w:w="1572"/>
        <w:gridCol w:w="300"/>
        <w:gridCol w:w="438"/>
        <w:gridCol w:w="1570"/>
      </w:tblGrid>
      <w:tr w:rsidR="0018024C" w:rsidRPr="00C6642F" w:rsidTr="0018024C">
        <w:trPr>
          <w:trHeight w:hRule="exact" w:val="20"/>
        </w:trPr>
        <w:tc>
          <w:tcPr>
            <w:tcW w:w="2861"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39"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203"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728"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139"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203"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c>
          <w:tcPr>
            <w:tcW w:w="728" w:type="pct"/>
            <w:tcBorders>
              <w:top w:val="nil"/>
              <w:left w:val="nil"/>
              <w:bottom w:val="nil"/>
              <w:right w:val="nil"/>
            </w:tcBorders>
            <w:shd w:val="clear" w:color="auto" w:fill="auto"/>
            <w:vAlign w:val="bottom"/>
          </w:tcPr>
          <w:p w:rsidR="0018024C" w:rsidRPr="00C6642F" w:rsidRDefault="0018024C" w:rsidP="0018024C">
            <w:pPr>
              <w:keepNext/>
              <w:keepLines/>
              <w:spacing w:before="1" w:after="1"/>
              <w:rPr>
                <w:sz w:val="2"/>
              </w:rPr>
            </w:pPr>
          </w:p>
        </w:tc>
      </w:tr>
      <w:tr w:rsidR="0018024C" w:rsidRPr="00C6642F" w:rsidTr="0018024C">
        <w:trPr>
          <w:trHeight w:hRule="exact" w:val="300"/>
        </w:trPr>
        <w:tc>
          <w:tcPr>
            <w:tcW w:w="2861"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color w:val="000000"/>
                <w:sz w:val="20"/>
              </w:rPr>
            </w:pPr>
          </w:p>
        </w:tc>
        <w:tc>
          <w:tcPr>
            <w:tcW w:w="139"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b/>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color w:val="000000"/>
                <w:sz w:val="20"/>
              </w:rPr>
            </w:pPr>
            <w:r w:rsidRPr="00C6642F">
              <w:rPr>
                <w:b/>
                <w:color w:val="000000"/>
                <w:sz w:val="20"/>
              </w:rPr>
              <w:t>December 31,</w:t>
            </w:r>
          </w:p>
        </w:tc>
      </w:tr>
      <w:tr w:rsidR="0018024C" w:rsidRPr="00C6642F" w:rsidTr="0018024C">
        <w:trPr>
          <w:trHeight w:hRule="exact" w:val="300"/>
        </w:trPr>
        <w:tc>
          <w:tcPr>
            <w:tcW w:w="2861"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color w:val="000000"/>
                <w:sz w:val="20"/>
              </w:rPr>
            </w:pPr>
          </w:p>
        </w:tc>
        <w:tc>
          <w:tcPr>
            <w:tcW w:w="139" w:type="pct"/>
            <w:tcBorders>
              <w:top w:val="nil"/>
              <w:left w:val="nil"/>
              <w:bottom w:val="nil"/>
              <w:right w:val="nil"/>
              <w:tl2br w:val="nil"/>
              <w:tr2bl w:val="nil"/>
            </w:tcBorders>
            <w:shd w:val="clear" w:color="auto" w:fill="auto"/>
            <w:vAlign w:val="bottom"/>
          </w:tcPr>
          <w:p w:rsidR="0018024C" w:rsidRPr="00C6642F" w:rsidRDefault="0018024C" w:rsidP="0018024C">
            <w:pPr>
              <w:keepNext/>
              <w:keepLines/>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color w:val="000000"/>
                <w:sz w:val="20"/>
              </w:rPr>
            </w:pPr>
            <w:r w:rsidRPr="00C6642F">
              <w:rPr>
                <w:b/>
                <w:color w:val="000000"/>
                <w:sz w:val="20"/>
              </w:rPr>
              <w:t>2019</w:t>
            </w:r>
          </w:p>
        </w:tc>
        <w:tc>
          <w:tcPr>
            <w:tcW w:w="139"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keepNext/>
              <w:keepLines/>
              <w:spacing w:before="1" w:after="1"/>
              <w:jc w:val="center"/>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keepNext/>
              <w:keepLines/>
              <w:spacing w:before="1" w:after="1"/>
              <w:jc w:val="center"/>
              <w:rPr>
                <w:b/>
                <w:color w:val="000000"/>
                <w:sz w:val="20"/>
              </w:rPr>
            </w:pPr>
            <w:r w:rsidRPr="00C6642F">
              <w:rPr>
                <w:b/>
                <w:color w:val="000000"/>
                <w:sz w:val="20"/>
              </w:rPr>
              <w:t>2018</w:t>
            </w:r>
          </w:p>
        </w:tc>
      </w:tr>
      <w:tr w:rsidR="0018024C" w:rsidRPr="00C6642F" w:rsidTr="0018024C">
        <w:trPr>
          <w:trHeight w:hRule="exact" w:val="255"/>
        </w:trPr>
        <w:tc>
          <w:tcPr>
            <w:tcW w:w="2861"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left="360"/>
              <w:rPr>
                <w:b/>
                <w:color w:val="000000"/>
                <w:sz w:val="20"/>
              </w:rPr>
            </w:pPr>
            <w:r w:rsidRPr="00C6642F">
              <w:rPr>
                <w:b/>
                <w:color w:val="000000"/>
                <w:sz w:val="20"/>
              </w:rPr>
              <w:t>Total assets</w:t>
            </w:r>
          </w:p>
        </w:tc>
        <w:tc>
          <w:tcPr>
            <w:tcW w:w="139"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72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p>
        </w:tc>
        <w:tc>
          <w:tcPr>
            <w:tcW w:w="139"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72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r>
      <w:tr w:rsidR="0018024C" w:rsidRPr="00C6642F" w:rsidTr="0018024C">
        <w:trPr>
          <w:trHeight w:hRule="exact" w:val="255"/>
        </w:trPr>
        <w:tc>
          <w:tcPr>
            <w:tcW w:w="2861" w:type="pct"/>
            <w:tcBorders>
              <w:top w:val="nil"/>
              <w:left w:val="nil"/>
              <w:bottom w:val="nil"/>
              <w:right w:val="nil"/>
              <w:tl2br w:val="nil"/>
              <w:tr2bl w:val="nil"/>
            </w:tcBorders>
            <w:vAlign w:val="bottom"/>
          </w:tcPr>
          <w:p w:rsidR="0018024C" w:rsidRPr="00C6642F" w:rsidRDefault="0018024C" w:rsidP="0018024C">
            <w:pPr>
              <w:keepNext/>
              <w:keepLines/>
              <w:spacing w:before="1" w:after="1"/>
              <w:ind w:left="360"/>
              <w:rPr>
                <w:color w:val="000000"/>
                <w:sz w:val="20"/>
              </w:rPr>
            </w:pPr>
            <w:r w:rsidRPr="00C6642F">
              <w:rPr>
                <w:color w:val="000000"/>
                <w:sz w:val="20"/>
              </w:rPr>
              <w:t>United States</w:t>
            </w:r>
          </w:p>
        </w:tc>
        <w:tc>
          <w:tcPr>
            <w:tcW w:w="139"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203" w:type="pct"/>
            <w:tcBorders>
              <w:top w:val="nil"/>
              <w:left w:val="nil"/>
              <w:bottom w:val="nil"/>
              <w:right w:val="nil"/>
              <w:tl2br w:val="nil"/>
              <w:tr2bl w:val="nil"/>
            </w:tcBorders>
            <w:vAlign w:val="bottom"/>
          </w:tcPr>
          <w:p w:rsidR="0018024C" w:rsidRPr="00C6642F" w:rsidRDefault="0018024C" w:rsidP="0018024C">
            <w:pPr>
              <w:keepNext/>
              <w:keepLines/>
              <w:spacing w:before="1" w:after="1"/>
              <w:rPr>
                <w:b/>
                <w:color w:val="000000"/>
                <w:sz w:val="20"/>
              </w:rPr>
            </w:pPr>
            <w:r w:rsidRPr="00C6642F">
              <w:rPr>
                <w:b/>
                <w:color w:val="000000"/>
                <w:sz w:val="20"/>
              </w:rPr>
              <w:t>$</w:t>
            </w:r>
          </w:p>
        </w:tc>
        <w:tc>
          <w:tcPr>
            <w:tcW w:w="728"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1,915</w:t>
            </w:r>
          </w:p>
        </w:tc>
        <w:tc>
          <w:tcPr>
            <w:tcW w:w="139"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203"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728" w:type="pct"/>
            <w:tcBorders>
              <w:top w:val="nil"/>
              <w:left w:val="nil"/>
              <w:bottom w:val="nil"/>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2,088</w:t>
            </w:r>
          </w:p>
        </w:tc>
      </w:tr>
      <w:tr w:rsidR="0018024C" w:rsidRPr="00C6642F" w:rsidTr="0018024C">
        <w:trPr>
          <w:trHeight w:hRule="exact" w:val="255"/>
        </w:trPr>
        <w:tc>
          <w:tcPr>
            <w:tcW w:w="2861"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left="360"/>
              <w:rPr>
                <w:color w:val="000000"/>
                <w:sz w:val="20"/>
              </w:rPr>
            </w:pPr>
            <w:r w:rsidRPr="00C6642F">
              <w:rPr>
                <w:color w:val="000000"/>
                <w:sz w:val="20"/>
              </w:rPr>
              <w:t>Canada</w:t>
            </w:r>
          </w:p>
        </w:tc>
        <w:tc>
          <w:tcPr>
            <w:tcW w:w="139"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p>
        </w:tc>
        <w:tc>
          <w:tcPr>
            <w:tcW w:w="72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91</w:t>
            </w:r>
          </w:p>
        </w:tc>
        <w:tc>
          <w:tcPr>
            <w:tcW w:w="139"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728"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124</w:t>
            </w:r>
          </w:p>
        </w:tc>
      </w:tr>
      <w:tr w:rsidR="0018024C" w:rsidRPr="00C6642F" w:rsidTr="0018024C">
        <w:trPr>
          <w:trHeight w:hRule="exact" w:val="255"/>
        </w:trPr>
        <w:tc>
          <w:tcPr>
            <w:tcW w:w="2861" w:type="pct"/>
            <w:tcBorders>
              <w:top w:val="nil"/>
              <w:left w:val="nil"/>
              <w:bottom w:val="nil"/>
              <w:right w:val="nil"/>
              <w:tl2br w:val="nil"/>
              <w:tr2bl w:val="nil"/>
            </w:tcBorders>
            <w:vAlign w:val="bottom"/>
          </w:tcPr>
          <w:p w:rsidR="0018024C" w:rsidRPr="00C6642F" w:rsidRDefault="0018024C" w:rsidP="0018024C">
            <w:pPr>
              <w:keepNext/>
              <w:keepLines/>
              <w:spacing w:before="1" w:after="1"/>
              <w:ind w:left="360"/>
              <w:rPr>
                <w:color w:val="000000"/>
                <w:sz w:val="20"/>
              </w:rPr>
            </w:pPr>
            <w:r w:rsidRPr="00C6642F">
              <w:rPr>
                <w:color w:val="000000"/>
                <w:sz w:val="20"/>
              </w:rPr>
              <w:t>International</w:t>
            </w:r>
          </w:p>
        </w:tc>
        <w:tc>
          <w:tcPr>
            <w:tcW w:w="139"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203"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b/>
                <w:color w:val="000000"/>
                <w:sz w:val="20"/>
              </w:rPr>
            </w:pPr>
          </w:p>
        </w:tc>
        <w:tc>
          <w:tcPr>
            <w:tcW w:w="72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319</w:t>
            </w:r>
          </w:p>
        </w:tc>
        <w:tc>
          <w:tcPr>
            <w:tcW w:w="139" w:type="pct"/>
            <w:tcBorders>
              <w:top w:val="nil"/>
              <w:left w:val="nil"/>
              <w:bottom w:val="nil"/>
              <w:right w:val="nil"/>
              <w:tl2br w:val="nil"/>
              <w:tr2bl w:val="nil"/>
            </w:tcBorders>
            <w:vAlign w:val="bottom"/>
          </w:tcPr>
          <w:p w:rsidR="0018024C" w:rsidRPr="00C6642F" w:rsidRDefault="0018024C" w:rsidP="0018024C">
            <w:pPr>
              <w:keepNext/>
              <w:keepLines/>
              <w:spacing w:before="1" w:after="1"/>
              <w:rPr>
                <w:color w:val="000000"/>
                <w:sz w:val="20"/>
              </w:rPr>
            </w:pPr>
          </w:p>
        </w:tc>
        <w:tc>
          <w:tcPr>
            <w:tcW w:w="203"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rPr>
                <w:color w:val="000000"/>
                <w:sz w:val="20"/>
              </w:rPr>
            </w:pPr>
          </w:p>
        </w:tc>
        <w:tc>
          <w:tcPr>
            <w:tcW w:w="728" w:type="pct"/>
            <w:tcBorders>
              <w:top w:val="nil"/>
              <w:left w:val="nil"/>
              <w:bottom w:val="single" w:sz="12" w:space="0" w:color="000000"/>
              <w:right w:val="nil"/>
              <w:tl2br w:val="nil"/>
              <w:tr2bl w:val="nil"/>
            </w:tcBorders>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222</w:t>
            </w:r>
          </w:p>
        </w:tc>
      </w:tr>
      <w:tr w:rsidR="0018024C" w:rsidRPr="00C6642F" w:rsidTr="0018024C">
        <w:trPr>
          <w:trHeight w:hRule="exact" w:val="255"/>
        </w:trPr>
        <w:tc>
          <w:tcPr>
            <w:tcW w:w="2861"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ind w:left="360"/>
              <w:rPr>
                <w:color w:val="000000"/>
                <w:sz w:val="20"/>
              </w:rPr>
            </w:pPr>
            <w:r w:rsidRPr="00C6642F">
              <w:rPr>
                <w:color w:val="000000"/>
                <w:sz w:val="20"/>
              </w:rPr>
              <w:t>Total assets</w:t>
            </w:r>
          </w:p>
        </w:tc>
        <w:tc>
          <w:tcPr>
            <w:tcW w:w="139"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203"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b/>
                <w:color w:val="000000"/>
                <w:sz w:val="20"/>
              </w:rPr>
            </w:pPr>
            <w:r w:rsidRPr="00C6642F">
              <w:rPr>
                <w:b/>
                <w:color w:val="000000"/>
                <w:sz w:val="20"/>
              </w:rPr>
              <w:t>$</w:t>
            </w:r>
          </w:p>
        </w:tc>
        <w:tc>
          <w:tcPr>
            <w:tcW w:w="72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3"/>
              <w:jc w:val="right"/>
              <w:rPr>
                <w:b/>
                <w:color w:val="000000"/>
                <w:sz w:val="20"/>
              </w:rPr>
            </w:pPr>
            <w:r w:rsidRPr="00C6642F">
              <w:rPr>
                <w:b/>
                <w:color w:val="000000"/>
                <w:sz w:val="20"/>
              </w:rPr>
              <w:t xml:space="preserve"> 2,325</w:t>
            </w:r>
          </w:p>
        </w:tc>
        <w:tc>
          <w:tcPr>
            <w:tcW w:w="139" w:type="pct"/>
            <w:tcBorders>
              <w:top w:val="nil"/>
              <w:left w:val="nil"/>
              <w:bottom w:val="nil"/>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p>
        </w:tc>
        <w:tc>
          <w:tcPr>
            <w:tcW w:w="203"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rPr>
                <w:color w:val="000000"/>
                <w:sz w:val="20"/>
              </w:rPr>
            </w:pPr>
            <w:r w:rsidRPr="00C6642F">
              <w:rPr>
                <w:color w:val="000000"/>
                <w:sz w:val="20"/>
              </w:rPr>
              <w:t>$</w:t>
            </w:r>
          </w:p>
        </w:tc>
        <w:tc>
          <w:tcPr>
            <w:tcW w:w="72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keepNext/>
              <w:keepLines/>
              <w:spacing w:before="1" w:after="1"/>
              <w:ind w:right="65"/>
              <w:jc w:val="right"/>
              <w:rPr>
                <w:color w:val="000000"/>
                <w:sz w:val="20"/>
              </w:rPr>
            </w:pPr>
            <w:r w:rsidRPr="00C6642F">
              <w:rPr>
                <w:color w:val="000000"/>
                <w:sz w:val="20"/>
              </w:rPr>
              <w:t xml:space="preserve"> 2,434</w:t>
            </w:r>
          </w:p>
        </w:tc>
      </w:tr>
    </w:tbl>
    <w:p w:rsidR="000121CD" w:rsidRPr="00C6642F" w:rsidRDefault="000121CD">
      <w:pPr>
        <w:pStyle w:val="NormalWeb"/>
        <w:keepLines/>
        <w:widowControl w:val="0"/>
        <w:spacing w:before="180" w:beforeAutospacing="0" w:after="0" w:afterAutospacing="0"/>
        <w:rPr>
          <w:sz w:val="20"/>
          <w:szCs w:val="20"/>
        </w:rPr>
      </w:pPr>
    </w:p>
    <w:p w:rsidR="0090423E" w:rsidRPr="00C6642F" w:rsidRDefault="0090423E">
      <w:pPr>
        <w:pStyle w:val="NormalWeb"/>
        <w:keepLines/>
        <w:widowControl w:val="0"/>
        <w:spacing w:before="180" w:beforeAutospacing="0" w:after="0" w:afterAutospacing="0"/>
        <w:rPr>
          <w:sz w:val="20"/>
          <w:szCs w:val="20"/>
        </w:rPr>
      </w:pPr>
    </w:p>
    <w:p w:rsidR="000121CD" w:rsidRPr="00C6642F" w:rsidRDefault="00590862">
      <w:pPr>
        <w:pStyle w:val="NormalWeb"/>
        <w:keepNext/>
        <w:keepLines/>
        <w:widowControl w:val="0"/>
        <w:spacing w:before="180" w:beforeAutospacing="0" w:after="0" w:afterAutospacing="0"/>
      </w:pPr>
      <w:r w:rsidRPr="00C6642F">
        <w:rPr>
          <w:sz w:val="20"/>
          <w:szCs w:val="20"/>
        </w:rPr>
        <w:t xml:space="preserve">The percentages of our property, plant and equipment relating to the following geographic areas are as follows: </w:t>
      </w:r>
    </w:p>
    <w:p w:rsidR="000121CD" w:rsidRPr="00C6642F" w:rsidRDefault="00590862">
      <w:pPr>
        <w:pStyle w:val="NormalWeb"/>
        <w:keepNext/>
        <w:keepLines/>
        <w:widowControl w:val="0"/>
        <w:spacing w:before="0" w:beforeAutospacing="0" w:after="0" w:afterAutospacing="0"/>
        <w:rPr>
          <w:sz w:val="2"/>
          <w:szCs w:val="18"/>
        </w:rPr>
      </w:pPr>
      <w:r w:rsidRPr="00C6642F">
        <w:rPr>
          <w:sz w:val="2"/>
          <w:szCs w:val="18"/>
        </w:rPr>
        <w:t> </w:t>
      </w:r>
    </w:p>
    <w:tbl>
      <w:tblPr>
        <w:tblW w:w="5000" w:type="pct"/>
        <w:tblCellMar>
          <w:left w:w="0" w:type="dxa"/>
          <w:right w:w="0" w:type="dxa"/>
        </w:tblCellMar>
        <w:tblLook w:val="04A0" w:firstRow="1" w:lastRow="0" w:firstColumn="1" w:lastColumn="0" w:noHBand="0" w:noVBand="1"/>
      </w:tblPr>
      <w:tblGrid>
        <w:gridCol w:w="6181"/>
        <w:gridCol w:w="301"/>
        <w:gridCol w:w="438"/>
        <w:gridCol w:w="1572"/>
        <w:gridCol w:w="300"/>
        <w:gridCol w:w="438"/>
        <w:gridCol w:w="1570"/>
      </w:tblGrid>
      <w:tr w:rsidR="0018024C" w:rsidRPr="00C6642F" w:rsidTr="0018024C">
        <w:trPr>
          <w:trHeight w:hRule="exact" w:val="20"/>
        </w:trPr>
        <w:tc>
          <w:tcPr>
            <w:tcW w:w="2861"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c>
          <w:tcPr>
            <w:tcW w:w="139"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c>
          <w:tcPr>
            <w:tcW w:w="203"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c>
          <w:tcPr>
            <w:tcW w:w="728"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c>
          <w:tcPr>
            <w:tcW w:w="139"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c>
          <w:tcPr>
            <w:tcW w:w="203"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c>
          <w:tcPr>
            <w:tcW w:w="728" w:type="pct"/>
            <w:tcBorders>
              <w:top w:val="nil"/>
              <w:left w:val="nil"/>
              <w:bottom w:val="nil"/>
              <w:right w:val="nil"/>
            </w:tcBorders>
            <w:shd w:val="clear" w:color="auto" w:fill="auto"/>
            <w:vAlign w:val="bottom"/>
          </w:tcPr>
          <w:p w:rsidR="0018024C" w:rsidRPr="00C6642F" w:rsidRDefault="0018024C" w:rsidP="0018024C">
            <w:pPr>
              <w:spacing w:before="1" w:after="1"/>
              <w:rPr>
                <w:sz w:val="2"/>
              </w:rPr>
            </w:pPr>
          </w:p>
        </w:tc>
      </w:tr>
      <w:tr w:rsidR="0018024C" w:rsidRPr="00C6642F" w:rsidTr="0018024C">
        <w:trPr>
          <w:trHeight w:hRule="exact" w:val="315"/>
        </w:trPr>
        <w:tc>
          <w:tcPr>
            <w:tcW w:w="2861" w:type="pct"/>
            <w:tcBorders>
              <w:top w:val="nil"/>
              <w:left w:val="nil"/>
              <w:bottom w:val="nil"/>
              <w:right w:val="nil"/>
              <w:tl2br w:val="nil"/>
              <w:tr2bl w:val="nil"/>
            </w:tcBorders>
            <w:shd w:val="clear" w:color="auto" w:fill="auto"/>
            <w:vAlign w:val="bottom"/>
          </w:tcPr>
          <w:p w:rsidR="0018024C" w:rsidRPr="00C6642F" w:rsidRDefault="0018024C" w:rsidP="0018024C">
            <w:pPr>
              <w:spacing w:before="1" w:after="1"/>
              <w:rPr>
                <w:color w:val="000000"/>
                <w:sz w:val="20"/>
              </w:rPr>
            </w:pPr>
          </w:p>
        </w:tc>
        <w:tc>
          <w:tcPr>
            <w:tcW w:w="139" w:type="pct"/>
            <w:tcBorders>
              <w:top w:val="nil"/>
              <w:left w:val="nil"/>
              <w:bottom w:val="nil"/>
              <w:right w:val="nil"/>
              <w:tl2br w:val="nil"/>
              <w:tr2bl w:val="nil"/>
            </w:tcBorders>
            <w:shd w:val="clear" w:color="auto" w:fill="auto"/>
            <w:vAlign w:val="bottom"/>
          </w:tcPr>
          <w:p w:rsidR="0018024C" w:rsidRPr="00C6642F" w:rsidRDefault="0018024C" w:rsidP="0018024C">
            <w:pPr>
              <w:spacing w:before="1" w:after="1"/>
              <w:rPr>
                <w:color w:val="000000"/>
                <w:sz w:val="20"/>
              </w:rPr>
            </w:pPr>
          </w:p>
        </w:tc>
        <w:tc>
          <w:tcPr>
            <w:tcW w:w="1" w:type="pct"/>
            <w:gridSpan w:val="5"/>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spacing w:before="1" w:after="1"/>
              <w:jc w:val="center"/>
              <w:rPr>
                <w:b/>
                <w:color w:val="000000"/>
                <w:sz w:val="20"/>
              </w:rPr>
            </w:pPr>
            <w:r w:rsidRPr="00C6642F">
              <w:rPr>
                <w:b/>
                <w:color w:val="000000"/>
                <w:sz w:val="20"/>
              </w:rPr>
              <w:t>December 31,</w:t>
            </w:r>
          </w:p>
        </w:tc>
      </w:tr>
      <w:tr w:rsidR="0018024C" w:rsidRPr="00C6642F" w:rsidTr="0018024C">
        <w:trPr>
          <w:trHeight w:hRule="exact" w:val="315"/>
        </w:trPr>
        <w:tc>
          <w:tcPr>
            <w:tcW w:w="2861" w:type="pct"/>
            <w:tcBorders>
              <w:top w:val="nil"/>
              <w:left w:val="nil"/>
              <w:bottom w:val="nil"/>
              <w:right w:val="nil"/>
              <w:tl2br w:val="nil"/>
              <w:tr2bl w:val="nil"/>
            </w:tcBorders>
            <w:shd w:val="clear" w:color="auto" w:fill="auto"/>
            <w:vAlign w:val="bottom"/>
          </w:tcPr>
          <w:p w:rsidR="0018024C" w:rsidRPr="00C6642F" w:rsidRDefault="0018024C" w:rsidP="0018024C">
            <w:pPr>
              <w:spacing w:before="1" w:after="1"/>
              <w:rPr>
                <w:color w:val="000000"/>
                <w:sz w:val="20"/>
              </w:rPr>
            </w:pPr>
          </w:p>
        </w:tc>
        <w:tc>
          <w:tcPr>
            <w:tcW w:w="139" w:type="pct"/>
            <w:tcBorders>
              <w:top w:val="nil"/>
              <w:left w:val="nil"/>
              <w:bottom w:val="nil"/>
              <w:right w:val="nil"/>
              <w:tl2br w:val="nil"/>
              <w:tr2bl w:val="nil"/>
            </w:tcBorders>
            <w:shd w:val="clear" w:color="auto" w:fill="auto"/>
            <w:vAlign w:val="bottom"/>
          </w:tcPr>
          <w:p w:rsidR="0018024C" w:rsidRPr="00C6642F" w:rsidRDefault="0018024C" w:rsidP="0018024C">
            <w:pPr>
              <w:spacing w:before="1" w:after="1"/>
              <w:rPr>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spacing w:before="1" w:after="1"/>
              <w:jc w:val="center"/>
              <w:rPr>
                <w:b/>
                <w:color w:val="000000"/>
                <w:sz w:val="20"/>
              </w:rPr>
            </w:pPr>
            <w:r w:rsidRPr="00C6642F">
              <w:rPr>
                <w:b/>
                <w:color w:val="000000"/>
                <w:sz w:val="20"/>
              </w:rPr>
              <w:t>2019</w:t>
            </w:r>
          </w:p>
        </w:tc>
        <w:tc>
          <w:tcPr>
            <w:tcW w:w="139"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spacing w:before="1" w:after="1"/>
              <w:jc w:val="center"/>
              <w:rPr>
                <w:b/>
                <w:color w:val="000000"/>
                <w:sz w:val="20"/>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spacing w:before="1" w:after="1"/>
              <w:jc w:val="center"/>
              <w:rPr>
                <w:b/>
                <w:color w:val="000000"/>
                <w:sz w:val="20"/>
              </w:rPr>
            </w:pPr>
            <w:r w:rsidRPr="00C6642F">
              <w:rPr>
                <w:b/>
                <w:color w:val="000000"/>
                <w:sz w:val="20"/>
              </w:rPr>
              <w:t>2018</w:t>
            </w:r>
          </w:p>
        </w:tc>
      </w:tr>
      <w:tr w:rsidR="0018024C" w:rsidRPr="00C6642F" w:rsidTr="0018024C">
        <w:trPr>
          <w:trHeight w:hRule="exact" w:val="255"/>
        </w:trPr>
        <w:tc>
          <w:tcPr>
            <w:tcW w:w="2861"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ind w:left="360"/>
              <w:rPr>
                <w:b/>
                <w:color w:val="000000"/>
                <w:sz w:val="20"/>
              </w:rPr>
            </w:pPr>
            <w:r w:rsidRPr="00C6642F">
              <w:rPr>
                <w:b/>
                <w:color w:val="000000"/>
                <w:sz w:val="20"/>
              </w:rPr>
              <w:t>Property, plant and equipment</w:t>
            </w:r>
          </w:p>
        </w:tc>
        <w:tc>
          <w:tcPr>
            <w:tcW w:w="139"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color w:val="000000"/>
                <w:sz w:val="20"/>
              </w:rPr>
            </w:pPr>
          </w:p>
        </w:tc>
        <w:tc>
          <w:tcPr>
            <w:tcW w:w="203"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before="1" w:after="1"/>
              <w:rPr>
                <w:color w:val="000000"/>
                <w:sz w:val="20"/>
              </w:rPr>
            </w:pPr>
          </w:p>
        </w:tc>
        <w:tc>
          <w:tcPr>
            <w:tcW w:w="72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before="1" w:after="1"/>
              <w:rPr>
                <w:color w:val="000000"/>
                <w:sz w:val="20"/>
              </w:rPr>
            </w:pPr>
          </w:p>
        </w:tc>
        <w:tc>
          <w:tcPr>
            <w:tcW w:w="139"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color w:val="000000"/>
                <w:sz w:val="20"/>
              </w:rPr>
            </w:pPr>
          </w:p>
        </w:tc>
        <w:tc>
          <w:tcPr>
            <w:tcW w:w="203"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before="1" w:after="1"/>
              <w:rPr>
                <w:color w:val="000000"/>
                <w:sz w:val="20"/>
              </w:rPr>
            </w:pPr>
          </w:p>
        </w:tc>
        <w:tc>
          <w:tcPr>
            <w:tcW w:w="728"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before="1" w:after="1"/>
              <w:rPr>
                <w:color w:val="000000"/>
                <w:sz w:val="20"/>
              </w:rPr>
            </w:pPr>
          </w:p>
        </w:tc>
      </w:tr>
      <w:tr w:rsidR="0018024C" w:rsidRPr="00C6642F" w:rsidTr="0018024C">
        <w:trPr>
          <w:trHeight w:hRule="exact" w:val="255"/>
        </w:trPr>
        <w:tc>
          <w:tcPr>
            <w:tcW w:w="2861" w:type="pct"/>
            <w:tcBorders>
              <w:top w:val="nil"/>
              <w:left w:val="nil"/>
              <w:bottom w:val="nil"/>
              <w:right w:val="nil"/>
              <w:tl2br w:val="nil"/>
              <w:tr2bl w:val="nil"/>
            </w:tcBorders>
            <w:vAlign w:val="bottom"/>
          </w:tcPr>
          <w:p w:rsidR="0018024C" w:rsidRPr="00C6642F" w:rsidRDefault="0018024C" w:rsidP="0018024C">
            <w:pPr>
              <w:spacing w:before="1" w:after="1"/>
              <w:ind w:left="360"/>
              <w:rPr>
                <w:color w:val="000000"/>
                <w:sz w:val="20"/>
              </w:rPr>
            </w:pPr>
            <w:r w:rsidRPr="00C6642F">
              <w:rPr>
                <w:color w:val="000000"/>
                <w:sz w:val="20"/>
              </w:rPr>
              <w:t>United States</w:t>
            </w:r>
          </w:p>
        </w:tc>
        <w:tc>
          <w:tcPr>
            <w:tcW w:w="139" w:type="pct"/>
            <w:tcBorders>
              <w:top w:val="nil"/>
              <w:left w:val="nil"/>
              <w:bottom w:val="nil"/>
              <w:right w:val="nil"/>
              <w:tl2br w:val="nil"/>
              <w:tr2bl w:val="nil"/>
            </w:tcBorders>
            <w:vAlign w:val="bottom"/>
          </w:tcPr>
          <w:p w:rsidR="0018024C" w:rsidRPr="00C6642F" w:rsidRDefault="0018024C" w:rsidP="0018024C">
            <w:pPr>
              <w:spacing w:before="1" w:after="1"/>
              <w:rPr>
                <w:color w:val="000000"/>
                <w:sz w:val="20"/>
              </w:rPr>
            </w:pPr>
          </w:p>
        </w:tc>
        <w:tc>
          <w:tcPr>
            <w:tcW w:w="203" w:type="pct"/>
            <w:tcBorders>
              <w:top w:val="nil"/>
              <w:left w:val="nil"/>
              <w:bottom w:val="nil"/>
              <w:right w:val="nil"/>
              <w:tl2br w:val="nil"/>
              <w:tr2bl w:val="nil"/>
            </w:tcBorders>
            <w:vAlign w:val="bottom"/>
          </w:tcPr>
          <w:p w:rsidR="0018024C" w:rsidRPr="00C6642F" w:rsidRDefault="0018024C" w:rsidP="0018024C">
            <w:pPr>
              <w:spacing w:before="1" w:after="1"/>
              <w:rPr>
                <w:color w:val="000000"/>
                <w:sz w:val="20"/>
              </w:rPr>
            </w:pPr>
          </w:p>
        </w:tc>
        <w:tc>
          <w:tcPr>
            <w:tcW w:w="728" w:type="pct"/>
            <w:tcBorders>
              <w:top w:val="nil"/>
              <w:left w:val="nil"/>
              <w:bottom w:val="nil"/>
              <w:right w:val="nil"/>
              <w:tl2br w:val="nil"/>
              <w:tr2bl w:val="nil"/>
            </w:tcBorders>
            <w:vAlign w:val="bottom"/>
          </w:tcPr>
          <w:p w:rsidR="0018024C" w:rsidRPr="00C6642F" w:rsidRDefault="0018024C" w:rsidP="0018024C">
            <w:pPr>
              <w:spacing w:before="1" w:after="1"/>
              <w:ind w:right="63"/>
              <w:jc w:val="right"/>
              <w:rPr>
                <w:b/>
                <w:sz w:val="20"/>
              </w:rPr>
            </w:pPr>
            <w:r w:rsidRPr="00C6642F">
              <w:rPr>
                <w:b/>
                <w:sz w:val="20"/>
              </w:rPr>
              <w:t>78%</w:t>
            </w:r>
          </w:p>
        </w:tc>
        <w:tc>
          <w:tcPr>
            <w:tcW w:w="139" w:type="pct"/>
            <w:tcBorders>
              <w:top w:val="nil"/>
              <w:left w:val="nil"/>
              <w:bottom w:val="nil"/>
              <w:right w:val="nil"/>
              <w:tl2br w:val="nil"/>
              <w:tr2bl w:val="nil"/>
            </w:tcBorders>
            <w:vAlign w:val="bottom"/>
          </w:tcPr>
          <w:p w:rsidR="0018024C" w:rsidRPr="00C6642F" w:rsidRDefault="0018024C" w:rsidP="0018024C">
            <w:pPr>
              <w:spacing w:before="1" w:after="1"/>
              <w:rPr>
                <w:color w:val="000000"/>
                <w:sz w:val="20"/>
              </w:rPr>
            </w:pPr>
          </w:p>
        </w:tc>
        <w:tc>
          <w:tcPr>
            <w:tcW w:w="203" w:type="pct"/>
            <w:tcBorders>
              <w:top w:val="nil"/>
              <w:left w:val="nil"/>
              <w:bottom w:val="nil"/>
              <w:right w:val="nil"/>
              <w:tl2br w:val="nil"/>
              <w:tr2bl w:val="nil"/>
            </w:tcBorders>
            <w:vAlign w:val="bottom"/>
          </w:tcPr>
          <w:p w:rsidR="0018024C" w:rsidRPr="00C6642F" w:rsidRDefault="0018024C" w:rsidP="0018024C">
            <w:pPr>
              <w:spacing w:before="1" w:after="1"/>
              <w:rPr>
                <w:color w:val="000000"/>
                <w:sz w:val="20"/>
              </w:rPr>
            </w:pPr>
          </w:p>
        </w:tc>
        <w:tc>
          <w:tcPr>
            <w:tcW w:w="728" w:type="pct"/>
            <w:tcBorders>
              <w:top w:val="nil"/>
              <w:left w:val="nil"/>
              <w:bottom w:val="nil"/>
              <w:right w:val="nil"/>
              <w:tl2br w:val="nil"/>
              <w:tr2bl w:val="nil"/>
            </w:tcBorders>
            <w:vAlign w:val="bottom"/>
          </w:tcPr>
          <w:p w:rsidR="0018024C" w:rsidRPr="00C6642F" w:rsidRDefault="0018024C" w:rsidP="0018024C">
            <w:pPr>
              <w:spacing w:before="1" w:after="1"/>
              <w:ind w:right="65"/>
              <w:jc w:val="right"/>
              <w:rPr>
                <w:sz w:val="20"/>
              </w:rPr>
            </w:pPr>
            <w:r w:rsidRPr="00C6642F">
              <w:rPr>
                <w:sz w:val="20"/>
              </w:rPr>
              <w:t>77%</w:t>
            </w:r>
          </w:p>
        </w:tc>
      </w:tr>
      <w:tr w:rsidR="0018024C" w:rsidRPr="00C6642F" w:rsidTr="0018024C">
        <w:trPr>
          <w:trHeight w:hRule="exact" w:val="255"/>
        </w:trPr>
        <w:tc>
          <w:tcPr>
            <w:tcW w:w="2861"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ind w:left="360"/>
              <w:rPr>
                <w:color w:val="000000"/>
                <w:sz w:val="20"/>
              </w:rPr>
            </w:pPr>
            <w:r w:rsidRPr="00C6642F">
              <w:rPr>
                <w:color w:val="000000"/>
                <w:sz w:val="20"/>
              </w:rPr>
              <w:t>Canada</w:t>
            </w:r>
          </w:p>
        </w:tc>
        <w:tc>
          <w:tcPr>
            <w:tcW w:w="139"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color w:val="000000"/>
                <w:sz w:val="20"/>
              </w:rPr>
            </w:pPr>
          </w:p>
        </w:tc>
        <w:tc>
          <w:tcPr>
            <w:tcW w:w="728"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ind w:right="63"/>
              <w:jc w:val="right"/>
              <w:rPr>
                <w:b/>
                <w:sz w:val="20"/>
              </w:rPr>
            </w:pPr>
            <w:r w:rsidRPr="00C6642F">
              <w:rPr>
                <w:b/>
                <w:sz w:val="20"/>
              </w:rPr>
              <w:t>10%</w:t>
            </w:r>
          </w:p>
        </w:tc>
        <w:tc>
          <w:tcPr>
            <w:tcW w:w="139"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color w:val="000000"/>
                <w:sz w:val="20"/>
              </w:rPr>
            </w:pPr>
          </w:p>
        </w:tc>
        <w:tc>
          <w:tcPr>
            <w:tcW w:w="728"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ind w:right="65"/>
              <w:jc w:val="right"/>
              <w:rPr>
                <w:sz w:val="20"/>
              </w:rPr>
            </w:pPr>
            <w:r w:rsidRPr="00C6642F">
              <w:rPr>
                <w:sz w:val="20"/>
              </w:rPr>
              <w:t>10%</w:t>
            </w:r>
          </w:p>
        </w:tc>
      </w:tr>
      <w:tr w:rsidR="0018024C" w:rsidRPr="00C6642F" w:rsidTr="0018024C">
        <w:trPr>
          <w:trHeight w:hRule="exact" w:val="255"/>
        </w:trPr>
        <w:tc>
          <w:tcPr>
            <w:tcW w:w="2861" w:type="pct"/>
            <w:tcBorders>
              <w:top w:val="nil"/>
              <w:left w:val="nil"/>
              <w:bottom w:val="nil"/>
              <w:right w:val="nil"/>
              <w:tl2br w:val="nil"/>
              <w:tr2bl w:val="nil"/>
            </w:tcBorders>
            <w:vAlign w:val="bottom"/>
          </w:tcPr>
          <w:p w:rsidR="0018024C" w:rsidRPr="00C6642F" w:rsidRDefault="0018024C" w:rsidP="0018024C">
            <w:pPr>
              <w:spacing w:before="1" w:after="1"/>
              <w:ind w:left="360"/>
              <w:rPr>
                <w:color w:val="000000"/>
                <w:sz w:val="20"/>
              </w:rPr>
            </w:pPr>
            <w:r w:rsidRPr="00C6642F">
              <w:rPr>
                <w:color w:val="000000"/>
                <w:sz w:val="20"/>
              </w:rPr>
              <w:t>International</w:t>
            </w:r>
          </w:p>
        </w:tc>
        <w:tc>
          <w:tcPr>
            <w:tcW w:w="139" w:type="pct"/>
            <w:tcBorders>
              <w:top w:val="nil"/>
              <w:left w:val="nil"/>
              <w:bottom w:val="nil"/>
              <w:right w:val="nil"/>
              <w:tl2br w:val="nil"/>
              <w:tr2bl w:val="nil"/>
            </w:tcBorders>
            <w:vAlign w:val="bottom"/>
          </w:tcPr>
          <w:p w:rsidR="0018024C" w:rsidRPr="00C6642F" w:rsidRDefault="0018024C" w:rsidP="0018024C">
            <w:pPr>
              <w:spacing w:before="1" w:after="1"/>
              <w:rPr>
                <w:color w:val="000000"/>
                <w:sz w:val="20"/>
              </w:rPr>
            </w:pPr>
          </w:p>
        </w:tc>
        <w:tc>
          <w:tcPr>
            <w:tcW w:w="203" w:type="pct"/>
            <w:tcBorders>
              <w:top w:val="nil"/>
              <w:left w:val="nil"/>
              <w:bottom w:val="single" w:sz="12" w:space="0" w:color="000000"/>
              <w:right w:val="nil"/>
              <w:tl2br w:val="nil"/>
              <w:tr2bl w:val="nil"/>
            </w:tcBorders>
            <w:vAlign w:val="bottom"/>
          </w:tcPr>
          <w:p w:rsidR="0018024C" w:rsidRPr="00C6642F" w:rsidRDefault="0018024C" w:rsidP="0018024C">
            <w:pPr>
              <w:spacing w:before="1" w:after="1"/>
              <w:rPr>
                <w:color w:val="000000"/>
                <w:sz w:val="20"/>
              </w:rPr>
            </w:pPr>
          </w:p>
        </w:tc>
        <w:tc>
          <w:tcPr>
            <w:tcW w:w="728" w:type="pct"/>
            <w:tcBorders>
              <w:top w:val="nil"/>
              <w:left w:val="nil"/>
              <w:bottom w:val="single" w:sz="12" w:space="0" w:color="000000"/>
              <w:right w:val="nil"/>
              <w:tl2br w:val="nil"/>
              <w:tr2bl w:val="nil"/>
            </w:tcBorders>
            <w:vAlign w:val="bottom"/>
          </w:tcPr>
          <w:p w:rsidR="0018024C" w:rsidRPr="00C6642F" w:rsidRDefault="0018024C" w:rsidP="0018024C">
            <w:pPr>
              <w:spacing w:before="1" w:after="1"/>
              <w:ind w:right="63"/>
              <w:jc w:val="right"/>
              <w:rPr>
                <w:b/>
                <w:sz w:val="20"/>
              </w:rPr>
            </w:pPr>
            <w:r w:rsidRPr="00C6642F">
              <w:rPr>
                <w:b/>
                <w:sz w:val="20"/>
              </w:rPr>
              <w:t>12%</w:t>
            </w:r>
          </w:p>
        </w:tc>
        <w:tc>
          <w:tcPr>
            <w:tcW w:w="139" w:type="pct"/>
            <w:tcBorders>
              <w:top w:val="nil"/>
              <w:left w:val="nil"/>
              <w:bottom w:val="nil"/>
              <w:right w:val="nil"/>
              <w:tl2br w:val="nil"/>
              <w:tr2bl w:val="nil"/>
            </w:tcBorders>
            <w:vAlign w:val="bottom"/>
          </w:tcPr>
          <w:p w:rsidR="0018024C" w:rsidRPr="00C6642F" w:rsidRDefault="0018024C" w:rsidP="0018024C">
            <w:pPr>
              <w:spacing w:before="1" w:after="1"/>
              <w:rPr>
                <w:color w:val="000000"/>
                <w:sz w:val="20"/>
              </w:rPr>
            </w:pPr>
          </w:p>
        </w:tc>
        <w:tc>
          <w:tcPr>
            <w:tcW w:w="203" w:type="pct"/>
            <w:tcBorders>
              <w:top w:val="nil"/>
              <w:left w:val="nil"/>
              <w:bottom w:val="nil"/>
              <w:right w:val="nil"/>
              <w:tl2br w:val="nil"/>
              <w:tr2bl w:val="nil"/>
            </w:tcBorders>
            <w:vAlign w:val="bottom"/>
          </w:tcPr>
          <w:p w:rsidR="0018024C" w:rsidRPr="00C6642F" w:rsidRDefault="0018024C" w:rsidP="0018024C">
            <w:pPr>
              <w:spacing w:before="1" w:after="1"/>
              <w:rPr>
                <w:color w:val="000000"/>
                <w:sz w:val="20"/>
              </w:rPr>
            </w:pPr>
          </w:p>
        </w:tc>
        <w:tc>
          <w:tcPr>
            <w:tcW w:w="728" w:type="pct"/>
            <w:tcBorders>
              <w:top w:val="nil"/>
              <w:left w:val="nil"/>
              <w:bottom w:val="single" w:sz="12" w:space="0" w:color="000000"/>
              <w:right w:val="nil"/>
              <w:tl2br w:val="nil"/>
              <w:tr2bl w:val="nil"/>
            </w:tcBorders>
            <w:vAlign w:val="bottom"/>
          </w:tcPr>
          <w:p w:rsidR="0018024C" w:rsidRPr="00C6642F" w:rsidRDefault="0018024C" w:rsidP="0018024C">
            <w:pPr>
              <w:spacing w:before="1" w:after="1"/>
              <w:ind w:right="65"/>
              <w:jc w:val="right"/>
              <w:rPr>
                <w:sz w:val="20"/>
              </w:rPr>
            </w:pPr>
            <w:r w:rsidRPr="00C6642F">
              <w:rPr>
                <w:sz w:val="20"/>
              </w:rPr>
              <w:t>13%</w:t>
            </w:r>
          </w:p>
        </w:tc>
      </w:tr>
      <w:tr w:rsidR="0018024C" w:rsidRPr="00C6642F" w:rsidTr="0018024C">
        <w:trPr>
          <w:trHeight w:hRule="exact" w:val="255"/>
        </w:trPr>
        <w:tc>
          <w:tcPr>
            <w:tcW w:w="2861"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ind w:left="360"/>
              <w:rPr>
                <w:color w:val="000000"/>
                <w:sz w:val="20"/>
              </w:rPr>
            </w:pPr>
            <w:r w:rsidRPr="00C6642F">
              <w:rPr>
                <w:color w:val="000000"/>
                <w:sz w:val="20"/>
              </w:rPr>
              <w:t>Total property, plant and equipment</w:t>
            </w:r>
          </w:p>
        </w:tc>
        <w:tc>
          <w:tcPr>
            <w:tcW w:w="139"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color w:val="000000"/>
                <w:sz w:val="20"/>
              </w:rPr>
            </w:pPr>
          </w:p>
        </w:tc>
        <w:tc>
          <w:tcPr>
            <w:tcW w:w="203"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spacing w:before="1" w:after="1"/>
              <w:rPr>
                <w:color w:val="000000"/>
                <w:sz w:val="20"/>
              </w:rPr>
            </w:pPr>
          </w:p>
        </w:tc>
        <w:tc>
          <w:tcPr>
            <w:tcW w:w="72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spacing w:before="1" w:after="1"/>
              <w:ind w:right="63"/>
              <w:jc w:val="right"/>
              <w:rPr>
                <w:b/>
                <w:sz w:val="20"/>
              </w:rPr>
            </w:pPr>
            <w:r w:rsidRPr="00C6642F">
              <w:rPr>
                <w:b/>
                <w:sz w:val="20"/>
              </w:rPr>
              <w:t>100%</w:t>
            </w:r>
          </w:p>
        </w:tc>
        <w:tc>
          <w:tcPr>
            <w:tcW w:w="139"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color w:val="000000"/>
                <w:sz w:val="20"/>
              </w:rPr>
            </w:pPr>
          </w:p>
        </w:tc>
        <w:tc>
          <w:tcPr>
            <w:tcW w:w="203" w:type="pct"/>
            <w:tcBorders>
              <w:top w:val="nil"/>
              <w:left w:val="nil"/>
              <w:bottom w:val="nil"/>
              <w:right w:val="nil"/>
              <w:tl2br w:val="nil"/>
              <w:tr2bl w:val="nil"/>
            </w:tcBorders>
            <w:shd w:val="clear" w:color="auto" w:fill="CCEEFF"/>
            <w:vAlign w:val="bottom"/>
          </w:tcPr>
          <w:p w:rsidR="0018024C" w:rsidRPr="00C6642F" w:rsidRDefault="0018024C" w:rsidP="0018024C">
            <w:pPr>
              <w:spacing w:before="1" w:after="1"/>
              <w:rPr>
                <w:color w:val="000000"/>
                <w:sz w:val="20"/>
              </w:rPr>
            </w:pPr>
          </w:p>
        </w:tc>
        <w:tc>
          <w:tcPr>
            <w:tcW w:w="728" w:type="pct"/>
            <w:tcBorders>
              <w:top w:val="single" w:sz="0" w:space="0" w:color="000000"/>
              <w:left w:val="nil"/>
              <w:bottom w:val="double" w:sz="4" w:space="0" w:color="000000"/>
              <w:right w:val="nil"/>
              <w:tl2br w:val="nil"/>
              <w:tr2bl w:val="nil"/>
            </w:tcBorders>
            <w:shd w:val="clear" w:color="auto" w:fill="CCEEFF"/>
            <w:vAlign w:val="bottom"/>
          </w:tcPr>
          <w:p w:rsidR="0018024C" w:rsidRPr="00C6642F" w:rsidRDefault="0018024C" w:rsidP="0018024C">
            <w:pPr>
              <w:spacing w:before="1" w:after="1"/>
              <w:ind w:right="65"/>
              <w:jc w:val="right"/>
              <w:rPr>
                <w:sz w:val="20"/>
              </w:rPr>
            </w:pPr>
            <w:r w:rsidRPr="00C6642F">
              <w:rPr>
                <w:sz w:val="20"/>
              </w:rPr>
              <w:t>100%</w:t>
            </w:r>
          </w:p>
        </w:tc>
      </w:tr>
    </w:tbl>
    <w:p w:rsidR="000121CD" w:rsidRPr="00C6642F" w:rsidRDefault="00590862">
      <w:pPr>
        <w:pStyle w:val="NormalWeb"/>
        <w:widowControl w:val="0"/>
        <w:spacing w:before="180" w:beforeAutospacing="0" w:after="0" w:afterAutospacing="0"/>
        <w:rPr>
          <w:sz w:val="20"/>
          <w:szCs w:val="20"/>
        </w:rPr>
      </w:pPr>
      <w:r w:rsidRPr="00C6642F">
        <w:rPr>
          <w:sz w:val="20"/>
          <w:szCs w:val="20"/>
        </w:rPr>
        <w:t xml:space="preserve">Our net sales and percentage of total sales by product line are as follows (in millions): </w:t>
      </w:r>
    </w:p>
    <w:p w:rsidR="000121CD" w:rsidRPr="00C6642F" w:rsidRDefault="000121CD">
      <w:pPr>
        <w:pStyle w:val="NormalWeb"/>
        <w:widowControl w:val="0"/>
        <w:spacing w:before="0" w:beforeAutospacing="0" w:after="0" w:afterAutospacing="0"/>
        <w:rPr>
          <w:sz w:val="2"/>
        </w:rPr>
      </w:pPr>
    </w:p>
    <w:tbl>
      <w:tblPr>
        <w:tblW w:w="5000" w:type="pct"/>
        <w:tblCellMar>
          <w:left w:w="0" w:type="dxa"/>
          <w:right w:w="0" w:type="dxa"/>
        </w:tblCellMar>
        <w:tblLook w:val="04A0" w:firstRow="1" w:lastRow="0" w:firstColumn="1" w:lastColumn="0" w:noHBand="0" w:noVBand="1"/>
      </w:tblPr>
      <w:tblGrid>
        <w:gridCol w:w="4325"/>
        <w:gridCol w:w="141"/>
        <w:gridCol w:w="221"/>
        <w:gridCol w:w="814"/>
        <w:gridCol w:w="140"/>
        <w:gridCol w:w="743"/>
        <w:gridCol w:w="140"/>
        <w:gridCol w:w="220"/>
        <w:gridCol w:w="814"/>
        <w:gridCol w:w="292"/>
        <w:gridCol w:w="743"/>
        <w:gridCol w:w="140"/>
        <w:gridCol w:w="220"/>
        <w:gridCol w:w="814"/>
        <w:gridCol w:w="292"/>
        <w:gridCol w:w="741"/>
      </w:tblGrid>
      <w:tr w:rsidR="0018024C" w:rsidRPr="00C6642F" w:rsidTr="0018024C">
        <w:trPr>
          <w:trHeight w:hRule="exact" w:val="20"/>
        </w:trPr>
        <w:tc>
          <w:tcPr>
            <w:tcW w:w="2002" w:type="pct"/>
            <w:tcBorders>
              <w:top w:val="nil"/>
              <w:left w:val="nil"/>
              <w:bottom w:val="nil"/>
              <w:right w:val="nil"/>
            </w:tcBorders>
            <w:shd w:val="clear" w:color="auto" w:fill="auto"/>
            <w:vAlign w:val="bottom"/>
          </w:tcPr>
          <w:p w:rsidR="0018024C" w:rsidRPr="00C6642F" w:rsidRDefault="0018024C" w:rsidP="0018024C">
            <w:pPr>
              <w:spacing w:after="1"/>
              <w:rPr>
                <w:sz w:val="2"/>
              </w:rPr>
            </w:pPr>
          </w:p>
        </w:tc>
        <w:tc>
          <w:tcPr>
            <w:tcW w:w="65" w:type="pct"/>
            <w:tcBorders>
              <w:top w:val="nil"/>
              <w:left w:val="nil"/>
              <w:bottom w:val="nil"/>
              <w:right w:val="nil"/>
            </w:tcBorders>
            <w:shd w:val="clear" w:color="auto" w:fill="auto"/>
            <w:vAlign w:val="bottom"/>
          </w:tcPr>
          <w:p w:rsidR="0018024C" w:rsidRPr="00C6642F" w:rsidRDefault="0018024C" w:rsidP="0018024C">
            <w:pPr>
              <w:spacing w:after="1"/>
              <w:rPr>
                <w:sz w:val="2"/>
              </w:rPr>
            </w:pPr>
          </w:p>
        </w:tc>
        <w:tc>
          <w:tcPr>
            <w:tcW w:w="102" w:type="pct"/>
            <w:tcBorders>
              <w:top w:val="nil"/>
              <w:left w:val="nil"/>
              <w:bottom w:val="nil"/>
              <w:right w:val="nil"/>
            </w:tcBorders>
            <w:shd w:val="clear" w:color="auto" w:fill="auto"/>
            <w:vAlign w:val="bottom"/>
          </w:tcPr>
          <w:p w:rsidR="0018024C" w:rsidRPr="00C6642F" w:rsidRDefault="0018024C" w:rsidP="0018024C">
            <w:pPr>
              <w:spacing w:after="1"/>
              <w:rPr>
                <w:sz w:val="2"/>
              </w:rPr>
            </w:pPr>
          </w:p>
        </w:tc>
        <w:tc>
          <w:tcPr>
            <w:tcW w:w="377" w:type="pct"/>
            <w:tcBorders>
              <w:top w:val="nil"/>
              <w:left w:val="nil"/>
              <w:bottom w:val="nil"/>
              <w:right w:val="nil"/>
            </w:tcBorders>
            <w:shd w:val="clear" w:color="auto" w:fill="auto"/>
            <w:vAlign w:val="bottom"/>
          </w:tcPr>
          <w:p w:rsidR="0018024C" w:rsidRPr="00C6642F" w:rsidRDefault="0018024C" w:rsidP="0018024C">
            <w:pPr>
              <w:spacing w:after="1"/>
              <w:rPr>
                <w:sz w:val="2"/>
              </w:rPr>
            </w:pPr>
          </w:p>
        </w:tc>
        <w:tc>
          <w:tcPr>
            <w:tcW w:w="65" w:type="pct"/>
            <w:tcBorders>
              <w:top w:val="nil"/>
              <w:left w:val="nil"/>
              <w:bottom w:val="nil"/>
              <w:right w:val="nil"/>
            </w:tcBorders>
            <w:shd w:val="clear" w:color="auto" w:fill="auto"/>
            <w:vAlign w:val="bottom"/>
          </w:tcPr>
          <w:p w:rsidR="0018024C" w:rsidRPr="00C6642F" w:rsidRDefault="0018024C" w:rsidP="0018024C">
            <w:pPr>
              <w:spacing w:after="1"/>
              <w:rPr>
                <w:sz w:val="2"/>
              </w:rPr>
            </w:pPr>
          </w:p>
        </w:tc>
        <w:tc>
          <w:tcPr>
            <w:tcW w:w="344" w:type="pct"/>
            <w:tcBorders>
              <w:top w:val="nil"/>
              <w:left w:val="nil"/>
              <w:bottom w:val="nil"/>
              <w:right w:val="nil"/>
            </w:tcBorders>
            <w:shd w:val="clear" w:color="auto" w:fill="auto"/>
            <w:vAlign w:val="bottom"/>
          </w:tcPr>
          <w:p w:rsidR="0018024C" w:rsidRPr="00C6642F" w:rsidRDefault="0018024C" w:rsidP="0018024C">
            <w:pPr>
              <w:spacing w:after="1"/>
              <w:rPr>
                <w:sz w:val="2"/>
              </w:rPr>
            </w:pPr>
          </w:p>
        </w:tc>
        <w:tc>
          <w:tcPr>
            <w:tcW w:w="65" w:type="pct"/>
            <w:tcBorders>
              <w:top w:val="nil"/>
              <w:left w:val="nil"/>
              <w:bottom w:val="nil"/>
              <w:right w:val="nil"/>
            </w:tcBorders>
            <w:shd w:val="clear" w:color="auto" w:fill="auto"/>
            <w:vAlign w:val="bottom"/>
          </w:tcPr>
          <w:p w:rsidR="0018024C" w:rsidRPr="00C6642F" w:rsidRDefault="0018024C" w:rsidP="0018024C">
            <w:pPr>
              <w:spacing w:after="1"/>
              <w:rPr>
                <w:sz w:val="2"/>
              </w:rPr>
            </w:pPr>
          </w:p>
        </w:tc>
        <w:tc>
          <w:tcPr>
            <w:tcW w:w="102" w:type="pct"/>
            <w:tcBorders>
              <w:top w:val="nil"/>
              <w:left w:val="nil"/>
              <w:bottom w:val="nil"/>
              <w:right w:val="nil"/>
            </w:tcBorders>
            <w:shd w:val="clear" w:color="auto" w:fill="auto"/>
            <w:vAlign w:val="bottom"/>
          </w:tcPr>
          <w:p w:rsidR="0018024C" w:rsidRPr="00C6642F" w:rsidRDefault="0018024C" w:rsidP="0018024C">
            <w:pPr>
              <w:spacing w:after="1"/>
              <w:rPr>
                <w:sz w:val="2"/>
              </w:rPr>
            </w:pPr>
          </w:p>
        </w:tc>
        <w:tc>
          <w:tcPr>
            <w:tcW w:w="377" w:type="pct"/>
            <w:tcBorders>
              <w:top w:val="nil"/>
              <w:left w:val="nil"/>
              <w:bottom w:val="nil"/>
              <w:right w:val="nil"/>
            </w:tcBorders>
            <w:shd w:val="clear" w:color="auto" w:fill="auto"/>
            <w:vAlign w:val="bottom"/>
          </w:tcPr>
          <w:p w:rsidR="0018024C" w:rsidRPr="00C6642F" w:rsidRDefault="0018024C" w:rsidP="0018024C">
            <w:pPr>
              <w:spacing w:after="1"/>
              <w:rPr>
                <w:sz w:val="2"/>
              </w:rPr>
            </w:pPr>
          </w:p>
        </w:tc>
        <w:tc>
          <w:tcPr>
            <w:tcW w:w="135" w:type="pct"/>
            <w:tcBorders>
              <w:top w:val="nil"/>
              <w:left w:val="nil"/>
              <w:bottom w:val="nil"/>
              <w:right w:val="nil"/>
            </w:tcBorders>
            <w:shd w:val="clear" w:color="auto" w:fill="auto"/>
            <w:vAlign w:val="bottom"/>
          </w:tcPr>
          <w:p w:rsidR="0018024C" w:rsidRPr="00C6642F" w:rsidRDefault="0018024C" w:rsidP="0018024C">
            <w:pPr>
              <w:spacing w:after="1"/>
              <w:rPr>
                <w:sz w:val="2"/>
              </w:rPr>
            </w:pPr>
          </w:p>
        </w:tc>
        <w:tc>
          <w:tcPr>
            <w:tcW w:w="344" w:type="pct"/>
            <w:tcBorders>
              <w:top w:val="nil"/>
              <w:left w:val="nil"/>
              <w:bottom w:val="nil"/>
              <w:right w:val="nil"/>
            </w:tcBorders>
            <w:shd w:val="clear" w:color="auto" w:fill="auto"/>
            <w:vAlign w:val="bottom"/>
          </w:tcPr>
          <w:p w:rsidR="0018024C" w:rsidRPr="00C6642F" w:rsidRDefault="0018024C" w:rsidP="0018024C">
            <w:pPr>
              <w:spacing w:after="1"/>
              <w:rPr>
                <w:sz w:val="2"/>
              </w:rPr>
            </w:pPr>
          </w:p>
        </w:tc>
        <w:tc>
          <w:tcPr>
            <w:tcW w:w="65" w:type="pct"/>
            <w:tcBorders>
              <w:top w:val="nil"/>
              <w:left w:val="nil"/>
              <w:bottom w:val="nil"/>
              <w:right w:val="nil"/>
            </w:tcBorders>
            <w:shd w:val="clear" w:color="auto" w:fill="auto"/>
            <w:vAlign w:val="bottom"/>
          </w:tcPr>
          <w:p w:rsidR="0018024C" w:rsidRPr="00C6642F" w:rsidRDefault="0018024C" w:rsidP="0018024C">
            <w:pPr>
              <w:spacing w:after="1"/>
              <w:rPr>
                <w:sz w:val="2"/>
              </w:rPr>
            </w:pPr>
          </w:p>
        </w:tc>
        <w:tc>
          <w:tcPr>
            <w:tcW w:w="102" w:type="pct"/>
            <w:tcBorders>
              <w:top w:val="nil"/>
              <w:left w:val="nil"/>
              <w:bottom w:val="nil"/>
              <w:right w:val="nil"/>
            </w:tcBorders>
            <w:shd w:val="clear" w:color="auto" w:fill="auto"/>
            <w:vAlign w:val="bottom"/>
          </w:tcPr>
          <w:p w:rsidR="0018024C" w:rsidRPr="00C6642F" w:rsidRDefault="0018024C" w:rsidP="0018024C">
            <w:pPr>
              <w:spacing w:after="1"/>
              <w:rPr>
                <w:sz w:val="2"/>
              </w:rPr>
            </w:pPr>
          </w:p>
        </w:tc>
        <w:tc>
          <w:tcPr>
            <w:tcW w:w="377" w:type="pct"/>
            <w:tcBorders>
              <w:top w:val="nil"/>
              <w:left w:val="nil"/>
              <w:bottom w:val="nil"/>
              <w:right w:val="nil"/>
            </w:tcBorders>
            <w:shd w:val="clear" w:color="auto" w:fill="auto"/>
            <w:vAlign w:val="bottom"/>
          </w:tcPr>
          <w:p w:rsidR="0018024C" w:rsidRPr="00C6642F" w:rsidRDefault="0018024C" w:rsidP="0018024C">
            <w:pPr>
              <w:spacing w:after="1"/>
              <w:rPr>
                <w:sz w:val="2"/>
              </w:rPr>
            </w:pPr>
          </w:p>
        </w:tc>
        <w:tc>
          <w:tcPr>
            <w:tcW w:w="135" w:type="pct"/>
            <w:tcBorders>
              <w:top w:val="nil"/>
              <w:left w:val="nil"/>
              <w:bottom w:val="nil"/>
              <w:right w:val="nil"/>
            </w:tcBorders>
            <w:shd w:val="clear" w:color="auto" w:fill="auto"/>
            <w:vAlign w:val="bottom"/>
          </w:tcPr>
          <w:p w:rsidR="0018024C" w:rsidRPr="00C6642F" w:rsidRDefault="0018024C" w:rsidP="0018024C">
            <w:pPr>
              <w:spacing w:after="1"/>
              <w:rPr>
                <w:sz w:val="2"/>
              </w:rPr>
            </w:pPr>
          </w:p>
        </w:tc>
        <w:tc>
          <w:tcPr>
            <w:tcW w:w="343" w:type="pct"/>
            <w:tcBorders>
              <w:top w:val="nil"/>
              <w:left w:val="nil"/>
              <w:bottom w:val="nil"/>
              <w:right w:val="nil"/>
            </w:tcBorders>
            <w:shd w:val="clear" w:color="auto" w:fill="auto"/>
            <w:vAlign w:val="bottom"/>
          </w:tcPr>
          <w:p w:rsidR="0018024C" w:rsidRPr="00C6642F" w:rsidRDefault="0018024C" w:rsidP="0018024C">
            <w:pPr>
              <w:spacing w:after="1"/>
              <w:rPr>
                <w:sz w:val="2"/>
              </w:rPr>
            </w:pPr>
          </w:p>
        </w:tc>
      </w:tr>
      <w:tr w:rsidR="0018024C" w:rsidRPr="00C6642F" w:rsidTr="0018024C">
        <w:trPr>
          <w:trHeight w:hRule="exact" w:val="315"/>
        </w:trPr>
        <w:tc>
          <w:tcPr>
            <w:tcW w:w="2002" w:type="pct"/>
            <w:tcBorders>
              <w:top w:val="nil"/>
              <w:left w:val="nil"/>
              <w:bottom w:val="nil"/>
              <w:right w:val="nil"/>
              <w:tl2br w:val="nil"/>
              <w:tr2bl w:val="nil"/>
            </w:tcBorders>
            <w:shd w:val="clear" w:color="auto" w:fill="auto"/>
            <w:vAlign w:val="bottom"/>
          </w:tcPr>
          <w:p w:rsidR="0018024C" w:rsidRPr="00C6642F" w:rsidRDefault="0018024C" w:rsidP="0018024C">
            <w:pPr>
              <w:spacing w:after="1"/>
              <w:rPr>
                <w:sz w:val="20"/>
              </w:rPr>
            </w:pPr>
          </w:p>
        </w:tc>
        <w:tc>
          <w:tcPr>
            <w:tcW w:w="65" w:type="pct"/>
            <w:tcBorders>
              <w:top w:val="nil"/>
              <w:left w:val="nil"/>
              <w:bottom w:val="nil"/>
              <w:right w:val="nil"/>
              <w:tl2br w:val="nil"/>
              <w:tr2bl w:val="nil"/>
            </w:tcBorders>
            <w:shd w:val="clear" w:color="auto" w:fill="auto"/>
            <w:vAlign w:val="bottom"/>
          </w:tcPr>
          <w:p w:rsidR="0018024C" w:rsidRPr="00C6642F" w:rsidRDefault="0018024C" w:rsidP="0018024C">
            <w:pPr>
              <w:spacing w:after="1"/>
              <w:rPr>
                <w:sz w:val="20"/>
              </w:rPr>
            </w:pPr>
          </w:p>
        </w:tc>
        <w:tc>
          <w:tcPr>
            <w:tcW w:w="1" w:type="pct"/>
            <w:gridSpan w:val="14"/>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spacing w:after="1"/>
              <w:jc w:val="center"/>
              <w:rPr>
                <w:b/>
                <w:sz w:val="20"/>
              </w:rPr>
            </w:pPr>
            <w:r w:rsidRPr="00C6642F">
              <w:rPr>
                <w:b/>
                <w:sz w:val="20"/>
              </w:rPr>
              <w:t>Year Ended December 31,</w:t>
            </w:r>
          </w:p>
        </w:tc>
      </w:tr>
      <w:tr w:rsidR="0018024C" w:rsidRPr="00C6642F" w:rsidTr="0018024C">
        <w:trPr>
          <w:trHeight w:hRule="exact" w:val="315"/>
        </w:trPr>
        <w:tc>
          <w:tcPr>
            <w:tcW w:w="2002" w:type="pct"/>
            <w:tcBorders>
              <w:top w:val="nil"/>
              <w:left w:val="nil"/>
              <w:bottom w:val="nil"/>
              <w:right w:val="nil"/>
              <w:tl2br w:val="nil"/>
              <w:tr2bl w:val="nil"/>
            </w:tcBorders>
            <w:shd w:val="clear" w:color="auto" w:fill="auto"/>
            <w:vAlign w:val="bottom"/>
          </w:tcPr>
          <w:p w:rsidR="0018024C" w:rsidRPr="00C6642F" w:rsidRDefault="0018024C" w:rsidP="0018024C">
            <w:pPr>
              <w:spacing w:after="1"/>
              <w:rPr>
                <w:b/>
                <w:sz w:val="20"/>
              </w:rPr>
            </w:pPr>
          </w:p>
        </w:tc>
        <w:tc>
          <w:tcPr>
            <w:tcW w:w="65" w:type="pct"/>
            <w:tcBorders>
              <w:top w:val="nil"/>
              <w:left w:val="nil"/>
              <w:bottom w:val="nil"/>
              <w:right w:val="nil"/>
              <w:tl2br w:val="nil"/>
              <w:tr2bl w:val="nil"/>
            </w:tcBorders>
            <w:shd w:val="clear" w:color="auto" w:fill="auto"/>
            <w:vAlign w:val="bottom"/>
          </w:tcPr>
          <w:p w:rsidR="0018024C" w:rsidRPr="00C6642F" w:rsidRDefault="0018024C" w:rsidP="0018024C">
            <w:pPr>
              <w:spacing w:after="1"/>
              <w:rPr>
                <w:sz w:val="20"/>
              </w:rPr>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spacing w:after="1"/>
              <w:jc w:val="center"/>
              <w:rPr>
                <w:b/>
                <w:sz w:val="20"/>
              </w:rPr>
            </w:pPr>
            <w:r w:rsidRPr="00C6642F">
              <w:rPr>
                <w:b/>
                <w:sz w:val="20"/>
              </w:rPr>
              <w:t>2019</w:t>
            </w:r>
          </w:p>
        </w:tc>
        <w:tc>
          <w:tcPr>
            <w:tcW w:w="65"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spacing w:after="1"/>
              <w:rPr>
                <w:sz w:val="20"/>
              </w:rPr>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spacing w:after="1"/>
              <w:jc w:val="center"/>
              <w:rPr>
                <w:b/>
                <w:sz w:val="20"/>
              </w:rPr>
            </w:pPr>
            <w:r w:rsidRPr="00C6642F">
              <w:rPr>
                <w:b/>
                <w:sz w:val="20"/>
              </w:rPr>
              <w:t xml:space="preserve"> 2018</w:t>
            </w:r>
          </w:p>
        </w:tc>
        <w:tc>
          <w:tcPr>
            <w:tcW w:w="65" w:type="pct"/>
            <w:tcBorders>
              <w:top w:val="single" w:sz="0" w:space="0" w:color="000000"/>
              <w:left w:val="nil"/>
              <w:bottom w:val="nil"/>
              <w:right w:val="nil"/>
              <w:tl2br w:val="nil"/>
              <w:tr2bl w:val="nil"/>
            </w:tcBorders>
            <w:shd w:val="clear" w:color="auto" w:fill="auto"/>
            <w:vAlign w:val="bottom"/>
          </w:tcPr>
          <w:p w:rsidR="0018024C" w:rsidRPr="00C6642F" w:rsidRDefault="0018024C" w:rsidP="0018024C">
            <w:pPr>
              <w:spacing w:after="1"/>
              <w:rPr>
                <w:sz w:val="20"/>
              </w:rPr>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18024C" w:rsidRPr="00C6642F" w:rsidRDefault="0018024C" w:rsidP="0018024C">
            <w:pPr>
              <w:spacing w:after="1"/>
              <w:jc w:val="center"/>
              <w:rPr>
                <w:b/>
                <w:sz w:val="20"/>
              </w:rPr>
            </w:pPr>
            <w:r w:rsidRPr="00C6642F">
              <w:rPr>
                <w:b/>
                <w:sz w:val="20"/>
              </w:rPr>
              <w:t xml:space="preserve"> 2017</w:t>
            </w:r>
          </w:p>
        </w:tc>
      </w:tr>
      <w:tr w:rsidR="0018024C" w:rsidRPr="00C6642F" w:rsidTr="0018024C">
        <w:trPr>
          <w:trHeight w:hRule="exact" w:val="255"/>
        </w:trPr>
        <w:tc>
          <w:tcPr>
            <w:tcW w:w="2002"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left="120"/>
              <w:rPr>
                <w:sz w:val="20"/>
              </w:rPr>
            </w:pPr>
            <w:r w:rsidRPr="00C6642F">
              <w:rPr>
                <w:sz w:val="20"/>
              </w:rPr>
              <w:t xml:space="preserve">Line pipe </w:t>
            </w:r>
          </w:p>
        </w:tc>
        <w:tc>
          <w:tcPr>
            <w:tcW w:w="6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10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rPr>
                <w:b/>
                <w:sz w:val="20"/>
              </w:rPr>
            </w:pPr>
            <w:r w:rsidRPr="00C6642F">
              <w:rPr>
                <w:b/>
                <w:sz w:val="20"/>
              </w:rPr>
              <w:t>$</w:t>
            </w:r>
          </w:p>
        </w:tc>
        <w:tc>
          <w:tcPr>
            <w:tcW w:w="37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ind w:right="63"/>
              <w:jc w:val="right"/>
              <w:rPr>
                <w:b/>
                <w:sz w:val="20"/>
              </w:rPr>
            </w:pPr>
            <w:r w:rsidRPr="00C6642F">
              <w:rPr>
                <w:b/>
                <w:sz w:val="20"/>
              </w:rPr>
              <w:t xml:space="preserve"> 560</w:t>
            </w:r>
          </w:p>
        </w:tc>
        <w:tc>
          <w:tcPr>
            <w:tcW w:w="65"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rPr>
                <w:b/>
                <w:sz w:val="20"/>
              </w:rPr>
            </w:pPr>
          </w:p>
        </w:tc>
        <w:tc>
          <w:tcPr>
            <w:tcW w:w="344"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ind w:right="63"/>
              <w:jc w:val="right"/>
              <w:rPr>
                <w:b/>
                <w:sz w:val="20"/>
              </w:rPr>
            </w:pPr>
            <w:r w:rsidRPr="00C6642F">
              <w:rPr>
                <w:b/>
                <w:sz w:val="20"/>
              </w:rPr>
              <w:t>15%</w:t>
            </w:r>
          </w:p>
        </w:tc>
        <w:tc>
          <w:tcPr>
            <w:tcW w:w="6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10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rPr>
                <w:sz w:val="20"/>
              </w:rPr>
            </w:pPr>
            <w:r w:rsidRPr="00C6642F">
              <w:rPr>
                <w:sz w:val="20"/>
              </w:rPr>
              <w:t>$</w:t>
            </w:r>
          </w:p>
        </w:tc>
        <w:tc>
          <w:tcPr>
            <w:tcW w:w="37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ind w:right="65"/>
              <w:jc w:val="right"/>
              <w:rPr>
                <w:sz w:val="20"/>
              </w:rPr>
            </w:pPr>
            <w:r w:rsidRPr="00C6642F">
              <w:rPr>
                <w:sz w:val="20"/>
              </w:rPr>
              <w:t xml:space="preserve"> 728</w:t>
            </w:r>
          </w:p>
        </w:tc>
        <w:tc>
          <w:tcPr>
            <w:tcW w:w="135"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344"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ind w:right="65"/>
              <w:jc w:val="right"/>
              <w:rPr>
                <w:sz w:val="20"/>
              </w:rPr>
            </w:pPr>
            <w:r w:rsidRPr="00C6642F">
              <w:rPr>
                <w:sz w:val="20"/>
              </w:rPr>
              <w:t>18%</w:t>
            </w:r>
          </w:p>
        </w:tc>
        <w:tc>
          <w:tcPr>
            <w:tcW w:w="6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10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rPr>
                <w:sz w:val="20"/>
              </w:rPr>
            </w:pPr>
            <w:r w:rsidRPr="00C6642F">
              <w:rPr>
                <w:sz w:val="20"/>
              </w:rPr>
              <w:t>$</w:t>
            </w:r>
          </w:p>
        </w:tc>
        <w:tc>
          <w:tcPr>
            <w:tcW w:w="37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ind w:right="65"/>
              <w:jc w:val="right"/>
              <w:rPr>
                <w:sz w:val="20"/>
              </w:rPr>
            </w:pPr>
            <w:r w:rsidRPr="00C6642F">
              <w:rPr>
                <w:sz w:val="20"/>
              </w:rPr>
              <w:t xml:space="preserve"> 685</w:t>
            </w:r>
          </w:p>
        </w:tc>
        <w:tc>
          <w:tcPr>
            <w:tcW w:w="135"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343"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ind w:right="65"/>
              <w:jc w:val="right"/>
              <w:rPr>
                <w:sz w:val="20"/>
              </w:rPr>
            </w:pPr>
            <w:r w:rsidRPr="00C6642F">
              <w:rPr>
                <w:sz w:val="20"/>
              </w:rPr>
              <w:t>19%</w:t>
            </w:r>
          </w:p>
        </w:tc>
      </w:tr>
      <w:tr w:rsidR="0018024C" w:rsidRPr="00C6642F" w:rsidTr="0018024C">
        <w:trPr>
          <w:trHeight w:hRule="exact" w:val="255"/>
        </w:trPr>
        <w:tc>
          <w:tcPr>
            <w:tcW w:w="2002" w:type="pct"/>
            <w:tcBorders>
              <w:top w:val="nil"/>
              <w:left w:val="nil"/>
              <w:bottom w:val="nil"/>
              <w:right w:val="nil"/>
              <w:tl2br w:val="nil"/>
              <w:tr2bl w:val="nil"/>
            </w:tcBorders>
            <w:vAlign w:val="bottom"/>
          </w:tcPr>
          <w:p w:rsidR="0018024C" w:rsidRPr="00C6642F" w:rsidRDefault="0018024C" w:rsidP="0018024C">
            <w:pPr>
              <w:spacing w:after="1"/>
              <w:ind w:left="120"/>
              <w:rPr>
                <w:sz w:val="20"/>
              </w:rPr>
            </w:pPr>
            <w:r w:rsidRPr="00C6642F">
              <w:rPr>
                <w:sz w:val="20"/>
              </w:rPr>
              <w:t>Carbon steel fittings and flanges</w:t>
            </w:r>
          </w:p>
        </w:tc>
        <w:tc>
          <w:tcPr>
            <w:tcW w:w="6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102" w:type="pct"/>
            <w:tcBorders>
              <w:top w:val="nil"/>
              <w:left w:val="nil"/>
              <w:bottom w:val="single" w:sz="12" w:space="0" w:color="000000"/>
              <w:right w:val="nil"/>
              <w:tl2br w:val="nil"/>
              <w:tr2bl w:val="nil"/>
            </w:tcBorders>
            <w:vAlign w:val="bottom"/>
          </w:tcPr>
          <w:p w:rsidR="0018024C" w:rsidRPr="00C6642F" w:rsidRDefault="0018024C" w:rsidP="0018024C">
            <w:pPr>
              <w:spacing w:after="1"/>
              <w:rPr>
                <w:b/>
                <w:sz w:val="20"/>
              </w:rPr>
            </w:pPr>
          </w:p>
        </w:tc>
        <w:tc>
          <w:tcPr>
            <w:tcW w:w="377" w:type="pct"/>
            <w:tcBorders>
              <w:top w:val="nil"/>
              <w:left w:val="nil"/>
              <w:bottom w:val="single" w:sz="12" w:space="0" w:color="000000"/>
              <w:right w:val="nil"/>
              <w:tl2br w:val="nil"/>
              <w:tr2bl w:val="nil"/>
            </w:tcBorders>
            <w:vAlign w:val="bottom"/>
          </w:tcPr>
          <w:p w:rsidR="0018024C" w:rsidRPr="00C6642F" w:rsidRDefault="0018024C" w:rsidP="0018024C">
            <w:pPr>
              <w:spacing w:after="1"/>
              <w:ind w:right="63"/>
              <w:jc w:val="right"/>
              <w:rPr>
                <w:b/>
                <w:sz w:val="20"/>
              </w:rPr>
            </w:pPr>
            <w:r w:rsidRPr="00C6642F">
              <w:rPr>
                <w:b/>
                <w:sz w:val="20"/>
              </w:rPr>
              <w:t xml:space="preserve"> 565</w:t>
            </w:r>
          </w:p>
        </w:tc>
        <w:tc>
          <w:tcPr>
            <w:tcW w:w="65" w:type="pct"/>
            <w:tcBorders>
              <w:top w:val="nil"/>
              <w:left w:val="nil"/>
              <w:bottom w:val="nil"/>
              <w:right w:val="nil"/>
              <w:tl2br w:val="nil"/>
              <w:tr2bl w:val="nil"/>
            </w:tcBorders>
            <w:vAlign w:val="bottom"/>
          </w:tcPr>
          <w:p w:rsidR="0018024C" w:rsidRPr="00C6642F" w:rsidRDefault="0018024C" w:rsidP="0018024C">
            <w:pPr>
              <w:spacing w:after="1"/>
              <w:rPr>
                <w:b/>
                <w:sz w:val="20"/>
              </w:rPr>
            </w:pPr>
          </w:p>
        </w:tc>
        <w:tc>
          <w:tcPr>
            <w:tcW w:w="344" w:type="pct"/>
            <w:tcBorders>
              <w:top w:val="nil"/>
              <w:left w:val="nil"/>
              <w:bottom w:val="nil"/>
              <w:right w:val="nil"/>
              <w:tl2br w:val="nil"/>
              <w:tr2bl w:val="nil"/>
            </w:tcBorders>
            <w:vAlign w:val="bottom"/>
          </w:tcPr>
          <w:p w:rsidR="0018024C" w:rsidRPr="00C6642F" w:rsidRDefault="0018024C" w:rsidP="0018024C">
            <w:pPr>
              <w:spacing w:after="1"/>
              <w:ind w:right="63"/>
              <w:jc w:val="right"/>
              <w:rPr>
                <w:b/>
                <w:sz w:val="20"/>
              </w:rPr>
            </w:pPr>
            <w:r w:rsidRPr="00C6642F">
              <w:rPr>
                <w:b/>
                <w:sz w:val="20"/>
              </w:rPr>
              <w:t>16%</w:t>
            </w:r>
          </w:p>
        </w:tc>
        <w:tc>
          <w:tcPr>
            <w:tcW w:w="6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102" w:type="pct"/>
            <w:tcBorders>
              <w:top w:val="nil"/>
              <w:left w:val="nil"/>
              <w:bottom w:val="single" w:sz="12" w:space="0" w:color="000000"/>
              <w:right w:val="nil"/>
              <w:tl2br w:val="nil"/>
              <w:tr2bl w:val="nil"/>
            </w:tcBorders>
            <w:vAlign w:val="bottom"/>
          </w:tcPr>
          <w:p w:rsidR="0018024C" w:rsidRPr="00C6642F" w:rsidRDefault="0018024C" w:rsidP="0018024C">
            <w:pPr>
              <w:spacing w:after="1"/>
              <w:rPr>
                <w:sz w:val="20"/>
              </w:rPr>
            </w:pPr>
          </w:p>
        </w:tc>
        <w:tc>
          <w:tcPr>
            <w:tcW w:w="377" w:type="pct"/>
            <w:tcBorders>
              <w:top w:val="nil"/>
              <w:left w:val="nil"/>
              <w:bottom w:val="single" w:sz="12" w:space="0" w:color="000000"/>
              <w:right w:val="nil"/>
              <w:tl2br w:val="nil"/>
              <w:tr2bl w:val="nil"/>
            </w:tcBorders>
            <w:vAlign w:val="bottom"/>
          </w:tcPr>
          <w:p w:rsidR="0018024C" w:rsidRPr="00C6642F" w:rsidRDefault="0018024C" w:rsidP="0018024C">
            <w:pPr>
              <w:spacing w:after="1"/>
              <w:ind w:right="65"/>
              <w:jc w:val="right"/>
              <w:rPr>
                <w:sz w:val="20"/>
              </w:rPr>
            </w:pPr>
            <w:r w:rsidRPr="00C6642F">
              <w:rPr>
                <w:sz w:val="20"/>
              </w:rPr>
              <w:t xml:space="preserve"> 683</w:t>
            </w:r>
          </w:p>
        </w:tc>
        <w:tc>
          <w:tcPr>
            <w:tcW w:w="13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344" w:type="pct"/>
            <w:tcBorders>
              <w:top w:val="nil"/>
              <w:left w:val="nil"/>
              <w:bottom w:val="nil"/>
              <w:right w:val="nil"/>
              <w:tl2br w:val="nil"/>
              <w:tr2bl w:val="nil"/>
            </w:tcBorders>
            <w:vAlign w:val="bottom"/>
          </w:tcPr>
          <w:p w:rsidR="0018024C" w:rsidRPr="00C6642F" w:rsidRDefault="0018024C" w:rsidP="0018024C">
            <w:pPr>
              <w:spacing w:after="1"/>
              <w:ind w:right="65"/>
              <w:jc w:val="right"/>
              <w:rPr>
                <w:sz w:val="20"/>
              </w:rPr>
            </w:pPr>
            <w:r w:rsidRPr="00C6642F">
              <w:rPr>
                <w:sz w:val="20"/>
              </w:rPr>
              <w:t>16%</w:t>
            </w:r>
          </w:p>
        </w:tc>
        <w:tc>
          <w:tcPr>
            <w:tcW w:w="6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102" w:type="pct"/>
            <w:tcBorders>
              <w:top w:val="nil"/>
              <w:left w:val="nil"/>
              <w:bottom w:val="single" w:sz="12" w:space="0" w:color="000000"/>
              <w:right w:val="nil"/>
              <w:tl2br w:val="nil"/>
              <w:tr2bl w:val="nil"/>
            </w:tcBorders>
            <w:vAlign w:val="bottom"/>
          </w:tcPr>
          <w:p w:rsidR="0018024C" w:rsidRPr="00C6642F" w:rsidRDefault="0018024C" w:rsidP="0018024C">
            <w:pPr>
              <w:spacing w:after="1"/>
              <w:rPr>
                <w:sz w:val="20"/>
              </w:rPr>
            </w:pPr>
          </w:p>
        </w:tc>
        <w:tc>
          <w:tcPr>
            <w:tcW w:w="377" w:type="pct"/>
            <w:tcBorders>
              <w:top w:val="nil"/>
              <w:left w:val="nil"/>
              <w:bottom w:val="single" w:sz="12" w:space="0" w:color="000000"/>
              <w:right w:val="nil"/>
              <w:tl2br w:val="nil"/>
              <w:tr2bl w:val="nil"/>
            </w:tcBorders>
            <w:vAlign w:val="bottom"/>
          </w:tcPr>
          <w:p w:rsidR="0018024C" w:rsidRPr="00C6642F" w:rsidRDefault="0018024C" w:rsidP="0018024C">
            <w:pPr>
              <w:spacing w:after="1"/>
              <w:ind w:right="65"/>
              <w:jc w:val="right"/>
              <w:rPr>
                <w:sz w:val="20"/>
              </w:rPr>
            </w:pPr>
            <w:r w:rsidRPr="00C6642F">
              <w:rPr>
                <w:sz w:val="20"/>
              </w:rPr>
              <w:t xml:space="preserve"> 548</w:t>
            </w:r>
          </w:p>
        </w:tc>
        <w:tc>
          <w:tcPr>
            <w:tcW w:w="13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343" w:type="pct"/>
            <w:tcBorders>
              <w:top w:val="nil"/>
              <w:left w:val="nil"/>
              <w:bottom w:val="nil"/>
              <w:right w:val="nil"/>
              <w:tl2br w:val="nil"/>
              <w:tr2bl w:val="nil"/>
            </w:tcBorders>
            <w:vAlign w:val="bottom"/>
          </w:tcPr>
          <w:p w:rsidR="0018024C" w:rsidRPr="00C6642F" w:rsidRDefault="0018024C" w:rsidP="0018024C">
            <w:pPr>
              <w:spacing w:after="1"/>
              <w:ind w:right="65"/>
              <w:jc w:val="right"/>
              <w:rPr>
                <w:sz w:val="20"/>
              </w:rPr>
            </w:pPr>
            <w:r w:rsidRPr="00C6642F">
              <w:rPr>
                <w:sz w:val="20"/>
              </w:rPr>
              <w:t>15%</w:t>
            </w:r>
          </w:p>
        </w:tc>
      </w:tr>
      <w:tr w:rsidR="0018024C" w:rsidRPr="00C6642F" w:rsidTr="0018024C">
        <w:trPr>
          <w:trHeight w:hRule="exact" w:val="255"/>
        </w:trPr>
        <w:tc>
          <w:tcPr>
            <w:tcW w:w="2002"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left="120"/>
              <w:rPr>
                <w:sz w:val="20"/>
              </w:rPr>
            </w:pPr>
            <w:r w:rsidRPr="00C6642F">
              <w:rPr>
                <w:sz w:val="20"/>
              </w:rPr>
              <w:t xml:space="preserve">     Total carbon steel pipe, fittings and flanges</w:t>
            </w:r>
          </w:p>
        </w:tc>
        <w:tc>
          <w:tcPr>
            <w:tcW w:w="6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10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37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ind w:right="63"/>
              <w:jc w:val="right"/>
              <w:rPr>
                <w:b/>
                <w:sz w:val="20"/>
              </w:rPr>
            </w:pPr>
            <w:r w:rsidRPr="00C6642F">
              <w:rPr>
                <w:b/>
                <w:sz w:val="20"/>
              </w:rPr>
              <w:t xml:space="preserve"> 1,125</w:t>
            </w:r>
          </w:p>
        </w:tc>
        <w:tc>
          <w:tcPr>
            <w:tcW w:w="6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344"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right="63"/>
              <w:jc w:val="right"/>
              <w:rPr>
                <w:b/>
                <w:sz w:val="20"/>
              </w:rPr>
            </w:pPr>
            <w:r w:rsidRPr="00C6642F">
              <w:rPr>
                <w:b/>
                <w:sz w:val="20"/>
              </w:rPr>
              <w:t>31%</w:t>
            </w:r>
          </w:p>
        </w:tc>
        <w:tc>
          <w:tcPr>
            <w:tcW w:w="6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10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37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ind w:right="65"/>
              <w:jc w:val="right"/>
              <w:rPr>
                <w:sz w:val="20"/>
              </w:rPr>
            </w:pPr>
            <w:r w:rsidRPr="00C6642F">
              <w:rPr>
                <w:sz w:val="20"/>
              </w:rPr>
              <w:t xml:space="preserve"> 1,411</w:t>
            </w:r>
          </w:p>
        </w:tc>
        <w:tc>
          <w:tcPr>
            <w:tcW w:w="13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344"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right="65"/>
              <w:jc w:val="right"/>
              <w:rPr>
                <w:sz w:val="20"/>
              </w:rPr>
            </w:pPr>
            <w:r w:rsidRPr="00C6642F">
              <w:rPr>
                <w:sz w:val="20"/>
              </w:rPr>
              <w:t>34%</w:t>
            </w:r>
          </w:p>
        </w:tc>
        <w:tc>
          <w:tcPr>
            <w:tcW w:w="6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10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377"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spacing w:after="1"/>
              <w:ind w:right="65"/>
              <w:jc w:val="right"/>
              <w:rPr>
                <w:sz w:val="20"/>
              </w:rPr>
            </w:pPr>
            <w:r w:rsidRPr="00C6642F">
              <w:rPr>
                <w:sz w:val="20"/>
              </w:rPr>
              <w:t xml:space="preserve"> 1,233</w:t>
            </w:r>
          </w:p>
        </w:tc>
        <w:tc>
          <w:tcPr>
            <w:tcW w:w="13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343"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right="65"/>
              <w:jc w:val="right"/>
              <w:rPr>
                <w:sz w:val="20"/>
              </w:rPr>
            </w:pPr>
            <w:r w:rsidRPr="00C6642F">
              <w:rPr>
                <w:sz w:val="20"/>
              </w:rPr>
              <w:t>34%</w:t>
            </w:r>
          </w:p>
        </w:tc>
      </w:tr>
      <w:tr w:rsidR="0018024C" w:rsidRPr="00C6642F" w:rsidTr="0018024C">
        <w:trPr>
          <w:trHeight w:hRule="exact" w:val="432"/>
        </w:trPr>
        <w:tc>
          <w:tcPr>
            <w:tcW w:w="2002" w:type="pct"/>
            <w:tcBorders>
              <w:top w:val="nil"/>
              <w:left w:val="nil"/>
              <w:bottom w:val="nil"/>
              <w:right w:val="nil"/>
              <w:tl2br w:val="nil"/>
              <w:tr2bl w:val="nil"/>
            </w:tcBorders>
            <w:vAlign w:val="bottom"/>
          </w:tcPr>
          <w:p w:rsidR="0018024C" w:rsidRPr="00C6642F" w:rsidRDefault="0018024C" w:rsidP="0018024C">
            <w:pPr>
              <w:spacing w:after="1"/>
              <w:ind w:left="120"/>
              <w:rPr>
                <w:sz w:val="20"/>
              </w:rPr>
            </w:pPr>
            <w:r w:rsidRPr="00C6642F">
              <w:rPr>
                <w:sz w:val="20"/>
              </w:rPr>
              <w:t xml:space="preserve">Valves, automation, measurement and instrumentation </w:t>
            </w:r>
          </w:p>
        </w:tc>
        <w:tc>
          <w:tcPr>
            <w:tcW w:w="6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102" w:type="pct"/>
            <w:tcBorders>
              <w:top w:val="nil"/>
              <w:left w:val="nil"/>
              <w:bottom w:val="nil"/>
              <w:right w:val="nil"/>
              <w:tl2br w:val="nil"/>
              <w:tr2bl w:val="nil"/>
            </w:tcBorders>
            <w:vAlign w:val="bottom"/>
          </w:tcPr>
          <w:p w:rsidR="0018024C" w:rsidRPr="00C6642F" w:rsidRDefault="0018024C" w:rsidP="0018024C">
            <w:pPr>
              <w:spacing w:after="1"/>
              <w:rPr>
                <w:b/>
                <w:sz w:val="20"/>
              </w:rPr>
            </w:pPr>
          </w:p>
        </w:tc>
        <w:tc>
          <w:tcPr>
            <w:tcW w:w="377" w:type="pct"/>
            <w:tcBorders>
              <w:top w:val="nil"/>
              <w:left w:val="nil"/>
              <w:bottom w:val="nil"/>
              <w:right w:val="nil"/>
              <w:tl2br w:val="nil"/>
              <w:tr2bl w:val="nil"/>
            </w:tcBorders>
            <w:vAlign w:val="bottom"/>
          </w:tcPr>
          <w:p w:rsidR="0018024C" w:rsidRPr="00C6642F" w:rsidRDefault="0018024C" w:rsidP="0018024C">
            <w:pPr>
              <w:spacing w:after="1"/>
              <w:ind w:right="63"/>
              <w:jc w:val="right"/>
              <w:rPr>
                <w:b/>
                <w:sz w:val="20"/>
              </w:rPr>
            </w:pPr>
            <w:r w:rsidRPr="00C6642F">
              <w:rPr>
                <w:b/>
                <w:sz w:val="20"/>
              </w:rPr>
              <w:t xml:space="preserve"> 1,434</w:t>
            </w:r>
          </w:p>
        </w:tc>
        <w:tc>
          <w:tcPr>
            <w:tcW w:w="65" w:type="pct"/>
            <w:tcBorders>
              <w:top w:val="nil"/>
              <w:left w:val="nil"/>
              <w:bottom w:val="nil"/>
              <w:right w:val="nil"/>
              <w:tl2br w:val="nil"/>
              <w:tr2bl w:val="nil"/>
            </w:tcBorders>
            <w:vAlign w:val="bottom"/>
          </w:tcPr>
          <w:p w:rsidR="0018024C" w:rsidRPr="00C6642F" w:rsidRDefault="0018024C" w:rsidP="0018024C">
            <w:pPr>
              <w:spacing w:after="1"/>
              <w:rPr>
                <w:b/>
                <w:sz w:val="20"/>
              </w:rPr>
            </w:pPr>
          </w:p>
        </w:tc>
        <w:tc>
          <w:tcPr>
            <w:tcW w:w="344" w:type="pct"/>
            <w:tcBorders>
              <w:top w:val="nil"/>
              <w:left w:val="nil"/>
              <w:bottom w:val="nil"/>
              <w:right w:val="nil"/>
              <w:tl2br w:val="nil"/>
              <w:tr2bl w:val="nil"/>
            </w:tcBorders>
            <w:vAlign w:val="bottom"/>
          </w:tcPr>
          <w:p w:rsidR="0018024C" w:rsidRPr="00C6642F" w:rsidRDefault="0018024C" w:rsidP="0018024C">
            <w:pPr>
              <w:spacing w:after="1"/>
              <w:ind w:right="63"/>
              <w:jc w:val="right"/>
              <w:rPr>
                <w:b/>
                <w:sz w:val="20"/>
              </w:rPr>
            </w:pPr>
            <w:r w:rsidRPr="00C6642F">
              <w:rPr>
                <w:b/>
                <w:sz w:val="20"/>
              </w:rPr>
              <w:t>39%</w:t>
            </w:r>
          </w:p>
        </w:tc>
        <w:tc>
          <w:tcPr>
            <w:tcW w:w="6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102"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377" w:type="pct"/>
            <w:tcBorders>
              <w:top w:val="nil"/>
              <w:left w:val="nil"/>
              <w:bottom w:val="nil"/>
              <w:right w:val="nil"/>
              <w:tl2br w:val="nil"/>
              <w:tr2bl w:val="nil"/>
            </w:tcBorders>
            <w:vAlign w:val="bottom"/>
          </w:tcPr>
          <w:p w:rsidR="0018024C" w:rsidRPr="00C6642F" w:rsidRDefault="0018024C" w:rsidP="0018024C">
            <w:pPr>
              <w:spacing w:after="1"/>
              <w:ind w:right="65"/>
              <w:jc w:val="right"/>
              <w:rPr>
                <w:sz w:val="20"/>
              </w:rPr>
            </w:pPr>
            <w:r w:rsidRPr="00C6642F">
              <w:rPr>
                <w:sz w:val="20"/>
              </w:rPr>
              <w:t xml:space="preserve"> 1,553</w:t>
            </w:r>
          </w:p>
        </w:tc>
        <w:tc>
          <w:tcPr>
            <w:tcW w:w="13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344" w:type="pct"/>
            <w:tcBorders>
              <w:top w:val="nil"/>
              <w:left w:val="nil"/>
              <w:bottom w:val="nil"/>
              <w:right w:val="nil"/>
              <w:tl2br w:val="nil"/>
              <w:tr2bl w:val="nil"/>
            </w:tcBorders>
            <w:vAlign w:val="bottom"/>
          </w:tcPr>
          <w:p w:rsidR="0018024C" w:rsidRPr="00C6642F" w:rsidRDefault="0018024C" w:rsidP="0018024C">
            <w:pPr>
              <w:spacing w:after="1"/>
              <w:ind w:right="65"/>
              <w:jc w:val="right"/>
              <w:rPr>
                <w:sz w:val="20"/>
              </w:rPr>
            </w:pPr>
            <w:r w:rsidRPr="00C6642F">
              <w:rPr>
                <w:sz w:val="20"/>
              </w:rPr>
              <w:t>37%</w:t>
            </w:r>
          </w:p>
        </w:tc>
        <w:tc>
          <w:tcPr>
            <w:tcW w:w="6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102"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377" w:type="pct"/>
            <w:tcBorders>
              <w:top w:val="nil"/>
              <w:left w:val="nil"/>
              <w:bottom w:val="nil"/>
              <w:right w:val="nil"/>
              <w:tl2br w:val="nil"/>
              <w:tr2bl w:val="nil"/>
            </w:tcBorders>
            <w:vAlign w:val="bottom"/>
          </w:tcPr>
          <w:p w:rsidR="0018024C" w:rsidRPr="00C6642F" w:rsidRDefault="0018024C" w:rsidP="0018024C">
            <w:pPr>
              <w:spacing w:after="1"/>
              <w:ind w:right="65"/>
              <w:jc w:val="right"/>
              <w:rPr>
                <w:sz w:val="20"/>
              </w:rPr>
            </w:pPr>
            <w:r w:rsidRPr="00C6642F">
              <w:rPr>
                <w:sz w:val="20"/>
              </w:rPr>
              <w:t xml:space="preserve"> 1,319</w:t>
            </w:r>
          </w:p>
        </w:tc>
        <w:tc>
          <w:tcPr>
            <w:tcW w:w="13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343" w:type="pct"/>
            <w:tcBorders>
              <w:top w:val="nil"/>
              <w:left w:val="nil"/>
              <w:bottom w:val="nil"/>
              <w:right w:val="nil"/>
              <w:tl2br w:val="nil"/>
              <w:tr2bl w:val="nil"/>
            </w:tcBorders>
            <w:vAlign w:val="bottom"/>
          </w:tcPr>
          <w:p w:rsidR="0018024C" w:rsidRPr="00C6642F" w:rsidRDefault="0018024C" w:rsidP="0018024C">
            <w:pPr>
              <w:spacing w:after="1"/>
              <w:ind w:right="65"/>
              <w:jc w:val="right"/>
              <w:rPr>
                <w:sz w:val="20"/>
              </w:rPr>
            </w:pPr>
            <w:r w:rsidRPr="00C6642F">
              <w:rPr>
                <w:sz w:val="20"/>
              </w:rPr>
              <w:t>36%</w:t>
            </w:r>
          </w:p>
        </w:tc>
      </w:tr>
      <w:tr w:rsidR="0018024C" w:rsidRPr="00C6642F" w:rsidTr="0018024C">
        <w:trPr>
          <w:trHeight w:hRule="exact" w:val="255"/>
        </w:trPr>
        <w:tc>
          <w:tcPr>
            <w:tcW w:w="2002"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left="120"/>
              <w:rPr>
                <w:sz w:val="20"/>
              </w:rPr>
            </w:pPr>
            <w:r w:rsidRPr="00C6642F">
              <w:rPr>
                <w:sz w:val="20"/>
              </w:rPr>
              <w:t>Gas products</w:t>
            </w:r>
          </w:p>
        </w:tc>
        <w:tc>
          <w:tcPr>
            <w:tcW w:w="6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b/>
                <w:sz w:val="20"/>
              </w:rPr>
            </w:pPr>
          </w:p>
        </w:tc>
        <w:tc>
          <w:tcPr>
            <w:tcW w:w="377"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right="63"/>
              <w:jc w:val="right"/>
              <w:rPr>
                <w:b/>
                <w:sz w:val="20"/>
              </w:rPr>
            </w:pPr>
            <w:r w:rsidRPr="00C6642F">
              <w:rPr>
                <w:b/>
                <w:sz w:val="20"/>
              </w:rPr>
              <w:t xml:space="preserve"> 551</w:t>
            </w:r>
          </w:p>
        </w:tc>
        <w:tc>
          <w:tcPr>
            <w:tcW w:w="6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b/>
                <w:sz w:val="20"/>
              </w:rPr>
            </w:pPr>
          </w:p>
        </w:tc>
        <w:tc>
          <w:tcPr>
            <w:tcW w:w="344"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right="63"/>
              <w:jc w:val="right"/>
              <w:rPr>
                <w:b/>
                <w:sz w:val="20"/>
              </w:rPr>
            </w:pPr>
            <w:r w:rsidRPr="00C6642F">
              <w:rPr>
                <w:b/>
                <w:sz w:val="20"/>
              </w:rPr>
              <w:t>15%</w:t>
            </w:r>
          </w:p>
        </w:tc>
        <w:tc>
          <w:tcPr>
            <w:tcW w:w="6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377"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right="65"/>
              <w:jc w:val="right"/>
              <w:rPr>
                <w:sz w:val="20"/>
              </w:rPr>
            </w:pPr>
            <w:r w:rsidRPr="00C6642F">
              <w:rPr>
                <w:sz w:val="20"/>
              </w:rPr>
              <w:t xml:space="preserve"> 561</w:t>
            </w:r>
          </w:p>
        </w:tc>
        <w:tc>
          <w:tcPr>
            <w:tcW w:w="13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344"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right="65"/>
              <w:jc w:val="right"/>
              <w:rPr>
                <w:sz w:val="20"/>
              </w:rPr>
            </w:pPr>
            <w:r w:rsidRPr="00C6642F">
              <w:rPr>
                <w:sz w:val="20"/>
              </w:rPr>
              <w:t>13%</w:t>
            </w:r>
          </w:p>
        </w:tc>
        <w:tc>
          <w:tcPr>
            <w:tcW w:w="6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377"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right="65"/>
              <w:jc w:val="right"/>
              <w:rPr>
                <w:sz w:val="20"/>
              </w:rPr>
            </w:pPr>
            <w:r w:rsidRPr="00C6642F">
              <w:rPr>
                <w:sz w:val="20"/>
              </w:rPr>
              <w:t xml:space="preserve"> 485</w:t>
            </w:r>
          </w:p>
        </w:tc>
        <w:tc>
          <w:tcPr>
            <w:tcW w:w="135"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right="3"/>
              <w:jc w:val="right"/>
              <w:rPr>
                <w:sz w:val="20"/>
              </w:rPr>
            </w:pPr>
            <w:r w:rsidRPr="00C6642F">
              <w:rPr>
                <w:sz w:val="20"/>
              </w:rPr>
              <w:t xml:space="preserve"> </w:t>
            </w:r>
          </w:p>
        </w:tc>
        <w:tc>
          <w:tcPr>
            <w:tcW w:w="343"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right="65"/>
              <w:jc w:val="right"/>
              <w:rPr>
                <w:sz w:val="20"/>
              </w:rPr>
            </w:pPr>
            <w:r w:rsidRPr="00C6642F">
              <w:rPr>
                <w:sz w:val="20"/>
              </w:rPr>
              <w:t>13%</w:t>
            </w:r>
          </w:p>
        </w:tc>
      </w:tr>
      <w:tr w:rsidR="0018024C" w:rsidRPr="00C6642F" w:rsidTr="0018024C">
        <w:trPr>
          <w:trHeight w:hRule="exact" w:val="255"/>
        </w:trPr>
        <w:tc>
          <w:tcPr>
            <w:tcW w:w="2002" w:type="pct"/>
            <w:tcBorders>
              <w:top w:val="nil"/>
              <w:left w:val="nil"/>
              <w:bottom w:val="nil"/>
              <w:right w:val="nil"/>
              <w:tl2br w:val="nil"/>
              <w:tr2bl w:val="nil"/>
            </w:tcBorders>
            <w:vAlign w:val="bottom"/>
          </w:tcPr>
          <w:p w:rsidR="0018024C" w:rsidRPr="00C6642F" w:rsidRDefault="0018024C" w:rsidP="0018024C">
            <w:pPr>
              <w:spacing w:after="1"/>
              <w:ind w:left="120"/>
              <w:rPr>
                <w:sz w:val="20"/>
              </w:rPr>
            </w:pPr>
            <w:r w:rsidRPr="00C6642F">
              <w:rPr>
                <w:sz w:val="20"/>
              </w:rPr>
              <w:t>Stainless steel alloy pipe and fittings</w:t>
            </w:r>
          </w:p>
        </w:tc>
        <w:tc>
          <w:tcPr>
            <w:tcW w:w="6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102" w:type="pct"/>
            <w:tcBorders>
              <w:top w:val="nil"/>
              <w:left w:val="nil"/>
              <w:bottom w:val="nil"/>
              <w:right w:val="nil"/>
              <w:tl2br w:val="nil"/>
              <w:tr2bl w:val="nil"/>
            </w:tcBorders>
            <w:vAlign w:val="bottom"/>
          </w:tcPr>
          <w:p w:rsidR="0018024C" w:rsidRPr="00C6642F" w:rsidRDefault="0018024C" w:rsidP="0018024C">
            <w:pPr>
              <w:spacing w:after="1"/>
              <w:rPr>
                <w:b/>
                <w:sz w:val="20"/>
              </w:rPr>
            </w:pPr>
          </w:p>
        </w:tc>
        <w:tc>
          <w:tcPr>
            <w:tcW w:w="377" w:type="pct"/>
            <w:tcBorders>
              <w:top w:val="nil"/>
              <w:left w:val="nil"/>
              <w:bottom w:val="nil"/>
              <w:right w:val="nil"/>
              <w:tl2br w:val="nil"/>
              <w:tr2bl w:val="nil"/>
            </w:tcBorders>
            <w:vAlign w:val="bottom"/>
          </w:tcPr>
          <w:p w:rsidR="0018024C" w:rsidRPr="00C6642F" w:rsidRDefault="0018024C" w:rsidP="0018024C">
            <w:pPr>
              <w:spacing w:after="1"/>
              <w:ind w:right="63"/>
              <w:jc w:val="right"/>
              <w:rPr>
                <w:b/>
                <w:sz w:val="20"/>
              </w:rPr>
            </w:pPr>
            <w:r w:rsidRPr="00C6642F">
              <w:rPr>
                <w:b/>
                <w:sz w:val="20"/>
              </w:rPr>
              <w:t xml:space="preserve"> 177</w:t>
            </w:r>
          </w:p>
        </w:tc>
        <w:tc>
          <w:tcPr>
            <w:tcW w:w="6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344" w:type="pct"/>
            <w:tcBorders>
              <w:top w:val="nil"/>
              <w:left w:val="nil"/>
              <w:bottom w:val="nil"/>
              <w:right w:val="nil"/>
              <w:tl2br w:val="nil"/>
              <w:tr2bl w:val="nil"/>
            </w:tcBorders>
            <w:vAlign w:val="bottom"/>
          </w:tcPr>
          <w:p w:rsidR="0018024C" w:rsidRPr="00C6642F" w:rsidRDefault="0018024C" w:rsidP="0018024C">
            <w:pPr>
              <w:spacing w:after="1"/>
              <w:ind w:right="63"/>
              <w:jc w:val="right"/>
              <w:rPr>
                <w:b/>
                <w:sz w:val="20"/>
              </w:rPr>
            </w:pPr>
            <w:r w:rsidRPr="00C6642F">
              <w:rPr>
                <w:b/>
                <w:sz w:val="20"/>
              </w:rPr>
              <w:t>5%</w:t>
            </w:r>
          </w:p>
        </w:tc>
        <w:tc>
          <w:tcPr>
            <w:tcW w:w="6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102"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377" w:type="pct"/>
            <w:tcBorders>
              <w:top w:val="nil"/>
              <w:left w:val="nil"/>
              <w:bottom w:val="nil"/>
              <w:right w:val="nil"/>
              <w:tl2br w:val="nil"/>
              <w:tr2bl w:val="nil"/>
            </w:tcBorders>
            <w:vAlign w:val="bottom"/>
          </w:tcPr>
          <w:p w:rsidR="0018024C" w:rsidRPr="00C6642F" w:rsidRDefault="0018024C" w:rsidP="0018024C">
            <w:pPr>
              <w:spacing w:after="1"/>
              <w:ind w:right="65"/>
              <w:jc w:val="right"/>
              <w:rPr>
                <w:sz w:val="20"/>
              </w:rPr>
            </w:pPr>
            <w:r w:rsidRPr="00C6642F">
              <w:rPr>
                <w:sz w:val="20"/>
              </w:rPr>
              <w:t xml:space="preserve"> 196</w:t>
            </w:r>
          </w:p>
        </w:tc>
        <w:tc>
          <w:tcPr>
            <w:tcW w:w="13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344" w:type="pct"/>
            <w:tcBorders>
              <w:top w:val="nil"/>
              <w:left w:val="nil"/>
              <w:bottom w:val="nil"/>
              <w:right w:val="nil"/>
              <w:tl2br w:val="nil"/>
              <w:tr2bl w:val="nil"/>
            </w:tcBorders>
            <w:vAlign w:val="bottom"/>
          </w:tcPr>
          <w:p w:rsidR="0018024C" w:rsidRPr="00C6642F" w:rsidRDefault="0018024C" w:rsidP="0018024C">
            <w:pPr>
              <w:spacing w:after="1"/>
              <w:ind w:right="65"/>
              <w:jc w:val="right"/>
              <w:rPr>
                <w:sz w:val="20"/>
              </w:rPr>
            </w:pPr>
            <w:r w:rsidRPr="00C6642F">
              <w:rPr>
                <w:sz w:val="20"/>
              </w:rPr>
              <w:t>5%</w:t>
            </w:r>
          </w:p>
        </w:tc>
        <w:tc>
          <w:tcPr>
            <w:tcW w:w="6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102"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377" w:type="pct"/>
            <w:tcBorders>
              <w:top w:val="nil"/>
              <w:left w:val="nil"/>
              <w:bottom w:val="nil"/>
              <w:right w:val="nil"/>
              <w:tl2br w:val="nil"/>
              <w:tr2bl w:val="nil"/>
            </w:tcBorders>
            <w:vAlign w:val="bottom"/>
          </w:tcPr>
          <w:p w:rsidR="0018024C" w:rsidRPr="00C6642F" w:rsidRDefault="0018024C" w:rsidP="0018024C">
            <w:pPr>
              <w:spacing w:after="1"/>
              <w:ind w:right="65"/>
              <w:jc w:val="right"/>
              <w:rPr>
                <w:sz w:val="20"/>
              </w:rPr>
            </w:pPr>
            <w:r w:rsidRPr="00C6642F">
              <w:rPr>
                <w:sz w:val="20"/>
              </w:rPr>
              <w:t xml:space="preserve"> 183</w:t>
            </w:r>
          </w:p>
        </w:tc>
        <w:tc>
          <w:tcPr>
            <w:tcW w:w="13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343" w:type="pct"/>
            <w:tcBorders>
              <w:top w:val="nil"/>
              <w:left w:val="nil"/>
              <w:bottom w:val="nil"/>
              <w:right w:val="nil"/>
              <w:tl2br w:val="nil"/>
              <w:tr2bl w:val="nil"/>
            </w:tcBorders>
            <w:vAlign w:val="bottom"/>
          </w:tcPr>
          <w:p w:rsidR="0018024C" w:rsidRPr="00C6642F" w:rsidRDefault="0018024C" w:rsidP="0018024C">
            <w:pPr>
              <w:spacing w:after="1"/>
              <w:ind w:right="65"/>
              <w:jc w:val="right"/>
              <w:rPr>
                <w:sz w:val="20"/>
              </w:rPr>
            </w:pPr>
            <w:r w:rsidRPr="00C6642F">
              <w:rPr>
                <w:sz w:val="20"/>
              </w:rPr>
              <w:t>5%</w:t>
            </w:r>
          </w:p>
        </w:tc>
      </w:tr>
      <w:tr w:rsidR="0018024C" w:rsidRPr="00C6642F" w:rsidTr="0018024C">
        <w:trPr>
          <w:trHeight w:hRule="exact" w:val="255"/>
        </w:trPr>
        <w:tc>
          <w:tcPr>
            <w:tcW w:w="2002"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left="120"/>
              <w:rPr>
                <w:sz w:val="20"/>
              </w:rPr>
            </w:pPr>
            <w:r w:rsidRPr="00C6642F">
              <w:rPr>
                <w:sz w:val="20"/>
              </w:rPr>
              <w:t>General oilfield products</w:t>
            </w:r>
          </w:p>
        </w:tc>
        <w:tc>
          <w:tcPr>
            <w:tcW w:w="6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102"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spacing w:after="1"/>
              <w:rPr>
                <w:b/>
                <w:sz w:val="20"/>
              </w:rPr>
            </w:pPr>
          </w:p>
        </w:tc>
        <w:tc>
          <w:tcPr>
            <w:tcW w:w="377"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spacing w:after="1"/>
              <w:ind w:right="63"/>
              <w:jc w:val="right"/>
              <w:rPr>
                <w:b/>
                <w:sz w:val="20"/>
              </w:rPr>
            </w:pPr>
            <w:r w:rsidRPr="00C6642F">
              <w:rPr>
                <w:b/>
                <w:sz w:val="20"/>
              </w:rPr>
              <w:t xml:space="preserve"> 375</w:t>
            </w:r>
          </w:p>
        </w:tc>
        <w:tc>
          <w:tcPr>
            <w:tcW w:w="6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b/>
                <w:sz w:val="20"/>
              </w:rPr>
            </w:pPr>
          </w:p>
        </w:tc>
        <w:tc>
          <w:tcPr>
            <w:tcW w:w="344"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right="63"/>
              <w:jc w:val="right"/>
              <w:rPr>
                <w:b/>
                <w:sz w:val="20"/>
              </w:rPr>
            </w:pPr>
            <w:r w:rsidRPr="00C6642F">
              <w:rPr>
                <w:b/>
                <w:sz w:val="20"/>
              </w:rPr>
              <w:t>10%</w:t>
            </w:r>
          </w:p>
        </w:tc>
        <w:tc>
          <w:tcPr>
            <w:tcW w:w="6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102"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spacing w:after="1"/>
              <w:rPr>
                <w:sz w:val="20"/>
              </w:rPr>
            </w:pPr>
          </w:p>
        </w:tc>
        <w:tc>
          <w:tcPr>
            <w:tcW w:w="377"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spacing w:after="1"/>
              <w:ind w:right="65"/>
              <w:jc w:val="right"/>
              <w:rPr>
                <w:sz w:val="20"/>
              </w:rPr>
            </w:pPr>
            <w:r w:rsidRPr="00C6642F">
              <w:rPr>
                <w:sz w:val="20"/>
              </w:rPr>
              <w:t xml:space="preserve"> 451</w:t>
            </w:r>
          </w:p>
        </w:tc>
        <w:tc>
          <w:tcPr>
            <w:tcW w:w="13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344"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right="65"/>
              <w:jc w:val="right"/>
              <w:rPr>
                <w:sz w:val="20"/>
              </w:rPr>
            </w:pPr>
            <w:r w:rsidRPr="00C6642F">
              <w:rPr>
                <w:sz w:val="20"/>
              </w:rPr>
              <w:t>11%</w:t>
            </w:r>
          </w:p>
        </w:tc>
        <w:tc>
          <w:tcPr>
            <w:tcW w:w="65" w:type="pct"/>
            <w:tcBorders>
              <w:top w:val="nil"/>
              <w:left w:val="nil"/>
              <w:bottom w:val="nil"/>
              <w:right w:val="nil"/>
              <w:tl2br w:val="nil"/>
              <w:tr2bl w:val="nil"/>
            </w:tcBorders>
            <w:shd w:val="clear" w:color="auto" w:fill="CCEEFF"/>
            <w:vAlign w:val="bottom"/>
          </w:tcPr>
          <w:p w:rsidR="0018024C" w:rsidRPr="00C6642F" w:rsidRDefault="0018024C" w:rsidP="0018024C">
            <w:pPr>
              <w:spacing w:after="1"/>
              <w:rPr>
                <w:sz w:val="20"/>
              </w:rPr>
            </w:pPr>
          </w:p>
        </w:tc>
        <w:tc>
          <w:tcPr>
            <w:tcW w:w="102"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spacing w:after="1"/>
              <w:rPr>
                <w:sz w:val="20"/>
              </w:rPr>
            </w:pPr>
          </w:p>
        </w:tc>
        <w:tc>
          <w:tcPr>
            <w:tcW w:w="377" w:type="pct"/>
            <w:tcBorders>
              <w:top w:val="nil"/>
              <w:left w:val="nil"/>
              <w:bottom w:val="single" w:sz="12" w:space="0" w:color="000000"/>
              <w:right w:val="nil"/>
              <w:tl2br w:val="nil"/>
              <w:tr2bl w:val="nil"/>
            </w:tcBorders>
            <w:shd w:val="clear" w:color="auto" w:fill="CCEEFF"/>
            <w:vAlign w:val="bottom"/>
          </w:tcPr>
          <w:p w:rsidR="0018024C" w:rsidRPr="00C6642F" w:rsidRDefault="0018024C" w:rsidP="0018024C">
            <w:pPr>
              <w:spacing w:after="1"/>
              <w:ind w:right="65"/>
              <w:jc w:val="right"/>
              <w:rPr>
                <w:sz w:val="20"/>
              </w:rPr>
            </w:pPr>
            <w:r w:rsidRPr="00C6642F">
              <w:rPr>
                <w:sz w:val="20"/>
              </w:rPr>
              <w:t xml:space="preserve"> 426</w:t>
            </w:r>
          </w:p>
        </w:tc>
        <w:tc>
          <w:tcPr>
            <w:tcW w:w="135"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right="3"/>
              <w:jc w:val="right"/>
              <w:rPr>
                <w:sz w:val="20"/>
              </w:rPr>
            </w:pPr>
            <w:r w:rsidRPr="00C6642F">
              <w:rPr>
                <w:sz w:val="20"/>
              </w:rPr>
              <w:t xml:space="preserve"> </w:t>
            </w:r>
          </w:p>
        </w:tc>
        <w:tc>
          <w:tcPr>
            <w:tcW w:w="343" w:type="pct"/>
            <w:tcBorders>
              <w:top w:val="nil"/>
              <w:left w:val="nil"/>
              <w:bottom w:val="nil"/>
              <w:right w:val="nil"/>
              <w:tl2br w:val="nil"/>
              <w:tr2bl w:val="nil"/>
            </w:tcBorders>
            <w:shd w:val="clear" w:color="auto" w:fill="CCEEFF"/>
            <w:vAlign w:val="bottom"/>
          </w:tcPr>
          <w:p w:rsidR="0018024C" w:rsidRPr="00C6642F" w:rsidRDefault="0018024C" w:rsidP="0018024C">
            <w:pPr>
              <w:spacing w:after="1"/>
              <w:ind w:right="65"/>
              <w:jc w:val="right"/>
              <w:rPr>
                <w:sz w:val="20"/>
              </w:rPr>
            </w:pPr>
            <w:r w:rsidRPr="00C6642F">
              <w:rPr>
                <w:sz w:val="20"/>
              </w:rPr>
              <w:t>12%</w:t>
            </w:r>
          </w:p>
        </w:tc>
      </w:tr>
      <w:tr w:rsidR="0018024C" w:rsidRPr="00C6642F" w:rsidTr="0018024C">
        <w:trPr>
          <w:trHeight w:hRule="exact" w:val="300"/>
        </w:trPr>
        <w:tc>
          <w:tcPr>
            <w:tcW w:w="2002"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6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102"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spacing w:after="1"/>
              <w:rPr>
                <w:b/>
                <w:sz w:val="20"/>
              </w:rPr>
            </w:pPr>
            <w:r w:rsidRPr="00C6642F">
              <w:rPr>
                <w:b/>
                <w:sz w:val="20"/>
              </w:rPr>
              <w:t>$</w:t>
            </w:r>
          </w:p>
        </w:tc>
        <w:tc>
          <w:tcPr>
            <w:tcW w:w="377"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spacing w:after="1"/>
              <w:ind w:right="63"/>
              <w:jc w:val="right"/>
              <w:rPr>
                <w:b/>
                <w:sz w:val="20"/>
              </w:rPr>
            </w:pPr>
            <w:r w:rsidRPr="00C6642F">
              <w:rPr>
                <w:b/>
                <w:sz w:val="20"/>
              </w:rPr>
              <w:t xml:space="preserve"> 3,662</w:t>
            </w:r>
          </w:p>
        </w:tc>
        <w:tc>
          <w:tcPr>
            <w:tcW w:w="6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344"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6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102"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spacing w:after="1"/>
              <w:rPr>
                <w:sz w:val="20"/>
              </w:rPr>
            </w:pPr>
            <w:r w:rsidRPr="00C6642F">
              <w:rPr>
                <w:sz w:val="20"/>
              </w:rPr>
              <w:t>$</w:t>
            </w:r>
          </w:p>
        </w:tc>
        <w:tc>
          <w:tcPr>
            <w:tcW w:w="377"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spacing w:after="1"/>
              <w:ind w:right="65"/>
              <w:jc w:val="right"/>
              <w:rPr>
                <w:sz w:val="20"/>
              </w:rPr>
            </w:pPr>
            <w:r w:rsidRPr="00C6642F">
              <w:rPr>
                <w:sz w:val="20"/>
              </w:rPr>
              <w:t xml:space="preserve"> 4,172</w:t>
            </w:r>
          </w:p>
        </w:tc>
        <w:tc>
          <w:tcPr>
            <w:tcW w:w="13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344" w:type="pct"/>
            <w:tcBorders>
              <w:top w:val="nil"/>
              <w:left w:val="nil"/>
              <w:bottom w:val="nil"/>
              <w:right w:val="nil"/>
              <w:tl2br w:val="nil"/>
              <w:tr2bl w:val="nil"/>
            </w:tcBorders>
            <w:vAlign w:val="bottom"/>
          </w:tcPr>
          <w:p w:rsidR="0018024C" w:rsidRPr="00C6642F" w:rsidRDefault="0018024C" w:rsidP="0018024C">
            <w:pPr>
              <w:spacing w:after="1"/>
              <w:rPr>
                <w:rFonts w:ascii="Calibri" w:eastAsia="Calibri" w:hAnsi="Calibri" w:cs="Calibri"/>
                <w:sz w:val="22"/>
              </w:rPr>
            </w:pPr>
          </w:p>
        </w:tc>
        <w:tc>
          <w:tcPr>
            <w:tcW w:w="6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102"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spacing w:after="1"/>
              <w:rPr>
                <w:sz w:val="20"/>
              </w:rPr>
            </w:pPr>
            <w:r w:rsidRPr="00C6642F">
              <w:rPr>
                <w:sz w:val="20"/>
              </w:rPr>
              <w:t>$</w:t>
            </w:r>
          </w:p>
        </w:tc>
        <w:tc>
          <w:tcPr>
            <w:tcW w:w="377" w:type="pct"/>
            <w:tcBorders>
              <w:top w:val="single" w:sz="0" w:space="0" w:color="000000"/>
              <w:left w:val="nil"/>
              <w:bottom w:val="double" w:sz="4" w:space="0" w:color="000000"/>
              <w:right w:val="nil"/>
              <w:tl2br w:val="nil"/>
              <w:tr2bl w:val="nil"/>
            </w:tcBorders>
            <w:vAlign w:val="bottom"/>
          </w:tcPr>
          <w:p w:rsidR="0018024C" w:rsidRPr="00C6642F" w:rsidRDefault="0018024C" w:rsidP="0018024C">
            <w:pPr>
              <w:spacing w:after="1"/>
              <w:ind w:right="65"/>
              <w:jc w:val="right"/>
              <w:rPr>
                <w:sz w:val="20"/>
              </w:rPr>
            </w:pPr>
            <w:r w:rsidRPr="00C6642F">
              <w:rPr>
                <w:sz w:val="20"/>
              </w:rPr>
              <w:t xml:space="preserve"> 3,646</w:t>
            </w:r>
          </w:p>
        </w:tc>
        <w:tc>
          <w:tcPr>
            <w:tcW w:w="135" w:type="pct"/>
            <w:tcBorders>
              <w:top w:val="nil"/>
              <w:left w:val="nil"/>
              <w:bottom w:val="nil"/>
              <w:right w:val="nil"/>
              <w:tl2br w:val="nil"/>
              <w:tr2bl w:val="nil"/>
            </w:tcBorders>
            <w:vAlign w:val="bottom"/>
          </w:tcPr>
          <w:p w:rsidR="0018024C" w:rsidRPr="00C6642F" w:rsidRDefault="0018024C" w:rsidP="0018024C">
            <w:pPr>
              <w:spacing w:after="1"/>
              <w:rPr>
                <w:sz w:val="20"/>
              </w:rPr>
            </w:pPr>
          </w:p>
        </w:tc>
        <w:tc>
          <w:tcPr>
            <w:tcW w:w="343" w:type="pct"/>
            <w:tcBorders>
              <w:top w:val="nil"/>
              <w:left w:val="nil"/>
              <w:bottom w:val="nil"/>
              <w:right w:val="nil"/>
              <w:tl2br w:val="nil"/>
              <w:tr2bl w:val="nil"/>
            </w:tcBorders>
            <w:vAlign w:val="bottom"/>
          </w:tcPr>
          <w:p w:rsidR="0018024C" w:rsidRPr="00C6642F" w:rsidRDefault="0018024C" w:rsidP="0018024C">
            <w:pPr>
              <w:spacing w:after="1"/>
              <w:rPr>
                <w:sz w:val="20"/>
              </w:rPr>
            </w:pPr>
          </w:p>
        </w:tc>
      </w:tr>
    </w:tbl>
    <w:p w:rsidR="0018024C" w:rsidRPr="00C6642F" w:rsidRDefault="0018024C"/>
    <w:p w:rsidR="00112254" w:rsidRPr="00112254" w:rsidRDefault="00112254" w:rsidP="00112254">
      <w:pPr>
        <w:widowControl w:val="0"/>
        <w:rPr>
          <w:sz w:val="2"/>
          <w:szCs w:val="18"/>
        </w:rPr>
      </w:pPr>
    </w:p>
    <w:p w:rsidR="000121CD" w:rsidRDefault="000121CD">
      <w:pPr>
        <w:rPr>
          <w:sz w:val="2"/>
        </w:rPr>
      </w:pPr>
    </w:p>
    <w:p w:rsidR="000121CD" w:rsidRDefault="000121CD">
      <w:pPr>
        <w:rPr>
          <w:sz w:val="2"/>
        </w:rPr>
      </w:pPr>
    </w:p>
    <w:p w:rsidR="000121CD" w:rsidRPr="00C6642F" w:rsidRDefault="00590862">
      <w:pPr>
        <w:pStyle w:val="NormalWeb"/>
        <w:keepNext/>
        <w:spacing w:before="270" w:beforeAutospacing="0" w:after="0" w:afterAutospacing="0"/>
        <w:rPr>
          <w:sz w:val="20"/>
          <w:szCs w:val="20"/>
        </w:rPr>
      </w:pPr>
      <w:r w:rsidRPr="00C6642F">
        <w:rPr>
          <w:b/>
          <w:bCs/>
          <w:sz w:val="20"/>
          <w:szCs w:val="20"/>
          <w:u w:val="single"/>
        </w:rPr>
        <w:t>NOTE 1</w:t>
      </w:r>
      <w:r w:rsidR="000D0795" w:rsidRPr="00C6642F">
        <w:rPr>
          <w:b/>
          <w:bCs/>
          <w:sz w:val="20"/>
          <w:szCs w:val="20"/>
          <w:u w:val="single"/>
        </w:rPr>
        <w:t>6</w:t>
      </w:r>
      <w:r w:rsidRPr="00C6642F">
        <w:rPr>
          <w:b/>
          <w:bCs/>
          <w:sz w:val="20"/>
          <w:szCs w:val="20"/>
          <w:u w:val="single"/>
        </w:rPr>
        <w:t xml:space="preserve">—FAIR VALUE MEASUREMENTS </w:t>
      </w:r>
    </w:p>
    <w:p w:rsidR="000121CD" w:rsidRPr="00C6642F" w:rsidRDefault="00590862">
      <w:pPr>
        <w:widowControl w:val="0"/>
      </w:pPr>
      <w:r w:rsidRPr="00C6642F">
        <w:rPr>
          <w:sz w:val="20"/>
        </w:rPr>
        <w:t xml:space="preserve"> </w:t>
      </w:r>
    </w:p>
    <w:p w:rsidR="000121CD" w:rsidRPr="00C6642F" w:rsidRDefault="00590862">
      <w:pPr>
        <w:pStyle w:val="NormalWeb"/>
        <w:widowControl w:val="0"/>
        <w:spacing w:before="0" w:beforeAutospacing="0" w:after="0" w:afterAutospacing="0"/>
        <w:contextualSpacing/>
        <w:rPr>
          <w:sz w:val="20"/>
          <w:szCs w:val="20"/>
        </w:rPr>
      </w:pPr>
      <w:r w:rsidRPr="00C6642F">
        <w:rPr>
          <w:sz w:val="20"/>
          <w:szCs w:val="20"/>
        </w:rPr>
        <w:t>With the exception of long-term debt, the fair values of our financial instruments, including cash and cash equivalents, accounts receivable, trade accounts payable and accrued liabilities approximate carrying value. The carrying value of our debt was $</w:t>
      </w:r>
      <w:r w:rsidR="002C1865" w:rsidRPr="00C6642F">
        <w:rPr>
          <w:sz w:val="20"/>
          <w:szCs w:val="20"/>
        </w:rPr>
        <w:t>551</w:t>
      </w:r>
      <w:r w:rsidRPr="00C6642F">
        <w:rPr>
          <w:sz w:val="20"/>
          <w:szCs w:val="20"/>
        </w:rPr>
        <w:t> million and $</w:t>
      </w:r>
      <w:r w:rsidR="003627E3" w:rsidRPr="00C6642F">
        <w:rPr>
          <w:sz w:val="20"/>
          <w:szCs w:val="20"/>
        </w:rPr>
        <w:t>684</w:t>
      </w:r>
      <w:r w:rsidRPr="00C6642F">
        <w:rPr>
          <w:sz w:val="20"/>
          <w:szCs w:val="20"/>
        </w:rPr>
        <w:t xml:space="preserve"> million at </w:t>
      </w:r>
      <w:r w:rsidR="003627E3" w:rsidRPr="00C6642F">
        <w:rPr>
          <w:sz w:val="20"/>
          <w:szCs w:val="20"/>
        </w:rPr>
        <w:t>December 31, 2019</w:t>
      </w:r>
      <w:r w:rsidRPr="00C6642F">
        <w:rPr>
          <w:sz w:val="20"/>
          <w:szCs w:val="20"/>
        </w:rPr>
        <w:t xml:space="preserve"> and </w:t>
      </w:r>
      <w:r w:rsidR="003627E3" w:rsidRPr="00C6642F">
        <w:rPr>
          <w:sz w:val="20"/>
          <w:szCs w:val="20"/>
        </w:rPr>
        <w:t>2018</w:t>
      </w:r>
      <w:r w:rsidRPr="00C6642F">
        <w:rPr>
          <w:sz w:val="20"/>
          <w:szCs w:val="20"/>
        </w:rPr>
        <w:t>, respectively. The fair value of our debt was $</w:t>
      </w:r>
      <w:r w:rsidR="00ED78F8" w:rsidRPr="00C6642F">
        <w:rPr>
          <w:sz w:val="20"/>
          <w:szCs w:val="20"/>
        </w:rPr>
        <w:t>554</w:t>
      </w:r>
      <w:r w:rsidRPr="00C6642F">
        <w:rPr>
          <w:sz w:val="20"/>
          <w:szCs w:val="20"/>
        </w:rPr>
        <w:t xml:space="preserve"> million and $</w:t>
      </w:r>
      <w:r w:rsidR="003627E3" w:rsidRPr="00C6642F">
        <w:rPr>
          <w:sz w:val="20"/>
          <w:szCs w:val="20"/>
        </w:rPr>
        <w:t>675</w:t>
      </w:r>
      <w:r w:rsidRPr="00C6642F">
        <w:rPr>
          <w:sz w:val="20"/>
          <w:szCs w:val="20"/>
        </w:rPr>
        <w:t xml:space="preserve"> million at </w:t>
      </w:r>
      <w:r w:rsidR="003627E3" w:rsidRPr="00C6642F">
        <w:rPr>
          <w:sz w:val="20"/>
          <w:szCs w:val="20"/>
        </w:rPr>
        <w:t>December 31, 2019</w:t>
      </w:r>
      <w:r w:rsidRPr="00C6642F">
        <w:rPr>
          <w:sz w:val="20"/>
          <w:szCs w:val="20"/>
        </w:rPr>
        <w:t xml:space="preserve"> and </w:t>
      </w:r>
      <w:r w:rsidR="003627E3" w:rsidRPr="00C6642F">
        <w:rPr>
          <w:sz w:val="20"/>
          <w:szCs w:val="20"/>
        </w:rPr>
        <w:t>2018</w:t>
      </w:r>
      <w:r w:rsidRPr="00C6642F">
        <w:rPr>
          <w:sz w:val="20"/>
          <w:szCs w:val="20"/>
        </w:rPr>
        <w:t xml:space="preserve">, respectively. The carrying values of </w:t>
      </w:r>
      <w:r w:rsidR="006D4618" w:rsidRPr="00C6642F">
        <w:rPr>
          <w:sz w:val="20"/>
          <w:szCs w:val="20"/>
        </w:rPr>
        <w:t xml:space="preserve">amounts outstanding under </w:t>
      </w:r>
      <w:r w:rsidRPr="00C6642F">
        <w:rPr>
          <w:sz w:val="20"/>
          <w:szCs w:val="20"/>
        </w:rPr>
        <w:t xml:space="preserve">our Global ABL Facility approximate fair value. We estimate the fair value of the Term Loan using Level 2 inputs, or quoted market prices as of </w:t>
      </w:r>
      <w:r w:rsidR="003627E3" w:rsidRPr="00C6642F">
        <w:rPr>
          <w:sz w:val="20"/>
          <w:szCs w:val="20"/>
        </w:rPr>
        <w:t>December 31, 2019</w:t>
      </w:r>
      <w:r w:rsidRPr="00C6642F">
        <w:rPr>
          <w:sz w:val="20"/>
          <w:szCs w:val="20"/>
        </w:rPr>
        <w:t xml:space="preserve"> and </w:t>
      </w:r>
      <w:r w:rsidR="003627E3" w:rsidRPr="00C6642F">
        <w:rPr>
          <w:sz w:val="20"/>
          <w:szCs w:val="20"/>
        </w:rPr>
        <w:t>2018</w:t>
      </w:r>
      <w:r w:rsidRPr="00C6642F">
        <w:rPr>
          <w:sz w:val="20"/>
          <w:szCs w:val="20"/>
        </w:rPr>
        <w:t>, respectively.</w:t>
      </w:r>
    </w:p>
    <w:p w:rsidR="000121CD" w:rsidRPr="00C6642F" w:rsidRDefault="000121CD">
      <w:pPr>
        <w:pStyle w:val="NormalWeb"/>
        <w:widowControl w:val="0"/>
        <w:spacing w:before="0" w:beforeAutospacing="0" w:after="0" w:afterAutospacing="0"/>
        <w:contextualSpacing/>
        <w:rPr>
          <w:sz w:val="20"/>
          <w:szCs w:val="20"/>
        </w:rPr>
      </w:pPr>
    </w:p>
    <w:p w:rsidR="000121CD" w:rsidRPr="00E63F5A" w:rsidRDefault="00590862">
      <w:pPr>
        <w:pStyle w:val="NormalWeb"/>
        <w:widowControl w:val="0"/>
        <w:spacing w:before="0" w:beforeAutospacing="0" w:after="0" w:afterAutospacing="0"/>
        <w:rPr>
          <w:sz w:val="20"/>
          <w:szCs w:val="20"/>
        </w:rPr>
      </w:pPr>
      <w:r w:rsidRPr="00C6642F">
        <w:rPr>
          <w:sz w:val="20"/>
          <w:szCs w:val="20"/>
        </w:rPr>
        <w:t xml:space="preserve">Goodwill and other intangible assets are subject to annual impairment testing, which requires a significant degree of management judgment. If the testing results in impairment, we would measure goodwill and other intangible assets using level 3 non-recurring inputs. </w:t>
      </w:r>
    </w:p>
    <w:p w:rsidR="000121CD" w:rsidRPr="00C6642F" w:rsidRDefault="00590862">
      <w:pPr>
        <w:pStyle w:val="NormalWeb"/>
        <w:keepNext/>
        <w:keepLines/>
        <w:widowControl w:val="0"/>
        <w:spacing w:before="270" w:beforeAutospacing="0" w:after="0" w:afterAutospacing="0"/>
        <w:rPr>
          <w:sz w:val="20"/>
          <w:szCs w:val="20"/>
        </w:rPr>
      </w:pPr>
      <w:r w:rsidRPr="00C6642F">
        <w:rPr>
          <w:b/>
          <w:bCs/>
          <w:sz w:val="20"/>
          <w:szCs w:val="20"/>
          <w:u w:val="single"/>
        </w:rPr>
        <w:t>NOTE 1</w:t>
      </w:r>
      <w:r w:rsidR="000D0795" w:rsidRPr="00C6642F">
        <w:rPr>
          <w:b/>
          <w:bCs/>
          <w:sz w:val="20"/>
          <w:szCs w:val="20"/>
          <w:u w:val="single"/>
        </w:rPr>
        <w:t>7</w:t>
      </w:r>
      <w:r w:rsidRPr="00C6642F">
        <w:rPr>
          <w:b/>
          <w:bCs/>
          <w:sz w:val="20"/>
          <w:szCs w:val="20"/>
          <w:u w:val="single"/>
        </w:rPr>
        <w:t xml:space="preserve">—COMMITMENTS AND CONTINGENCIES </w:t>
      </w:r>
    </w:p>
    <w:p w:rsidR="000121CD" w:rsidRPr="00C6642F" w:rsidRDefault="00590862">
      <w:pPr>
        <w:pStyle w:val="NormalWeb"/>
        <w:keepLines/>
        <w:widowControl w:val="0"/>
        <w:spacing w:before="275" w:beforeAutospacing="0" w:after="0" w:afterAutospacing="0"/>
        <w:rPr>
          <w:b/>
          <w:bCs/>
          <w:i/>
          <w:iCs/>
          <w:sz w:val="20"/>
          <w:szCs w:val="20"/>
        </w:rPr>
      </w:pPr>
      <w:r w:rsidRPr="00C6642F">
        <w:rPr>
          <w:b/>
          <w:bCs/>
          <w:i/>
          <w:iCs/>
          <w:sz w:val="20"/>
          <w:szCs w:val="20"/>
        </w:rPr>
        <w:t xml:space="preserve">Legal Proceedings </w:t>
      </w:r>
    </w:p>
    <w:p w:rsidR="000121CD" w:rsidRPr="00C6642F" w:rsidRDefault="00590862">
      <w:pPr>
        <w:keepLines/>
        <w:widowControl w:val="0"/>
        <w:spacing w:before="120"/>
        <w:rPr>
          <w:sz w:val="20"/>
        </w:rPr>
      </w:pPr>
      <w:r w:rsidRPr="00C6642F">
        <w:rPr>
          <w:i/>
          <w:iCs/>
          <w:sz w:val="20"/>
        </w:rPr>
        <w:t>Asbestos Claims.</w:t>
      </w:r>
      <w:r w:rsidRPr="00C6642F">
        <w:rPr>
          <w:sz w:val="20"/>
        </w:rPr>
        <w:t>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various defendants’ manufacture, distribution, supply or other involvement with asbestos, asbestos-containing products or equipment or activities that allegedly caused plaintiffs to be exposed to asbestos. These plaintiffs typically assert exposure to asbestos as a consequence of third-party manufactured products that the Company’s subsidiary, MRC Global (US) Inc., purportedly distributed. As of December 31, 201</w:t>
      </w:r>
      <w:r w:rsidR="00DF0BDF" w:rsidRPr="00C6642F">
        <w:rPr>
          <w:sz w:val="20"/>
        </w:rPr>
        <w:t>9</w:t>
      </w:r>
      <w:r w:rsidRPr="00C6642F">
        <w:rPr>
          <w:sz w:val="20"/>
        </w:rPr>
        <w:t xml:space="preserve">, we are a named defendant in approximately </w:t>
      </w:r>
      <w:r w:rsidR="0090423E" w:rsidRPr="00C6642F">
        <w:rPr>
          <w:sz w:val="20"/>
        </w:rPr>
        <w:t>597</w:t>
      </w:r>
      <w:r w:rsidR="00DF0BDF" w:rsidRPr="00C6642F">
        <w:rPr>
          <w:sz w:val="20"/>
        </w:rPr>
        <w:t xml:space="preserve"> </w:t>
      </w:r>
      <w:r w:rsidRPr="00C6642F">
        <w:rPr>
          <w:sz w:val="20"/>
        </w:rPr>
        <w:t>lawsuits involving approximately 1,1</w:t>
      </w:r>
      <w:r w:rsidR="0090423E" w:rsidRPr="00C6642F">
        <w:rPr>
          <w:sz w:val="20"/>
        </w:rPr>
        <w:t>73</w:t>
      </w:r>
      <w:r w:rsidRPr="00C6642F">
        <w:rPr>
          <w:sz w:val="20"/>
        </w:rPr>
        <w:t xml:space="preserve"> claims. No asbestos lawsuit has resulted in a judgment against us to date, with the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 </w:t>
      </w:r>
    </w:p>
    <w:p w:rsidR="000121CD" w:rsidRPr="00C6642F" w:rsidRDefault="00590862">
      <w:pPr>
        <w:keepLines/>
        <w:widowControl w:val="0"/>
        <w:spacing w:before="120"/>
        <w:rPr>
          <w:sz w:val="20"/>
        </w:rPr>
      </w:pPr>
      <w:r w:rsidRPr="00C6642F">
        <w:rPr>
          <w:sz w:val="20"/>
        </w:rPr>
        <w:t xml:space="preserve">We annually conduct analyses of our asbestos-related litigation to estimate the adequacy of the reserve for pending and probable asbestos-related claims. Given these estimated reserves and existing insurance coverage that has been available to cover substantial portions of these claims, we believe that our current accruals and associated estimates relating to pending and probable asbestos-related litigation likely to be asserted over the next 15 years are currently adequate. This belief, however, relies on a number of assumptions, including:  </w:t>
      </w:r>
    </w:p>
    <w:p w:rsidR="000121CD" w:rsidRPr="00C6642F" w:rsidRDefault="000121CD">
      <w:pPr>
        <w:keepLines/>
        <w:widowControl w:val="0"/>
        <w:rPr>
          <w:sz w:val="20"/>
        </w:rPr>
      </w:pPr>
    </w:p>
    <w:p w:rsidR="000121CD" w:rsidRPr="00C6642F" w:rsidRDefault="00590862">
      <w:pPr>
        <w:pStyle w:val="NormalWeb"/>
        <w:keepLines/>
        <w:widowControl w:val="0"/>
        <w:numPr>
          <w:ilvl w:val="0"/>
          <w:numId w:val="27"/>
        </w:numPr>
        <w:spacing w:before="90" w:beforeAutospacing="0" w:after="0" w:afterAutospacing="0"/>
        <w:rPr>
          <w:sz w:val="20"/>
          <w:szCs w:val="20"/>
        </w:rPr>
      </w:pPr>
      <w:r w:rsidRPr="00C6642F">
        <w:rPr>
          <w:sz w:val="20"/>
          <w:szCs w:val="20"/>
        </w:rPr>
        <w:t>That our future settlement payments, disease mix and dismissal rates will be materially consistent with historic experience;</w:t>
      </w:r>
    </w:p>
    <w:p w:rsidR="000121CD" w:rsidRPr="00C6642F" w:rsidRDefault="00590862">
      <w:pPr>
        <w:pStyle w:val="NormalWeb"/>
        <w:keepLines/>
        <w:widowControl w:val="0"/>
        <w:numPr>
          <w:ilvl w:val="0"/>
          <w:numId w:val="27"/>
        </w:numPr>
        <w:spacing w:before="90" w:beforeAutospacing="0" w:after="0" w:afterAutospacing="0"/>
        <w:rPr>
          <w:sz w:val="20"/>
          <w:szCs w:val="20"/>
        </w:rPr>
      </w:pPr>
      <w:r w:rsidRPr="00C6642F">
        <w:rPr>
          <w:sz w:val="20"/>
          <w:szCs w:val="20"/>
        </w:rPr>
        <w:t>That future incidences of asbestos-related diseases in the U.S. will be materially consistent with current public health estimates;</w:t>
      </w:r>
    </w:p>
    <w:p w:rsidR="000121CD" w:rsidRPr="00C6642F" w:rsidRDefault="00590862">
      <w:pPr>
        <w:pStyle w:val="NormalWeb"/>
        <w:keepLines/>
        <w:widowControl w:val="0"/>
        <w:numPr>
          <w:ilvl w:val="0"/>
          <w:numId w:val="27"/>
        </w:numPr>
        <w:spacing w:before="90" w:beforeAutospacing="0" w:after="0" w:afterAutospacing="0"/>
        <w:rPr>
          <w:sz w:val="20"/>
          <w:szCs w:val="20"/>
        </w:rPr>
      </w:pPr>
      <w:r w:rsidRPr="00C6642F">
        <w:rPr>
          <w:sz w:val="20"/>
          <w:szCs w:val="20"/>
        </w:rPr>
        <w:t>That the rates at which future asbestos-related mesothelioma incidences result in compensable claims filings against us will be materially consistent with its historic experience;</w:t>
      </w:r>
    </w:p>
    <w:p w:rsidR="000121CD" w:rsidRPr="00C6642F" w:rsidRDefault="00590862">
      <w:pPr>
        <w:pStyle w:val="NormalWeb"/>
        <w:keepLines/>
        <w:widowControl w:val="0"/>
        <w:numPr>
          <w:ilvl w:val="0"/>
          <w:numId w:val="27"/>
        </w:numPr>
        <w:spacing w:before="90" w:beforeAutospacing="0" w:after="0" w:afterAutospacing="0"/>
        <w:rPr>
          <w:sz w:val="20"/>
          <w:szCs w:val="20"/>
        </w:rPr>
      </w:pPr>
      <w:r w:rsidRPr="00C6642F">
        <w:rPr>
          <w:sz w:val="20"/>
          <w:szCs w:val="20"/>
        </w:rPr>
        <w:t>That insurance recoveries for settlement payments and defense costs will be materially consistent with historic experience;</w:t>
      </w:r>
    </w:p>
    <w:p w:rsidR="000121CD" w:rsidRPr="00C6642F" w:rsidRDefault="00590862">
      <w:pPr>
        <w:pStyle w:val="NormalWeb"/>
        <w:keepLines/>
        <w:widowControl w:val="0"/>
        <w:numPr>
          <w:ilvl w:val="0"/>
          <w:numId w:val="27"/>
        </w:numPr>
        <w:spacing w:before="90" w:beforeAutospacing="0" w:after="0" w:afterAutospacing="0"/>
        <w:rPr>
          <w:sz w:val="20"/>
          <w:szCs w:val="20"/>
        </w:rPr>
      </w:pPr>
      <w:r w:rsidRPr="00C6642F">
        <w:rPr>
          <w:sz w:val="20"/>
          <w:szCs w:val="20"/>
        </w:rPr>
        <w:t>That legal standards (and the interpretation of these standards) applicable to asbestos litigation will not change in material respects;</w:t>
      </w:r>
    </w:p>
    <w:p w:rsidR="000121CD" w:rsidRPr="00C6642F" w:rsidRDefault="00590862">
      <w:pPr>
        <w:pStyle w:val="NormalWeb"/>
        <w:keepLines/>
        <w:widowControl w:val="0"/>
        <w:numPr>
          <w:ilvl w:val="0"/>
          <w:numId w:val="27"/>
        </w:numPr>
        <w:spacing w:before="90" w:beforeAutospacing="0" w:after="0" w:afterAutospacing="0"/>
        <w:rPr>
          <w:sz w:val="20"/>
          <w:szCs w:val="20"/>
        </w:rPr>
      </w:pPr>
      <w:r w:rsidRPr="00C6642F">
        <w:rPr>
          <w:sz w:val="20"/>
          <w:szCs w:val="20"/>
        </w:rPr>
        <w:t>That there are no materially negative developments in the claims pending against us; and</w:t>
      </w:r>
    </w:p>
    <w:p w:rsidR="000121CD" w:rsidRPr="00C6642F" w:rsidRDefault="00590862">
      <w:pPr>
        <w:pStyle w:val="NormalWeb"/>
        <w:keepLines/>
        <w:widowControl w:val="0"/>
        <w:numPr>
          <w:ilvl w:val="0"/>
          <w:numId w:val="27"/>
        </w:numPr>
        <w:spacing w:before="90" w:beforeAutospacing="0" w:after="0" w:afterAutospacing="0"/>
        <w:rPr>
          <w:sz w:val="20"/>
          <w:szCs w:val="20"/>
        </w:rPr>
      </w:pPr>
      <w:r w:rsidRPr="00C6642F">
        <w:rPr>
          <w:sz w:val="20"/>
          <w:szCs w:val="20"/>
        </w:rPr>
        <w:t>That key co-defendants in current and future claims remain solvent.</w:t>
      </w:r>
    </w:p>
    <w:p w:rsidR="000121CD" w:rsidRPr="00C6642F" w:rsidRDefault="000121CD">
      <w:pPr>
        <w:pStyle w:val="NormalWeb"/>
        <w:keepLines/>
        <w:widowControl w:val="0"/>
        <w:spacing w:before="90" w:beforeAutospacing="0" w:after="0" w:afterAutospacing="0"/>
        <w:ind w:left="720"/>
        <w:rPr>
          <w:sz w:val="20"/>
          <w:szCs w:val="20"/>
        </w:rPr>
      </w:pPr>
    </w:p>
    <w:p w:rsidR="000121CD" w:rsidRPr="00C6642F" w:rsidRDefault="00590862" w:rsidP="00552DF8">
      <w:pPr>
        <w:rPr>
          <w:sz w:val="20"/>
        </w:rPr>
      </w:pPr>
      <w:r w:rsidRPr="00C6642F">
        <w:rPr>
          <w:sz w:val="20"/>
        </w:rPr>
        <w:t xml:space="preserve">If any of these assumptions prove to be materially different in light of future developments, liabilities related to asbestos-related litigation may be materially different than amounts accrued or estimated. Further, while we anticipate that additional claims will be filed in the future, we are unable to predict with any certainty the number, timing and magnitude of such future claims. </w:t>
      </w:r>
      <w:r w:rsidR="00552DF8" w:rsidRPr="00C6642F">
        <w:rPr>
          <w:sz w:val="20"/>
        </w:rPr>
        <w:t xml:space="preserve">In addition, applicable insurance policies are subject to overall caps on limits, which coverage may exhaust the amount available from insurers under those limits.  In those cases, the Company would seek indemnity payments from excess insurance policies, but the insurers that issued those policies </w:t>
      </w:r>
      <w:r w:rsidR="006D4618" w:rsidRPr="00C6642F">
        <w:rPr>
          <w:sz w:val="20"/>
        </w:rPr>
        <w:t>may not be</w:t>
      </w:r>
      <w:r w:rsidR="00552DF8" w:rsidRPr="00C6642F">
        <w:rPr>
          <w:sz w:val="20"/>
        </w:rPr>
        <w:t xml:space="preserve"> solvent or </w:t>
      </w:r>
      <w:r w:rsidR="006D4618" w:rsidRPr="00C6642F">
        <w:rPr>
          <w:sz w:val="20"/>
        </w:rPr>
        <w:t xml:space="preserve">may not </w:t>
      </w:r>
      <w:r w:rsidR="00552DF8" w:rsidRPr="00C6642F">
        <w:rPr>
          <w:sz w:val="20"/>
        </w:rPr>
        <w:t xml:space="preserve">make payments under the policies without contesting their liability. </w:t>
      </w:r>
      <w:r w:rsidRPr="00C6642F">
        <w:rPr>
          <w:sz w:val="20"/>
        </w:rPr>
        <w:t>In our opinion, there are no pending legal proceedings that are likely to have a material adverse effect on our consolidated financial statements.</w:t>
      </w:r>
    </w:p>
    <w:p w:rsidR="000121CD" w:rsidRPr="00C6642F" w:rsidRDefault="00590862">
      <w:pPr>
        <w:pStyle w:val="NormalWeb"/>
        <w:keepLines/>
        <w:widowControl w:val="0"/>
        <w:spacing w:before="180" w:beforeAutospacing="0" w:after="0" w:afterAutospacing="0"/>
        <w:rPr>
          <w:sz w:val="20"/>
          <w:szCs w:val="20"/>
        </w:rPr>
      </w:pPr>
      <w:r w:rsidRPr="00C6642F">
        <w:rPr>
          <w:i/>
          <w:iCs/>
          <w:sz w:val="20"/>
          <w:szCs w:val="20"/>
        </w:rPr>
        <w:t xml:space="preserve">Other Legal Claims and Proceedings. </w:t>
      </w:r>
      <w:r w:rsidRPr="00C6642F">
        <w:rPr>
          <w:sz w:val="20"/>
          <w:szCs w:val="20"/>
        </w:rPr>
        <w:t xml:space="preserve">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w:t>
      </w:r>
      <w:r w:rsidRPr="00C6642F">
        <w:rPr>
          <w:color w:val="000000"/>
          <w:sz w:val="20"/>
          <w:szCs w:val="20"/>
        </w:rPr>
        <w:t xml:space="preserve">in our opinion, </w:t>
      </w:r>
      <w:r w:rsidRPr="00C6642F">
        <w:rPr>
          <w:sz w:val="20"/>
          <w:szCs w:val="20"/>
        </w:rPr>
        <w:t>there are no pending legal proceedings that are likely to have a material adverse effect on our consolidated financial statements</w:t>
      </w:r>
      <w:r w:rsidRPr="00C6642F">
        <w:rPr>
          <w:color w:val="000000"/>
          <w:sz w:val="20"/>
          <w:szCs w:val="20"/>
        </w:rPr>
        <w:t>.</w:t>
      </w:r>
      <w:r w:rsidRPr="00C6642F">
        <w:rPr>
          <w:sz w:val="20"/>
          <w:szCs w:val="20"/>
        </w:rPr>
        <w:t xml:space="preserve"> </w:t>
      </w:r>
    </w:p>
    <w:p w:rsidR="000121CD" w:rsidRPr="00C6642F" w:rsidRDefault="00590862">
      <w:pPr>
        <w:pStyle w:val="NormalWeb"/>
        <w:keepLines/>
        <w:widowControl w:val="0"/>
        <w:spacing w:before="180" w:beforeAutospacing="0" w:after="0" w:afterAutospacing="0"/>
        <w:rPr>
          <w:color w:val="000000"/>
          <w:sz w:val="20"/>
          <w:szCs w:val="20"/>
        </w:rPr>
      </w:pPr>
      <w:r w:rsidRPr="00C6642F">
        <w:rPr>
          <w:i/>
          <w:iCs/>
          <w:sz w:val="20"/>
          <w:szCs w:val="20"/>
        </w:rPr>
        <w:t xml:space="preserve">Product Claims. </w:t>
      </w:r>
      <w:r w:rsidRPr="00C6642F">
        <w:rPr>
          <w:sz w:val="20"/>
          <w:szCs w:val="20"/>
        </w:rPr>
        <w:t>From time to time, in the ordinary course of our business, our customers may claim that the products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w:t>
      </w:r>
      <w:r w:rsidR="00264EC4" w:rsidRPr="00C6642F">
        <w:rPr>
          <w:color w:val="000000"/>
          <w:sz w:val="20"/>
          <w:szCs w:val="20"/>
        </w:rPr>
        <w:t>, although we did incur a charge of $5 million related to the doubtful collection of a product claim against a foreign supplier in the year ended December 31, 2019</w:t>
      </w:r>
      <w:r w:rsidRPr="00C6642F">
        <w:rPr>
          <w:sz w:val="20"/>
          <w:szCs w:val="20"/>
        </w:rPr>
        <w:t xml:space="preserve">.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manufacturer for our expense. </w:t>
      </w:r>
      <w:r w:rsidRPr="00C6642F">
        <w:rPr>
          <w:color w:val="000000"/>
          <w:sz w:val="20"/>
          <w:szCs w:val="20"/>
        </w:rPr>
        <w:t>In our opinion, the likelihood that the ultimate disposition of any of these claims and legal proceedings would have a material adverse effect on our consolidated financial statements is remote</w:t>
      </w:r>
      <w:r w:rsidR="00755004" w:rsidRPr="00C6642F">
        <w:rPr>
          <w:color w:val="000000"/>
          <w:sz w:val="20"/>
          <w:szCs w:val="20"/>
        </w:rPr>
        <w:t>.</w:t>
      </w:r>
    </w:p>
    <w:p w:rsidR="000121CD" w:rsidRPr="00C6642F" w:rsidRDefault="000121CD">
      <w:pPr>
        <w:keepLines/>
        <w:widowControl w:val="0"/>
        <w:rPr>
          <w:sz w:val="20"/>
        </w:rPr>
      </w:pPr>
    </w:p>
    <w:p w:rsidR="000121CD" w:rsidRPr="00C6642F" w:rsidRDefault="00590862">
      <w:pPr>
        <w:keepLines/>
        <w:widowControl w:val="0"/>
        <w:rPr>
          <w:sz w:val="20"/>
        </w:rPr>
      </w:pPr>
      <w:r w:rsidRPr="00C6642F">
        <w:rPr>
          <w:b/>
          <w:bCs/>
          <w:i/>
          <w:iCs/>
          <w:sz w:val="20"/>
        </w:rPr>
        <w:t xml:space="preserve">Customer Contracts </w:t>
      </w:r>
    </w:p>
    <w:p w:rsidR="000121CD" w:rsidRPr="00C6642F" w:rsidRDefault="00590862">
      <w:pPr>
        <w:pStyle w:val="NormalWeb"/>
        <w:keepLines/>
        <w:widowControl w:val="0"/>
        <w:spacing w:before="90" w:beforeAutospacing="0" w:after="0" w:afterAutospacing="0"/>
        <w:rPr>
          <w:sz w:val="20"/>
          <w:szCs w:val="20"/>
        </w:rPr>
      </w:pPr>
      <w:r w:rsidRPr="00C6642F">
        <w:rPr>
          <w:sz w:val="20"/>
          <w:szCs w:val="20"/>
        </w:rPr>
        <w:t xml:space="preserve">We have contracts and agreements with many of our customers that dictate certain terms of our sales arrangements (pricing, deliverables, etc.). While we make every effort to abide by the terms of these contracts, certain provisions are complex and </w:t>
      </w:r>
      <w:r w:rsidR="006135CE" w:rsidRPr="00C6642F">
        <w:rPr>
          <w:sz w:val="20"/>
          <w:szCs w:val="20"/>
        </w:rPr>
        <w:t>m</w:t>
      </w:r>
      <w:r w:rsidR="00264EC4" w:rsidRPr="00C6642F">
        <w:rPr>
          <w:sz w:val="20"/>
          <w:szCs w:val="20"/>
        </w:rPr>
        <w:t>a</w:t>
      </w:r>
      <w:r w:rsidR="006135CE" w:rsidRPr="00C6642F">
        <w:rPr>
          <w:sz w:val="20"/>
          <w:szCs w:val="20"/>
        </w:rPr>
        <w:t>y be</w:t>
      </w:r>
      <w:r w:rsidRPr="00C6642F">
        <w:rPr>
          <w:sz w:val="20"/>
          <w:szCs w:val="20"/>
        </w:rPr>
        <w:t xml:space="preserve"> subject to varying interpretations. Under the terms of these contracts, our customers have the right to audit our adherence to the contract terms. Historically, any settlements that have resulted from these customer audits have been immaterial to our consolidated financial statements. </w:t>
      </w:r>
    </w:p>
    <w:p w:rsidR="000121CD" w:rsidRPr="00C6642F" w:rsidRDefault="000121CD">
      <w:pPr>
        <w:pStyle w:val="NormalWeb"/>
        <w:keepLines/>
        <w:widowControl w:val="0"/>
        <w:spacing w:before="0" w:beforeAutospacing="0" w:after="0" w:afterAutospacing="0"/>
        <w:rPr>
          <w:b/>
          <w:bCs/>
          <w:i/>
          <w:iCs/>
          <w:sz w:val="20"/>
          <w:szCs w:val="20"/>
        </w:rPr>
      </w:pPr>
    </w:p>
    <w:p w:rsidR="000121CD" w:rsidRPr="00C6642F" w:rsidRDefault="00590862">
      <w:pPr>
        <w:pStyle w:val="NormalWeb"/>
        <w:keepLines/>
        <w:widowControl w:val="0"/>
        <w:spacing w:before="0" w:beforeAutospacing="0" w:after="0" w:afterAutospacing="0"/>
        <w:rPr>
          <w:sz w:val="20"/>
          <w:szCs w:val="20"/>
        </w:rPr>
      </w:pPr>
      <w:r w:rsidRPr="00C6642F">
        <w:rPr>
          <w:b/>
          <w:bCs/>
          <w:i/>
          <w:iCs/>
          <w:sz w:val="20"/>
          <w:szCs w:val="20"/>
        </w:rPr>
        <w:t xml:space="preserve">Letters of Credit </w:t>
      </w:r>
    </w:p>
    <w:p w:rsidR="000121CD" w:rsidRPr="00C6642F" w:rsidRDefault="00590862">
      <w:pPr>
        <w:pStyle w:val="NormalWeb"/>
        <w:keepLines/>
        <w:widowControl w:val="0"/>
        <w:spacing w:before="90" w:beforeAutospacing="0" w:after="0" w:afterAutospacing="0"/>
        <w:rPr>
          <w:sz w:val="20"/>
          <w:szCs w:val="20"/>
        </w:rPr>
      </w:pPr>
      <w:r w:rsidRPr="00C6642F">
        <w:rPr>
          <w:sz w:val="20"/>
          <w:szCs w:val="20"/>
        </w:rPr>
        <w:t xml:space="preserve">Our letters of credit outstanding at </w:t>
      </w:r>
      <w:r w:rsidR="003627E3" w:rsidRPr="00C6642F">
        <w:rPr>
          <w:sz w:val="20"/>
          <w:szCs w:val="20"/>
        </w:rPr>
        <w:t>December 31, 2019</w:t>
      </w:r>
      <w:r w:rsidRPr="00C6642F">
        <w:rPr>
          <w:sz w:val="20"/>
          <w:szCs w:val="20"/>
        </w:rPr>
        <w:t xml:space="preserve"> approximated $3</w:t>
      </w:r>
      <w:r w:rsidR="00F43D27" w:rsidRPr="00C6642F">
        <w:rPr>
          <w:sz w:val="20"/>
          <w:szCs w:val="20"/>
        </w:rPr>
        <w:t>3</w:t>
      </w:r>
      <w:r w:rsidRPr="00C6642F">
        <w:rPr>
          <w:sz w:val="20"/>
          <w:szCs w:val="20"/>
        </w:rPr>
        <w:t xml:space="preserve"> million. </w:t>
      </w:r>
    </w:p>
    <w:p w:rsidR="000121CD" w:rsidRPr="00C6642F" w:rsidRDefault="000121CD">
      <w:pPr>
        <w:pStyle w:val="NormalWeb"/>
        <w:keepLines/>
        <w:widowControl w:val="0"/>
        <w:spacing w:before="0" w:beforeAutospacing="0" w:after="0" w:afterAutospacing="0"/>
        <w:rPr>
          <w:b/>
          <w:bCs/>
          <w:i/>
          <w:iCs/>
          <w:sz w:val="20"/>
          <w:szCs w:val="20"/>
        </w:rPr>
      </w:pPr>
    </w:p>
    <w:p w:rsidR="000121CD" w:rsidRPr="00C6642F" w:rsidRDefault="00590862">
      <w:pPr>
        <w:pStyle w:val="NormalWeb"/>
        <w:keepLines/>
        <w:widowControl w:val="0"/>
        <w:spacing w:before="0" w:beforeAutospacing="0" w:after="0" w:afterAutospacing="0"/>
        <w:rPr>
          <w:sz w:val="20"/>
          <w:szCs w:val="20"/>
        </w:rPr>
      </w:pPr>
      <w:r w:rsidRPr="00C6642F">
        <w:rPr>
          <w:b/>
          <w:bCs/>
          <w:i/>
          <w:iCs/>
          <w:sz w:val="20"/>
          <w:szCs w:val="20"/>
        </w:rPr>
        <w:t xml:space="preserve">Bank Guarantees </w:t>
      </w:r>
    </w:p>
    <w:p w:rsidR="000121CD" w:rsidRPr="00C6642F" w:rsidRDefault="00590862">
      <w:pPr>
        <w:pStyle w:val="NormalWeb"/>
        <w:keepLines/>
        <w:widowControl w:val="0"/>
        <w:spacing w:before="90" w:beforeAutospacing="0" w:after="0" w:afterAutospacing="0"/>
        <w:rPr>
          <w:sz w:val="20"/>
          <w:szCs w:val="20"/>
        </w:rPr>
      </w:pPr>
      <w:r w:rsidRPr="00C6642F">
        <w:rPr>
          <w:sz w:val="20"/>
          <w:szCs w:val="20"/>
        </w:rPr>
        <w:t xml:space="preserve">Certain of our international subsidiaries have trade guarantees that banks have issued on their behalf. The amount of these guarantees at </w:t>
      </w:r>
      <w:r w:rsidR="003627E3" w:rsidRPr="00C6642F">
        <w:rPr>
          <w:sz w:val="20"/>
          <w:szCs w:val="20"/>
        </w:rPr>
        <w:t>December 31, 2019</w:t>
      </w:r>
      <w:r w:rsidRPr="00C6642F">
        <w:rPr>
          <w:sz w:val="20"/>
          <w:szCs w:val="20"/>
        </w:rPr>
        <w:t xml:space="preserve"> was approximately $6 million. </w:t>
      </w:r>
    </w:p>
    <w:p w:rsidR="002960CA" w:rsidRPr="00C6642F" w:rsidRDefault="002960CA">
      <w:pPr>
        <w:pStyle w:val="NormalWeb"/>
        <w:keepLines/>
        <w:widowControl w:val="0"/>
        <w:spacing w:before="0" w:beforeAutospacing="0" w:after="0" w:afterAutospacing="0"/>
        <w:rPr>
          <w:b/>
          <w:bCs/>
          <w:i/>
          <w:iCs/>
          <w:sz w:val="20"/>
          <w:szCs w:val="20"/>
        </w:rPr>
      </w:pPr>
    </w:p>
    <w:p w:rsidR="000121CD" w:rsidRPr="00C6642F" w:rsidRDefault="00590862">
      <w:pPr>
        <w:pStyle w:val="NormalWeb"/>
        <w:keepLines/>
        <w:widowControl w:val="0"/>
        <w:spacing w:before="0" w:beforeAutospacing="0" w:after="0" w:afterAutospacing="0"/>
        <w:rPr>
          <w:sz w:val="20"/>
          <w:szCs w:val="20"/>
        </w:rPr>
      </w:pPr>
      <w:r w:rsidRPr="00C6642F">
        <w:rPr>
          <w:b/>
          <w:bCs/>
          <w:i/>
          <w:iCs/>
          <w:sz w:val="20"/>
          <w:szCs w:val="20"/>
        </w:rPr>
        <w:t xml:space="preserve">Purchase Commitments </w:t>
      </w:r>
    </w:p>
    <w:p w:rsidR="000121CD" w:rsidRPr="00C6642F" w:rsidRDefault="00590862">
      <w:pPr>
        <w:pStyle w:val="NormalWeb"/>
        <w:keepLines/>
        <w:widowControl w:val="0"/>
        <w:spacing w:before="90" w:beforeAutospacing="0" w:after="0" w:afterAutospacing="0"/>
        <w:rPr>
          <w:sz w:val="20"/>
          <w:szCs w:val="20"/>
        </w:rPr>
      </w:pPr>
      <w:r w:rsidRPr="00C6642F">
        <w:rPr>
          <w:sz w:val="20"/>
          <w:szCs w:val="20"/>
        </w:rPr>
        <w:t xml:space="preserve">We have purchase obligations consisting primarily of inventory purchases made in the normal course of business to meet operating needs. While our vendors often allow us to cancel these purchase orders without penalty, in certain cases, cancellations may subject us to cancellation fees or penalties depending on the terms of the contract. </w:t>
      </w:r>
    </w:p>
    <w:p w:rsidR="000121CD" w:rsidRPr="00C6642F" w:rsidRDefault="000121CD">
      <w:pPr>
        <w:pStyle w:val="NormalWeb"/>
        <w:keepLines/>
        <w:widowControl w:val="0"/>
        <w:spacing w:before="0" w:beforeAutospacing="0" w:after="0" w:afterAutospacing="0"/>
        <w:rPr>
          <w:b/>
          <w:bCs/>
          <w:i/>
          <w:iCs/>
          <w:sz w:val="20"/>
          <w:szCs w:val="20"/>
        </w:rPr>
      </w:pPr>
    </w:p>
    <w:p w:rsidR="000121CD" w:rsidRPr="00C6642F" w:rsidRDefault="00590862">
      <w:pPr>
        <w:pStyle w:val="NormalWeb"/>
        <w:keepLines/>
        <w:widowControl w:val="0"/>
        <w:spacing w:before="0" w:beforeAutospacing="0" w:after="0" w:afterAutospacing="0"/>
        <w:rPr>
          <w:sz w:val="20"/>
          <w:szCs w:val="20"/>
        </w:rPr>
      </w:pPr>
      <w:r w:rsidRPr="00C6642F">
        <w:rPr>
          <w:b/>
          <w:bCs/>
          <w:i/>
          <w:iCs/>
          <w:sz w:val="20"/>
          <w:szCs w:val="20"/>
        </w:rPr>
        <w:t xml:space="preserve">Warranty Claims </w:t>
      </w:r>
    </w:p>
    <w:p w:rsidR="000121CD" w:rsidRDefault="00590862">
      <w:pPr>
        <w:pStyle w:val="NormalWeb"/>
        <w:keepLines/>
        <w:widowControl w:val="0"/>
        <w:spacing w:before="90" w:beforeAutospacing="0" w:after="0" w:afterAutospacing="0"/>
        <w:rPr>
          <w:sz w:val="20"/>
          <w:szCs w:val="20"/>
        </w:rPr>
      </w:pPr>
      <w:r w:rsidRPr="00C6642F">
        <w:rPr>
          <w:sz w:val="20"/>
          <w:szCs w:val="20"/>
        </w:rPr>
        <w:t xml:space="preserve">We are involved from time to time in various warranty claims, which arise in the ordinary course of business. Historically, any settlements that have resulted from these warranty claims have been immaterial to our consolidated financial statements. </w:t>
      </w:r>
    </w:p>
    <w:p w:rsidR="000121CD" w:rsidRPr="00C6642F" w:rsidRDefault="00590862">
      <w:pPr>
        <w:pStyle w:val="NormalWeb"/>
        <w:keepNext/>
        <w:spacing w:before="270" w:beforeAutospacing="0" w:after="0" w:afterAutospacing="0"/>
      </w:pPr>
      <w:r w:rsidRPr="00C6642F">
        <w:rPr>
          <w:b/>
          <w:bCs/>
          <w:sz w:val="20"/>
          <w:szCs w:val="20"/>
          <w:u w:val="single"/>
        </w:rPr>
        <w:t>NOTE 1</w:t>
      </w:r>
      <w:r w:rsidR="000D0795" w:rsidRPr="00C6642F">
        <w:rPr>
          <w:b/>
          <w:bCs/>
          <w:sz w:val="20"/>
          <w:szCs w:val="20"/>
          <w:u w:val="single"/>
        </w:rPr>
        <w:t>8</w:t>
      </w:r>
      <w:r w:rsidRPr="00C6642F">
        <w:rPr>
          <w:b/>
          <w:bCs/>
          <w:sz w:val="20"/>
          <w:szCs w:val="20"/>
          <w:u w:val="single"/>
        </w:rPr>
        <w:t xml:space="preserve">—QUARTERLY INFORMATION (UNAUDITED) </w:t>
      </w:r>
    </w:p>
    <w:p w:rsidR="000121CD" w:rsidRPr="00C6642F" w:rsidRDefault="00590862">
      <w:pPr>
        <w:pStyle w:val="NormalWeb"/>
        <w:keepNext/>
        <w:spacing w:before="90" w:beforeAutospacing="0" w:after="0" w:afterAutospacing="0"/>
        <w:rPr>
          <w:sz w:val="20"/>
          <w:szCs w:val="20"/>
        </w:rPr>
      </w:pPr>
      <w:r w:rsidRPr="00C6642F">
        <w:rPr>
          <w:sz w:val="20"/>
          <w:szCs w:val="20"/>
        </w:rPr>
        <w:t>Our quarterly financial information is presented in the table below (in millions, except per share amounts):</w:t>
      </w:r>
    </w:p>
    <w:p w:rsidR="000121CD" w:rsidRPr="00C6642F" w:rsidRDefault="000121CD">
      <w:pPr>
        <w:pStyle w:val="NormalWeb"/>
        <w:keepNext/>
        <w:spacing w:before="0" w:beforeAutospacing="0" w:after="0" w:afterAutospacing="0"/>
        <w:rPr>
          <w:sz w:val="2"/>
          <w:szCs w:val="20"/>
        </w:rPr>
      </w:pPr>
    </w:p>
    <w:p w:rsidR="000121CD" w:rsidRPr="00C6642F" w:rsidRDefault="000121CD">
      <w:pPr>
        <w:pStyle w:val="NormalWeb"/>
        <w:keepNext/>
        <w:spacing w:before="0" w:beforeAutospacing="0" w:after="0" w:afterAutospacing="0"/>
        <w:rPr>
          <w:sz w:val="2"/>
          <w:szCs w:val="20"/>
        </w:rPr>
      </w:pPr>
    </w:p>
    <w:tbl>
      <w:tblPr>
        <w:tblW w:w="5000" w:type="pct"/>
        <w:tblCellMar>
          <w:left w:w="0" w:type="dxa"/>
          <w:right w:w="0" w:type="dxa"/>
        </w:tblCellMar>
        <w:tblLook w:val="04A0" w:firstRow="1" w:lastRow="0" w:firstColumn="1" w:lastColumn="0" w:noHBand="0" w:noVBand="1"/>
      </w:tblPr>
      <w:tblGrid>
        <w:gridCol w:w="4676"/>
        <w:gridCol w:w="283"/>
        <w:gridCol w:w="782"/>
        <w:gridCol w:w="147"/>
        <w:gridCol w:w="281"/>
        <w:gridCol w:w="782"/>
        <w:gridCol w:w="220"/>
        <w:gridCol w:w="281"/>
        <w:gridCol w:w="782"/>
        <w:gridCol w:w="220"/>
        <w:gridCol w:w="281"/>
        <w:gridCol w:w="782"/>
        <w:gridCol w:w="220"/>
        <w:gridCol w:w="281"/>
        <w:gridCol w:w="782"/>
      </w:tblGrid>
      <w:tr w:rsidR="0018024C" w:rsidRPr="00C6642F" w:rsidTr="0018024C">
        <w:trPr>
          <w:trHeight w:hRule="exact" w:val="20"/>
        </w:trPr>
        <w:tc>
          <w:tcPr>
            <w:tcW w:w="2165"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131"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362"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68"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130"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362"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102"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130"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362"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102"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130"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362"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102"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130"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c>
          <w:tcPr>
            <w:tcW w:w="362" w:type="pct"/>
            <w:tcBorders>
              <w:top w:val="nil"/>
              <w:left w:val="nil"/>
              <w:bottom w:val="nil"/>
              <w:right w:val="nil"/>
            </w:tcBorders>
            <w:shd w:val="clear" w:color="auto" w:fill="auto"/>
            <w:vAlign w:val="bottom"/>
          </w:tcPr>
          <w:p w:rsidR="0018024C" w:rsidRPr="00C6642F" w:rsidRDefault="0018024C" w:rsidP="0018024C">
            <w:pPr>
              <w:keepNext/>
              <w:spacing w:before="1" w:after="1"/>
              <w:rPr>
                <w:sz w:val="2"/>
              </w:rPr>
            </w:pPr>
          </w:p>
        </w:tc>
      </w:tr>
      <w:tr w:rsidR="0018024C" w:rsidRPr="00C6642F" w:rsidTr="0018024C">
        <w:trPr>
          <w:trHeight w:hRule="exact" w:val="300"/>
        </w:trPr>
        <w:tc>
          <w:tcPr>
            <w:tcW w:w="2165" w:type="pct"/>
            <w:tcBorders>
              <w:top w:val="nil"/>
              <w:left w:val="nil"/>
              <w:bottom w:val="nil"/>
              <w:right w:val="nil"/>
              <w:tl2br w:val="nil"/>
              <w:tr2bl w:val="nil"/>
            </w:tcBorders>
            <w:shd w:val="clear" w:color="auto" w:fill="auto"/>
            <w:vAlign w:val="bottom"/>
          </w:tcPr>
          <w:p w:rsidR="0018024C" w:rsidRPr="00C6642F" w:rsidRDefault="0018024C" w:rsidP="0018024C">
            <w:pPr>
              <w:keepNext/>
              <w:spacing w:before="1" w:after="1"/>
              <w:rPr>
                <w:sz w:val="20"/>
              </w:rPr>
            </w:pPr>
          </w:p>
        </w:tc>
        <w:tc>
          <w:tcPr>
            <w:tcW w:w="493"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spacing w:before="1" w:after="1"/>
              <w:jc w:val="center"/>
              <w:rPr>
                <w:b/>
                <w:sz w:val="20"/>
              </w:rPr>
            </w:pPr>
            <w:r w:rsidRPr="00C6642F">
              <w:rPr>
                <w:b/>
                <w:sz w:val="20"/>
              </w:rPr>
              <w:t>First</w:t>
            </w:r>
          </w:p>
        </w:tc>
        <w:tc>
          <w:tcPr>
            <w:tcW w:w="68" w:type="pct"/>
            <w:tcBorders>
              <w:top w:val="nil"/>
              <w:left w:val="nil"/>
              <w:bottom w:val="nil"/>
              <w:right w:val="nil"/>
              <w:tl2br w:val="nil"/>
              <w:tr2bl w:val="nil"/>
            </w:tcBorders>
            <w:shd w:val="clear" w:color="auto" w:fill="auto"/>
            <w:vAlign w:val="bottom"/>
          </w:tcPr>
          <w:p w:rsidR="0018024C" w:rsidRPr="00C6642F" w:rsidRDefault="0018024C" w:rsidP="0018024C">
            <w:pPr>
              <w:keepNext/>
              <w:spacing w:before="1" w:after="1"/>
              <w:jc w:val="center"/>
              <w:rPr>
                <w:b/>
                <w:sz w:val="20"/>
              </w:rPr>
            </w:pPr>
          </w:p>
        </w:tc>
        <w:tc>
          <w:tcPr>
            <w:tcW w:w="492"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spacing w:before="1" w:after="1"/>
              <w:jc w:val="center"/>
              <w:rPr>
                <w:b/>
                <w:sz w:val="20"/>
              </w:rPr>
            </w:pPr>
            <w:r w:rsidRPr="00C6642F">
              <w:rPr>
                <w:b/>
                <w:sz w:val="20"/>
              </w:rPr>
              <w:t>Second</w:t>
            </w:r>
          </w:p>
        </w:tc>
        <w:tc>
          <w:tcPr>
            <w:tcW w:w="102" w:type="pct"/>
            <w:tcBorders>
              <w:top w:val="nil"/>
              <w:left w:val="nil"/>
              <w:bottom w:val="nil"/>
              <w:right w:val="nil"/>
              <w:tl2br w:val="nil"/>
              <w:tr2bl w:val="nil"/>
            </w:tcBorders>
            <w:shd w:val="clear" w:color="auto" w:fill="auto"/>
            <w:vAlign w:val="bottom"/>
          </w:tcPr>
          <w:p w:rsidR="0018024C" w:rsidRPr="00C6642F" w:rsidRDefault="0018024C" w:rsidP="0018024C">
            <w:pPr>
              <w:keepNext/>
              <w:spacing w:before="1" w:after="1"/>
              <w:jc w:val="center"/>
              <w:rPr>
                <w:b/>
                <w:sz w:val="20"/>
              </w:rPr>
            </w:pPr>
          </w:p>
        </w:tc>
        <w:tc>
          <w:tcPr>
            <w:tcW w:w="492"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spacing w:before="1" w:after="1"/>
              <w:jc w:val="center"/>
              <w:rPr>
                <w:b/>
                <w:sz w:val="20"/>
              </w:rPr>
            </w:pPr>
            <w:r w:rsidRPr="00C6642F">
              <w:rPr>
                <w:b/>
                <w:sz w:val="20"/>
              </w:rPr>
              <w:t>Third</w:t>
            </w:r>
          </w:p>
        </w:tc>
        <w:tc>
          <w:tcPr>
            <w:tcW w:w="102" w:type="pct"/>
            <w:tcBorders>
              <w:top w:val="nil"/>
              <w:left w:val="nil"/>
              <w:bottom w:val="nil"/>
              <w:right w:val="nil"/>
              <w:tl2br w:val="nil"/>
              <w:tr2bl w:val="nil"/>
            </w:tcBorders>
            <w:shd w:val="clear" w:color="auto" w:fill="auto"/>
            <w:vAlign w:val="bottom"/>
          </w:tcPr>
          <w:p w:rsidR="0018024C" w:rsidRPr="00C6642F" w:rsidRDefault="0018024C" w:rsidP="0018024C">
            <w:pPr>
              <w:keepNext/>
              <w:spacing w:before="1" w:after="1"/>
              <w:jc w:val="center"/>
              <w:rPr>
                <w:b/>
                <w:sz w:val="20"/>
              </w:rPr>
            </w:pPr>
          </w:p>
        </w:tc>
        <w:tc>
          <w:tcPr>
            <w:tcW w:w="492"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spacing w:before="1" w:after="1"/>
              <w:jc w:val="center"/>
              <w:rPr>
                <w:b/>
                <w:sz w:val="20"/>
              </w:rPr>
            </w:pPr>
            <w:r w:rsidRPr="00C6642F">
              <w:rPr>
                <w:b/>
                <w:sz w:val="20"/>
              </w:rPr>
              <w:t>Fourth</w:t>
            </w:r>
          </w:p>
        </w:tc>
        <w:tc>
          <w:tcPr>
            <w:tcW w:w="102" w:type="pct"/>
            <w:tcBorders>
              <w:top w:val="nil"/>
              <w:left w:val="nil"/>
              <w:bottom w:val="nil"/>
              <w:right w:val="nil"/>
              <w:tl2br w:val="nil"/>
              <w:tr2bl w:val="nil"/>
            </w:tcBorders>
            <w:shd w:val="clear" w:color="auto" w:fill="auto"/>
            <w:vAlign w:val="bottom"/>
          </w:tcPr>
          <w:p w:rsidR="0018024C" w:rsidRPr="00C6642F" w:rsidRDefault="0018024C" w:rsidP="0018024C">
            <w:pPr>
              <w:keepNext/>
              <w:spacing w:before="1" w:after="1"/>
              <w:jc w:val="center"/>
              <w:rPr>
                <w:b/>
                <w:sz w:val="20"/>
              </w:rPr>
            </w:pPr>
          </w:p>
        </w:tc>
        <w:tc>
          <w:tcPr>
            <w:tcW w:w="492" w:type="pct"/>
            <w:gridSpan w:val="2"/>
            <w:tcBorders>
              <w:top w:val="nil"/>
              <w:left w:val="nil"/>
              <w:bottom w:val="single" w:sz="12" w:space="0" w:color="000000"/>
              <w:right w:val="nil"/>
              <w:tl2br w:val="nil"/>
              <w:tr2bl w:val="nil"/>
            </w:tcBorders>
            <w:shd w:val="clear" w:color="auto" w:fill="auto"/>
            <w:vAlign w:val="bottom"/>
          </w:tcPr>
          <w:p w:rsidR="0018024C" w:rsidRPr="00C6642F" w:rsidRDefault="0018024C" w:rsidP="0018024C">
            <w:pPr>
              <w:keepNext/>
              <w:spacing w:before="1" w:after="1"/>
              <w:jc w:val="center"/>
              <w:rPr>
                <w:b/>
                <w:sz w:val="20"/>
              </w:rPr>
            </w:pPr>
            <w:r w:rsidRPr="00C6642F">
              <w:rPr>
                <w:b/>
                <w:sz w:val="20"/>
              </w:rPr>
              <w:t>Year</w:t>
            </w:r>
          </w:p>
        </w:tc>
      </w:tr>
      <w:tr w:rsidR="0018024C" w:rsidRPr="00C6642F" w:rsidTr="0018024C">
        <w:trPr>
          <w:trHeight w:hRule="exact" w:val="300"/>
        </w:trPr>
        <w:tc>
          <w:tcPr>
            <w:tcW w:w="216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r w:rsidRPr="00C6642F">
              <w:rPr>
                <w:b/>
                <w:sz w:val="20"/>
              </w:rPr>
              <w:t>2019</w:t>
            </w:r>
          </w:p>
        </w:tc>
        <w:tc>
          <w:tcPr>
            <w:tcW w:w="131"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68"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30"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30"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30"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30"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single" w:sz="0" w:space="0" w:color="000000"/>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r>
      <w:tr w:rsidR="0018024C" w:rsidRPr="00C6642F" w:rsidTr="0018024C">
        <w:trPr>
          <w:trHeight w:hRule="exact" w:val="300"/>
        </w:trPr>
        <w:tc>
          <w:tcPr>
            <w:tcW w:w="2165"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 xml:space="preserve">Revenue </w:t>
            </w:r>
          </w:p>
        </w:tc>
        <w:tc>
          <w:tcPr>
            <w:tcW w:w="131"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r w:rsidRPr="00C6642F">
              <w:rPr>
                <w:b/>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3"/>
              <w:jc w:val="right"/>
              <w:rPr>
                <w:b/>
                <w:sz w:val="20"/>
              </w:rPr>
            </w:pPr>
            <w:r w:rsidRPr="00C6642F">
              <w:rPr>
                <w:b/>
                <w:sz w:val="20"/>
              </w:rPr>
              <w:t xml:space="preserve"> 970</w:t>
            </w:r>
          </w:p>
        </w:tc>
        <w:tc>
          <w:tcPr>
            <w:tcW w:w="68"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r w:rsidRPr="00C6642F">
              <w:rPr>
                <w:b/>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3"/>
              <w:jc w:val="right"/>
              <w:rPr>
                <w:b/>
                <w:sz w:val="20"/>
              </w:rPr>
            </w:pPr>
            <w:r w:rsidRPr="00C6642F">
              <w:rPr>
                <w:b/>
                <w:sz w:val="20"/>
              </w:rPr>
              <w:t xml:space="preserve"> 984</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r w:rsidRPr="00C6642F">
              <w:rPr>
                <w:b/>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3"/>
              <w:jc w:val="right"/>
              <w:rPr>
                <w:b/>
                <w:sz w:val="20"/>
              </w:rPr>
            </w:pPr>
            <w:r w:rsidRPr="00C6642F">
              <w:rPr>
                <w:b/>
                <w:sz w:val="20"/>
              </w:rPr>
              <w:t xml:space="preserve"> 942</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r w:rsidRPr="00C6642F">
              <w:rPr>
                <w:b/>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3"/>
              <w:jc w:val="right"/>
              <w:rPr>
                <w:b/>
                <w:sz w:val="20"/>
              </w:rPr>
            </w:pPr>
            <w:r w:rsidRPr="00C6642F">
              <w:rPr>
                <w:b/>
                <w:sz w:val="20"/>
              </w:rPr>
              <w:t xml:space="preserve"> 766</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r w:rsidRPr="00C6642F">
              <w:rPr>
                <w:b/>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3"/>
              <w:jc w:val="right"/>
              <w:rPr>
                <w:b/>
                <w:sz w:val="20"/>
              </w:rPr>
            </w:pPr>
            <w:r w:rsidRPr="00C6642F">
              <w:rPr>
                <w:b/>
                <w:sz w:val="20"/>
              </w:rPr>
              <w:t xml:space="preserve"> 3,662</w:t>
            </w:r>
          </w:p>
        </w:tc>
      </w:tr>
      <w:tr w:rsidR="0018024C" w:rsidRPr="00C6642F" w:rsidTr="0018024C">
        <w:trPr>
          <w:trHeight w:hRule="exact" w:val="300"/>
        </w:trPr>
        <w:tc>
          <w:tcPr>
            <w:tcW w:w="216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r w:rsidRPr="00C6642F">
              <w:rPr>
                <w:sz w:val="20"/>
              </w:rPr>
              <w:t xml:space="preserve">Gross profit </w:t>
            </w:r>
          </w:p>
        </w:tc>
        <w:tc>
          <w:tcPr>
            <w:tcW w:w="13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3"/>
              <w:jc w:val="right"/>
              <w:rPr>
                <w:b/>
                <w:sz w:val="20"/>
              </w:rPr>
            </w:pPr>
            <w:r w:rsidRPr="00C6642F">
              <w:rPr>
                <w:b/>
                <w:sz w:val="20"/>
              </w:rPr>
              <w:t xml:space="preserve"> 174</w:t>
            </w:r>
          </w:p>
        </w:tc>
        <w:tc>
          <w:tcPr>
            <w:tcW w:w="68"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3"/>
              <w:jc w:val="right"/>
              <w:rPr>
                <w:b/>
                <w:sz w:val="20"/>
              </w:rPr>
            </w:pPr>
            <w:r w:rsidRPr="00C6642F">
              <w:rPr>
                <w:b/>
                <w:sz w:val="20"/>
              </w:rPr>
              <w:t xml:space="preserve"> 174</w:t>
            </w: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3"/>
              <w:jc w:val="right"/>
              <w:rPr>
                <w:b/>
                <w:sz w:val="20"/>
              </w:rPr>
            </w:pPr>
            <w:r w:rsidRPr="00C6642F">
              <w:rPr>
                <w:b/>
                <w:sz w:val="20"/>
              </w:rPr>
              <w:t xml:space="preserve"> 174</w:t>
            </w: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3"/>
              <w:jc w:val="right"/>
              <w:rPr>
                <w:b/>
                <w:sz w:val="20"/>
              </w:rPr>
            </w:pPr>
            <w:r w:rsidRPr="00C6642F">
              <w:rPr>
                <w:b/>
                <w:sz w:val="20"/>
              </w:rPr>
              <w:t xml:space="preserve"> 131</w:t>
            </w: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3"/>
              <w:jc w:val="right"/>
              <w:rPr>
                <w:b/>
                <w:sz w:val="20"/>
              </w:rPr>
            </w:pPr>
            <w:r w:rsidRPr="00C6642F">
              <w:rPr>
                <w:b/>
                <w:sz w:val="20"/>
              </w:rPr>
              <w:t xml:space="preserve"> 653</w:t>
            </w:r>
          </w:p>
        </w:tc>
      </w:tr>
      <w:tr w:rsidR="0018024C" w:rsidRPr="00C6642F" w:rsidTr="0018024C">
        <w:trPr>
          <w:trHeight w:hRule="exact" w:val="300"/>
        </w:trPr>
        <w:tc>
          <w:tcPr>
            <w:tcW w:w="2165"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 xml:space="preserve">Net income (loss) attributable to common stockholders </w:t>
            </w:r>
          </w:p>
        </w:tc>
        <w:tc>
          <w:tcPr>
            <w:tcW w:w="131"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3"/>
              <w:jc w:val="right"/>
              <w:rPr>
                <w:b/>
                <w:sz w:val="20"/>
              </w:rPr>
            </w:pPr>
            <w:r w:rsidRPr="00C6642F">
              <w:rPr>
                <w:b/>
                <w:sz w:val="20"/>
              </w:rPr>
              <w:t xml:space="preserve"> 12</w:t>
            </w:r>
          </w:p>
        </w:tc>
        <w:tc>
          <w:tcPr>
            <w:tcW w:w="68"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3"/>
              <w:jc w:val="right"/>
              <w:rPr>
                <w:b/>
                <w:sz w:val="20"/>
              </w:rPr>
            </w:pPr>
            <w:r w:rsidRPr="00C6642F">
              <w:rPr>
                <w:b/>
                <w:sz w:val="20"/>
              </w:rPr>
              <w:t xml:space="preserve"> 18</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3"/>
              <w:jc w:val="right"/>
              <w:rPr>
                <w:b/>
                <w:sz w:val="20"/>
              </w:rPr>
            </w:pPr>
            <w:r w:rsidRPr="00C6642F">
              <w:rPr>
                <w:b/>
                <w:sz w:val="20"/>
              </w:rPr>
              <w:t xml:space="preserve"> 15</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jc w:val="right"/>
              <w:rPr>
                <w:b/>
                <w:sz w:val="20"/>
              </w:rPr>
            </w:pPr>
            <w:r w:rsidRPr="00C6642F">
              <w:rPr>
                <w:b/>
                <w:sz w:val="20"/>
              </w:rPr>
              <w:t xml:space="preserve"> (30)</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3"/>
              <w:jc w:val="right"/>
              <w:rPr>
                <w:b/>
                <w:sz w:val="20"/>
              </w:rPr>
            </w:pPr>
            <w:r w:rsidRPr="00C6642F">
              <w:rPr>
                <w:b/>
                <w:sz w:val="20"/>
              </w:rPr>
              <w:t xml:space="preserve"> 15</w:t>
            </w:r>
          </w:p>
        </w:tc>
      </w:tr>
      <w:tr w:rsidR="0018024C" w:rsidRPr="00C6642F" w:rsidTr="0018024C">
        <w:trPr>
          <w:trHeight w:hRule="exact" w:val="300"/>
        </w:trPr>
        <w:tc>
          <w:tcPr>
            <w:tcW w:w="216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r w:rsidRPr="00C6642F">
              <w:rPr>
                <w:sz w:val="20"/>
              </w:rPr>
              <w:t>Earnings per share:</w:t>
            </w:r>
          </w:p>
        </w:tc>
        <w:tc>
          <w:tcPr>
            <w:tcW w:w="13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68"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r>
      <w:tr w:rsidR="0018024C" w:rsidRPr="00C6642F" w:rsidTr="0018024C">
        <w:trPr>
          <w:trHeight w:hRule="exact" w:val="300"/>
        </w:trPr>
        <w:tc>
          <w:tcPr>
            <w:tcW w:w="2165"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 xml:space="preserve">        Basic (1)</w:t>
            </w:r>
          </w:p>
        </w:tc>
        <w:tc>
          <w:tcPr>
            <w:tcW w:w="131"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r w:rsidRPr="00C6642F">
              <w:rPr>
                <w:b/>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3"/>
              <w:jc w:val="right"/>
              <w:rPr>
                <w:b/>
                <w:sz w:val="20"/>
              </w:rPr>
            </w:pPr>
            <w:r w:rsidRPr="00C6642F">
              <w:rPr>
                <w:b/>
                <w:sz w:val="20"/>
              </w:rPr>
              <w:t xml:space="preserve"> 0.14</w:t>
            </w:r>
          </w:p>
        </w:tc>
        <w:tc>
          <w:tcPr>
            <w:tcW w:w="68"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r w:rsidRPr="00C6642F">
              <w:rPr>
                <w:b/>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3"/>
              <w:jc w:val="right"/>
              <w:rPr>
                <w:b/>
                <w:sz w:val="20"/>
              </w:rPr>
            </w:pPr>
            <w:r w:rsidRPr="00C6642F">
              <w:rPr>
                <w:b/>
                <w:sz w:val="20"/>
              </w:rPr>
              <w:t xml:space="preserve"> 0.22</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r w:rsidRPr="00C6642F">
              <w:rPr>
                <w:b/>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3"/>
              <w:jc w:val="right"/>
              <w:rPr>
                <w:b/>
                <w:sz w:val="20"/>
              </w:rPr>
            </w:pPr>
            <w:r w:rsidRPr="00C6642F">
              <w:rPr>
                <w:b/>
                <w:sz w:val="20"/>
              </w:rPr>
              <w:t xml:space="preserve"> 0.18</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r w:rsidRPr="00C6642F">
              <w:rPr>
                <w:b/>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jc w:val="right"/>
              <w:rPr>
                <w:b/>
                <w:sz w:val="20"/>
              </w:rPr>
            </w:pPr>
            <w:r w:rsidRPr="00C6642F">
              <w:rPr>
                <w:b/>
                <w:sz w:val="20"/>
              </w:rPr>
              <w:t xml:space="preserve"> (0.37)</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r w:rsidRPr="00C6642F">
              <w:rPr>
                <w:b/>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3"/>
              <w:jc w:val="right"/>
              <w:rPr>
                <w:b/>
                <w:sz w:val="20"/>
              </w:rPr>
            </w:pPr>
            <w:r w:rsidRPr="00C6642F">
              <w:rPr>
                <w:b/>
                <w:sz w:val="20"/>
              </w:rPr>
              <w:t xml:space="preserve"> 0.18</w:t>
            </w:r>
          </w:p>
        </w:tc>
      </w:tr>
      <w:tr w:rsidR="0018024C" w:rsidRPr="00C6642F" w:rsidTr="0018024C">
        <w:trPr>
          <w:trHeight w:hRule="exact" w:val="300"/>
        </w:trPr>
        <w:tc>
          <w:tcPr>
            <w:tcW w:w="216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r w:rsidRPr="00C6642F">
              <w:rPr>
                <w:sz w:val="20"/>
              </w:rPr>
              <w:t xml:space="preserve">        Diluted (1)</w:t>
            </w:r>
          </w:p>
        </w:tc>
        <w:tc>
          <w:tcPr>
            <w:tcW w:w="13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r w:rsidRPr="00C6642F">
              <w:rPr>
                <w:b/>
                <w:sz w:val="20"/>
              </w:rPr>
              <w:t>$</w:t>
            </w: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3"/>
              <w:jc w:val="right"/>
              <w:rPr>
                <w:b/>
                <w:sz w:val="20"/>
              </w:rPr>
            </w:pPr>
            <w:r w:rsidRPr="00C6642F">
              <w:rPr>
                <w:b/>
                <w:sz w:val="20"/>
              </w:rPr>
              <w:t xml:space="preserve"> 0.14</w:t>
            </w:r>
          </w:p>
        </w:tc>
        <w:tc>
          <w:tcPr>
            <w:tcW w:w="68"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r w:rsidRPr="00C6642F">
              <w:rPr>
                <w:b/>
                <w:sz w:val="20"/>
              </w:rPr>
              <w:t>$</w:t>
            </w: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3"/>
              <w:jc w:val="right"/>
              <w:rPr>
                <w:b/>
                <w:sz w:val="20"/>
              </w:rPr>
            </w:pPr>
            <w:r w:rsidRPr="00C6642F">
              <w:rPr>
                <w:b/>
                <w:sz w:val="20"/>
              </w:rPr>
              <w:t xml:space="preserve"> 0.21</w:t>
            </w: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r w:rsidRPr="00C6642F">
              <w:rPr>
                <w:b/>
                <w:sz w:val="20"/>
              </w:rPr>
              <w:t>$</w:t>
            </w: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3"/>
              <w:jc w:val="right"/>
              <w:rPr>
                <w:b/>
                <w:sz w:val="20"/>
              </w:rPr>
            </w:pPr>
            <w:r w:rsidRPr="00C6642F">
              <w:rPr>
                <w:b/>
                <w:sz w:val="20"/>
              </w:rPr>
              <w:t xml:space="preserve"> 0.18</w:t>
            </w: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r w:rsidRPr="00C6642F">
              <w:rPr>
                <w:b/>
                <w:sz w:val="20"/>
              </w:rPr>
              <w:t>$</w:t>
            </w: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jc w:val="right"/>
              <w:rPr>
                <w:b/>
                <w:sz w:val="20"/>
              </w:rPr>
            </w:pPr>
            <w:r w:rsidRPr="00C6642F">
              <w:rPr>
                <w:b/>
                <w:sz w:val="20"/>
              </w:rPr>
              <w:t xml:space="preserve"> (0.37)</w:t>
            </w: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r w:rsidRPr="00C6642F">
              <w:rPr>
                <w:b/>
                <w:sz w:val="20"/>
              </w:rPr>
              <w:t>$</w:t>
            </w: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3"/>
              <w:jc w:val="right"/>
              <w:rPr>
                <w:b/>
                <w:sz w:val="20"/>
              </w:rPr>
            </w:pPr>
            <w:r w:rsidRPr="00C6642F">
              <w:rPr>
                <w:b/>
                <w:sz w:val="20"/>
              </w:rPr>
              <w:t xml:space="preserve"> 0.18</w:t>
            </w:r>
          </w:p>
        </w:tc>
      </w:tr>
      <w:tr w:rsidR="0018024C" w:rsidRPr="00C6642F" w:rsidTr="0018024C">
        <w:trPr>
          <w:trHeight w:hRule="exact" w:val="180"/>
        </w:trPr>
        <w:tc>
          <w:tcPr>
            <w:tcW w:w="2165"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1"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68"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rPr>
                <w:b/>
                <w:sz w:val="20"/>
              </w:rPr>
            </w:pPr>
          </w:p>
        </w:tc>
      </w:tr>
      <w:tr w:rsidR="0018024C" w:rsidRPr="00C6642F" w:rsidTr="0018024C">
        <w:trPr>
          <w:trHeight w:hRule="exact" w:val="300"/>
        </w:trPr>
        <w:tc>
          <w:tcPr>
            <w:tcW w:w="216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r w:rsidRPr="00C6642F">
              <w:rPr>
                <w:b/>
                <w:sz w:val="20"/>
              </w:rPr>
              <w:t xml:space="preserve"> 2018</w:t>
            </w:r>
          </w:p>
        </w:tc>
        <w:tc>
          <w:tcPr>
            <w:tcW w:w="13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68"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b/>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r>
      <w:tr w:rsidR="0018024C" w:rsidRPr="00C6642F" w:rsidTr="0018024C">
        <w:trPr>
          <w:trHeight w:hRule="exact" w:val="300"/>
        </w:trPr>
        <w:tc>
          <w:tcPr>
            <w:tcW w:w="2165"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 xml:space="preserve">Revenue </w:t>
            </w:r>
          </w:p>
        </w:tc>
        <w:tc>
          <w:tcPr>
            <w:tcW w:w="131"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1,010</w:t>
            </w:r>
          </w:p>
        </w:tc>
        <w:tc>
          <w:tcPr>
            <w:tcW w:w="68"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1,082</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1,071</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1,009</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4,172</w:t>
            </w:r>
          </w:p>
        </w:tc>
      </w:tr>
      <w:tr w:rsidR="0018024C" w:rsidRPr="00C6642F" w:rsidTr="0018024C">
        <w:trPr>
          <w:trHeight w:hRule="exact" w:val="300"/>
        </w:trPr>
        <w:tc>
          <w:tcPr>
            <w:tcW w:w="216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r w:rsidRPr="00C6642F">
              <w:rPr>
                <w:sz w:val="20"/>
              </w:rPr>
              <w:t xml:space="preserve">Gross profit </w:t>
            </w:r>
          </w:p>
        </w:tc>
        <w:tc>
          <w:tcPr>
            <w:tcW w:w="13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5"/>
              <w:jc w:val="right"/>
              <w:rPr>
                <w:sz w:val="20"/>
              </w:rPr>
            </w:pPr>
            <w:r w:rsidRPr="00C6642F">
              <w:rPr>
                <w:sz w:val="20"/>
              </w:rPr>
              <w:t xml:space="preserve"> 169</w:t>
            </w:r>
          </w:p>
        </w:tc>
        <w:tc>
          <w:tcPr>
            <w:tcW w:w="68"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5"/>
              <w:jc w:val="right"/>
              <w:rPr>
                <w:sz w:val="20"/>
              </w:rPr>
            </w:pPr>
            <w:r w:rsidRPr="00C6642F">
              <w:rPr>
                <w:sz w:val="20"/>
              </w:rPr>
              <w:t xml:space="preserve"> 177</w:t>
            </w: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5"/>
              <w:jc w:val="right"/>
              <w:rPr>
                <w:sz w:val="20"/>
              </w:rPr>
            </w:pPr>
            <w:r w:rsidRPr="00C6642F">
              <w:rPr>
                <w:sz w:val="20"/>
              </w:rPr>
              <w:t xml:space="preserve"> 172</w:t>
            </w: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5"/>
              <w:jc w:val="right"/>
              <w:rPr>
                <w:sz w:val="20"/>
              </w:rPr>
            </w:pPr>
            <w:r w:rsidRPr="00C6642F">
              <w:rPr>
                <w:sz w:val="20"/>
              </w:rPr>
              <w:t xml:space="preserve"> 171</w:t>
            </w: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5"/>
              <w:jc w:val="right"/>
              <w:rPr>
                <w:sz w:val="20"/>
              </w:rPr>
            </w:pPr>
            <w:r w:rsidRPr="00C6642F">
              <w:rPr>
                <w:sz w:val="20"/>
              </w:rPr>
              <w:t xml:space="preserve"> 689</w:t>
            </w:r>
          </w:p>
        </w:tc>
      </w:tr>
      <w:tr w:rsidR="0018024C" w:rsidRPr="00C6642F" w:rsidTr="0018024C">
        <w:trPr>
          <w:trHeight w:hRule="exact" w:val="300"/>
        </w:trPr>
        <w:tc>
          <w:tcPr>
            <w:tcW w:w="2165"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 xml:space="preserve">Net income attributable to common stockholders </w:t>
            </w:r>
          </w:p>
        </w:tc>
        <w:tc>
          <w:tcPr>
            <w:tcW w:w="131"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12</w:t>
            </w:r>
          </w:p>
        </w:tc>
        <w:tc>
          <w:tcPr>
            <w:tcW w:w="68"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16</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18</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4</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50</w:t>
            </w:r>
          </w:p>
        </w:tc>
      </w:tr>
      <w:tr w:rsidR="0018024C" w:rsidRPr="00C6642F" w:rsidTr="0018024C">
        <w:trPr>
          <w:trHeight w:hRule="exact" w:val="300"/>
        </w:trPr>
        <w:tc>
          <w:tcPr>
            <w:tcW w:w="216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r w:rsidRPr="00C6642F">
              <w:rPr>
                <w:sz w:val="20"/>
              </w:rPr>
              <w:t>Earnings per share:</w:t>
            </w:r>
          </w:p>
        </w:tc>
        <w:tc>
          <w:tcPr>
            <w:tcW w:w="13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68"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r>
      <w:tr w:rsidR="0018024C" w:rsidRPr="00C6642F" w:rsidTr="0018024C">
        <w:trPr>
          <w:trHeight w:hRule="exact" w:val="300"/>
        </w:trPr>
        <w:tc>
          <w:tcPr>
            <w:tcW w:w="2165"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 xml:space="preserve">        Basic  (1)</w:t>
            </w:r>
          </w:p>
        </w:tc>
        <w:tc>
          <w:tcPr>
            <w:tcW w:w="131"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0.13</w:t>
            </w:r>
          </w:p>
        </w:tc>
        <w:tc>
          <w:tcPr>
            <w:tcW w:w="68"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0.18</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0.20</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0.05</w:t>
            </w:r>
          </w:p>
        </w:tc>
        <w:tc>
          <w:tcPr>
            <w:tcW w:w="102"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vAlign w:val="bottom"/>
          </w:tcPr>
          <w:p w:rsidR="0018024C" w:rsidRPr="00C6642F" w:rsidRDefault="0018024C" w:rsidP="0018024C">
            <w:pPr>
              <w:keepNext/>
              <w:spacing w:before="1" w:after="1"/>
              <w:rPr>
                <w:sz w:val="20"/>
              </w:rPr>
            </w:pPr>
            <w:r w:rsidRPr="00C6642F">
              <w:rPr>
                <w:sz w:val="20"/>
              </w:rPr>
              <w:t>$</w:t>
            </w:r>
          </w:p>
        </w:tc>
        <w:tc>
          <w:tcPr>
            <w:tcW w:w="362" w:type="pct"/>
            <w:tcBorders>
              <w:top w:val="nil"/>
              <w:left w:val="nil"/>
              <w:bottom w:val="nil"/>
              <w:right w:val="nil"/>
              <w:tl2br w:val="nil"/>
              <w:tr2bl w:val="nil"/>
            </w:tcBorders>
            <w:vAlign w:val="bottom"/>
          </w:tcPr>
          <w:p w:rsidR="0018024C" w:rsidRPr="00C6642F" w:rsidRDefault="0018024C" w:rsidP="0018024C">
            <w:pPr>
              <w:keepNext/>
              <w:spacing w:before="1" w:after="1"/>
              <w:ind w:right="65"/>
              <w:jc w:val="right"/>
              <w:rPr>
                <w:sz w:val="20"/>
              </w:rPr>
            </w:pPr>
            <w:r w:rsidRPr="00C6642F">
              <w:rPr>
                <w:sz w:val="20"/>
              </w:rPr>
              <w:t xml:space="preserve"> 0.55</w:t>
            </w:r>
          </w:p>
        </w:tc>
      </w:tr>
      <w:tr w:rsidR="0018024C" w:rsidRPr="00C6642F" w:rsidTr="0018024C">
        <w:trPr>
          <w:trHeight w:hRule="exact" w:val="300"/>
        </w:trPr>
        <w:tc>
          <w:tcPr>
            <w:tcW w:w="2165"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r w:rsidRPr="00C6642F">
              <w:rPr>
                <w:sz w:val="20"/>
              </w:rPr>
              <w:t xml:space="preserve">        Diluted </w:t>
            </w:r>
          </w:p>
        </w:tc>
        <w:tc>
          <w:tcPr>
            <w:tcW w:w="131"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r w:rsidRPr="00C6642F">
              <w:rPr>
                <w:sz w:val="20"/>
              </w:rPr>
              <w:t>$</w:t>
            </w: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5"/>
              <w:jc w:val="right"/>
              <w:rPr>
                <w:sz w:val="20"/>
              </w:rPr>
            </w:pPr>
            <w:r w:rsidRPr="00C6642F">
              <w:rPr>
                <w:sz w:val="20"/>
              </w:rPr>
              <w:t xml:space="preserve"> 0.13</w:t>
            </w:r>
          </w:p>
        </w:tc>
        <w:tc>
          <w:tcPr>
            <w:tcW w:w="68"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r w:rsidRPr="00C6642F">
              <w:rPr>
                <w:sz w:val="20"/>
              </w:rPr>
              <w:t>$</w:t>
            </w: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5"/>
              <w:jc w:val="right"/>
              <w:rPr>
                <w:sz w:val="20"/>
              </w:rPr>
            </w:pPr>
            <w:r w:rsidRPr="00C6642F">
              <w:rPr>
                <w:sz w:val="20"/>
              </w:rPr>
              <w:t xml:space="preserve"> 0.17</w:t>
            </w: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r w:rsidRPr="00C6642F">
              <w:rPr>
                <w:sz w:val="20"/>
              </w:rPr>
              <w:t>$</w:t>
            </w: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5"/>
              <w:jc w:val="right"/>
              <w:rPr>
                <w:sz w:val="20"/>
              </w:rPr>
            </w:pPr>
            <w:r w:rsidRPr="00C6642F">
              <w:rPr>
                <w:sz w:val="20"/>
              </w:rPr>
              <w:t xml:space="preserve"> 0.20</w:t>
            </w: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r w:rsidRPr="00C6642F">
              <w:rPr>
                <w:sz w:val="20"/>
              </w:rPr>
              <w:t>$</w:t>
            </w: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5"/>
              <w:jc w:val="right"/>
              <w:rPr>
                <w:sz w:val="20"/>
              </w:rPr>
            </w:pPr>
            <w:r w:rsidRPr="00C6642F">
              <w:rPr>
                <w:sz w:val="20"/>
              </w:rPr>
              <w:t xml:space="preserve"> 0.04</w:t>
            </w:r>
          </w:p>
        </w:tc>
        <w:tc>
          <w:tcPr>
            <w:tcW w:w="10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p>
        </w:tc>
        <w:tc>
          <w:tcPr>
            <w:tcW w:w="130"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rPr>
                <w:sz w:val="20"/>
              </w:rPr>
            </w:pPr>
            <w:r w:rsidRPr="00C6642F">
              <w:rPr>
                <w:sz w:val="20"/>
              </w:rPr>
              <w:t>$</w:t>
            </w:r>
          </w:p>
        </w:tc>
        <w:tc>
          <w:tcPr>
            <w:tcW w:w="362" w:type="pct"/>
            <w:tcBorders>
              <w:top w:val="nil"/>
              <w:left w:val="nil"/>
              <w:bottom w:val="nil"/>
              <w:right w:val="nil"/>
              <w:tl2br w:val="nil"/>
              <w:tr2bl w:val="nil"/>
            </w:tcBorders>
            <w:shd w:val="clear" w:color="auto" w:fill="CCEEFF"/>
            <w:vAlign w:val="bottom"/>
          </w:tcPr>
          <w:p w:rsidR="0018024C" w:rsidRPr="00C6642F" w:rsidRDefault="0018024C" w:rsidP="0018024C">
            <w:pPr>
              <w:keepNext/>
              <w:spacing w:before="1" w:after="1"/>
              <w:ind w:right="65"/>
              <w:jc w:val="right"/>
              <w:rPr>
                <w:sz w:val="20"/>
              </w:rPr>
            </w:pPr>
            <w:r w:rsidRPr="00C6642F">
              <w:rPr>
                <w:sz w:val="20"/>
              </w:rPr>
              <w:t xml:space="preserve"> 0.54</w:t>
            </w:r>
          </w:p>
        </w:tc>
      </w:tr>
    </w:tbl>
    <w:p w:rsidR="00802321" w:rsidRPr="00C6642F" w:rsidRDefault="00802321" w:rsidP="00802321">
      <w:pPr>
        <w:pStyle w:val="rfn"/>
        <w:keepNext/>
        <w:pBdr>
          <w:bottom w:val="single" w:sz="4" w:space="1" w:color="auto"/>
        </w:pBdr>
      </w:pPr>
      <w:r w:rsidRPr="00C6642F">
        <w:t> </w:t>
      </w:r>
    </w:p>
    <w:p w:rsidR="000121CD" w:rsidRDefault="00590862" w:rsidP="00802321">
      <w:pPr>
        <w:pStyle w:val="NormalWeb"/>
        <w:keepNext/>
        <w:numPr>
          <w:ilvl w:val="0"/>
          <w:numId w:val="36"/>
        </w:numPr>
        <w:spacing w:before="0" w:beforeAutospacing="0" w:after="0" w:afterAutospacing="0"/>
        <w:ind w:left="490" w:hanging="490"/>
        <w:rPr>
          <w:sz w:val="20"/>
          <w:szCs w:val="20"/>
        </w:rPr>
      </w:pPr>
      <w:r w:rsidRPr="00C6642F">
        <w:rPr>
          <w:sz w:val="20"/>
          <w:szCs w:val="20"/>
        </w:rPr>
        <w:t xml:space="preserve">Earnings per share does not add across due to rounding and </w:t>
      </w:r>
      <w:r w:rsidR="00755004" w:rsidRPr="00C6642F">
        <w:rPr>
          <w:sz w:val="20"/>
          <w:szCs w:val="20"/>
        </w:rPr>
        <w:t>equity</w:t>
      </w:r>
      <w:r w:rsidR="00A93F7C" w:rsidRPr="00C6642F">
        <w:rPr>
          <w:sz w:val="20"/>
          <w:szCs w:val="20"/>
        </w:rPr>
        <w:t>-</w:t>
      </w:r>
      <w:r w:rsidR="00755004" w:rsidRPr="00C6642F">
        <w:rPr>
          <w:sz w:val="20"/>
          <w:szCs w:val="20"/>
        </w:rPr>
        <w:t xml:space="preserve">related </w:t>
      </w:r>
      <w:r w:rsidRPr="00C6642F">
        <w:rPr>
          <w:sz w:val="20"/>
          <w:szCs w:val="20"/>
        </w:rPr>
        <w:t xml:space="preserve">transactions resulting in differing weighted average shares outstanding on a quarterly basis. </w:t>
      </w:r>
    </w:p>
    <w:p w:rsidR="000121CD" w:rsidRDefault="000121CD">
      <w:pPr>
        <w:pStyle w:val="NormalWeb"/>
        <w:spacing w:before="0" w:beforeAutospacing="0" w:after="0" w:afterAutospacing="0"/>
        <w:rPr>
          <w:sz w:val="20"/>
        </w:rPr>
      </w:pPr>
    </w:p>
    <w:p w:rsidR="0057180A" w:rsidRDefault="0057180A">
      <w:pPr>
        <w:pStyle w:val="NormalWeb"/>
        <w:spacing w:before="0" w:beforeAutospacing="0" w:after="0" w:afterAutospacing="0"/>
        <w:rPr>
          <w:sz w:val="20"/>
          <w:szCs w:val="20"/>
        </w:rPr>
        <w:sectPr w:rsidR="0057180A">
          <w:headerReference w:type="default" r:id="rId60"/>
          <w:footerReference w:type="default" r:id="rId61"/>
          <w:pgSz w:w="12240" w:h="15840" w:code="1"/>
          <w:pgMar w:top="432" w:right="720" w:bottom="446" w:left="720" w:header="288" w:footer="288" w:gutter="0"/>
          <w:pgNumType w:start="1"/>
          <w:cols w:space="720"/>
          <w:docGrid w:linePitch="326"/>
        </w:sectPr>
      </w:pPr>
    </w:p>
    <w:p w:rsidR="0057180A" w:rsidRPr="0025052B" w:rsidRDefault="0057180A" w:rsidP="0057180A">
      <w:pPr>
        <w:pStyle w:val="NormalWeb"/>
        <w:shd w:val="clear" w:color="auto" w:fill="FFFFFF"/>
        <w:spacing w:before="0" w:beforeAutospacing="0" w:after="0" w:afterAutospacing="0" w:line="240" w:lineRule="atLeast"/>
        <w:jc w:val="center"/>
        <w:rPr>
          <w:b/>
          <w:bCs/>
          <w:color w:val="000000"/>
          <w:sz w:val="22"/>
          <w:szCs w:val="22"/>
        </w:rPr>
      </w:pPr>
      <w:r w:rsidRPr="0025052B">
        <w:rPr>
          <w:b/>
          <w:bCs/>
          <w:color w:val="000000"/>
          <w:sz w:val="22"/>
          <w:szCs w:val="22"/>
        </w:rPr>
        <w:t>DESCRIPTION OF THE REGISTRANT’S SECURITIES</w:t>
      </w:r>
    </w:p>
    <w:p w:rsidR="0057180A" w:rsidRPr="0025052B" w:rsidRDefault="0057180A" w:rsidP="0057180A">
      <w:pPr>
        <w:pStyle w:val="NormalWeb"/>
        <w:shd w:val="clear" w:color="auto" w:fill="FFFFFF"/>
        <w:spacing w:before="0" w:beforeAutospacing="0" w:after="0" w:afterAutospacing="0" w:line="240" w:lineRule="atLeast"/>
        <w:jc w:val="center"/>
        <w:rPr>
          <w:b/>
          <w:bCs/>
          <w:color w:val="000000"/>
          <w:sz w:val="22"/>
          <w:szCs w:val="22"/>
        </w:rPr>
      </w:pPr>
      <w:r w:rsidRPr="0025052B">
        <w:rPr>
          <w:b/>
          <w:bCs/>
          <w:color w:val="000000"/>
          <w:sz w:val="22"/>
          <w:szCs w:val="22"/>
        </w:rPr>
        <w:t>REGISTERED PURSUANT TO SECTION 12 OF THE</w:t>
      </w:r>
    </w:p>
    <w:p w:rsidR="0057180A" w:rsidRPr="0025052B" w:rsidRDefault="0057180A" w:rsidP="0057180A">
      <w:pPr>
        <w:pStyle w:val="NormalWeb"/>
        <w:shd w:val="clear" w:color="auto" w:fill="FFFFFF"/>
        <w:spacing w:before="0" w:beforeAutospacing="0" w:after="0" w:afterAutospacing="0" w:line="240" w:lineRule="atLeast"/>
        <w:jc w:val="center"/>
        <w:rPr>
          <w:color w:val="000000"/>
          <w:sz w:val="22"/>
          <w:szCs w:val="22"/>
        </w:rPr>
      </w:pPr>
      <w:r w:rsidRPr="0025052B">
        <w:rPr>
          <w:b/>
          <w:bCs/>
          <w:color w:val="000000"/>
          <w:sz w:val="22"/>
          <w:szCs w:val="22"/>
        </w:rPr>
        <w:t>SECURITIES EXCHANGE ACT OF 1934</w:t>
      </w:r>
    </w:p>
    <w:p w:rsidR="0057180A" w:rsidRPr="0025052B" w:rsidRDefault="0057180A" w:rsidP="0057180A">
      <w:pPr>
        <w:pStyle w:val="NormalWeb"/>
        <w:shd w:val="clear" w:color="auto" w:fill="FFFFFF"/>
        <w:spacing w:before="0" w:beforeAutospacing="0" w:after="0" w:afterAutospacing="0" w:line="240" w:lineRule="atLeast"/>
        <w:rPr>
          <w:color w:val="000000"/>
          <w:sz w:val="22"/>
          <w:szCs w:val="22"/>
        </w:rPr>
      </w:pPr>
      <w:r w:rsidRPr="0025052B">
        <w:rPr>
          <w:color w:val="000000"/>
          <w:sz w:val="22"/>
          <w:szCs w:val="22"/>
        </w:rPr>
        <w:t> </w:t>
      </w:r>
    </w:p>
    <w:p w:rsidR="0057180A" w:rsidRPr="0025052B" w:rsidRDefault="0057180A" w:rsidP="0057180A">
      <w:pPr>
        <w:pStyle w:val="NormalWeb"/>
        <w:shd w:val="clear" w:color="auto" w:fill="FFFFFF"/>
        <w:spacing w:before="0" w:beforeAutospacing="0" w:after="0" w:afterAutospacing="0" w:line="240" w:lineRule="atLeast"/>
        <w:rPr>
          <w:color w:val="000000"/>
          <w:sz w:val="22"/>
          <w:szCs w:val="22"/>
        </w:rPr>
      </w:pPr>
    </w:p>
    <w:p w:rsidR="0057180A" w:rsidRPr="0025052B" w:rsidRDefault="0057180A" w:rsidP="0057180A">
      <w:pPr>
        <w:pStyle w:val="NormalWeb"/>
        <w:shd w:val="clear" w:color="auto" w:fill="FFFFFF"/>
        <w:spacing w:before="0" w:beforeAutospacing="0" w:after="0" w:afterAutospacing="0" w:line="240" w:lineRule="atLeast"/>
        <w:rPr>
          <w:color w:val="000000"/>
          <w:sz w:val="22"/>
          <w:szCs w:val="22"/>
        </w:rPr>
      </w:pPr>
      <w:r>
        <w:rPr>
          <w:color w:val="000000"/>
          <w:sz w:val="22"/>
          <w:szCs w:val="22"/>
        </w:rPr>
        <w:t>As of February 7</w:t>
      </w:r>
      <w:r w:rsidRPr="0025052B">
        <w:rPr>
          <w:color w:val="000000"/>
          <w:sz w:val="22"/>
          <w:szCs w:val="22"/>
        </w:rPr>
        <w:t>, 2020, MRC Global Inc. (“MRC</w:t>
      </w:r>
      <w:r>
        <w:rPr>
          <w:color w:val="000000"/>
          <w:sz w:val="22"/>
          <w:szCs w:val="22"/>
        </w:rPr>
        <w:t xml:space="preserve"> Global</w:t>
      </w:r>
      <w:r w:rsidRPr="0025052B">
        <w:rPr>
          <w:color w:val="000000"/>
          <w:sz w:val="22"/>
          <w:szCs w:val="22"/>
        </w:rPr>
        <w:t xml:space="preserve">”, the “Company”,” “we,” “us,” and “our”) has </w:t>
      </w:r>
      <w:r>
        <w:rPr>
          <w:color w:val="000000"/>
          <w:sz w:val="22"/>
          <w:szCs w:val="22"/>
        </w:rPr>
        <w:t xml:space="preserve">81,408,974 </w:t>
      </w:r>
      <w:r w:rsidRPr="0025052B">
        <w:rPr>
          <w:color w:val="000000"/>
          <w:sz w:val="22"/>
          <w:szCs w:val="22"/>
        </w:rPr>
        <w:t xml:space="preserve">shares of common stock, $0.01 par value per share (“Common Stock”) registered under Section 12 of the Securities Exchange Act of 1934, as amended (the “Exchange Act”). </w:t>
      </w:r>
    </w:p>
    <w:p w:rsidR="0057180A" w:rsidRPr="0025052B" w:rsidRDefault="0057180A" w:rsidP="0057180A">
      <w:pPr>
        <w:pStyle w:val="NormalWeb"/>
        <w:spacing w:before="0" w:beforeAutospacing="0" w:after="0" w:afterAutospacing="0"/>
        <w:rPr>
          <w:color w:val="000000"/>
          <w:sz w:val="22"/>
          <w:szCs w:val="22"/>
        </w:rPr>
      </w:pPr>
    </w:p>
    <w:p w:rsidR="0057180A" w:rsidRPr="0025052B" w:rsidRDefault="0057180A" w:rsidP="0057180A">
      <w:pPr>
        <w:pStyle w:val="NormalWeb"/>
        <w:spacing w:before="0" w:beforeAutospacing="0" w:after="0" w:afterAutospacing="0"/>
        <w:jc w:val="center"/>
        <w:rPr>
          <w:color w:val="000000"/>
          <w:sz w:val="22"/>
          <w:szCs w:val="22"/>
        </w:rPr>
      </w:pPr>
      <w:r w:rsidRPr="0025052B">
        <w:rPr>
          <w:b/>
          <w:bCs/>
          <w:color w:val="000000"/>
          <w:sz w:val="22"/>
          <w:szCs w:val="22"/>
        </w:rPr>
        <w:t>Description of Common Stock</w:t>
      </w:r>
    </w:p>
    <w:p w:rsidR="0057180A" w:rsidRPr="0025052B" w:rsidRDefault="0057180A" w:rsidP="0057180A">
      <w:pPr>
        <w:pStyle w:val="NormalWeb"/>
        <w:spacing w:before="0" w:beforeAutospacing="0" w:after="0" w:afterAutospacing="0"/>
        <w:rPr>
          <w:color w:val="000000"/>
          <w:sz w:val="22"/>
          <w:szCs w:val="22"/>
        </w:rPr>
      </w:pPr>
    </w:p>
    <w:p w:rsidR="0057180A" w:rsidRPr="0025052B" w:rsidRDefault="0057180A" w:rsidP="0057180A">
      <w:pPr>
        <w:pStyle w:val="NormalWeb"/>
        <w:spacing w:before="0" w:beforeAutospacing="0" w:after="0" w:afterAutospacing="0"/>
        <w:rPr>
          <w:color w:val="000000"/>
          <w:sz w:val="22"/>
          <w:szCs w:val="22"/>
        </w:rPr>
      </w:pPr>
      <w:r w:rsidRPr="0025052B">
        <w:rPr>
          <w:color w:val="000000"/>
          <w:sz w:val="22"/>
          <w:szCs w:val="22"/>
        </w:rPr>
        <w:t>The following description of our Common Stock is a summary and does not purport to be complete. It is subject to and qualified in its entirety by reference to our Amended and Restated Certificate of Incorporation (the “Certificate of Incorporation”) and our Amended and Restated Bylaws (“Bylaws”), each of which is incorporated by reference as an exhibit to the Annual Report on Form 10-K</w:t>
      </w:r>
      <w:r w:rsidRPr="0025052B">
        <w:rPr>
          <w:sz w:val="22"/>
          <w:szCs w:val="22"/>
        </w:rPr>
        <w:t xml:space="preserve"> </w:t>
      </w:r>
      <w:r w:rsidRPr="0025052B">
        <w:rPr>
          <w:color w:val="000000"/>
          <w:sz w:val="22"/>
          <w:szCs w:val="22"/>
        </w:rPr>
        <w:t>of which this Exhibit 4.1 is a part, and certain applicable provisions of the General Corporation Law of the State of Delaware (</w:t>
      </w:r>
      <w:r>
        <w:rPr>
          <w:color w:val="000000"/>
          <w:sz w:val="22"/>
          <w:szCs w:val="22"/>
        </w:rPr>
        <w:t xml:space="preserve">the </w:t>
      </w:r>
      <w:r w:rsidRPr="0025052B">
        <w:rPr>
          <w:color w:val="000000"/>
          <w:sz w:val="22"/>
          <w:szCs w:val="22"/>
        </w:rPr>
        <w:t>“DGCL”).</w:t>
      </w:r>
    </w:p>
    <w:p w:rsidR="0057180A" w:rsidRPr="0025052B" w:rsidRDefault="0057180A" w:rsidP="0057180A">
      <w:pPr>
        <w:pStyle w:val="NormalWeb"/>
        <w:spacing w:before="0" w:beforeAutospacing="0" w:after="0" w:afterAutospacing="0"/>
        <w:rPr>
          <w:color w:val="000000"/>
          <w:sz w:val="22"/>
          <w:szCs w:val="22"/>
        </w:rPr>
      </w:pPr>
      <w:r w:rsidRPr="0025052B">
        <w:rPr>
          <w:rFonts w:ascii="Tahoma" w:hAnsi="Tahoma" w:cs="Tahoma"/>
          <w:b/>
          <w:bCs/>
          <w:color w:val="000000"/>
          <w:sz w:val="22"/>
          <w:szCs w:val="22"/>
        </w:rPr>
        <w:t>﻿</w:t>
      </w:r>
    </w:p>
    <w:p w:rsidR="0057180A" w:rsidRPr="0025052B" w:rsidRDefault="0057180A" w:rsidP="0057180A">
      <w:pPr>
        <w:pStyle w:val="NormalWeb"/>
        <w:spacing w:before="0" w:beforeAutospacing="0" w:after="0" w:afterAutospacing="0"/>
        <w:rPr>
          <w:b/>
          <w:color w:val="000000"/>
          <w:sz w:val="22"/>
          <w:szCs w:val="22"/>
        </w:rPr>
      </w:pPr>
      <w:r w:rsidRPr="0025052B">
        <w:rPr>
          <w:b/>
          <w:bCs/>
          <w:color w:val="000000"/>
          <w:sz w:val="22"/>
          <w:szCs w:val="22"/>
        </w:rPr>
        <w:t>Authorized Capital Stock</w:t>
      </w:r>
    </w:p>
    <w:p w:rsidR="0057180A" w:rsidRPr="0025052B" w:rsidRDefault="0057180A" w:rsidP="0057180A">
      <w:pPr>
        <w:pStyle w:val="NormalWeb"/>
        <w:spacing w:before="0" w:beforeAutospacing="0" w:after="0" w:afterAutospacing="0"/>
        <w:ind w:firstLine="840"/>
        <w:rPr>
          <w:color w:val="000000"/>
          <w:sz w:val="22"/>
          <w:szCs w:val="22"/>
        </w:rPr>
      </w:pPr>
    </w:p>
    <w:p w:rsidR="0057180A" w:rsidRPr="0025052B" w:rsidRDefault="0057180A" w:rsidP="0057180A">
      <w:pPr>
        <w:pStyle w:val="NormalWeb"/>
        <w:spacing w:before="0" w:beforeAutospacing="0" w:after="0" w:afterAutospacing="0"/>
        <w:rPr>
          <w:color w:val="000000"/>
          <w:sz w:val="22"/>
          <w:szCs w:val="22"/>
        </w:rPr>
      </w:pPr>
      <w:r w:rsidRPr="0025052B">
        <w:rPr>
          <w:color w:val="000000"/>
          <w:sz w:val="22"/>
          <w:szCs w:val="22"/>
        </w:rPr>
        <w:t>Our authorized capital stock consist of 500,000,000 shares of Common Stock and 100,000,000 shares of preferred stock, $0.01 par value per share (“Preferred Stock”). </w:t>
      </w:r>
    </w:p>
    <w:p w:rsidR="0057180A" w:rsidRPr="0025052B" w:rsidRDefault="0057180A" w:rsidP="0057180A">
      <w:pPr>
        <w:pStyle w:val="NormalWeb"/>
        <w:spacing w:before="0" w:beforeAutospacing="0" w:after="0" w:afterAutospacing="0"/>
        <w:ind w:firstLine="840"/>
        <w:rPr>
          <w:color w:val="000000"/>
          <w:sz w:val="22"/>
          <w:szCs w:val="22"/>
        </w:rPr>
      </w:pPr>
    </w:p>
    <w:p w:rsidR="0057180A" w:rsidRPr="0025052B" w:rsidRDefault="0057180A" w:rsidP="0057180A">
      <w:pPr>
        <w:pStyle w:val="NormalWeb"/>
        <w:spacing w:before="0" w:beforeAutospacing="0" w:after="0" w:afterAutospacing="0"/>
        <w:rPr>
          <w:b/>
          <w:bCs/>
          <w:color w:val="000000"/>
          <w:sz w:val="22"/>
          <w:szCs w:val="22"/>
        </w:rPr>
      </w:pPr>
      <w:r w:rsidRPr="0025052B">
        <w:rPr>
          <w:b/>
          <w:bCs/>
          <w:color w:val="000000"/>
          <w:sz w:val="22"/>
          <w:szCs w:val="22"/>
        </w:rPr>
        <w:t xml:space="preserve">Common Stock </w:t>
      </w:r>
    </w:p>
    <w:p w:rsidR="0057180A" w:rsidRPr="0025052B" w:rsidRDefault="0057180A" w:rsidP="0057180A">
      <w:pPr>
        <w:pStyle w:val="NormalWeb"/>
        <w:spacing w:before="0" w:beforeAutospacing="0" w:after="0" w:afterAutospacing="0"/>
        <w:rPr>
          <w:b/>
          <w:bCs/>
          <w:color w:val="000000"/>
          <w:sz w:val="22"/>
          <w:szCs w:val="22"/>
        </w:rPr>
      </w:pPr>
    </w:p>
    <w:p w:rsidR="0057180A" w:rsidRPr="0025052B" w:rsidRDefault="0057180A" w:rsidP="0057180A">
      <w:pPr>
        <w:pStyle w:val="NormalWeb"/>
        <w:spacing w:before="0" w:beforeAutospacing="0" w:after="0" w:afterAutospacing="0"/>
        <w:rPr>
          <w:i/>
          <w:color w:val="000000"/>
          <w:sz w:val="22"/>
          <w:szCs w:val="22"/>
        </w:rPr>
      </w:pPr>
      <w:r w:rsidRPr="0025052B">
        <w:rPr>
          <w:bCs/>
          <w:i/>
          <w:color w:val="000000"/>
          <w:sz w:val="22"/>
          <w:szCs w:val="22"/>
        </w:rPr>
        <w:tab/>
        <w:t>Voting Rights</w:t>
      </w:r>
    </w:p>
    <w:p w:rsidR="0057180A" w:rsidRPr="0025052B" w:rsidRDefault="0057180A" w:rsidP="0057180A">
      <w:pPr>
        <w:pStyle w:val="NormalWeb"/>
        <w:spacing w:before="0" w:beforeAutospacing="0" w:after="0" w:afterAutospacing="0"/>
        <w:rPr>
          <w:i/>
          <w:color w:val="000000"/>
          <w:sz w:val="22"/>
          <w:szCs w:val="22"/>
        </w:rPr>
      </w:pPr>
    </w:p>
    <w:p w:rsidR="0057180A" w:rsidRPr="0025052B" w:rsidRDefault="0057180A" w:rsidP="0057180A">
      <w:pPr>
        <w:pStyle w:val="NormalWeb"/>
        <w:spacing w:before="0" w:beforeAutospacing="0" w:after="0" w:afterAutospacing="0"/>
        <w:rPr>
          <w:color w:val="000000"/>
          <w:sz w:val="22"/>
          <w:szCs w:val="22"/>
        </w:rPr>
      </w:pPr>
      <w:r w:rsidRPr="0025052B">
        <w:rPr>
          <w:color w:val="000000"/>
          <w:sz w:val="22"/>
          <w:szCs w:val="22"/>
        </w:rPr>
        <w:t xml:space="preserve">Holders of Common Stock are entitled to one vote per share on all matters </w:t>
      </w:r>
      <w:r>
        <w:rPr>
          <w:color w:val="000000"/>
          <w:sz w:val="22"/>
          <w:szCs w:val="22"/>
        </w:rPr>
        <w:t xml:space="preserve">upon which </w:t>
      </w:r>
      <w:r w:rsidRPr="0025052B">
        <w:rPr>
          <w:color w:val="000000"/>
          <w:sz w:val="22"/>
          <w:szCs w:val="22"/>
        </w:rPr>
        <w:t>the shareholders</w:t>
      </w:r>
      <w:r>
        <w:rPr>
          <w:color w:val="000000"/>
          <w:sz w:val="22"/>
          <w:szCs w:val="22"/>
        </w:rPr>
        <w:t xml:space="preserve"> vote</w:t>
      </w:r>
      <w:r w:rsidRPr="0025052B">
        <w:rPr>
          <w:color w:val="000000"/>
          <w:sz w:val="22"/>
          <w:szCs w:val="22"/>
        </w:rPr>
        <w:t xml:space="preserve">, including the election of directors. Our Common Stock does not have cumulative voting rights. </w:t>
      </w:r>
    </w:p>
    <w:p w:rsidR="0057180A" w:rsidRPr="0025052B" w:rsidRDefault="0057180A" w:rsidP="0057180A">
      <w:pPr>
        <w:pStyle w:val="NormalWeb"/>
        <w:spacing w:before="0" w:beforeAutospacing="0" w:after="0" w:afterAutospacing="0"/>
        <w:rPr>
          <w:color w:val="000000"/>
          <w:sz w:val="22"/>
          <w:szCs w:val="22"/>
        </w:rPr>
      </w:pPr>
    </w:p>
    <w:p w:rsidR="0057180A" w:rsidRPr="0025052B" w:rsidRDefault="0057180A" w:rsidP="0057180A">
      <w:pPr>
        <w:pStyle w:val="NormalWeb"/>
        <w:spacing w:before="0" w:beforeAutospacing="0" w:after="0" w:afterAutospacing="0"/>
        <w:rPr>
          <w:i/>
          <w:color w:val="000000"/>
          <w:sz w:val="22"/>
          <w:szCs w:val="22"/>
        </w:rPr>
      </w:pPr>
      <w:r w:rsidRPr="0025052B">
        <w:rPr>
          <w:color w:val="000000"/>
          <w:sz w:val="22"/>
          <w:szCs w:val="22"/>
        </w:rPr>
        <w:t>In general, any action requiring the approval of our stockholders may be authorized by the vote of the holders of a majority of the voting power of our issued and outstanding stock entitled to vote, present and voting, in person or represented by proxy. Subject to the rights of the holders of any series of Preferred Stock to elect additional directors under specific circumstances, directors shall be elected by a plurality of the votes cast at a meeting of stockholders.</w:t>
      </w:r>
    </w:p>
    <w:p w:rsidR="0057180A" w:rsidRPr="0025052B" w:rsidRDefault="0057180A" w:rsidP="0057180A">
      <w:pPr>
        <w:pStyle w:val="NormalWeb"/>
        <w:spacing w:before="0" w:beforeAutospacing="0" w:after="0" w:afterAutospacing="0"/>
        <w:ind w:firstLine="840"/>
        <w:rPr>
          <w:color w:val="000000"/>
          <w:sz w:val="22"/>
          <w:szCs w:val="22"/>
        </w:rPr>
      </w:pPr>
      <w:r w:rsidRPr="0025052B">
        <w:rPr>
          <w:rFonts w:ascii="Tahoma" w:hAnsi="Tahoma" w:cs="Tahoma"/>
          <w:color w:val="000000"/>
          <w:sz w:val="22"/>
          <w:szCs w:val="22"/>
        </w:rPr>
        <w:t>﻿</w:t>
      </w:r>
    </w:p>
    <w:p w:rsidR="0057180A" w:rsidRPr="0025052B" w:rsidRDefault="0057180A" w:rsidP="0057180A">
      <w:pPr>
        <w:pStyle w:val="NormalWeb"/>
        <w:spacing w:before="0" w:beforeAutospacing="0" w:after="0" w:afterAutospacing="0"/>
        <w:rPr>
          <w:bCs/>
          <w:i/>
          <w:color w:val="000000"/>
          <w:sz w:val="22"/>
          <w:szCs w:val="22"/>
        </w:rPr>
      </w:pPr>
      <w:r w:rsidRPr="0025052B">
        <w:rPr>
          <w:bCs/>
          <w:i/>
          <w:color w:val="000000"/>
          <w:sz w:val="22"/>
          <w:szCs w:val="22"/>
        </w:rPr>
        <w:tab/>
        <w:t>Dividend Rights</w:t>
      </w:r>
    </w:p>
    <w:p w:rsidR="0057180A" w:rsidRPr="0025052B" w:rsidRDefault="0057180A" w:rsidP="0057180A">
      <w:pPr>
        <w:pStyle w:val="NormalWeb"/>
        <w:spacing w:before="0" w:beforeAutospacing="0" w:after="0" w:afterAutospacing="0"/>
        <w:rPr>
          <w:color w:val="000000"/>
          <w:sz w:val="22"/>
          <w:szCs w:val="22"/>
        </w:rPr>
      </w:pPr>
    </w:p>
    <w:p w:rsidR="0057180A" w:rsidRPr="0025052B" w:rsidRDefault="0057180A" w:rsidP="0057180A">
      <w:pPr>
        <w:pStyle w:val="NormalWeb"/>
        <w:spacing w:before="0" w:beforeAutospacing="0" w:after="0" w:afterAutospacing="0"/>
        <w:rPr>
          <w:i/>
          <w:color w:val="000000"/>
          <w:sz w:val="22"/>
          <w:szCs w:val="22"/>
        </w:rPr>
      </w:pPr>
      <w:r w:rsidRPr="0025052B">
        <w:rPr>
          <w:color w:val="000000"/>
          <w:sz w:val="22"/>
          <w:szCs w:val="22"/>
        </w:rPr>
        <w:t>Subject to the rights of holders of any then outstanding shares of our Preferred Stock, our common stockholders are entitled to receive dividends when, as and if the Board of Directors</w:t>
      </w:r>
      <w:r>
        <w:rPr>
          <w:color w:val="000000"/>
          <w:sz w:val="22"/>
          <w:szCs w:val="22"/>
        </w:rPr>
        <w:t xml:space="preserve"> declares</w:t>
      </w:r>
      <w:r w:rsidRPr="0025052B">
        <w:rPr>
          <w:color w:val="000000"/>
          <w:sz w:val="22"/>
          <w:szCs w:val="22"/>
        </w:rPr>
        <w:t>, payable either in cash, in property or in shares of capital stock.</w:t>
      </w:r>
    </w:p>
    <w:p w:rsidR="0057180A" w:rsidRPr="0025052B" w:rsidRDefault="0057180A" w:rsidP="0057180A">
      <w:pPr>
        <w:pStyle w:val="NormalWeb"/>
        <w:spacing w:before="0" w:beforeAutospacing="0" w:after="0" w:afterAutospacing="0"/>
        <w:ind w:firstLine="840"/>
        <w:rPr>
          <w:color w:val="000000"/>
          <w:sz w:val="22"/>
          <w:szCs w:val="22"/>
        </w:rPr>
      </w:pPr>
      <w:r w:rsidRPr="0025052B">
        <w:rPr>
          <w:rFonts w:ascii="Tahoma" w:hAnsi="Tahoma" w:cs="Tahoma"/>
          <w:color w:val="000000"/>
          <w:sz w:val="22"/>
          <w:szCs w:val="22"/>
        </w:rPr>
        <w:t>﻿</w:t>
      </w:r>
    </w:p>
    <w:p w:rsidR="0057180A" w:rsidRPr="0025052B" w:rsidRDefault="0057180A" w:rsidP="0057180A">
      <w:pPr>
        <w:pStyle w:val="NormalWeb"/>
        <w:spacing w:before="0" w:beforeAutospacing="0" w:after="0" w:afterAutospacing="0"/>
        <w:rPr>
          <w:i/>
          <w:color w:val="000000"/>
          <w:sz w:val="22"/>
          <w:szCs w:val="22"/>
        </w:rPr>
      </w:pPr>
      <w:r w:rsidRPr="0025052B">
        <w:rPr>
          <w:bCs/>
          <w:i/>
          <w:color w:val="000000"/>
          <w:sz w:val="22"/>
          <w:szCs w:val="22"/>
        </w:rPr>
        <w:tab/>
        <w:t>Liquidation Rights</w:t>
      </w:r>
    </w:p>
    <w:p w:rsidR="0057180A" w:rsidRPr="0025052B" w:rsidRDefault="0057180A" w:rsidP="0057180A">
      <w:pPr>
        <w:pStyle w:val="NormalWeb"/>
        <w:spacing w:before="0" w:beforeAutospacing="0" w:after="0" w:afterAutospacing="0"/>
        <w:ind w:firstLine="720"/>
        <w:rPr>
          <w:color w:val="000000"/>
          <w:sz w:val="22"/>
          <w:szCs w:val="22"/>
        </w:rPr>
      </w:pPr>
    </w:p>
    <w:p w:rsidR="0057180A" w:rsidRPr="0025052B" w:rsidRDefault="0057180A" w:rsidP="0057180A">
      <w:pPr>
        <w:pStyle w:val="NormalWeb"/>
        <w:spacing w:before="0" w:beforeAutospacing="0" w:after="0" w:afterAutospacing="0"/>
        <w:rPr>
          <w:color w:val="000000"/>
          <w:sz w:val="22"/>
          <w:szCs w:val="22"/>
        </w:rPr>
      </w:pPr>
      <w:r w:rsidRPr="0025052B">
        <w:rPr>
          <w:color w:val="000000"/>
          <w:sz w:val="22"/>
          <w:szCs w:val="22"/>
        </w:rPr>
        <w:t>Subject to the rights of holders of outstanding shares of Preferred Stock, if any, holders of Common Stock will share ratably in all assets legally available for distribution to our shareholders in the event of our liquidation, dissolution or winding up.</w:t>
      </w:r>
    </w:p>
    <w:p w:rsidR="0057180A" w:rsidRPr="0025052B" w:rsidRDefault="0057180A" w:rsidP="0057180A">
      <w:pPr>
        <w:pStyle w:val="NormalWeb"/>
        <w:spacing w:before="0" w:beforeAutospacing="0" w:after="0" w:afterAutospacing="0"/>
        <w:rPr>
          <w:color w:val="000000"/>
          <w:sz w:val="22"/>
          <w:szCs w:val="22"/>
        </w:rPr>
      </w:pPr>
      <w:r w:rsidRPr="0025052B">
        <w:rPr>
          <w:rFonts w:ascii="Tahoma" w:hAnsi="Tahoma" w:cs="Tahoma"/>
          <w:b/>
          <w:bCs/>
          <w:color w:val="000000"/>
          <w:sz w:val="22"/>
          <w:szCs w:val="22"/>
        </w:rPr>
        <w:t>﻿</w:t>
      </w:r>
    </w:p>
    <w:p w:rsidR="0057180A" w:rsidRPr="0025052B" w:rsidRDefault="0057180A" w:rsidP="0057180A">
      <w:pPr>
        <w:pStyle w:val="NormalWeb"/>
        <w:spacing w:before="0" w:beforeAutospacing="0" w:after="0" w:afterAutospacing="0"/>
        <w:rPr>
          <w:bCs/>
          <w:i/>
          <w:color w:val="000000"/>
          <w:sz w:val="22"/>
          <w:szCs w:val="22"/>
        </w:rPr>
      </w:pPr>
      <w:r w:rsidRPr="0025052B">
        <w:rPr>
          <w:bCs/>
          <w:i/>
          <w:color w:val="000000"/>
          <w:sz w:val="22"/>
          <w:szCs w:val="22"/>
        </w:rPr>
        <w:tab/>
      </w:r>
    </w:p>
    <w:p w:rsidR="0057180A" w:rsidRPr="0025052B" w:rsidRDefault="0057180A" w:rsidP="0057180A">
      <w:pPr>
        <w:pStyle w:val="NormalWeb"/>
        <w:spacing w:before="0" w:beforeAutospacing="0" w:after="0" w:afterAutospacing="0"/>
        <w:rPr>
          <w:bCs/>
          <w:i/>
          <w:color w:val="000000"/>
          <w:sz w:val="22"/>
          <w:szCs w:val="22"/>
        </w:rPr>
      </w:pPr>
    </w:p>
    <w:p w:rsidR="0057180A" w:rsidRPr="0025052B" w:rsidRDefault="0057180A" w:rsidP="0057180A">
      <w:pPr>
        <w:pStyle w:val="NormalWeb"/>
        <w:spacing w:before="0" w:beforeAutospacing="0" w:after="0" w:afterAutospacing="0"/>
        <w:rPr>
          <w:bCs/>
          <w:i/>
          <w:color w:val="000000"/>
          <w:sz w:val="22"/>
          <w:szCs w:val="22"/>
        </w:rPr>
      </w:pPr>
    </w:p>
    <w:p w:rsidR="0057180A" w:rsidRPr="0025052B" w:rsidRDefault="0057180A" w:rsidP="0057180A">
      <w:pPr>
        <w:pStyle w:val="NormalWeb"/>
        <w:spacing w:before="0" w:beforeAutospacing="0" w:after="0" w:afterAutospacing="0"/>
        <w:rPr>
          <w:i/>
          <w:color w:val="000000"/>
          <w:sz w:val="22"/>
          <w:szCs w:val="22"/>
        </w:rPr>
      </w:pPr>
      <w:r w:rsidRPr="0025052B">
        <w:rPr>
          <w:bCs/>
          <w:i/>
          <w:color w:val="000000"/>
          <w:sz w:val="22"/>
          <w:szCs w:val="22"/>
        </w:rPr>
        <w:tab/>
        <w:t>Other Rights and Preferences</w:t>
      </w:r>
    </w:p>
    <w:p w:rsidR="0057180A" w:rsidRPr="0025052B" w:rsidRDefault="0057180A" w:rsidP="0057180A">
      <w:pPr>
        <w:pStyle w:val="NormalWeb"/>
        <w:spacing w:before="0" w:beforeAutospacing="0" w:after="0" w:afterAutospacing="0"/>
        <w:ind w:firstLine="840"/>
        <w:rPr>
          <w:color w:val="000000"/>
          <w:sz w:val="22"/>
          <w:szCs w:val="22"/>
        </w:rPr>
      </w:pPr>
    </w:p>
    <w:p w:rsidR="0057180A" w:rsidRPr="0025052B" w:rsidRDefault="0057180A" w:rsidP="0057180A">
      <w:pPr>
        <w:pStyle w:val="NormalWeb"/>
        <w:spacing w:before="0" w:beforeAutospacing="0" w:after="0" w:afterAutospacing="0"/>
        <w:rPr>
          <w:color w:val="000000"/>
          <w:sz w:val="22"/>
          <w:szCs w:val="22"/>
        </w:rPr>
      </w:pPr>
      <w:r w:rsidRPr="0025052B">
        <w:rPr>
          <w:color w:val="000000"/>
          <w:sz w:val="22"/>
          <w:szCs w:val="22"/>
        </w:rPr>
        <w:t>Our Common Stock has no sinking fund or redemption provisions or preemptive, conversion or exchange rights.</w:t>
      </w:r>
      <w:r w:rsidRPr="0025052B">
        <w:rPr>
          <w:rFonts w:ascii="Tahoma" w:hAnsi="Tahoma" w:cs="Tahoma"/>
          <w:color w:val="000000"/>
          <w:sz w:val="22"/>
          <w:szCs w:val="22"/>
        </w:rPr>
        <w:t>﻿</w:t>
      </w:r>
    </w:p>
    <w:p w:rsidR="0057180A" w:rsidRPr="0025052B" w:rsidRDefault="0057180A" w:rsidP="0057180A">
      <w:pPr>
        <w:pStyle w:val="NormalWeb"/>
        <w:rPr>
          <w:bCs/>
          <w:i/>
          <w:color w:val="000000"/>
          <w:sz w:val="22"/>
          <w:szCs w:val="22"/>
        </w:rPr>
      </w:pPr>
      <w:r w:rsidRPr="0025052B">
        <w:rPr>
          <w:bCs/>
          <w:i/>
          <w:color w:val="000000"/>
          <w:sz w:val="22"/>
          <w:szCs w:val="22"/>
        </w:rPr>
        <w:tab/>
        <w:t xml:space="preserve">Certain Anti-Takeover Effects </w:t>
      </w:r>
    </w:p>
    <w:p w:rsidR="0057180A" w:rsidRPr="0025052B" w:rsidRDefault="0057180A" w:rsidP="0057180A">
      <w:pPr>
        <w:pStyle w:val="NormalWeb"/>
        <w:rPr>
          <w:bCs/>
          <w:color w:val="000000"/>
          <w:sz w:val="22"/>
          <w:szCs w:val="22"/>
        </w:rPr>
      </w:pPr>
      <w:r w:rsidRPr="0025052B">
        <w:rPr>
          <w:bCs/>
          <w:color w:val="000000"/>
          <w:sz w:val="22"/>
          <w:szCs w:val="22"/>
          <w:u w:val="single"/>
        </w:rPr>
        <w:t>General</w:t>
      </w:r>
      <w:r w:rsidRPr="0025052B">
        <w:rPr>
          <w:bCs/>
          <w:color w:val="000000"/>
          <w:sz w:val="22"/>
          <w:szCs w:val="22"/>
        </w:rPr>
        <w:t xml:space="preserve">. Certain provisions of our Certificate of Incorporation, our Bylaws and </w:t>
      </w:r>
      <w:r>
        <w:rPr>
          <w:bCs/>
          <w:color w:val="000000"/>
          <w:sz w:val="22"/>
          <w:szCs w:val="22"/>
        </w:rPr>
        <w:t xml:space="preserve">the </w:t>
      </w:r>
      <w:r w:rsidRPr="0025052B">
        <w:rPr>
          <w:color w:val="000000"/>
          <w:sz w:val="22"/>
          <w:szCs w:val="22"/>
        </w:rPr>
        <w:t>DGCL</w:t>
      </w:r>
      <w:r w:rsidRPr="0025052B">
        <w:rPr>
          <w:bCs/>
          <w:color w:val="000000"/>
          <w:sz w:val="22"/>
          <w:szCs w:val="22"/>
        </w:rPr>
        <w:t xml:space="preserve"> may have the effect of impeding the acquisition of control of us. These provisions are designed to reduce, or have the effect of reducing, our vulnerability to unsolicited</w:t>
      </w:r>
      <w:r>
        <w:rPr>
          <w:bCs/>
          <w:color w:val="000000"/>
          <w:sz w:val="22"/>
          <w:szCs w:val="22"/>
        </w:rPr>
        <w:t>, coercive</w:t>
      </w:r>
      <w:r w:rsidRPr="0025052B">
        <w:rPr>
          <w:bCs/>
          <w:color w:val="000000"/>
          <w:sz w:val="22"/>
          <w:szCs w:val="22"/>
        </w:rPr>
        <w:t xml:space="preserve"> takeover attempts. </w:t>
      </w:r>
    </w:p>
    <w:p w:rsidR="0057180A" w:rsidRPr="0025052B" w:rsidRDefault="0057180A" w:rsidP="0057180A">
      <w:pPr>
        <w:pStyle w:val="NormalWeb"/>
        <w:rPr>
          <w:bCs/>
          <w:color w:val="000000"/>
          <w:sz w:val="22"/>
          <w:szCs w:val="22"/>
        </w:rPr>
      </w:pPr>
      <w:r w:rsidRPr="0025052B">
        <w:rPr>
          <w:bCs/>
          <w:color w:val="000000"/>
          <w:sz w:val="22"/>
          <w:szCs w:val="22"/>
          <w:u w:val="single"/>
        </w:rPr>
        <w:t>Stockholder Action by Written Consent</w:t>
      </w:r>
      <w:r w:rsidRPr="0025052B">
        <w:rPr>
          <w:bCs/>
          <w:color w:val="000000"/>
          <w:sz w:val="22"/>
          <w:szCs w:val="22"/>
        </w:rPr>
        <w:t xml:space="preserve">. Our Certificate of Incorporation and Bylaws require that all stockholder action be taken at a duly called meeting of the stockholders and prohibit taking action by written consent of stockholders. </w:t>
      </w:r>
    </w:p>
    <w:p w:rsidR="0057180A" w:rsidRPr="0025052B" w:rsidRDefault="0057180A" w:rsidP="0057180A">
      <w:pPr>
        <w:pStyle w:val="NormalWeb"/>
        <w:spacing w:before="0" w:beforeAutospacing="0" w:after="0" w:afterAutospacing="0"/>
        <w:rPr>
          <w:bCs/>
          <w:color w:val="000000"/>
          <w:sz w:val="22"/>
          <w:szCs w:val="22"/>
        </w:rPr>
      </w:pPr>
      <w:r w:rsidRPr="0025052B">
        <w:rPr>
          <w:bCs/>
          <w:color w:val="000000"/>
          <w:sz w:val="22"/>
          <w:szCs w:val="22"/>
          <w:u w:val="single"/>
        </w:rPr>
        <w:t>Additional Authorized Shares of Capital Stock</w:t>
      </w:r>
      <w:r w:rsidRPr="0025052B">
        <w:rPr>
          <w:bCs/>
          <w:color w:val="000000"/>
          <w:sz w:val="22"/>
          <w:szCs w:val="22"/>
        </w:rPr>
        <w:t xml:space="preserve">. The additional shares of authorized </w:t>
      </w:r>
      <w:r w:rsidRPr="0025052B">
        <w:rPr>
          <w:color w:val="000000"/>
          <w:sz w:val="22"/>
          <w:szCs w:val="22"/>
        </w:rPr>
        <w:t>Common Stock</w:t>
      </w:r>
      <w:r w:rsidRPr="0025052B">
        <w:rPr>
          <w:bCs/>
          <w:color w:val="000000"/>
          <w:sz w:val="22"/>
          <w:szCs w:val="22"/>
        </w:rPr>
        <w:t xml:space="preserve"> and </w:t>
      </w:r>
      <w:r w:rsidRPr="0025052B">
        <w:rPr>
          <w:color w:val="000000"/>
          <w:sz w:val="22"/>
          <w:szCs w:val="22"/>
        </w:rPr>
        <w:t>Preferred Stock</w:t>
      </w:r>
      <w:r w:rsidRPr="0025052B">
        <w:rPr>
          <w:bCs/>
          <w:color w:val="000000"/>
          <w:sz w:val="22"/>
          <w:szCs w:val="22"/>
        </w:rPr>
        <w:t xml:space="preserve"> available for issuance under our Certificate of Incorporation could be issued at such times, under such circumstances and with such terms and conditions as to impede a change in control.</w:t>
      </w:r>
    </w:p>
    <w:p w:rsidR="0057180A" w:rsidRPr="0025052B" w:rsidRDefault="0057180A" w:rsidP="0057180A">
      <w:pPr>
        <w:pStyle w:val="NormalWeb"/>
        <w:rPr>
          <w:color w:val="000000"/>
          <w:sz w:val="22"/>
          <w:szCs w:val="22"/>
        </w:rPr>
      </w:pPr>
      <w:r w:rsidRPr="0025052B">
        <w:rPr>
          <w:color w:val="000000"/>
          <w:sz w:val="22"/>
          <w:szCs w:val="22"/>
          <w:u w:val="single"/>
        </w:rPr>
        <w:t>Business Combinations with Interested Stockholders.</w:t>
      </w:r>
      <w:r w:rsidRPr="0025052B">
        <w:rPr>
          <w:color w:val="000000"/>
          <w:sz w:val="22"/>
          <w:szCs w:val="22"/>
        </w:rPr>
        <w:t xml:space="preserve">  We have elected in our Certificate of Incorporation not to be subject to Section 203 of </w:t>
      </w:r>
      <w:r>
        <w:rPr>
          <w:color w:val="000000"/>
          <w:sz w:val="22"/>
          <w:szCs w:val="22"/>
        </w:rPr>
        <w:t xml:space="preserve">the </w:t>
      </w:r>
      <w:r w:rsidRPr="0025052B">
        <w:rPr>
          <w:color w:val="000000"/>
          <w:sz w:val="22"/>
          <w:szCs w:val="22"/>
        </w:rPr>
        <w:t>DGCL, an antitakeover law. In general, Section 203 prohibits a Delaware corporation</w:t>
      </w:r>
      <w:r>
        <w:rPr>
          <w:color w:val="000000"/>
          <w:sz w:val="22"/>
          <w:szCs w:val="22"/>
        </w:rPr>
        <w:t>, the shares of which are publicly held,</w:t>
      </w:r>
      <w:r w:rsidRPr="0025052B">
        <w:rPr>
          <w:color w:val="000000"/>
          <w:sz w:val="22"/>
          <w:szCs w:val="22"/>
        </w:rPr>
        <w:t xml:space="preserve"> from engaging in a business combination, such as a merger, with a person or group owning 15% or more of the corporation’s voting stock for a period of three years following the date the person became an interested stockholder, unless (with certain exceptions) the business combination or the transaction in which the person became an interested stockholder is approved in a prescribed manner. Accordingly, we are not subject to any antitakeover effects of Section 203. However, our Certificate of Incorporation contains provisions that have the same effect as Section 203.</w:t>
      </w:r>
    </w:p>
    <w:p w:rsidR="0057180A" w:rsidRPr="0025052B" w:rsidRDefault="0057180A" w:rsidP="0057180A">
      <w:pPr>
        <w:pStyle w:val="NormalWeb"/>
        <w:rPr>
          <w:color w:val="000000"/>
          <w:sz w:val="22"/>
          <w:szCs w:val="22"/>
        </w:rPr>
      </w:pPr>
      <w:r w:rsidRPr="0025052B">
        <w:rPr>
          <w:color w:val="000000"/>
          <w:sz w:val="22"/>
          <w:szCs w:val="22"/>
          <w:u w:val="single"/>
        </w:rPr>
        <w:t>Removal of Directors; Vacancies.</w:t>
      </w:r>
      <w:r w:rsidRPr="0025052B">
        <w:rPr>
          <w:color w:val="000000"/>
          <w:sz w:val="22"/>
          <w:szCs w:val="22"/>
        </w:rPr>
        <w:t xml:space="preserve">  Subject to the rights of holders of our Series A Preferred Stock (as defined below), our Certificate of Incorporation and Bylaws provide that any director or our entire Board of Directors may be removed with or without cause by the a</w:t>
      </w:r>
      <w:r>
        <w:rPr>
          <w:color w:val="000000"/>
          <w:sz w:val="22"/>
          <w:szCs w:val="22"/>
        </w:rPr>
        <w:t>ffirmative vote of at least 75</w:t>
      </w:r>
      <w:r w:rsidRPr="0025052B">
        <w:rPr>
          <w:color w:val="000000"/>
          <w:sz w:val="22"/>
          <w:szCs w:val="22"/>
        </w:rPr>
        <w:t xml:space="preserve">% of all shares then entitled to vote at an election of directors. Subject to the rights of holders of our Series A Preferred Stock (as defined below), our Certificate of Incorporation and Bylaws also provide that any vacancies on our Board of Directors will be filed by the affirmative vote of a majority of our Board of Directors then in office, even if less than a quorum, or by a sole remaining director. </w:t>
      </w:r>
    </w:p>
    <w:p w:rsidR="0057180A" w:rsidRPr="0025052B" w:rsidRDefault="0057180A" w:rsidP="0057180A">
      <w:pPr>
        <w:pStyle w:val="NormalWeb"/>
        <w:rPr>
          <w:color w:val="000000"/>
          <w:sz w:val="22"/>
          <w:szCs w:val="22"/>
        </w:rPr>
      </w:pPr>
      <w:r w:rsidRPr="0025052B">
        <w:rPr>
          <w:color w:val="000000"/>
          <w:sz w:val="22"/>
          <w:szCs w:val="22"/>
          <w:u w:val="single"/>
        </w:rPr>
        <w:t>Advance Notice Provisions for Stockholders.</w:t>
      </w:r>
      <w:r w:rsidRPr="0025052B">
        <w:rPr>
          <w:color w:val="000000"/>
          <w:sz w:val="22"/>
          <w:szCs w:val="22"/>
        </w:rPr>
        <w:t xml:space="preserve">  To nominate directors to our Board of Directors or bring other business before an annual meeting of our stockholders, a stockholder’s notice must be delivered to the Secretary of the Company at the principal executive offices of the Company not earlier than 120 calendar days and not later than 90 calendar days before the first anniversary of the previous year’s annual meeting of stockholders, subject to certain exceptions contained in our Bylaws. If the date of the applicable annual meeting is more than 30 days before or more than 30 days after the anniversary date of the meeting, notice by a stockholder to be timely must be delivered not earlier than 120 calendar days before the date of the annual meeting and not later than 90 calendar days before the date of the annual meeting or, if the first public announcement of the date of the annual meeting is less than 100 days prior to the date of the annual meeting, the tenth day following the date on which public announcement of the date of the meeting is first made by the Company. The adjournment or postponement of an annual meeting or the announcement shall not commence a new time period for the giving of a stockholder’s notice as described above.</w:t>
      </w:r>
    </w:p>
    <w:p w:rsidR="0057180A" w:rsidRPr="0025052B" w:rsidRDefault="0057180A" w:rsidP="0057180A">
      <w:pPr>
        <w:pStyle w:val="NormalWeb"/>
        <w:rPr>
          <w:color w:val="000000"/>
          <w:sz w:val="22"/>
          <w:szCs w:val="22"/>
        </w:rPr>
      </w:pPr>
      <w:r w:rsidRPr="0025052B">
        <w:rPr>
          <w:color w:val="000000"/>
          <w:sz w:val="22"/>
          <w:szCs w:val="22"/>
          <w:u w:val="single"/>
        </w:rPr>
        <w:t>Ability to Call Special Meetings</w:t>
      </w:r>
      <w:r w:rsidRPr="0025052B">
        <w:rPr>
          <w:color w:val="000000"/>
          <w:sz w:val="22"/>
          <w:szCs w:val="22"/>
        </w:rPr>
        <w:t xml:space="preserve">.  Our Certificate of Incorporation and Bylaws provide that special meetings of our stockholders can only be called pursuant to a resolution adopted by a majority of our Board of Directors or by the chairman of our Board of Directors. </w:t>
      </w:r>
    </w:p>
    <w:p w:rsidR="0057180A" w:rsidRPr="0025052B" w:rsidRDefault="0057180A" w:rsidP="0057180A">
      <w:pPr>
        <w:spacing w:line="240" w:lineRule="atLeast"/>
        <w:jc w:val="center"/>
        <w:rPr>
          <w:b/>
          <w:bCs/>
          <w:color w:val="000000"/>
          <w:szCs w:val="22"/>
        </w:rPr>
      </w:pPr>
      <w:r w:rsidRPr="0025052B">
        <w:rPr>
          <w:b/>
          <w:bCs/>
          <w:color w:val="000000"/>
          <w:szCs w:val="22"/>
        </w:rPr>
        <w:t>Description of Preferred Stock</w:t>
      </w:r>
    </w:p>
    <w:p w:rsidR="0057180A" w:rsidRPr="0025052B" w:rsidRDefault="0057180A" w:rsidP="0057180A">
      <w:pPr>
        <w:spacing w:line="240" w:lineRule="atLeast"/>
        <w:rPr>
          <w:color w:val="000000"/>
          <w:szCs w:val="22"/>
        </w:rPr>
      </w:pPr>
    </w:p>
    <w:p w:rsidR="0057180A" w:rsidRPr="0025052B" w:rsidRDefault="0057180A" w:rsidP="0057180A">
      <w:pPr>
        <w:pStyle w:val="BodyText"/>
        <w:rPr>
          <w:color w:val="000000"/>
          <w:szCs w:val="22"/>
        </w:rPr>
      </w:pPr>
      <w:r w:rsidRPr="0025052B">
        <w:rPr>
          <w:color w:val="000000"/>
          <w:szCs w:val="22"/>
        </w:rPr>
        <w:t>In June 2015, we filed with the Secretary of State of the State of Delaware a Certificate of Designations, Preferences, Rights and Limitations of Series A Convertible Perpetual Preferred Stock (the “Certificate of Designations”) creating the Series A Convertible Perpetual Preferred Stock, par value $0.01 per share (the “Series A Preferred Stock”), and establishing the designations, preferences, and other rights of the Series A Preferred Stock. On June 10, 2015, we issued 363,000 shares of Series A Preferred Stock. In connection with the issuance, we entered into a shareholders’ agreement (the “Shareholders’ Agreement”) with Mario Investments LLC, the initial holder of the Series A Preferred Stock (the “Initial Holder”). The following description is qualified in its entirety by reference to the full text of the Certificate of Designations and the Shareholders’ Agreement, each of which is incorporated by reference as an exhibit to the Annual Report on Form 10-K of which this Exhibit 4.1 is a part.</w:t>
      </w:r>
    </w:p>
    <w:p w:rsidR="0057180A" w:rsidRPr="0025052B" w:rsidRDefault="0057180A" w:rsidP="0057180A">
      <w:pPr>
        <w:pStyle w:val="BodyText"/>
        <w:rPr>
          <w:b/>
          <w:bCs/>
          <w:color w:val="000000"/>
          <w:szCs w:val="22"/>
        </w:rPr>
      </w:pPr>
      <w:r w:rsidRPr="0025052B">
        <w:rPr>
          <w:b/>
          <w:bCs/>
          <w:color w:val="000000"/>
          <w:szCs w:val="22"/>
        </w:rPr>
        <w:t>Voting and Other Rights</w:t>
      </w:r>
    </w:p>
    <w:p w:rsidR="0057180A" w:rsidRPr="0025052B" w:rsidRDefault="0057180A" w:rsidP="0057180A">
      <w:pPr>
        <w:pStyle w:val="BodyText"/>
        <w:rPr>
          <w:color w:val="000000"/>
          <w:szCs w:val="22"/>
        </w:rPr>
      </w:pPr>
      <w:r w:rsidRPr="0025052B">
        <w:rPr>
          <w:color w:val="000000"/>
          <w:szCs w:val="22"/>
        </w:rPr>
        <w:t xml:space="preserve">The Series A Preferred Stock ranks senior to our Common Stock with respect to dividend rights and rights on liquidation, winding-up and dissolution. The Series A Preferred Stock has a stated value of $1,000 per share, and holders of the Series A Preferred Stock are entitled to cumulative dividends payable quarterly in cash at a rate of 6.50% per annum. Holders of the Series A Preferred Stock are entitled to vote together with the holders of the Common Stock as a single class, in each case, on an as-converted basis, except when the law requires a separate class vote of the common stockholders. Pursuant to the Shareholders’ Agreement, the Initial Holder and certain related parties (if the Series A Preferred Stock is transferred to those parties (collectively, the “Original Holder’s Group”)) are entitled to vote their shares in their discretion, except that they have agreed to vote their shares in favor of director nominees that the Board of Directors nominates until June 10, 2020. Holders of the Series A Preferred Stock also have certain limited special approval rights, including with respect to the issuance of </w:t>
      </w:r>
      <w:r w:rsidRPr="0025052B">
        <w:rPr>
          <w:i/>
          <w:color w:val="000000"/>
          <w:szCs w:val="22"/>
        </w:rPr>
        <w:t xml:space="preserve">pari passu </w:t>
      </w:r>
      <w:r w:rsidRPr="0025052B">
        <w:rPr>
          <w:color w:val="000000"/>
          <w:szCs w:val="22"/>
        </w:rPr>
        <w:t>or senior equity securities of the Company.</w:t>
      </w:r>
    </w:p>
    <w:p w:rsidR="0057180A" w:rsidRPr="0025052B" w:rsidRDefault="0057180A" w:rsidP="0057180A">
      <w:pPr>
        <w:pStyle w:val="BodyText"/>
        <w:rPr>
          <w:b/>
          <w:bCs/>
          <w:color w:val="000000"/>
          <w:szCs w:val="22"/>
        </w:rPr>
      </w:pPr>
      <w:r w:rsidRPr="0025052B">
        <w:rPr>
          <w:b/>
          <w:bCs/>
          <w:color w:val="000000"/>
          <w:szCs w:val="22"/>
        </w:rPr>
        <w:t>Sunset Provisions</w:t>
      </w:r>
    </w:p>
    <w:p w:rsidR="0057180A" w:rsidRPr="0025052B" w:rsidRDefault="0057180A" w:rsidP="0057180A">
      <w:pPr>
        <w:pStyle w:val="BodyText"/>
        <w:rPr>
          <w:color w:val="000000"/>
          <w:szCs w:val="22"/>
        </w:rPr>
      </w:pPr>
      <w:r w:rsidRPr="0025052B">
        <w:rPr>
          <w:color w:val="000000"/>
          <w:szCs w:val="22"/>
        </w:rPr>
        <w:t>Series A Preferred Stock is convertible at the option of the holders of the Series A Preferred Stock into shares of Common Stock at an initial conversion rate of 55.9284 shares of Common Stock for each share of Series A Preferred Stock, which represents an initial conversion price of $17.88 per share of Common Stock, subject to adjustment. On or after June 10, 2020, the Company will have the option to redeem, in whole but not in part, all the outstanding shares of Series A Preferred Stock</w:t>
      </w:r>
      <w:r>
        <w:rPr>
          <w:color w:val="000000"/>
          <w:szCs w:val="22"/>
        </w:rPr>
        <w:t xml:space="preserve"> at 105% of par value</w:t>
      </w:r>
      <w:r w:rsidRPr="0025052B">
        <w:rPr>
          <w:color w:val="000000"/>
          <w:szCs w:val="22"/>
        </w:rPr>
        <w:t xml:space="preserve">, subject to certain redemption price adjustments on the basis of the date of the conversion. </w:t>
      </w:r>
      <w:r>
        <w:rPr>
          <w:color w:val="000000"/>
          <w:szCs w:val="22"/>
        </w:rPr>
        <w:t xml:space="preserve">On or after June 10, 2022, the Company will have the option to redeem, in whole but not in part, at 100% of par value, all of the outstanding shares of the Series A Preferred Stock, subject to certain redemption price adjustments.  </w:t>
      </w:r>
      <w:r w:rsidRPr="0025052B">
        <w:rPr>
          <w:color w:val="000000"/>
          <w:szCs w:val="22"/>
        </w:rPr>
        <w:t>We may elect to convert the Series A Preferred Stock, in whole but not in part, into the relevant number of shares of Common Stock on or after December 10, 2019 if the last reported sale price of the Common Stock has been at least 150% of the conversion price then in effect for a specified period. The conversion rate is subject to customary anti-dilution and other adjustments.</w:t>
      </w:r>
    </w:p>
    <w:p w:rsidR="0057180A" w:rsidRPr="0025052B" w:rsidRDefault="0057180A" w:rsidP="0057180A">
      <w:pPr>
        <w:pStyle w:val="BodyText"/>
        <w:rPr>
          <w:b/>
          <w:bCs/>
          <w:color w:val="000000"/>
          <w:szCs w:val="22"/>
        </w:rPr>
      </w:pPr>
      <w:r w:rsidRPr="0025052B">
        <w:rPr>
          <w:b/>
          <w:bCs/>
          <w:color w:val="000000"/>
          <w:szCs w:val="22"/>
        </w:rPr>
        <w:t>Board Representation Rights</w:t>
      </w:r>
    </w:p>
    <w:p w:rsidR="0057180A" w:rsidRPr="0025052B" w:rsidRDefault="0057180A" w:rsidP="0057180A">
      <w:pPr>
        <w:pStyle w:val="BodyText"/>
        <w:rPr>
          <w:bCs/>
          <w:color w:val="000000"/>
          <w:szCs w:val="22"/>
        </w:rPr>
      </w:pPr>
      <w:r w:rsidRPr="0025052B">
        <w:rPr>
          <w:bCs/>
          <w:color w:val="000000"/>
          <w:szCs w:val="22"/>
        </w:rPr>
        <w:t xml:space="preserve">Pursuant to the Certificate of Designations and the Shareholders’ Agreement, the Original Holders Group has the right to designate one person to serve as a director on the </w:t>
      </w:r>
      <w:r w:rsidRPr="0025052B">
        <w:rPr>
          <w:color w:val="000000"/>
          <w:szCs w:val="22"/>
        </w:rPr>
        <w:t>Board of Directors</w:t>
      </w:r>
      <w:r w:rsidRPr="0025052B">
        <w:rPr>
          <w:bCs/>
          <w:color w:val="000000"/>
          <w:szCs w:val="22"/>
        </w:rPr>
        <w:t xml:space="preserve">, so long as the Original Holders Group maintains at least 33% of their original investment and any shares of the </w:t>
      </w:r>
      <w:r w:rsidRPr="0025052B">
        <w:rPr>
          <w:color w:val="000000"/>
          <w:szCs w:val="22"/>
        </w:rPr>
        <w:t>Series A Preferred Stock</w:t>
      </w:r>
      <w:r w:rsidRPr="0025052B">
        <w:rPr>
          <w:bCs/>
          <w:color w:val="000000"/>
          <w:szCs w:val="22"/>
        </w:rPr>
        <w:t xml:space="preserve"> remain outstanding. The </w:t>
      </w:r>
      <w:r w:rsidRPr="0025052B">
        <w:rPr>
          <w:color w:val="000000"/>
          <w:szCs w:val="22"/>
        </w:rPr>
        <w:t>Series A Preferred Stock</w:t>
      </w:r>
      <w:r w:rsidRPr="0025052B">
        <w:rPr>
          <w:bCs/>
          <w:color w:val="000000"/>
          <w:szCs w:val="22"/>
        </w:rPr>
        <w:t xml:space="preserve"> holders also have certain </w:t>
      </w:r>
      <w:r w:rsidRPr="0025052B">
        <w:rPr>
          <w:color w:val="000000"/>
          <w:szCs w:val="22"/>
        </w:rPr>
        <w:t>Board of Directors</w:t>
      </w:r>
      <w:r w:rsidRPr="0025052B">
        <w:rPr>
          <w:bCs/>
          <w:color w:val="000000"/>
          <w:szCs w:val="22"/>
        </w:rPr>
        <w:t xml:space="preserve"> representation rights if dividends payable on the </w:t>
      </w:r>
      <w:r w:rsidRPr="0025052B">
        <w:rPr>
          <w:color w:val="000000"/>
          <w:szCs w:val="22"/>
        </w:rPr>
        <w:t>Series A Preferred Stock</w:t>
      </w:r>
      <w:r w:rsidRPr="0025052B">
        <w:rPr>
          <w:bCs/>
          <w:color w:val="000000"/>
          <w:szCs w:val="22"/>
        </w:rPr>
        <w:t xml:space="preserve"> are in arrears for six or more quarterly periods, but in no event may the </w:t>
      </w:r>
      <w:r w:rsidRPr="0025052B">
        <w:rPr>
          <w:color w:val="000000"/>
          <w:szCs w:val="22"/>
        </w:rPr>
        <w:t>Series A Preferred Stock</w:t>
      </w:r>
      <w:r w:rsidRPr="0025052B">
        <w:rPr>
          <w:bCs/>
          <w:color w:val="000000"/>
          <w:szCs w:val="22"/>
        </w:rPr>
        <w:t xml:space="preserve"> holders appoint more than two directors. </w:t>
      </w:r>
    </w:p>
    <w:p w:rsidR="0057180A" w:rsidRPr="0025052B" w:rsidRDefault="0057180A" w:rsidP="0057180A">
      <w:pPr>
        <w:pStyle w:val="BodyText"/>
        <w:rPr>
          <w:bCs/>
          <w:color w:val="000000"/>
          <w:szCs w:val="22"/>
        </w:rPr>
      </w:pPr>
      <w:r w:rsidRPr="0025052B">
        <w:rPr>
          <w:bCs/>
          <w:color w:val="000000"/>
          <w:szCs w:val="22"/>
        </w:rPr>
        <w:t xml:space="preserve">Pursuant to the Shareholders’ Agreement, for so long as the Original Holders Group maintains at least 33% of their original investment (whether in </w:t>
      </w:r>
      <w:r w:rsidRPr="0025052B">
        <w:rPr>
          <w:color w:val="000000"/>
          <w:szCs w:val="22"/>
        </w:rPr>
        <w:t xml:space="preserve">Series A Preferred Stock or </w:t>
      </w:r>
      <w:r w:rsidRPr="0025052B">
        <w:rPr>
          <w:bCs/>
          <w:color w:val="000000"/>
          <w:szCs w:val="22"/>
        </w:rPr>
        <w:t xml:space="preserve">common stock received upon conversion of the </w:t>
      </w:r>
      <w:r w:rsidRPr="0025052B">
        <w:rPr>
          <w:color w:val="000000"/>
          <w:szCs w:val="22"/>
        </w:rPr>
        <w:t xml:space="preserve">Series A Preferred Stock), the Original Holders Group has the right to appoint a single representative, in a non-voting observer capacity, to attend all meetings of the Board of Directors, subject to certain exceptions.  </w:t>
      </w:r>
    </w:p>
    <w:p w:rsidR="0057180A" w:rsidRPr="0025052B" w:rsidRDefault="0057180A" w:rsidP="0057180A">
      <w:pPr>
        <w:pStyle w:val="BodyText"/>
        <w:rPr>
          <w:bCs/>
          <w:color w:val="000000"/>
          <w:szCs w:val="22"/>
        </w:rPr>
      </w:pPr>
      <w:r w:rsidRPr="0025052B">
        <w:rPr>
          <w:bCs/>
          <w:color w:val="000000"/>
          <w:szCs w:val="22"/>
        </w:rPr>
        <w:t xml:space="preserve">Also, pursuant to the Shareholders’ Agreement, if no shares of the </w:t>
      </w:r>
      <w:r w:rsidRPr="0025052B">
        <w:rPr>
          <w:color w:val="000000"/>
          <w:szCs w:val="22"/>
        </w:rPr>
        <w:t>Series A Preferred Stock</w:t>
      </w:r>
      <w:r w:rsidRPr="0025052B">
        <w:rPr>
          <w:bCs/>
          <w:color w:val="000000"/>
          <w:szCs w:val="22"/>
        </w:rPr>
        <w:t xml:space="preserve"> remain outstanding but the Original Holders Group maintains at least 33% of their original investment through their shares of common stock received upon conversion of the </w:t>
      </w:r>
      <w:r w:rsidRPr="0025052B">
        <w:rPr>
          <w:color w:val="000000"/>
          <w:szCs w:val="22"/>
        </w:rPr>
        <w:t>Series A Preferred Stock</w:t>
      </w:r>
      <w:r w:rsidRPr="0025052B">
        <w:rPr>
          <w:bCs/>
          <w:color w:val="000000"/>
          <w:szCs w:val="22"/>
        </w:rPr>
        <w:t xml:space="preserve">, the Original Holders Group may designate one nominee to serve as a director on the </w:t>
      </w:r>
      <w:r w:rsidRPr="0025052B">
        <w:rPr>
          <w:color w:val="000000"/>
          <w:szCs w:val="22"/>
        </w:rPr>
        <w:t>Board of Directors</w:t>
      </w:r>
      <w:r w:rsidRPr="0025052B">
        <w:rPr>
          <w:bCs/>
          <w:color w:val="000000"/>
          <w:szCs w:val="22"/>
        </w:rPr>
        <w:t xml:space="preserve"> (the “Investor Designee”), subject to the Investor Designee’s satisfaction of all applicable requirements regarding service as a director of the Company under applicable law, regulation or stock exchange rules and such other criteria and qualifications the Company maintains that are applicable to all directors as of the date of the issuance of the </w:t>
      </w:r>
      <w:r w:rsidRPr="0025052B">
        <w:rPr>
          <w:color w:val="000000"/>
          <w:szCs w:val="22"/>
        </w:rPr>
        <w:t>Series A Preferred Stock</w:t>
      </w:r>
      <w:r w:rsidRPr="0025052B">
        <w:rPr>
          <w:bCs/>
          <w:color w:val="000000"/>
          <w:szCs w:val="22"/>
        </w:rPr>
        <w:t xml:space="preserve">. Assuming the satisfaction of these criteria and procedures, the Company is required to increase the size of the </w:t>
      </w:r>
      <w:r w:rsidRPr="0025052B">
        <w:rPr>
          <w:color w:val="000000"/>
          <w:szCs w:val="22"/>
        </w:rPr>
        <w:t>Board of Directors</w:t>
      </w:r>
      <w:r w:rsidRPr="0025052B">
        <w:rPr>
          <w:bCs/>
          <w:color w:val="000000"/>
          <w:szCs w:val="22"/>
        </w:rPr>
        <w:t xml:space="preserve"> by one director and fill the vacancy with the Investor Designee. Thereafter, the Company is required to nominate the Investor Designee for election by the Company’s stockholders and recommend that the Company’s stockholders vote in favor of the election of the Investor Designee. </w:t>
      </w:r>
    </w:p>
    <w:p w:rsidR="0057180A" w:rsidRPr="0025052B" w:rsidRDefault="0057180A" w:rsidP="0057180A">
      <w:pPr>
        <w:pStyle w:val="BodyText"/>
        <w:rPr>
          <w:bCs/>
          <w:color w:val="000000"/>
          <w:szCs w:val="22"/>
        </w:rPr>
      </w:pPr>
      <w:r w:rsidRPr="0025052B">
        <w:rPr>
          <w:bCs/>
          <w:color w:val="000000"/>
          <w:szCs w:val="22"/>
        </w:rPr>
        <w:t xml:space="preserve">If for any reason the director that the Original Holders Group appointed or designated is no longer serving as a director, the Original Holders Group may appoint or designate a new person to fill the vacancy, subject to the continuing threshold set forth above. At such time as the Original Holders Group owns less than 33% of the their original investment, pursuant to the Shareholders’ Agreement, the rights of the Original Holders Group terminate and the Investor Designee must resign. </w:t>
      </w:r>
    </w:p>
    <w:p w:rsidR="0057180A" w:rsidRPr="0025052B" w:rsidRDefault="0057180A" w:rsidP="0057180A">
      <w:pPr>
        <w:pStyle w:val="BodyText"/>
        <w:rPr>
          <w:b/>
          <w:color w:val="000000"/>
          <w:szCs w:val="22"/>
        </w:rPr>
      </w:pPr>
      <w:r w:rsidRPr="0025052B">
        <w:rPr>
          <w:b/>
          <w:color w:val="000000"/>
          <w:szCs w:val="22"/>
        </w:rPr>
        <w:t>Registration Rights</w:t>
      </w:r>
    </w:p>
    <w:p w:rsidR="0057180A" w:rsidRPr="0025052B" w:rsidRDefault="0057180A" w:rsidP="0057180A">
      <w:pPr>
        <w:pStyle w:val="BodyText"/>
        <w:rPr>
          <w:color w:val="000000"/>
          <w:szCs w:val="22"/>
        </w:rPr>
      </w:pPr>
      <w:r w:rsidRPr="0025052B">
        <w:rPr>
          <w:color w:val="000000"/>
          <w:szCs w:val="22"/>
        </w:rPr>
        <w:t>Pursuant to the Shareholders’ Agreement, the Original Holder’s Group has certain registration rights, including customary demand and piggyback registration rights in respect of the shares of Series A Preferred Stock and any shares of Common Stock issued upon conversion of the Series A Preferred Stock.</w:t>
      </w:r>
    </w:p>
    <w:p w:rsidR="0057180A" w:rsidRPr="0025052B" w:rsidRDefault="0057180A" w:rsidP="0057180A">
      <w:pPr>
        <w:pStyle w:val="BodyText"/>
        <w:rPr>
          <w:b/>
          <w:bCs/>
          <w:color w:val="000000"/>
          <w:szCs w:val="22"/>
        </w:rPr>
      </w:pPr>
      <w:r w:rsidRPr="0025052B">
        <w:rPr>
          <w:b/>
          <w:bCs/>
          <w:color w:val="000000"/>
          <w:szCs w:val="22"/>
        </w:rPr>
        <w:t>Preemptive Rights</w:t>
      </w:r>
    </w:p>
    <w:p w:rsidR="0057180A" w:rsidRPr="0025052B" w:rsidRDefault="0057180A" w:rsidP="0057180A">
      <w:pPr>
        <w:pStyle w:val="BodyText"/>
        <w:rPr>
          <w:color w:val="000000"/>
          <w:szCs w:val="22"/>
        </w:rPr>
      </w:pPr>
      <w:r w:rsidRPr="0025052B">
        <w:rPr>
          <w:color w:val="000000"/>
          <w:szCs w:val="22"/>
        </w:rPr>
        <w:t>Pursuant to the Shareholders’ Agreement, for so long as the Original Holder’s Group maintains at least 33% of their original investment (whether in Series A Preferred Stock or shares of Common Stock issued upon conversion of the Series A Preferred Stock), the Company is required to, prior to the issuance of equity securities to a third party (subject to certain exceptions), offer the Original Holder’s Group the right to acquire its pro rata portion of such equity securities.</w:t>
      </w:r>
    </w:p>
    <w:p w:rsidR="0057180A" w:rsidRPr="0025052B" w:rsidRDefault="0057180A" w:rsidP="0057180A">
      <w:pPr>
        <w:pStyle w:val="BodyText"/>
        <w:rPr>
          <w:b/>
          <w:bCs/>
          <w:color w:val="000000"/>
          <w:szCs w:val="22"/>
        </w:rPr>
      </w:pPr>
      <w:r w:rsidRPr="0025052B">
        <w:rPr>
          <w:b/>
          <w:bCs/>
          <w:color w:val="000000"/>
          <w:szCs w:val="22"/>
        </w:rPr>
        <w:t>Standstill Obligations</w:t>
      </w:r>
    </w:p>
    <w:p w:rsidR="0057180A" w:rsidRPr="0025052B" w:rsidRDefault="0057180A" w:rsidP="0057180A">
      <w:pPr>
        <w:pStyle w:val="BodyText"/>
        <w:rPr>
          <w:color w:val="000000"/>
          <w:szCs w:val="22"/>
        </w:rPr>
      </w:pPr>
      <w:r w:rsidRPr="0025052B">
        <w:rPr>
          <w:color w:val="000000"/>
          <w:szCs w:val="22"/>
        </w:rPr>
        <w:t>Pursuant to the Shareholders’ Agreement, until June 10, 2020, members of the Original Holder’s Group may not:</w:t>
      </w:r>
    </w:p>
    <w:p w:rsidR="0057180A" w:rsidRPr="0025052B" w:rsidRDefault="0057180A" w:rsidP="0057180A">
      <w:pPr>
        <w:pStyle w:val="BodyText"/>
        <w:numPr>
          <w:ilvl w:val="1"/>
          <w:numId w:val="37"/>
        </w:numPr>
        <w:rPr>
          <w:color w:val="000000"/>
          <w:szCs w:val="22"/>
        </w:rPr>
      </w:pPr>
      <w:r w:rsidRPr="0025052B">
        <w:rPr>
          <w:color w:val="000000"/>
          <w:szCs w:val="22"/>
        </w:rPr>
        <w:t>with limited exceptions, acquire, or facilitate the acquisition or ownership of, any securities of the Company or assets of the Company and its subsidiaries;</w:t>
      </w:r>
    </w:p>
    <w:p w:rsidR="0057180A" w:rsidRPr="0025052B" w:rsidRDefault="0057180A" w:rsidP="0057180A">
      <w:pPr>
        <w:pStyle w:val="BodyText"/>
        <w:numPr>
          <w:ilvl w:val="1"/>
          <w:numId w:val="37"/>
        </w:numPr>
        <w:rPr>
          <w:color w:val="000000"/>
          <w:szCs w:val="22"/>
        </w:rPr>
      </w:pPr>
      <w:r w:rsidRPr="0025052B">
        <w:rPr>
          <w:color w:val="000000"/>
          <w:szCs w:val="22"/>
        </w:rPr>
        <w:t>enter into any transaction with respect to, or facilitate, any merger, business combination, recapitalization, restructuring or other extraordinary transaction involving the Company or any of its subsidiaries; or</w:t>
      </w:r>
    </w:p>
    <w:p w:rsidR="0057180A" w:rsidRPr="0025052B" w:rsidRDefault="0057180A" w:rsidP="0057180A">
      <w:pPr>
        <w:pStyle w:val="BodyText"/>
        <w:numPr>
          <w:ilvl w:val="1"/>
          <w:numId w:val="37"/>
        </w:numPr>
        <w:rPr>
          <w:color w:val="000000"/>
          <w:szCs w:val="22"/>
        </w:rPr>
      </w:pPr>
      <w:r w:rsidRPr="0025052B">
        <w:rPr>
          <w:color w:val="000000"/>
          <w:szCs w:val="22"/>
        </w:rPr>
        <w:t>participate in any solicitation of proxies to vote or seek to advise or influence any person with respect to the voting of, any securities of the Company or form, join or in any way participate in a group with respect to the voting of any securities of the Company.</w:t>
      </w:r>
    </w:p>
    <w:p w:rsidR="0057180A" w:rsidRPr="0025052B" w:rsidRDefault="0057180A" w:rsidP="0057180A">
      <w:pPr>
        <w:pStyle w:val="BodyText"/>
        <w:rPr>
          <w:color w:val="000000"/>
          <w:szCs w:val="22"/>
        </w:rPr>
      </w:pPr>
      <w:r w:rsidRPr="0025052B">
        <w:rPr>
          <w:color w:val="000000"/>
          <w:szCs w:val="22"/>
        </w:rPr>
        <w:t>Notwithstanding the foregoing standstill obligations, members of the Original Holder’s Group may vote their shares as they desire, including for or against one of the transactions subject to the standstill obligations (subject to the requirement to vote for the Company’s nominees for the Board of Directors until June 10, 2020). The foregoing standstill provisions will terminate early if a Change of Control (defined in the Shareholders’ Agreement) of the Company has occurred, the Company has entered into an agreement providing for a Change of Control or a third party has made a public offer or proposal that would, if consummated, result in a Change in Control and the Board of Directors has not recommended against the offer or proposal within 10 days from the offer or proposal becoming public. The standstill provisions will also not apply to the Original Holder’s Group if they hold less than 10% of the Common Stock on an as-converted basis. Under the Shareholders’ Agreement, certain other exceptions apply.</w:t>
      </w:r>
    </w:p>
    <w:p w:rsidR="0057180A" w:rsidRPr="0025052B" w:rsidRDefault="0057180A" w:rsidP="0057180A">
      <w:pPr>
        <w:pStyle w:val="BodyText"/>
        <w:jc w:val="center"/>
        <w:rPr>
          <w:b/>
          <w:color w:val="000000"/>
          <w:szCs w:val="22"/>
        </w:rPr>
      </w:pPr>
      <w:r w:rsidRPr="0025052B">
        <w:rPr>
          <w:b/>
          <w:color w:val="000000"/>
          <w:szCs w:val="22"/>
        </w:rPr>
        <w:t>Amending Our Certificate of Incorporation and Bylaws</w:t>
      </w:r>
    </w:p>
    <w:p w:rsidR="0057180A" w:rsidRPr="0025052B" w:rsidRDefault="0057180A" w:rsidP="0057180A">
      <w:pPr>
        <w:pStyle w:val="BodyText"/>
        <w:rPr>
          <w:color w:val="000000"/>
          <w:szCs w:val="22"/>
        </w:rPr>
      </w:pPr>
      <w:r w:rsidRPr="0025052B">
        <w:rPr>
          <w:color w:val="000000"/>
          <w:szCs w:val="22"/>
        </w:rPr>
        <w:t>Subject to the rights of holders of our Series A Preferred Stock, our Certificate of Incorporation provides that our Certificate of Incorporation may generally be amended by the affirmative vote of a majority of our Board of Directors and by the affirmative vote of the majority of all shares of our stock then entitled to vote at any annual or special meeting of stockholders. However, our Certificate of Incorporation also provides that the a</w:t>
      </w:r>
      <w:r>
        <w:rPr>
          <w:color w:val="000000"/>
          <w:szCs w:val="22"/>
        </w:rPr>
        <w:t>ffirmative vote of at least 75</w:t>
      </w:r>
      <w:r w:rsidRPr="0025052B">
        <w:rPr>
          <w:color w:val="000000"/>
          <w:szCs w:val="22"/>
        </w:rPr>
        <w:t xml:space="preserve">% of the outstanding shares of our Common Stock is required to amend the provisions in our Certificate of Incorporation relating to business opportunities, business combinations with significant shareholders, amendments to the Certificate of Incorporation, and Bylaws, and limitation on liability, and indemnification of officers and directors. </w:t>
      </w:r>
    </w:p>
    <w:p w:rsidR="0057180A" w:rsidRPr="0025052B" w:rsidRDefault="0057180A" w:rsidP="0057180A">
      <w:pPr>
        <w:pStyle w:val="BodyText"/>
        <w:rPr>
          <w:color w:val="000000"/>
          <w:szCs w:val="22"/>
        </w:rPr>
      </w:pPr>
      <w:r w:rsidRPr="0025052B">
        <w:rPr>
          <w:color w:val="000000"/>
          <w:szCs w:val="22"/>
        </w:rPr>
        <w:t>In addition, our Certificate of Incorporation and Bylaws provide that our Bylaws may be amended or repealed or new Bylaws may be adopted by the affirmative vote of a majority of our Board of Directors, or, when a quorum is present at a stockholder meeting, by the a</w:t>
      </w:r>
      <w:r>
        <w:rPr>
          <w:color w:val="000000"/>
          <w:szCs w:val="22"/>
        </w:rPr>
        <w:t>ffirmative vote of at least 75</w:t>
      </w:r>
      <w:r w:rsidRPr="0025052B">
        <w:rPr>
          <w:color w:val="000000"/>
          <w:szCs w:val="22"/>
        </w:rPr>
        <w:t xml:space="preserve">% of the voting power of our stock entitled to vote thereon. </w:t>
      </w:r>
    </w:p>
    <w:p w:rsidR="0057180A" w:rsidRPr="0025052B" w:rsidRDefault="0057180A" w:rsidP="0057180A">
      <w:pPr>
        <w:pStyle w:val="BodyText"/>
        <w:rPr>
          <w:color w:val="000000"/>
          <w:szCs w:val="22"/>
        </w:rPr>
      </w:pPr>
      <w:r w:rsidRPr="0025052B">
        <w:rPr>
          <w:color w:val="000000"/>
          <w:szCs w:val="22"/>
        </w:rPr>
        <w:t xml:space="preserve">Notwithstanding anything to the contrary in the two prior paragraphs, pursuant to the Certificate of Designations, in addition to any other vote or consent of stockholders required by law or by our Certificate of Incorporation, the affirmative vote or consent of the holders of at least two-thirds of the outstanding shares of Series A Preferred Stock is necessary for effecting or validating: </w:t>
      </w:r>
    </w:p>
    <w:p w:rsidR="0057180A" w:rsidRPr="0025052B" w:rsidRDefault="0057180A" w:rsidP="0057180A">
      <w:pPr>
        <w:pStyle w:val="BodyText"/>
        <w:numPr>
          <w:ilvl w:val="0"/>
          <w:numId w:val="38"/>
        </w:numPr>
        <w:jc w:val="both"/>
        <w:rPr>
          <w:color w:val="000000"/>
          <w:szCs w:val="22"/>
        </w:rPr>
      </w:pPr>
      <w:r w:rsidRPr="0025052B">
        <w:rPr>
          <w:color w:val="000000"/>
          <w:szCs w:val="22"/>
        </w:rPr>
        <w:t xml:space="preserve">any amendment of the Certificate of Incorporation authorizing or creating, or increasing the authorized amount of, any class or series of stock that ranks on parity with or senior to the Series A Preferred Stock; </w:t>
      </w:r>
    </w:p>
    <w:p w:rsidR="0057180A" w:rsidRPr="0025052B" w:rsidRDefault="0057180A" w:rsidP="0057180A">
      <w:pPr>
        <w:pStyle w:val="BodyText"/>
        <w:numPr>
          <w:ilvl w:val="0"/>
          <w:numId w:val="38"/>
        </w:numPr>
        <w:jc w:val="both"/>
        <w:rPr>
          <w:color w:val="000000"/>
          <w:szCs w:val="22"/>
        </w:rPr>
      </w:pPr>
      <w:r w:rsidRPr="0025052B">
        <w:rPr>
          <w:color w:val="000000"/>
          <w:szCs w:val="22"/>
        </w:rPr>
        <w:t xml:space="preserve">any amendment of the Certificate of Incorporation adversely affecting the rights, preferences, privileges or voting powers of the Series A Preferred Stock; or </w:t>
      </w:r>
    </w:p>
    <w:p w:rsidR="0057180A" w:rsidRPr="0025052B" w:rsidRDefault="0057180A" w:rsidP="0057180A">
      <w:pPr>
        <w:pStyle w:val="BodyText"/>
        <w:numPr>
          <w:ilvl w:val="0"/>
          <w:numId w:val="38"/>
        </w:numPr>
        <w:jc w:val="both"/>
        <w:rPr>
          <w:color w:val="000000"/>
          <w:szCs w:val="22"/>
        </w:rPr>
      </w:pPr>
      <w:r w:rsidRPr="0025052B">
        <w:rPr>
          <w:color w:val="000000"/>
          <w:szCs w:val="22"/>
        </w:rPr>
        <w:t xml:space="preserve">any consummation of a binding share exchange or reclassification involving the Series A Preferred Stock, or of a merger or consolidation of us with or into another person, subject to certain exceptions. </w:t>
      </w:r>
    </w:p>
    <w:p w:rsidR="0057180A" w:rsidRPr="0025052B" w:rsidRDefault="0057180A" w:rsidP="0057180A">
      <w:pPr>
        <w:pStyle w:val="BodyText"/>
        <w:jc w:val="center"/>
        <w:rPr>
          <w:b/>
          <w:color w:val="000000"/>
          <w:szCs w:val="22"/>
        </w:rPr>
      </w:pPr>
      <w:r w:rsidRPr="0025052B">
        <w:rPr>
          <w:b/>
          <w:color w:val="000000"/>
          <w:szCs w:val="22"/>
        </w:rPr>
        <w:t>Listing</w:t>
      </w:r>
    </w:p>
    <w:p w:rsidR="0057180A" w:rsidRPr="0025052B" w:rsidRDefault="0057180A" w:rsidP="0057180A">
      <w:pPr>
        <w:pStyle w:val="BodyText"/>
        <w:rPr>
          <w:color w:val="000000"/>
          <w:szCs w:val="22"/>
        </w:rPr>
      </w:pPr>
      <w:r w:rsidRPr="0025052B">
        <w:rPr>
          <w:color w:val="000000"/>
          <w:szCs w:val="22"/>
        </w:rPr>
        <w:t xml:space="preserve">Our Common Stock is listed on the New York Stock Exchange under the symbol “MRC.” </w:t>
      </w:r>
    </w:p>
    <w:p w:rsidR="0057180A" w:rsidRPr="0025052B" w:rsidRDefault="0057180A" w:rsidP="0057180A">
      <w:pPr>
        <w:pStyle w:val="BodyText"/>
        <w:jc w:val="center"/>
        <w:rPr>
          <w:b/>
          <w:color w:val="000000"/>
          <w:szCs w:val="22"/>
        </w:rPr>
      </w:pPr>
      <w:r w:rsidRPr="0025052B">
        <w:rPr>
          <w:b/>
          <w:color w:val="000000"/>
          <w:szCs w:val="22"/>
        </w:rPr>
        <w:t>Transfer Agent and Registrar</w:t>
      </w:r>
    </w:p>
    <w:p w:rsidR="0057180A" w:rsidRPr="0025052B" w:rsidRDefault="0057180A" w:rsidP="0057180A">
      <w:pPr>
        <w:pStyle w:val="BodyText"/>
        <w:rPr>
          <w:color w:val="000000"/>
          <w:szCs w:val="22"/>
        </w:rPr>
      </w:pPr>
      <w:r w:rsidRPr="0025052B">
        <w:rPr>
          <w:color w:val="000000"/>
          <w:szCs w:val="22"/>
        </w:rPr>
        <w:t xml:space="preserve">The transfer agent and registrar for our Common Stock is Computershare Trust Company, N. A. </w:t>
      </w:r>
    </w:p>
    <w:p w:rsidR="0057180A" w:rsidRPr="0025052B" w:rsidRDefault="0057180A" w:rsidP="0057180A">
      <w:pPr>
        <w:pStyle w:val="BodyText"/>
        <w:ind w:left="720"/>
        <w:rPr>
          <w:color w:val="000000"/>
          <w:szCs w:val="22"/>
        </w:rPr>
      </w:pPr>
    </w:p>
    <w:p w:rsidR="0057180A" w:rsidRPr="0025052B" w:rsidRDefault="0057180A" w:rsidP="0057180A">
      <w:pPr>
        <w:pStyle w:val="BodyText"/>
        <w:rPr>
          <w:color w:val="000000"/>
          <w:szCs w:val="22"/>
        </w:rPr>
      </w:pPr>
    </w:p>
    <w:p w:rsidR="0057180A" w:rsidRDefault="0057180A">
      <w:pPr>
        <w:pStyle w:val="NormalWeb"/>
        <w:spacing w:before="0" w:beforeAutospacing="0" w:after="0" w:afterAutospacing="0"/>
        <w:rPr>
          <w:sz w:val="20"/>
          <w:szCs w:val="20"/>
        </w:rPr>
        <w:sectPr w:rsidR="0057180A" w:rsidSect="00344998">
          <w:headerReference w:type="default" r:id="rId62"/>
          <w:footerReference w:type="default" r:id="rId63"/>
          <w:pgSz w:w="12240" w:h="15840" w:code="1"/>
          <w:pgMar w:top="1440" w:right="1440" w:bottom="1440" w:left="1440" w:header="720" w:footer="720" w:gutter="0"/>
          <w:cols w:space="720"/>
          <w:docGrid w:linePitch="360"/>
        </w:sectPr>
      </w:pPr>
    </w:p>
    <w:p w:rsidR="0057180A" w:rsidRPr="00B04E2B" w:rsidRDefault="0057180A" w:rsidP="0057180A">
      <w:pPr>
        <w:pStyle w:val="CTR"/>
        <w:jc w:val="left"/>
        <w:rPr>
          <w:sz w:val="20"/>
          <w:szCs w:val="22"/>
        </w:rPr>
      </w:pPr>
      <w:r>
        <w:rPr>
          <w:sz w:val="20"/>
          <w:szCs w:val="22"/>
        </w:rPr>
        <w:t>Subsidiaries for 2019 Form 10</w:t>
      </w:r>
      <w:r>
        <w:rPr>
          <w:sz w:val="20"/>
          <w:szCs w:val="22"/>
        </w:rPr>
        <w:noBreakHyphen/>
        <w:t>K</w:t>
      </w:r>
    </w:p>
    <w:tbl>
      <w:tblPr>
        <w:tblW w:w="8595" w:type="dxa"/>
        <w:jc w:val="center"/>
        <w:tblLayout w:type="fixed"/>
        <w:tblCellMar>
          <w:top w:w="29" w:type="dxa"/>
          <w:left w:w="115" w:type="dxa"/>
          <w:bottom w:w="29" w:type="dxa"/>
          <w:right w:w="115" w:type="dxa"/>
        </w:tblCellMar>
        <w:tblLook w:val="04A0" w:firstRow="1" w:lastRow="0" w:firstColumn="1" w:lastColumn="0" w:noHBand="0" w:noVBand="1"/>
      </w:tblPr>
      <w:tblGrid>
        <w:gridCol w:w="803"/>
        <w:gridCol w:w="5295"/>
        <w:gridCol w:w="2497"/>
      </w:tblGrid>
      <w:tr w:rsidR="0057180A" w:rsidRPr="00357067" w:rsidTr="00591A8F">
        <w:trPr>
          <w:cantSplit/>
          <w:trHeight w:hRule="exact" w:val="20"/>
          <w:jc w:val="center"/>
        </w:trPr>
        <w:tc>
          <w:tcPr>
            <w:tcW w:w="803" w:type="dxa"/>
            <w:tcBorders>
              <w:top w:val="nil"/>
              <w:left w:val="nil"/>
              <w:bottom w:val="nil"/>
              <w:right w:val="nil"/>
            </w:tcBorders>
          </w:tcPr>
          <w:p w:rsidR="0057180A" w:rsidRDefault="0057180A" w:rsidP="00591A8F">
            <w:pPr>
              <w:rPr>
                <w:sz w:val="2"/>
              </w:rPr>
            </w:pPr>
          </w:p>
        </w:tc>
        <w:tc>
          <w:tcPr>
            <w:tcW w:w="5295" w:type="dxa"/>
            <w:tcBorders>
              <w:top w:val="nil"/>
              <w:left w:val="nil"/>
              <w:bottom w:val="nil"/>
              <w:right w:val="nil"/>
            </w:tcBorders>
            <w:hideMark/>
          </w:tcPr>
          <w:p w:rsidR="0057180A" w:rsidRDefault="0057180A" w:rsidP="00591A8F">
            <w:pPr>
              <w:rPr>
                <w:sz w:val="2"/>
              </w:rPr>
            </w:pPr>
          </w:p>
        </w:tc>
        <w:tc>
          <w:tcPr>
            <w:tcW w:w="2497" w:type="dxa"/>
            <w:tcBorders>
              <w:top w:val="nil"/>
              <w:left w:val="nil"/>
              <w:bottom w:val="nil"/>
              <w:right w:val="nil"/>
            </w:tcBorders>
            <w:hideMark/>
          </w:tcPr>
          <w:p w:rsidR="0057180A" w:rsidRDefault="0057180A" w:rsidP="00591A8F">
            <w:pPr>
              <w:rPr>
                <w:sz w:val="2"/>
              </w:rPr>
            </w:pP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Greenbrier Petroleum Corporation</w:t>
            </w:r>
          </w:p>
        </w:tc>
        <w:tc>
          <w:tcPr>
            <w:tcW w:w="2497" w:type="dxa"/>
            <w:hideMark/>
          </w:tcPr>
          <w:p w:rsidR="0057180A" w:rsidRPr="00357067" w:rsidRDefault="0057180A" w:rsidP="00591A8F">
            <w:pPr>
              <w:rPr>
                <w:sz w:val="20"/>
                <w:szCs w:val="22"/>
              </w:rPr>
            </w:pPr>
            <w:r w:rsidRPr="00357067">
              <w:rPr>
                <w:sz w:val="20"/>
                <w:szCs w:val="22"/>
              </w:rPr>
              <w:t>U.S. (WV)</w:t>
            </w:r>
          </w:p>
        </w:tc>
      </w:tr>
      <w:tr w:rsidR="0057180A" w:rsidRPr="00357067" w:rsidTr="00591A8F">
        <w:trPr>
          <w:cantSplit/>
          <w:trHeight w:val="230"/>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McJunkin de Angola, LDA</w:t>
            </w:r>
          </w:p>
        </w:tc>
        <w:tc>
          <w:tcPr>
            <w:tcW w:w="2497" w:type="dxa"/>
            <w:hideMark/>
          </w:tcPr>
          <w:p w:rsidR="0057180A" w:rsidRPr="00357067" w:rsidRDefault="0057180A" w:rsidP="00591A8F">
            <w:pPr>
              <w:rPr>
                <w:sz w:val="20"/>
                <w:szCs w:val="22"/>
              </w:rPr>
            </w:pPr>
            <w:r w:rsidRPr="00357067">
              <w:rPr>
                <w:sz w:val="20"/>
                <w:szCs w:val="22"/>
              </w:rPr>
              <w:t>Angola (inactive)</w:t>
            </w:r>
          </w:p>
        </w:tc>
      </w:tr>
      <w:tr w:rsidR="0057180A" w:rsidRPr="00357067" w:rsidTr="00591A8F">
        <w:trPr>
          <w:cantSplit/>
          <w:trHeight w:val="230"/>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keepNext/>
              <w:keepLines/>
              <w:rPr>
                <w:sz w:val="20"/>
                <w:szCs w:val="22"/>
                <w:lang w:val="sv-SE"/>
              </w:rPr>
            </w:pPr>
            <w:r w:rsidRPr="00357067">
              <w:rPr>
                <w:sz w:val="20"/>
                <w:szCs w:val="22"/>
                <w:lang w:val="sv-SE"/>
              </w:rPr>
              <w:t xml:space="preserve">McJunkin Red Man de Mexico S. </w:t>
            </w:r>
            <w:r>
              <w:rPr>
                <w:sz w:val="20"/>
                <w:szCs w:val="22"/>
                <w:lang w:val="sv-SE"/>
              </w:rPr>
              <w:t>d</w:t>
            </w:r>
            <w:r w:rsidRPr="00357067">
              <w:rPr>
                <w:sz w:val="20"/>
                <w:szCs w:val="22"/>
                <w:lang w:val="sv-SE"/>
              </w:rPr>
              <w:t>e R.L. de C.V.</w:t>
            </w:r>
          </w:p>
        </w:tc>
        <w:tc>
          <w:tcPr>
            <w:tcW w:w="2497" w:type="dxa"/>
            <w:hideMark/>
          </w:tcPr>
          <w:p w:rsidR="0057180A" w:rsidRPr="00357067" w:rsidRDefault="0057180A" w:rsidP="00591A8F">
            <w:pPr>
              <w:keepNext/>
              <w:keepLines/>
              <w:rPr>
                <w:sz w:val="20"/>
                <w:szCs w:val="22"/>
                <w:lang w:val="sv-SE"/>
              </w:rPr>
            </w:pPr>
            <w:r w:rsidRPr="00357067">
              <w:rPr>
                <w:sz w:val="20"/>
                <w:szCs w:val="22"/>
                <w:lang w:val="sv-SE"/>
              </w:rPr>
              <w:t>Mexico</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McJunkin Red Man Development Corporation</w:t>
            </w:r>
          </w:p>
        </w:tc>
        <w:tc>
          <w:tcPr>
            <w:tcW w:w="2497" w:type="dxa"/>
            <w:hideMark/>
          </w:tcPr>
          <w:p w:rsidR="0057180A" w:rsidRPr="00357067" w:rsidRDefault="0057180A" w:rsidP="00591A8F">
            <w:pPr>
              <w:rPr>
                <w:sz w:val="20"/>
                <w:szCs w:val="22"/>
              </w:rPr>
            </w:pPr>
            <w:r w:rsidRPr="00357067">
              <w:rPr>
                <w:sz w:val="20"/>
                <w:szCs w:val="22"/>
              </w:rPr>
              <w:t>U.S. (Delaware) (inactive)</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 xml:space="preserve">McJunkin Red Man International Corp. </w:t>
            </w:r>
          </w:p>
        </w:tc>
        <w:tc>
          <w:tcPr>
            <w:tcW w:w="2497" w:type="dxa"/>
            <w:hideMark/>
          </w:tcPr>
          <w:p w:rsidR="0057180A" w:rsidRPr="00357067" w:rsidRDefault="0057180A" w:rsidP="00591A8F">
            <w:pPr>
              <w:rPr>
                <w:sz w:val="20"/>
                <w:szCs w:val="22"/>
              </w:rPr>
            </w:pPr>
            <w:r w:rsidRPr="00357067">
              <w:rPr>
                <w:sz w:val="20"/>
                <w:szCs w:val="22"/>
              </w:rPr>
              <w:t>BVI</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 xml:space="preserve">McJunkin Red Man International Services Corp. </w:t>
            </w:r>
          </w:p>
        </w:tc>
        <w:tc>
          <w:tcPr>
            <w:tcW w:w="2497" w:type="dxa"/>
            <w:hideMark/>
          </w:tcPr>
          <w:p w:rsidR="0057180A" w:rsidRPr="00357067" w:rsidRDefault="0057180A" w:rsidP="00591A8F">
            <w:pPr>
              <w:rPr>
                <w:sz w:val="20"/>
                <w:szCs w:val="22"/>
              </w:rPr>
            </w:pPr>
            <w:r w:rsidRPr="00357067">
              <w:rPr>
                <w:sz w:val="20"/>
                <w:szCs w:val="22"/>
              </w:rPr>
              <w:t>BVI</w:t>
            </w:r>
          </w:p>
        </w:tc>
      </w:tr>
      <w:tr w:rsidR="0057180A" w:rsidRPr="00357067" w:rsidTr="00591A8F">
        <w:trPr>
          <w:cantSplit/>
          <w:trHeight w:val="230"/>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lang w:val="sv-SE"/>
              </w:rPr>
            </w:pPr>
            <w:r w:rsidRPr="00357067">
              <w:rPr>
                <w:sz w:val="20"/>
                <w:szCs w:val="22"/>
                <w:lang w:val="sv-SE"/>
              </w:rPr>
              <w:t xml:space="preserve">McJunkin Red Man Servicios S. </w:t>
            </w:r>
            <w:r>
              <w:rPr>
                <w:sz w:val="20"/>
                <w:szCs w:val="22"/>
                <w:lang w:val="sv-SE"/>
              </w:rPr>
              <w:t>d</w:t>
            </w:r>
            <w:r w:rsidRPr="00357067">
              <w:rPr>
                <w:sz w:val="20"/>
                <w:szCs w:val="22"/>
                <w:lang w:val="sv-SE"/>
              </w:rPr>
              <w:t>e R.L. de C.V.</w:t>
            </w:r>
          </w:p>
        </w:tc>
        <w:tc>
          <w:tcPr>
            <w:tcW w:w="2497" w:type="dxa"/>
            <w:hideMark/>
          </w:tcPr>
          <w:p w:rsidR="0057180A" w:rsidRPr="00357067" w:rsidRDefault="0057180A" w:rsidP="00591A8F">
            <w:pPr>
              <w:rPr>
                <w:sz w:val="20"/>
                <w:szCs w:val="22"/>
                <w:lang w:val="sv-SE"/>
              </w:rPr>
            </w:pPr>
            <w:r w:rsidRPr="00357067">
              <w:rPr>
                <w:sz w:val="20"/>
                <w:szCs w:val="22"/>
                <w:lang w:val="sv-SE"/>
              </w:rPr>
              <w:t>Mexico</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lang w:val="sv-SE"/>
              </w:rPr>
            </w:pPr>
            <w:r w:rsidRPr="00357067">
              <w:rPr>
                <w:sz w:val="20"/>
                <w:szCs w:val="22"/>
                <w:lang w:val="sv-SE"/>
              </w:rPr>
              <w:t xml:space="preserve">McJunkin Red Man UK Ltd </w:t>
            </w:r>
          </w:p>
        </w:tc>
        <w:tc>
          <w:tcPr>
            <w:tcW w:w="2497" w:type="dxa"/>
            <w:hideMark/>
          </w:tcPr>
          <w:p w:rsidR="0057180A" w:rsidRPr="00357067" w:rsidRDefault="0057180A" w:rsidP="00591A8F">
            <w:pPr>
              <w:rPr>
                <w:sz w:val="20"/>
                <w:szCs w:val="22"/>
                <w:lang w:val="sv-SE"/>
              </w:rPr>
            </w:pPr>
            <w:r w:rsidRPr="00357067">
              <w:rPr>
                <w:sz w:val="20"/>
                <w:szCs w:val="22"/>
                <w:lang w:val="sv-SE"/>
              </w:rPr>
              <w:t>UK</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McJunkin Venezuela</w:t>
            </w:r>
          </w:p>
        </w:tc>
        <w:tc>
          <w:tcPr>
            <w:tcW w:w="2497" w:type="dxa"/>
            <w:hideMark/>
          </w:tcPr>
          <w:p w:rsidR="0057180A" w:rsidRPr="00357067" w:rsidRDefault="0057180A" w:rsidP="00591A8F">
            <w:pPr>
              <w:rPr>
                <w:sz w:val="20"/>
                <w:szCs w:val="22"/>
              </w:rPr>
            </w:pPr>
            <w:r w:rsidRPr="00357067">
              <w:rPr>
                <w:sz w:val="20"/>
                <w:szCs w:val="22"/>
              </w:rPr>
              <w:t>Venezuela (inactive)</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Midway-Tristate Corporation</w:t>
            </w:r>
          </w:p>
        </w:tc>
        <w:tc>
          <w:tcPr>
            <w:tcW w:w="2497" w:type="dxa"/>
            <w:hideMark/>
          </w:tcPr>
          <w:p w:rsidR="0057180A" w:rsidRPr="00357067" w:rsidRDefault="0057180A" w:rsidP="00591A8F">
            <w:pPr>
              <w:rPr>
                <w:sz w:val="20"/>
                <w:szCs w:val="22"/>
              </w:rPr>
            </w:pPr>
            <w:r w:rsidRPr="00357067">
              <w:rPr>
                <w:sz w:val="20"/>
                <w:szCs w:val="22"/>
              </w:rPr>
              <w:t>U.S. (New York) (inactive)</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Milton Oil &amp; Gas Company</w:t>
            </w:r>
          </w:p>
        </w:tc>
        <w:tc>
          <w:tcPr>
            <w:tcW w:w="2497" w:type="dxa"/>
            <w:hideMark/>
          </w:tcPr>
          <w:p w:rsidR="0057180A" w:rsidRPr="00357067" w:rsidRDefault="0057180A" w:rsidP="00591A8F">
            <w:pPr>
              <w:rPr>
                <w:sz w:val="20"/>
                <w:szCs w:val="22"/>
              </w:rPr>
            </w:pPr>
            <w:r w:rsidRPr="00357067">
              <w:rPr>
                <w:sz w:val="20"/>
                <w:szCs w:val="22"/>
              </w:rPr>
              <w:t>U.S. (WV)</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Canada Holdings LLC</w:t>
            </w:r>
          </w:p>
        </w:tc>
        <w:tc>
          <w:tcPr>
            <w:tcW w:w="2497" w:type="dxa"/>
            <w:hideMark/>
          </w:tcPr>
          <w:p w:rsidR="0057180A" w:rsidRPr="00357067" w:rsidRDefault="0057180A" w:rsidP="00591A8F">
            <w:pPr>
              <w:rPr>
                <w:sz w:val="20"/>
                <w:szCs w:val="22"/>
              </w:rPr>
            </w:pPr>
            <w:r w:rsidRPr="00357067">
              <w:rPr>
                <w:sz w:val="20"/>
                <w:szCs w:val="22"/>
              </w:rPr>
              <w:t>U.S. (Delaware)</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Flangefitt Limited</w:t>
            </w:r>
          </w:p>
        </w:tc>
        <w:tc>
          <w:tcPr>
            <w:tcW w:w="2497" w:type="dxa"/>
            <w:hideMark/>
          </w:tcPr>
          <w:p w:rsidR="0057180A" w:rsidRPr="00357067" w:rsidRDefault="0057180A" w:rsidP="00591A8F">
            <w:pPr>
              <w:rPr>
                <w:sz w:val="20"/>
                <w:szCs w:val="22"/>
              </w:rPr>
            </w:pPr>
            <w:r w:rsidRPr="00357067">
              <w:rPr>
                <w:sz w:val="20"/>
                <w:szCs w:val="22"/>
              </w:rPr>
              <w:t>UK</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Australia Pty Ltd</w:t>
            </w:r>
          </w:p>
        </w:tc>
        <w:tc>
          <w:tcPr>
            <w:tcW w:w="2497" w:type="dxa"/>
            <w:hideMark/>
          </w:tcPr>
          <w:p w:rsidR="0057180A" w:rsidRPr="00357067" w:rsidRDefault="0057180A" w:rsidP="00591A8F">
            <w:pPr>
              <w:rPr>
                <w:sz w:val="20"/>
                <w:szCs w:val="22"/>
              </w:rPr>
            </w:pPr>
            <w:r w:rsidRPr="00357067">
              <w:rPr>
                <w:sz w:val="20"/>
                <w:szCs w:val="22"/>
              </w:rPr>
              <w:t>Australia</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vertAlign w:val="subscript"/>
              </w:rPr>
            </w:pPr>
            <w:r w:rsidRPr="00357067">
              <w:rPr>
                <w:sz w:val="20"/>
                <w:szCs w:val="22"/>
              </w:rPr>
              <w:t>MRC Global (Belgium) NV</w:t>
            </w:r>
          </w:p>
        </w:tc>
        <w:tc>
          <w:tcPr>
            <w:tcW w:w="2497" w:type="dxa"/>
            <w:hideMark/>
          </w:tcPr>
          <w:p w:rsidR="0057180A" w:rsidRPr="00357067" w:rsidRDefault="0057180A" w:rsidP="00591A8F">
            <w:pPr>
              <w:rPr>
                <w:sz w:val="20"/>
                <w:szCs w:val="22"/>
              </w:rPr>
            </w:pPr>
            <w:r w:rsidRPr="00357067">
              <w:rPr>
                <w:sz w:val="20"/>
                <w:szCs w:val="22"/>
              </w:rPr>
              <w:t>Belgium</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lang w:eastAsia="x-none"/>
              </w:rPr>
            </w:pPr>
            <w:r w:rsidRPr="00357067">
              <w:rPr>
                <w:sz w:val="20"/>
                <w:szCs w:val="22"/>
                <w:lang w:val="x-none" w:eastAsia="x-none"/>
              </w:rPr>
              <w:t xml:space="preserve">MRC </w:t>
            </w:r>
            <w:r w:rsidRPr="00357067">
              <w:rPr>
                <w:sz w:val="20"/>
                <w:szCs w:val="22"/>
                <w:lang w:eastAsia="x-none"/>
              </w:rPr>
              <w:t>Global (Canada) Ltd.</w:t>
            </w:r>
          </w:p>
        </w:tc>
        <w:tc>
          <w:tcPr>
            <w:tcW w:w="2497" w:type="dxa"/>
            <w:hideMark/>
          </w:tcPr>
          <w:p w:rsidR="0057180A" w:rsidRPr="00357067" w:rsidRDefault="0057180A" w:rsidP="00591A8F">
            <w:pPr>
              <w:rPr>
                <w:sz w:val="20"/>
                <w:szCs w:val="22"/>
                <w:lang w:eastAsia="x-none"/>
              </w:rPr>
            </w:pPr>
            <w:r w:rsidRPr="00357067">
              <w:rPr>
                <w:sz w:val="20"/>
                <w:szCs w:val="22"/>
                <w:lang w:eastAsia="x-none"/>
              </w:rPr>
              <w:t>Canada</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lang w:eastAsia="x-none"/>
              </w:rPr>
            </w:pPr>
            <w:r w:rsidRPr="00357067">
              <w:rPr>
                <w:sz w:val="20"/>
                <w:szCs w:val="22"/>
                <w:lang w:eastAsia="x-none"/>
              </w:rPr>
              <w:t>MRC Global (Caspian) LLP</w:t>
            </w:r>
          </w:p>
        </w:tc>
        <w:tc>
          <w:tcPr>
            <w:tcW w:w="2497" w:type="dxa"/>
            <w:hideMark/>
          </w:tcPr>
          <w:p w:rsidR="0057180A" w:rsidRPr="00357067" w:rsidRDefault="0057180A" w:rsidP="00591A8F">
            <w:pPr>
              <w:rPr>
                <w:sz w:val="20"/>
                <w:szCs w:val="22"/>
                <w:lang w:eastAsia="x-none"/>
              </w:rPr>
            </w:pPr>
            <w:r w:rsidRPr="00357067">
              <w:rPr>
                <w:sz w:val="20"/>
                <w:szCs w:val="22"/>
                <w:lang w:eastAsia="x-none"/>
              </w:rPr>
              <w:t>Kazakhstan</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Coöperatief B.A.</w:t>
            </w:r>
          </w:p>
        </w:tc>
        <w:tc>
          <w:tcPr>
            <w:tcW w:w="2497" w:type="dxa"/>
            <w:hideMark/>
          </w:tcPr>
          <w:p w:rsidR="0057180A" w:rsidRPr="00357067" w:rsidRDefault="0057180A" w:rsidP="00591A8F">
            <w:pPr>
              <w:rPr>
                <w:sz w:val="20"/>
                <w:szCs w:val="22"/>
              </w:rPr>
            </w:pPr>
            <w:r w:rsidRPr="00357067">
              <w:rPr>
                <w:sz w:val="20"/>
                <w:szCs w:val="22"/>
              </w:rPr>
              <w:t>Netherlands</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Cooperative Management LLC</w:t>
            </w:r>
          </w:p>
        </w:tc>
        <w:tc>
          <w:tcPr>
            <w:tcW w:w="2497" w:type="dxa"/>
            <w:hideMark/>
          </w:tcPr>
          <w:p w:rsidR="0057180A" w:rsidRPr="00357067" w:rsidRDefault="0057180A" w:rsidP="00591A8F">
            <w:pPr>
              <w:rPr>
                <w:sz w:val="20"/>
                <w:szCs w:val="22"/>
              </w:rPr>
            </w:pPr>
            <w:r w:rsidRPr="00357067">
              <w:rPr>
                <w:sz w:val="20"/>
                <w:szCs w:val="22"/>
              </w:rPr>
              <w:t>U.S. (Delaware)</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Distribution (Nigeria) Limited</w:t>
            </w:r>
          </w:p>
        </w:tc>
        <w:tc>
          <w:tcPr>
            <w:tcW w:w="2497" w:type="dxa"/>
            <w:hideMark/>
          </w:tcPr>
          <w:p w:rsidR="0057180A" w:rsidRPr="00357067" w:rsidRDefault="0057180A" w:rsidP="00591A8F">
            <w:pPr>
              <w:rPr>
                <w:sz w:val="20"/>
                <w:szCs w:val="22"/>
              </w:rPr>
            </w:pPr>
            <w:r w:rsidRPr="00357067">
              <w:rPr>
                <w:sz w:val="20"/>
                <w:szCs w:val="22"/>
              </w:rPr>
              <w:t>Nigeria</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(Finland) Oy</w:t>
            </w:r>
          </w:p>
        </w:tc>
        <w:tc>
          <w:tcPr>
            <w:tcW w:w="2497" w:type="dxa"/>
            <w:hideMark/>
          </w:tcPr>
          <w:p w:rsidR="0057180A" w:rsidRPr="00357067" w:rsidRDefault="0057180A" w:rsidP="00591A8F">
            <w:pPr>
              <w:rPr>
                <w:sz w:val="20"/>
                <w:szCs w:val="22"/>
              </w:rPr>
            </w:pPr>
            <w:r w:rsidRPr="00357067">
              <w:rPr>
                <w:sz w:val="20"/>
                <w:szCs w:val="22"/>
              </w:rPr>
              <w:t>Finland</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(France) SAS</w:t>
            </w:r>
          </w:p>
        </w:tc>
        <w:tc>
          <w:tcPr>
            <w:tcW w:w="2497" w:type="dxa"/>
            <w:hideMark/>
          </w:tcPr>
          <w:p w:rsidR="0057180A" w:rsidRPr="00357067" w:rsidRDefault="0057180A" w:rsidP="00591A8F">
            <w:pPr>
              <w:rPr>
                <w:sz w:val="20"/>
                <w:szCs w:val="22"/>
              </w:rPr>
            </w:pPr>
            <w:r w:rsidRPr="00357067">
              <w:rPr>
                <w:sz w:val="20"/>
                <w:szCs w:val="22"/>
              </w:rPr>
              <w:t>France</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(Germany) GmbH</w:t>
            </w:r>
          </w:p>
        </w:tc>
        <w:tc>
          <w:tcPr>
            <w:tcW w:w="2497" w:type="dxa"/>
            <w:hideMark/>
          </w:tcPr>
          <w:p w:rsidR="0057180A" w:rsidRPr="00357067" w:rsidRDefault="0057180A" w:rsidP="00591A8F">
            <w:pPr>
              <w:rPr>
                <w:sz w:val="20"/>
                <w:szCs w:val="22"/>
              </w:rPr>
            </w:pPr>
            <w:r w:rsidRPr="00357067">
              <w:rPr>
                <w:sz w:val="20"/>
                <w:szCs w:val="22"/>
              </w:rPr>
              <w:t>Germany</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(Italy) Srl</w:t>
            </w:r>
          </w:p>
        </w:tc>
        <w:tc>
          <w:tcPr>
            <w:tcW w:w="2497" w:type="dxa"/>
            <w:hideMark/>
          </w:tcPr>
          <w:p w:rsidR="0057180A" w:rsidRPr="00357067" w:rsidRDefault="0057180A" w:rsidP="00591A8F">
            <w:pPr>
              <w:rPr>
                <w:sz w:val="20"/>
                <w:szCs w:val="22"/>
              </w:rPr>
            </w:pPr>
            <w:r w:rsidRPr="00357067">
              <w:rPr>
                <w:sz w:val="20"/>
                <w:szCs w:val="22"/>
              </w:rPr>
              <w:t>Italy</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(Korea) Limited</w:t>
            </w:r>
          </w:p>
        </w:tc>
        <w:tc>
          <w:tcPr>
            <w:tcW w:w="2497" w:type="dxa"/>
            <w:hideMark/>
          </w:tcPr>
          <w:p w:rsidR="0057180A" w:rsidRPr="00357067" w:rsidRDefault="0057180A" w:rsidP="00591A8F">
            <w:pPr>
              <w:rPr>
                <w:sz w:val="20"/>
                <w:szCs w:val="22"/>
              </w:rPr>
            </w:pPr>
            <w:r w:rsidRPr="00357067">
              <w:rPr>
                <w:sz w:val="20"/>
                <w:szCs w:val="22"/>
              </w:rPr>
              <w:t>Korea</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Middle East FZE</w:t>
            </w:r>
          </w:p>
        </w:tc>
        <w:tc>
          <w:tcPr>
            <w:tcW w:w="2497" w:type="dxa"/>
            <w:hideMark/>
          </w:tcPr>
          <w:p w:rsidR="0057180A" w:rsidRPr="00357067" w:rsidRDefault="0057180A" w:rsidP="00591A8F">
            <w:pPr>
              <w:rPr>
                <w:sz w:val="20"/>
                <w:szCs w:val="22"/>
              </w:rPr>
            </w:pPr>
            <w:r w:rsidRPr="00357067">
              <w:rPr>
                <w:sz w:val="20"/>
                <w:szCs w:val="22"/>
              </w:rPr>
              <w:t>UAE</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Middle East Trading L.L.C.</w:t>
            </w:r>
            <w:r w:rsidRPr="00821D5B">
              <w:rPr>
                <w:b/>
                <w:sz w:val="18"/>
                <w:szCs w:val="22"/>
                <w:vertAlign w:val="superscript"/>
              </w:rPr>
              <w:t>1</w:t>
            </w:r>
          </w:p>
        </w:tc>
        <w:tc>
          <w:tcPr>
            <w:tcW w:w="2497" w:type="dxa"/>
            <w:hideMark/>
          </w:tcPr>
          <w:p w:rsidR="0057180A" w:rsidRPr="00357067" w:rsidRDefault="0057180A" w:rsidP="00591A8F">
            <w:pPr>
              <w:rPr>
                <w:sz w:val="20"/>
                <w:szCs w:val="22"/>
              </w:rPr>
            </w:pPr>
            <w:r w:rsidRPr="00357067">
              <w:rPr>
                <w:sz w:val="20"/>
                <w:szCs w:val="22"/>
              </w:rPr>
              <w:t>UAE</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(Netherlands) B.V.</w:t>
            </w:r>
          </w:p>
        </w:tc>
        <w:tc>
          <w:tcPr>
            <w:tcW w:w="2497" w:type="dxa"/>
            <w:hideMark/>
          </w:tcPr>
          <w:p w:rsidR="0057180A" w:rsidRPr="00357067" w:rsidRDefault="0057180A" w:rsidP="00591A8F">
            <w:pPr>
              <w:rPr>
                <w:sz w:val="20"/>
                <w:szCs w:val="22"/>
              </w:rPr>
            </w:pPr>
            <w:r w:rsidRPr="00357067">
              <w:rPr>
                <w:sz w:val="20"/>
                <w:szCs w:val="22"/>
              </w:rPr>
              <w:t>Netherlands</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(New Zealand) Limited</w:t>
            </w:r>
          </w:p>
        </w:tc>
        <w:tc>
          <w:tcPr>
            <w:tcW w:w="2497" w:type="dxa"/>
            <w:hideMark/>
          </w:tcPr>
          <w:p w:rsidR="0057180A" w:rsidRPr="00357067" w:rsidRDefault="0057180A" w:rsidP="00591A8F">
            <w:pPr>
              <w:rPr>
                <w:sz w:val="20"/>
                <w:szCs w:val="22"/>
              </w:rPr>
            </w:pPr>
            <w:r w:rsidRPr="00357067">
              <w:rPr>
                <w:sz w:val="20"/>
                <w:szCs w:val="22"/>
              </w:rPr>
              <w:t>New Zealand</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Norway AS</w:t>
            </w:r>
          </w:p>
        </w:tc>
        <w:tc>
          <w:tcPr>
            <w:tcW w:w="2497" w:type="dxa"/>
            <w:hideMark/>
          </w:tcPr>
          <w:p w:rsidR="0057180A" w:rsidRPr="00357067" w:rsidRDefault="0057180A" w:rsidP="00591A8F">
            <w:pPr>
              <w:rPr>
                <w:sz w:val="20"/>
                <w:szCs w:val="22"/>
              </w:rPr>
            </w:pPr>
            <w:r w:rsidRPr="00357067">
              <w:rPr>
                <w:sz w:val="20"/>
                <w:szCs w:val="22"/>
              </w:rPr>
              <w:t>Norway</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(Saudi Arabia) LLC</w:t>
            </w:r>
            <w:r w:rsidRPr="00821D5B">
              <w:rPr>
                <w:sz w:val="20"/>
                <w:szCs w:val="22"/>
                <w:vertAlign w:val="superscript"/>
              </w:rPr>
              <w:t>2</w:t>
            </w:r>
          </w:p>
        </w:tc>
        <w:tc>
          <w:tcPr>
            <w:tcW w:w="2497" w:type="dxa"/>
            <w:hideMark/>
          </w:tcPr>
          <w:p w:rsidR="0057180A" w:rsidRPr="00357067" w:rsidRDefault="0057180A" w:rsidP="00591A8F">
            <w:pPr>
              <w:rPr>
                <w:sz w:val="20"/>
                <w:szCs w:val="22"/>
              </w:rPr>
            </w:pPr>
            <w:r w:rsidRPr="00357067">
              <w:rPr>
                <w:sz w:val="20"/>
                <w:szCs w:val="22"/>
              </w:rPr>
              <w:t>Saudi Arabia</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 xml:space="preserve">MRC Global (Singapore) Pte. Ltd. </w:t>
            </w:r>
          </w:p>
        </w:tc>
        <w:tc>
          <w:tcPr>
            <w:tcW w:w="2497" w:type="dxa"/>
            <w:hideMark/>
          </w:tcPr>
          <w:p w:rsidR="0057180A" w:rsidRPr="00357067" w:rsidRDefault="0057180A" w:rsidP="00591A8F">
            <w:pPr>
              <w:rPr>
                <w:sz w:val="20"/>
                <w:szCs w:val="22"/>
              </w:rPr>
            </w:pPr>
            <w:r w:rsidRPr="00357067">
              <w:rPr>
                <w:sz w:val="20"/>
                <w:szCs w:val="22"/>
              </w:rPr>
              <w:t>Singapore</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(Sweden) AB</w:t>
            </w:r>
          </w:p>
        </w:tc>
        <w:tc>
          <w:tcPr>
            <w:tcW w:w="2497" w:type="dxa"/>
            <w:hideMark/>
          </w:tcPr>
          <w:p w:rsidR="0057180A" w:rsidRPr="00357067" w:rsidRDefault="0057180A" w:rsidP="00591A8F">
            <w:pPr>
              <w:rPr>
                <w:sz w:val="20"/>
                <w:szCs w:val="22"/>
              </w:rPr>
            </w:pPr>
            <w:r w:rsidRPr="00357067">
              <w:rPr>
                <w:sz w:val="20"/>
                <w:szCs w:val="22"/>
              </w:rPr>
              <w:t>Sweden</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(Thailand) Company Limited</w:t>
            </w:r>
          </w:p>
        </w:tc>
        <w:tc>
          <w:tcPr>
            <w:tcW w:w="2497" w:type="dxa"/>
            <w:hideMark/>
          </w:tcPr>
          <w:p w:rsidR="0057180A" w:rsidRPr="00357067" w:rsidRDefault="0057180A" w:rsidP="00591A8F">
            <w:pPr>
              <w:rPr>
                <w:sz w:val="20"/>
                <w:szCs w:val="22"/>
              </w:rPr>
            </w:pPr>
            <w:r w:rsidRPr="00357067">
              <w:rPr>
                <w:sz w:val="20"/>
                <w:szCs w:val="22"/>
              </w:rPr>
              <w:t>Thailand</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Global (US) Inc.</w:t>
            </w:r>
          </w:p>
        </w:tc>
        <w:tc>
          <w:tcPr>
            <w:tcW w:w="2497" w:type="dxa"/>
            <w:hideMark/>
          </w:tcPr>
          <w:p w:rsidR="0057180A" w:rsidRPr="00357067" w:rsidRDefault="0057180A" w:rsidP="00591A8F">
            <w:pPr>
              <w:rPr>
                <w:sz w:val="20"/>
                <w:szCs w:val="22"/>
              </w:rPr>
            </w:pPr>
            <w:r w:rsidRPr="00357067">
              <w:rPr>
                <w:sz w:val="20"/>
                <w:szCs w:val="22"/>
              </w:rPr>
              <w:t>U.S. (Delaware)</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Management Company</w:t>
            </w:r>
          </w:p>
        </w:tc>
        <w:tc>
          <w:tcPr>
            <w:tcW w:w="2497" w:type="dxa"/>
            <w:hideMark/>
          </w:tcPr>
          <w:p w:rsidR="0057180A" w:rsidRPr="00357067" w:rsidRDefault="0057180A" w:rsidP="00591A8F">
            <w:pPr>
              <w:rPr>
                <w:sz w:val="20"/>
                <w:szCs w:val="22"/>
              </w:rPr>
            </w:pPr>
            <w:r w:rsidRPr="00357067">
              <w:rPr>
                <w:sz w:val="20"/>
                <w:szCs w:val="22"/>
              </w:rPr>
              <w:t>U.S. (Delaware)</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Services Company LLC</w:t>
            </w:r>
          </w:p>
        </w:tc>
        <w:tc>
          <w:tcPr>
            <w:tcW w:w="2497" w:type="dxa"/>
            <w:hideMark/>
          </w:tcPr>
          <w:p w:rsidR="0057180A" w:rsidRPr="00357067" w:rsidRDefault="0057180A" w:rsidP="00591A8F">
            <w:pPr>
              <w:rPr>
                <w:sz w:val="20"/>
                <w:szCs w:val="22"/>
              </w:rPr>
            </w:pPr>
            <w:r w:rsidRPr="00357067">
              <w:rPr>
                <w:sz w:val="20"/>
                <w:szCs w:val="22"/>
              </w:rPr>
              <w:t>U.S. (Delaware)</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(Shanghai) Trading Co., Ltd.</w:t>
            </w:r>
          </w:p>
        </w:tc>
        <w:tc>
          <w:tcPr>
            <w:tcW w:w="2497" w:type="dxa"/>
            <w:hideMark/>
          </w:tcPr>
          <w:p w:rsidR="0057180A" w:rsidRPr="00357067" w:rsidRDefault="0057180A" w:rsidP="00591A8F">
            <w:pPr>
              <w:rPr>
                <w:sz w:val="20"/>
                <w:szCs w:val="22"/>
              </w:rPr>
            </w:pPr>
            <w:r w:rsidRPr="00357067">
              <w:rPr>
                <w:sz w:val="20"/>
                <w:szCs w:val="22"/>
              </w:rPr>
              <w:t>China</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SPF Pty Ltd.</w:t>
            </w:r>
          </w:p>
        </w:tc>
        <w:tc>
          <w:tcPr>
            <w:tcW w:w="2497" w:type="dxa"/>
            <w:hideMark/>
          </w:tcPr>
          <w:p w:rsidR="0057180A" w:rsidRPr="00357067" w:rsidRDefault="0057180A" w:rsidP="00591A8F">
            <w:pPr>
              <w:rPr>
                <w:sz w:val="20"/>
                <w:szCs w:val="22"/>
              </w:rPr>
            </w:pPr>
            <w:r w:rsidRPr="00357067">
              <w:rPr>
                <w:sz w:val="20"/>
                <w:szCs w:val="22"/>
              </w:rPr>
              <w:t>Australia</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Stream AS</w:t>
            </w:r>
          </w:p>
        </w:tc>
        <w:tc>
          <w:tcPr>
            <w:tcW w:w="2497" w:type="dxa"/>
            <w:hideMark/>
          </w:tcPr>
          <w:p w:rsidR="0057180A" w:rsidRPr="00357067" w:rsidRDefault="0057180A" w:rsidP="00591A8F">
            <w:pPr>
              <w:rPr>
                <w:sz w:val="20"/>
                <w:szCs w:val="22"/>
              </w:rPr>
            </w:pPr>
            <w:r w:rsidRPr="00357067">
              <w:rPr>
                <w:sz w:val="20"/>
                <w:szCs w:val="22"/>
              </w:rPr>
              <w:t>Norway</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Transmark Group B.V.</w:t>
            </w:r>
          </w:p>
        </w:tc>
        <w:tc>
          <w:tcPr>
            <w:tcW w:w="2497" w:type="dxa"/>
            <w:hideMark/>
          </w:tcPr>
          <w:p w:rsidR="0057180A" w:rsidRPr="00357067" w:rsidRDefault="0057180A" w:rsidP="00591A8F">
            <w:pPr>
              <w:rPr>
                <w:sz w:val="20"/>
                <w:szCs w:val="22"/>
              </w:rPr>
            </w:pPr>
            <w:r w:rsidRPr="00357067">
              <w:rPr>
                <w:sz w:val="20"/>
                <w:szCs w:val="22"/>
              </w:rPr>
              <w:t>Netherlands</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Transmark Holdings UK Limited</w:t>
            </w:r>
          </w:p>
        </w:tc>
        <w:tc>
          <w:tcPr>
            <w:tcW w:w="2497" w:type="dxa"/>
            <w:hideMark/>
          </w:tcPr>
          <w:p w:rsidR="0057180A" w:rsidRPr="00357067" w:rsidRDefault="0057180A" w:rsidP="00591A8F">
            <w:pPr>
              <w:rPr>
                <w:sz w:val="20"/>
                <w:szCs w:val="22"/>
              </w:rPr>
            </w:pPr>
            <w:r w:rsidRPr="00357067">
              <w:rPr>
                <w:sz w:val="20"/>
                <w:szCs w:val="22"/>
              </w:rPr>
              <w:t>UK</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MRC Transmark International B.V.</w:t>
            </w:r>
          </w:p>
        </w:tc>
        <w:tc>
          <w:tcPr>
            <w:tcW w:w="2497" w:type="dxa"/>
            <w:hideMark/>
          </w:tcPr>
          <w:p w:rsidR="0057180A" w:rsidRPr="00357067" w:rsidRDefault="0057180A" w:rsidP="00591A8F">
            <w:pPr>
              <w:rPr>
                <w:sz w:val="20"/>
                <w:szCs w:val="22"/>
              </w:rPr>
            </w:pPr>
            <w:r w:rsidRPr="00357067">
              <w:rPr>
                <w:sz w:val="20"/>
                <w:szCs w:val="22"/>
              </w:rPr>
              <w:t>Netherlands</w:t>
            </w:r>
          </w:p>
        </w:tc>
      </w:tr>
    </w:tbl>
    <w:p w:rsidR="0057180A" w:rsidRDefault="0057180A" w:rsidP="0057180A">
      <w:pPr>
        <w:rPr>
          <w:sz w:val="20"/>
          <w:szCs w:val="22"/>
        </w:rPr>
        <w:sectPr w:rsidR="0057180A" w:rsidSect="00357067">
          <w:headerReference w:type="default" r:id="rId64"/>
          <w:endnotePr>
            <w:numFmt w:val="decimal"/>
          </w:endnotePr>
          <w:pgSz w:w="12240" w:h="15840"/>
          <w:pgMar w:top="1440" w:right="1440" w:bottom="1080" w:left="1440" w:header="576" w:footer="720" w:gutter="0"/>
          <w:cols w:space="720"/>
          <w:docGrid w:linePitch="360"/>
        </w:sectPr>
      </w:pPr>
    </w:p>
    <w:p w:rsidR="0057180A" w:rsidRPr="00F760D6" w:rsidRDefault="0057180A" w:rsidP="0057180A">
      <w:pPr>
        <w:rPr>
          <w:sz w:val="20"/>
          <w:szCs w:val="22"/>
        </w:rPr>
      </w:pPr>
    </w:p>
    <w:p w:rsidR="0057180A" w:rsidRPr="00F760D6" w:rsidRDefault="0057180A" w:rsidP="0057180A">
      <w:pPr>
        <w:rPr>
          <w:sz w:val="20"/>
          <w:szCs w:val="22"/>
        </w:rPr>
      </w:pPr>
    </w:p>
    <w:tbl>
      <w:tblPr>
        <w:tblW w:w="8595" w:type="dxa"/>
        <w:jc w:val="center"/>
        <w:tblLayout w:type="fixed"/>
        <w:tblCellMar>
          <w:top w:w="29" w:type="dxa"/>
          <w:left w:w="115" w:type="dxa"/>
          <w:bottom w:w="29" w:type="dxa"/>
          <w:right w:w="115" w:type="dxa"/>
        </w:tblCellMar>
        <w:tblLook w:val="04A0" w:firstRow="1" w:lastRow="0" w:firstColumn="1" w:lastColumn="0" w:noHBand="0" w:noVBand="1"/>
      </w:tblPr>
      <w:tblGrid>
        <w:gridCol w:w="803"/>
        <w:gridCol w:w="5295"/>
        <w:gridCol w:w="2497"/>
      </w:tblGrid>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 xml:space="preserve">MRC Transmark Limited </w:t>
            </w:r>
          </w:p>
        </w:tc>
        <w:tc>
          <w:tcPr>
            <w:tcW w:w="2497" w:type="dxa"/>
            <w:hideMark/>
          </w:tcPr>
          <w:p w:rsidR="0057180A" w:rsidRPr="00357067" w:rsidRDefault="0057180A" w:rsidP="00591A8F">
            <w:pPr>
              <w:rPr>
                <w:sz w:val="20"/>
                <w:szCs w:val="22"/>
              </w:rPr>
            </w:pPr>
            <w:r w:rsidRPr="00357067">
              <w:rPr>
                <w:sz w:val="20"/>
                <w:szCs w:val="22"/>
              </w:rPr>
              <w:t>UK</w:t>
            </w:r>
          </w:p>
        </w:tc>
      </w:tr>
      <w:tr w:rsidR="0057180A" w:rsidRPr="00357067" w:rsidTr="00591A8F">
        <w:trPr>
          <w:cantSplit/>
          <w:trHeight w:val="230"/>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PT MRC Global Indonesia</w:t>
            </w:r>
          </w:p>
        </w:tc>
        <w:tc>
          <w:tcPr>
            <w:tcW w:w="2497" w:type="dxa"/>
            <w:hideMark/>
          </w:tcPr>
          <w:p w:rsidR="0057180A" w:rsidRPr="00357067" w:rsidRDefault="0057180A" w:rsidP="00591A8F">
            <w:pPr>
              <w:rPr>
                <w:sz w:val="20"/>
                <w:szCs w:val="22"/>
              </w:rPr>
            </w:pPr>
            <w:r w:rsidRPr="00357067">
              <w:rPr>
                <w:sz w:val="20"/>
                <w:szCs w:val="22"/>
              </w:rPr>
              <w:t>Indonesia</w:t>
            </w:r>
          </w:p>
        </w:tc>
      </w:tr>
      <w:tr w:rsidR="0057180A" w:rsidRPr="00357067" w:rsidTr="00591A8F">
        <w:trPr>
          <w:cantSplit/>
          <w:trHeight w:val="230"/>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PT SPF Indonesia</w:t>
            </w:r>
          </w:p>
        </w:tc>
        <w:tc>
          <w:tcPr>
            <w:tcW w:w="2497" w:type="dxa"/>
            <w:hideMark/>
          </w:tcPr>
          <w:p w:rsidR="0057180A" w:rsidRPr="00357067" w:rsidRDefault="0057180A" w:rsidP="00591A8F">
            <w:pPr>
              <w:rPr>
                <w:sz w:val="20"/>
                <w:szCs w:val="22"/>
              </w:rPr>
            </w:pPr>
            <w:r w:rsidRPr="00357067">
              <w:rPr>
                <w:sz w:val="20"/>
                <w:szCs w:val="22"/>
              </w:rPr>
              <w:t>Indonesia</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Red Man Pipe &amp; Supply International Limited</w:t>
            </w:r>
          </w:p>
        </w:tc>
        <w:tc>
          <w:tcPr>
            <w:tcW w:w="2497" w:type="dxa"/>
            <w:hideMark/>
          </w:tcPr>
          <w:p w:rsidR="0057180A" w:rsidRPr="00357067" w:rsidRDefault="0057180A" w:rsidP="00591A8F">
            <w:pPr>
              <w:rPr>
                <w:sz w:val="20"/>
                <w:szCs w:val="22"/>
              </w:rPr>
            </w:pPr>
            <w:r w:rsidRPr="00357067">
              <w:rPr>
                <w:sz w:val="20"/>
                <w:szCs w:val="22"/>
              </w:rPr>
              <w:t>Jamaica (inactive)</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Ruffner Realty Company</w:t>
            </w:r>
          </w:p>
        </w:tc>
        <w:tc>
          <w:tcPr>
            <w:tcW w:w="2497" w:type="dxa"/>
            <w:hideMark/>
          </w:tcPr>
          <w:p w:rsidR="0057180A" w:rsidRPr="00357067" w:rsidRDefault="0057180A" w:rsidP="00591A8F">
            <w:pPr>
              <w:rPr>
                <w:sz w:val="20"/>
                <w:szCs w:val="22"/>
              </w:rPr>
            </w:pPr>
            <w:r w:rsidRPr="00357067">
              <w:rPr>
                <w:sz w:val="20"/>
                <w:szCs w:val="22"/>
              </w:rPr>
              <w:t>U.S. (WV)</w:t>
            </w:r>
          </w:p>
        </w:tc>
      </w:tr>
      <w:tr w:rsidR="0057180A" w:rsidRPr="00357067" w:rsidTr="00591A8F">
        <w:trPr>
          <w:cantSplit/>
          <w:jc w:val="center"/>
        </w:trPr>
        <w:tc>
          <w:tcPr>
            <w:tcW w:w="803" w:type="dxa"/>
          </w:tcPr>
          <w:p w:rsidR="0057180A" w:rsidRPr="00357067" w:rsidRDefault="0057180A" w:rsidP="0057180A">
            <w:pPr>
              <w:numPr>
                <w:ilvl w:val="0"/>
                <w:numId w:val="39"/>
              </w:numPr>
              <w:rPr>
                <w:sz w:val="20"/>
                <w:szCs w:val="22"/>
              </w:rPr>
            </w:pPr>
          </w:p>
        </w:tc>
        <w:tc>
          <w:tcPr>
            <w:tcW w:w="5295" w:type="dxa"/>
            <w:hideMark/>
          </w:tcPr>
          <w:p w:rsidR="0057180A" w:rsidRPr="00357067" w:rsidRDefault="0057180A" w:rsidP="00591A8F">
            <w:pPr>
              <w:rPr>
                <w:sz w:val="20"/>
                <w:szCs w:val="22"/>
              </w:rPr>
            </w:pPr>
            <w:r w:rsidRPr="00357067">
              <w:rPr>
                <w:sz w:val="20"/>
                <w:szCs w:val="22"/>
              </w:rPr>
              <w:t>The South Texas Supply Company, Inc.</w:t>
            </w:r>
          </w:p>
        </w:tc>
        <w:tc>
          <w:tcPr>
            <w:tcW w:w="2497" w:type="dxa"/>
            <w:hideMark/>
          </w:tcPr>
          <w:p w:rsidR="0057180A" w:rsidRPr="00357067" w:rsidRDefault="0057180A" w:rsidP="00591A8F">
            <w:pPr>
              <w:rPr>
                <w:sz w:val="20"/>
                <w:szCs w:val="22"/>
              </w:rPr>
            </w:pPr>
            <w:r w:rsidRPr="00357067">
              <w:rPr>
                <w:sz w:val="20"/>
                <w:szCs w:val="22"/>
              </w:rPr>
              <w:t>U.S. (inactive)</w:t>
            </w:r>
          </w:p>
        </w:tc>
      </w:tr>
    </w:tbl>
    <w:p w:rsidR="0057180A" w:rsidRDefault="0057180A" w:rsidP="0057180A"/>
    <w:p w:rsidR="0057180A" w:rsidRDefault="0057180A" w:rsidP="0057180A">
      <w:pPr>
        <w:pStyle w:val="EndnoteText"/>
        <w:rPr>
          <w:lang w:val="en-US"/>
        </w:rPr>
      </w:pPr>
      <w:r w:rsidRPr="00821D5B">
        <w:rPr>
          <w:rStyle w:val="EndnoteReference"/>
        </w:rPr>
        <w:t>1</w:t>
      </w:r>
      <w:r>
        <w:t xml:space="preserve"> </w:t>
      </w:r>
      <w:r>
        <w:rPr>
          <w:lang w:val="en-US"/>
        </w:rPr>
        <w:t>MRC Global Middle East Trading L.L.C. is owned 49% by MRC Transmark Holdings UK Ltd. and 51% by Professional Partnership Investments L.L.C., a local corporate sponsor in Abu Dhabi, UAE.</w:t>
      </w:r>
    </w:p>
    <w:p w:rsidR="0057180A" w:rsidRDefault="0057180A" w:rsidP="0057180A">
      <w:pPr>
        <w:pStyle w:val="EndnoteText"/>
        <w:rPr>
          <w:lang w:val="en-US"/>
        </w:rPr>
      </w:pPr>
    </w:p>
    <w:p w:rsidR="000121CD" w:rsidRDefault="0057180A" w:rsidP="0057180A">
      <w:pPr>
        <w:pStyle w:val="NormalWeb"/>
        <w:spacing w:before="0" w:beforeAutospacing="0" w:after="0" w:afterAutospacing="0"/>
        <w:rPr>
          <w:sz w:val="20"/>
          <w:szCs w:val="20"/>
        </w:rPr>
      </w:pPr>
      <w:r>
        <w:rPr>
          <w:rStyle w:val="EndnoteReference"/>
        </w:rPr>
        <w:t>2</w:t>
      </w:r>
      <w:r>
        <w:t xml:space="preserve"> MRC Global (Saudi Arabia) LLC is owned 75% by MRC Transmark Group B.V., 12.5% by Saudi Trading &amp; Research Co Ltd, and 12.5% by Unique Effort Trading Co.,</w:t>
      </w:r>
    </w:p>
    <w:p w:rsidR="0057180A" w:rsidRDefault="0057180A" w:rsidP="0057180A">
      <w:pPr>
        <w:rPr>
          <w:sz w:val="20"/>
        </w:rPr>
      </w:pPr>
    </w:p>
    <w:p w:rsidR="0057180A" w:rsidRDefault="0057180A" w:rsidP="0057180A">
      <w:pPr>
        <w:jc w:val="center"/>
        <w:sectPr w:rsidR="0057180A" w:rsidSect="00344998">
          <w:headerReference w:type="default" r:id="rId65"/>
          <w:footerReference w:type="default" r:id="rId66"/>
          <w:pgSz w:w="12240" w:h="15840" w:code="1"/>
          <w:pgMar w:top="1440" w:right="1440" w:bottom="1440" w:left="1440" w:header="720" w:footer="720" w:gutter="0"/>
          <w:cols w:space="720"/>
          <w:docGrid w:linePitch="360"/>
        </w:sectPr>
      </w:pPr>
    </w:p>
    <w:p w:rsidR="0057180A" w:rsidRPr="00F05502" w:rsidRDefault="0057180A" w:rsidP="0057180A">
      <w:pPr>
        <w:jc w:val="right"/>
        <w:rPr>
          <w:b/>
          <w:sz w:val="20"/>
        </w:rPr>
      </w:pPr>
      <w:bookmarkStart w:id="30" w:name="para_59477614"/>
      <w:bookmarkEnd w:id="30"/>
      <w:r w:rsidRPr="00F05502">
        <w:rPr>
          <w:b/>
          <w:sz w:val="20"/>
        </w:rPr>
        <w:t>Exhibit 23.1</w:t>
      </w:r>
    </w:p>
    <w:p w:rsidR="0057180A" w:rsidRPr="00F05502" w:rsidRDefault="0057180A" w:rsidP="0057180A">
      <w:pPr>
        <w:jc w:val="center"/>
        <w:rPr>
          <w:b/>
          <w:sz w:val="20"/>
        </w:rPr>
      </w:pPr>
      <w:r w:rsidRPr="00F05502">
        <w:rPr>
          <w:b/>
          <w:sz w:val="20"/>
        </w:rPr>
        <w:t>Consent of Independent Registered Public Accounting Firm</w:t>
      </w:r>
    </w:p>
    <w:p w:rsidR="0057180A" w:rsidRPr="00F05502" w:rsidRDefault="0057180A" w:rsidP="0057180A">
      <w:pPr>
        <w:rPr>
          <w:sz w:val="20"/>
        </w:rPr>
      </w:pPr>
      <w:bookmarkStart w:id="31" w:name="para_59477615"/>
      <w:bookmarkEnd w:id="31"/>
      <w:r w:rsidRPr="00F05502">
        <w:rPr>
          <w:sz w:val="20"/>
        </w:rPr>
        <w:t>We consent to the incorporation by reference in the following Registration Statements:</w:t>
      </w:r>
    </w:p>
    <w:p w:rsidR="0057180A" w:rsidRPr="00F05502" w:rsidRDefault="0057180A" w:rsidP="0057180A">
      <w:pPr>
        <w:pStyle w:val="ListParagraph"/>
        <w:numPr>
          <w:ilvl w:val="0"/>
          <w:numId w:val="40"/>
        </w:numPr>
        <w:rPr>
          <w:rFonts w:ascii="Times New Roman" w:hAnsi="Times New Roman" w:cs="Times New Roman"/>
          <w:sz w:val="20"/>
          <w:szCs w:val="20"/>
        </w:rPr>
      </w:pPr>
      <w:r w:rsidRPr="00F05502">
        <w:rPr>
          <w:rFonts w:ascii="Times New Roman" w:hAnsi="Times New Roman" w:cs="Times New Roman"/>
          <w:sz w:val="20"/>
          <w:szCs w:val="20"/>
        </w:rPr>
        <w:t>(Form S-3 No. 333-</w:t>
      </w:r>
      <w:r w:rsidRPr="00F05502">
        <w:rPr>
          <w:rFonts w:ascii="Times New Roman" w:eastAsia="Times New Roman" w:hAnsi="Times New Roman" w:cs="Times New Roman"/>
          <w:sz w:val="20"/>
          <w:szCs w:val="20"/>
        </w:rPr>
        <w:t>187034</w:t>
      </w:r>
      <w:r w:rsidRPr="00F05502">
        <w:rPr>
          <w:rFonts w:ascii="Times New Roman" w:hAnsi="Times New Roman" w:cs="Times New Roman"/>
          <w:sz w:val="20"/>
          <w:szCs w:val="20"/>
        </w:rPr>
        <w:t>) of MRC Global Inc.</w:t>
      </w:r>
      <w:r>
        <w:rPr>
          <w:rFonts w:ascii="Times New Roman" w:hAnsi="Times New Roman" w:cs="Times New Roman"/>
          <w:sz w:val="20"/>
          <w:szCs w:val="20"/>
        </w:rPr>
        <w:t>;</w:t>
      </w:r>
      <w:r w:rsidRPr="00F05502">
        <w:rPr>
          <w:rFonts w:ascii="Times New Roman" w:hAnsi="Times New Roman" w:cs="Times New Roman"/>
          <w:sz w:val="20"/>
          <w:szCs w:val="20"/>
        </w:rPr>
        <w:t xml:space="preserve">  </w:t>
      </w:r>
    </w:p>
    <w:p w:rsidR="0057180A" w:rsidRPr="00F05502" w:rsidRDefault="0057180A" w:rsidP="0057180A">
      <w:pPr>
        <w:pStyle w:val="ListParagraph"/>
        <w:numPr>
          <w:ilvl w:val="0"/>
          <w:numId w:val="40"/>
        </w:numPr>
        <w:rPr>
          <w:rFonts w:ascii="Times New Roman" w:hAnsi="Times New Roman" w:cs="Times New Roman"/>
          <w:sz w:val="20"/>
          <w:szCs w:val="20"/>
        </w:rPr>
      </w:pPr>
      <w:r w:rsidRPr="00F05502">
        <w:rPr>
          <w:rFonts w:ascii="Times New Roman" w:hAnsi="Times New Roman" w:cs="Times New Roman"/>
          <w:sz w:val="20"/>
          <w:szCs w:val="20"/>
        </w:rPr>
        <w:t>(Form S-8 No. 333-180777) pertaining to the MCJ Holding Corporation 2007 Stock Option Plan and MRC Global Inc. 2011 Omnibus Incentive Plan</w:t>
      </w:r>
      <w:r>
        <w:rPr>
          <w:rFonts w:ascii="Times New Roman" w:hAnsi="Times New Roman" w:cs="Times New Roman"/>
          <w:sz w:val="20"/>
          <w:szCs w:val="20"/>
        </w:rPr>
        <w:t>;</w:t>
      </w:r>
    </w:p>
    <w:p w:rsidR="0057180A" w:rsidRPr="00F05502" w:rsidRDefault="0057180A" w:rsidP="0057180A">
      <w:pPr>
        <w:pStyle w:val="ListParagraph"/>
        <w:numPr>
          <w:ilvl w:val="0"/>
          <w:numId w:val="40"/>
        </w:numPr>
        <w:rPr>
          <w:rFonts w:ascii="Times New Roman" w:hAnsi="Times New Roman" w:cs="Times New Roman"/>
          <w:sz w:val="20"/>
          <w:szCs w:val="20"/>
        </w:rPr>
      </w:pPr>
      <w:r w:rsidRPr="00F05502">
        <w:rPr>
          <w:rFonts w:ascii="Times New Roman" w:hAnsi="Times New Roman" w:cs="Times New Roman"/>
          <w:sz w:val="20"/>
          <w:szCs w:val="20"/>
        </w:rPr>
        <w:t>(Form S-3 No. 333-206456) of MRC Global Inc.</w:t>
      </w:r>
      <w:r>
        <w:rPr>
          <w:rFonts w:ascii="Times New Roman" w:hAnsi="Times New Roman" w:cs="Times New Roman"/>
          <w:sz w:val="20"/>
          <w:szCs w:val="20"/>
        </w:rPr>
        <w:t>;</w:t>
      </w:r>
      <w:r w:rsidRPr="00F05502">
        <w:rPr>
          <w:rFonts w:ascii="Times New Roman" w:hAnsi="Times New Roman" w:cs="Times New Roman"/>
          <w:sz w:val="20"/>
          <w:szCs w:val="20"/>
        </w:rPr>
        <w:t xml:space="preserve"> </w:t>
      </w:r>
    </w:p>
    <w:p w:rsidR="0057180A" w:rsidRDefault="0057180A" w:rsidP="0057180A">
      <w:pPr>
        <w:pStyle w:val="ListParagraph"/>
        <w:numPr>
          <w:ilvl w:val="0"/>
          <w:numId w:val="40"/>
        </w:numPr>
        <w:rPr>
          <w:rFonts w:ascii="Times New Roman" w:hAnsi="Times New Roman" w:cs="Times New Roman"/>
          <w:sz w:val="20"/>
          <w:szCs w:val="20"/>
        </w:rPr>
      </w:pPr>
      <w:r w:rsidRPr="00F05502">
        <w:rPr>
          <w:rFonts w:ascii="Times New Roman" w:hAnsi="Times New Roman" w:cs="Times New Roman"/>
          <w:sz w:val="20"/>
          <w:szCs w:val="20"/>
        </w:rPr>
        <w:t>(Form S-8 No. 333-206455) pertaining to the MRC Global Inc. 2011 Omnibus Incentive Plan, as amended, and related prospectus</w:t>
      </w:r>
      <w:r>
        <w:rPr>
          <w:rFonts w:ascii="Times New Roman" w:hAnsi="Times New Roman" w:cs="Times New Roman"/>
          <w:sz w:val="20"/>
          <w:szCs w:val="20"/>
        </w:rPr>
        <w:t>;</w:t>
      </w:r>
    </w:p>
    <w:p w:rsidR="0057180A" w:rsidRDefault="0057180A" w:rsidP="0057180A">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(Form S-3 No. 333-226883) of MRC Global, Inc.; and</w:t>
      </w:r>
    </w:p>
    <w:p w:rsidR="0057180A" w:rsidRPr="00F05502" w:rsidRDefault="0057180A" w:rsidP="0057180A">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(Form S-8 No. 333-231222) pertaining to the MRC Global Inc. 2011 Omnibus Incentive Plan, as amended, and related prospectus</w:t>
      </w:r>
    </w:p>
    <w:p w:rsidR="0057180A" w:rsidRPr="00F05502" w:rsidRDefault="0057180A" w:rsidP="0057180A">
      <w:pPr>
        <w:rPr>
          <w:sz w:val="20"/>
        </w:rPr>
      </w:pPr>
      <w:r w:rsidRPr="00F05502">
        <w:rPr>
          <w:sz w:val="20"/>
        </w:rPr>
        <w:t>of our reports dated February 1</w:t>
      </w:r>
      <w:r>
        <w:rPr>
          <w:sz w:val="20"/>
        </w:rPr>
        <w:t>4</w:t>
      </w:r>
      <w:r w:rsidRPr="00F05502">
        <w:rPr>
          <w:sz w:val="20"/>
        </w:rPr>
        <w:t>, 20</w:t>
      </w:r>
      <w:r>
        <w:rPr>
          <w:sz w:val="20"/>
        </w:rPr>
        <w:t>20</w:t>
      </w:r>
      <w:r w:rsidRPr="00F05502">
        <w:rPr>
          <w:sz w:val="20"/>
        </w:rPr>
        <w:t>, with respect to the consolidated financial statements of MRC Global Inc., and the effectiveness of internal control over financial reporting of MRC Global Inc., included in this Annual Report (Form 10-K) of MRC Global Inc. for the year ended December 31, 201</w:t>
      </w:r>
      <w:r>
        <w:rPr>
          <w:sz w:val="20"/>
        </w:rPr>
        <w:t>9</w:t>
      </w:r>
      <w:r w:rsidRPr="00F05502">
        <w:rPr>
          <w:sz w:val="20"/>
        </w:rPr>
        <w:t>.</w:t>
      </w:r>
    </w:p>
    <w:p w:rsidR="0057180A" w:rsidRDefault="0057180A" w:rsidP="0057180A">
      <w:pPr>
        <w:pStyle w:val="NormalWeb"/>
        <w:spacing w:before="180" w:beforeAutospacing="0" w:after="0" w:afterAutospacing="0"/>
        <w:rPr>
          <w:sz w:val="20"/>
          <w:szCs w:val="20"/>
        </w:rPr>
      </w:pPr>
      <w:r>
        <w:rPr>
          <w:sz w:val="20"/>
          <w:szCs w:val="20"/>
        </w:rPr>
        <w:t xml:space="preserve">/s/ Ernst &amp; Young LLP </w:t>
      </w:r>
    </w:p>
    <w:p w:rsidR="0057180A" w:rsidRPr="00F05502" w:rsidRDefault="0057180A" w:rsidP="0057180A">
      <w:pPr>
        <w:tabs>
          <w:tab w:val="left" w:pos="1141"/>
        </w:tabs>
        <w:rPr>
          <w:sz w:val="20"/>
        </w:rPr>
      </w:pPr>
      <w:r w:rsidRPr="00F05502">
        <w:rPr>
          <w:sz w:val="20"/>
        </w:rPr>
        <w:tab/>
      </w:r>
      <w:r w:rsidRPr="00F05502">
        <w:rPr>
          <w:sz w:val="20"/>
        </w:rPr>
        <w:tab/>
      </w:r>
      <w:r w:rsidRPr="00F05502">
        <w:rPr>
          <w:sz w:val="20"/>
        </w:rPr>
        <w:tab/>
      </w:r>
      <w:r w:rsidRPr="00F05502">
        <w:rPr>
          <w:sz w:val="20"/>
        </w:rPr>
        <w:tab/>
      </w:r>
      <w:r w:rsidRPr="00F05502">
        <w:rPr>
          <w:sz w:val="20"/>
        </w:rPr>
        <w:tab/>
      </w:r>
      <w:r w:rsidRPr="00F05502">
        <w:rPr>
          <w:sz w:val="20"/>
        </w:rPr>
        <w:tab/>
      </w:r>
      <w:r w:rsidRPr="00F05502">
        <w:rPr>
          <w:sz w:val="20"/>
        </w:rPr>
        <w:tab/>
      </w:r>
    </w:p>
    <w:p w:rsidR="0057180A" w:rsidRPr="00F05502" w:rsidRDefault="0057180A" w:rsidP="0057180A">
      <w:pPr>
        <w:pStyle w:val="NoSpacing"/>
        <w:rPr>
          <w:rFonts w:ascii="Times New Roman" w:hAnsi="Times New Roman" w:cs="Times New Roman"/>
          <w:sz w:val="20"/>
          <w:szCs w:val="20"/>
        </w:rPr>
      </w:pPr>
      <w:r w:rsidRPr="00F05502">
        <w:rPr>
          <w:rFonts w:ascii="Times New Roman" w:hAnsi="Times New Roman" w:cs="Times New Roman"/>
          <w:sz w:val="20"/>
          <w:szCs w:val="20"/>
        </w:rPr>
        <w:t>Houston, Texas</w:t>
      </w:r>
    </w:p>
    <w:p w:rsidR="0057180A" w:rsidRPr="00F05502" w:rsidRDefault="0057180A" w:rsidP="0057180A">
      <w:pPr>
        <w:pStyle w:val="NoSpacing"/>
        <w:rPr>
          <w:rFonts w:ascii="Times New Roman" w:hAnsi="Times New Roman" w:cs="Times New Roman"/>
          <w:sz w:val="20"/>
          <w:szCs w:val="20"/>
        </w:rPr>
      </w:pPr>
      <w:r w:rsidRPr="00F05502">
        <w:rPr>
          <w:rFonts w:ascii="Times New Roman" w:hAnsi="Times New Roman" w:cs="Times New Roman"/>
          <w:sz w:val="20"/>
          <w:szCs w:val="20"/>
        </w:rPr>
        <w:t>February 1</w:t>
      </w:r>
      <w:r>
        <w:rPr>
          <w:rFonts w:ascii="Times New Roman" w:hAnsi="Times New Roman" w:cs="Times New Roman"/>
          <w:sz w:val="20"/>
          <w:szCs w:val="20"/>
        </w:rPr>
        <w:t>4</w:t>
      </w:r>
      <w:r w:rsidRPr="00F05502">
        <w:rPr>
          <w:rFonts w:ascii="Times New Roman" w:hAnsi="Times New Roman" w:cs="Times New Roman"/>
          <w:sz w:val="20"/>
          <w:szCs w:val="20"/>
        </w:rPr>
        <w:t>, 20</w:t>
      </w:r>
      <w:r>
        <w:rPr>
          <w:rFonts w:ascii="Times New Roman" w:hAnsi="Times New Roman" w:cs="Times New Roman"/>
          <w:sz w:val="20"/>
          <w:szCs w:val="20"/>
        </w:rPr>
        <w:t>20</w:t>
      </w:r>
    </w:p>
    <w:p w:rsidR="0057180A" w:rsidRPr="00F05502" w:rsidRDefault="0057180A" w:rsidP="0057180A">
      <w:pPr>
        <w:tabs>
          <w:tab w:val="left" w:pos="1141"/>
        </w:tabs>
        <w:rPr>
          <w:sz w:val="20"/>
        </w:rPr>
      </w:pPr>
    </w:p>
    <w:p w:rsidR="0057180A" w:rsidRPr="006D4D4A" w:rsidRDefault="0057180A" w:rsidP="0057180A"/>
    <w:p w:rsidR="0057180A" w:rsidRDefault="0057180A" w:rsidP="0057180A">
      <w:pPr>
        <w:jc w:val="center"/>
        <w:sectPr w:rsidR="0057180A" w:rsidSect="00344998">
          <w:headerReference w:type="default" r:id="rId67"/>
          <w:footerReference w:type="default" r:id="rId68"/>
          <w:pgSz w:w="12240" w:h="15840" w:code="1"/>
          <w:pgMar w:top="1440" w:right="1440" w:bottom="1440" w:left="1440" w:header="720" w:footer="720" w:gutter="0"/>
          <w:cols w:space="720"/>
          <w:docGrid w:linePitch="360"/>
        </w:sectPr>
      </w:pPr>
    </w:p>
    <w:p w:rsidR="0057180A" w:rsidRDefault="0057180A" w:rsidP="0057180A">
      <w:pPr>
        <w:spacing w:before="180"/>
        <w:jc w:val="right"/>
        <w:rPr>
          <w:szCs w:val="24"/>
        </w:rPr>
      </w:pPr>
      <w:r>
        <w:rPr>
          <w:b/>
          <w:bCs/>
          <w:sz w:val="20"/>
        </w:rPr>
        <w:t xml:space="preserve">Exhibit 31.1 </w:t>
      </w:r>
    </w:p>
    <w:p w:rsidR="0057180A" w:rsidRDefault="0057180A" w:rsidP="0057180A">
      <w:pPr>
        <w:keepNext/>
        <w:spacing w:before="270"/>
        <w:jc w:val="center"/>
        <w:rPr>
          <w:szCs w:val="24"/>
        </w:rPr>
      </w:pPr>
      <w:r>
        <w:rPr>
          <w:b/>
          <w:bCs/>
          <w:sz w:val="20"/>
        </w:rPr>
        <w:t xml:space="preserve">CERTIFICATION </w:t>
      </w:r>
    </w:p>
    <w:p w:rsidR="0057180A" w:rsidRDefault="0057180A" w:rsidP="0057180A">
      <w:pPr>
        <w:keepNext/>
        <w:spacing w:before="180"/>
        <w:rPr>
          <w:szCs w:val="24"/>
        </w:rPr>
      </w:pPr>
      <w:r>
        <w:rPr>
          <w:sz w:val="20"/>
        </w:rPr>
        <w:t xml:space="preserve">I, Andrew R. Lane, certify that: </w:t>
      </w:r>
    </w:p>
    <w:p w:rsidR="0057180A" w:rsidRDefault="0057180A" w:rsidP="0057180A">
      <w:pPr>
        <w:spacing w:before="90"/>
        <w:ind w:left="489" w:hanging="490"/>
        <w:rPr>
          <w:szCs w:val="24"/>
        </w:rPr>
      </w:pPr>
      <w:r>
        <w:rPr>
          <w:sz w:val="20"/>
        </w:rPr>
        <w:t>1.</w:t>
      </w:r>
      <w:r>
        <w:rPr>
          <w:sz w:val="20"/>
        </w:rPr>
        <w:tab/>
        <w:t xml:space="preserve">I have reviewed this Annual Report on Form 10-K for the fiscal year ended December 31, 2019 of MRC Global Inc.; </w:t>
      </w:r>
    </w:p>
    <w:p w:rsidR="0057180A" w:rsidRDefault="0057180A" w:rsidP="0057180A">
      <w:pPr>
        <w:spacing w:before="180"/>
        <w:ind w:left="489" w:hanging="490"/>
        <w:rPr>
          <w:szCs w:val="24"/>
        </w:rPr>
      </w:pPr>
      <w:r>
        <w:rPr>
          <w:sz w:val="20"/>
        </w:rPr>
        <w:t>2.</w:t>
      </w:r>
      <w:r>
        <w:rPr>
          <w:sz w:val="20"/>
        </w:rPr>
        <w:tab/>
        <w:t xml:space="preserve">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rsidR="0057180A" w:rsidRDefault="0057180A" w:rsidP="0057180A">
      <w:pPr>
        <w:spacing w:before="180"/>
        <w:ind w:left="489" w:hanging="490"/>
        <w:rPr>
          <w:szCs w:val="24"/>
        </w:rPr>
      </w:pPr>
      <w:r>
        <w:rPr>
          <w:sz w:val="20"/>
        </w:rPr>
        <w:t>3.</w:t>
      </w:r>
      <w:r>
        <w:rPr>
          <w:sz w:val="20"/>
        </w:rPr>
        <w:tab/>
        <w:t xml:space="preserve">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p w:rsidR="0057180A" w:rsidRDefault="0057180A" w:rsidP="0057180A">
      <w:pPr>
        <w:keepNext/>
        <w:spacing w:before="180"/>
        <w:ind w:left="489" w:hanging="490"/>
        <w:rPr>
          <w:szCs w:val="24"/>
        </w:rPr>
      </w:pPr>
      <w:r>
        <w:rPr>
          <w:sz w:val="20"/>
        </w:rPr>
        <w:t>4.</w:t>
      </w:r>
      <w:r>
        <w:rPr>
          <w:sz w:val="20"/>
        </w:rPr>
        <w:tab/>
        <w:t xml:space="preserve">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 </w:t>
      </w:r>
    </w:p>
    <w:p w:rsidR="0057180A" w:rsidRDefault="0057180A" w:rsidP="0057180A">
      <w:pPr>
        <w:spacing w:before="90"/>
        <w:ind w:left="979" w:hanging="490"/>
        <w:rPr>
          <w:sz w:val="20"/>
        </w:rPr>
      </w:pPr>
      <w:r>
        <w:rPr>
          <w:sz w:val="20"/>
        </w:rPr>
        <w:t>a.</w:t>
      </w:r>
      <w:r>
        <w:rPr>
          <w:sz w:val="20"/>
        </w:rPr>
        <w:tab/>
        <w:t xml:space="preserve">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rsidR="0057180A" w:rsidRDefault="0057180A" w:rsidP="0057180A">
      <w:pPr>
        <w:spacing w:before="90"/>
        <w:ind w:left="979" w:hanging="490"/>
        <w:rPr>
          <w:szCs w:val="24"/>
        </w:rPr>
      </w:pPr>
      <w:r>
        <w:rPr>
          <w:sz w:val="20"/>
        </w:rPr>
        <w:t xml:space="preserve">b. </w:t>
      </w:r>
      <w:r>
        <w:rPr>
          <w:sz w:val="20"/>
        </w:rPr>
        <w:tab/>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rsidR="0057180A" w:rsidRDefault="0057180A" w:rsidP="0057180A">
      <w:pPr>
        <w:spacing w:before="90"/>
        <w:ind w:left="979" w:hanging="490"/>
        <w:rPr>
          <w:szCs w:val="24"/>
        </w:rPr>
      </w:pPr>
      <w:r>
        <w:rPr>
          <w:sz w:val="20"/>
        </w:rPr>
        <w:t>c.</w:t>
      </w:r>
      <w:r>
        <w:rPr>
          <w:sz w:val="20"/>
        </w:rPr>
        <w:tab/>
        <w:t xml:space="preserve">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rsidR="0057180A" w:rsidRDefault="0057180A" w:rsidP="0057180A">
      <w:pPr>
        <w:spacing w:before="90"/>
        <w:ind w:left="979" w:hanging="490"/>
        <w:rPr>
          <w:szCs w:val="24"/>
        </w:rPr>
      </w:pPr>
      <w:r>
        <w:rPr>
          <w:sz w:val="20"/>
        </w:rPr>
        <w:t>d.</w:t>
      </w:r>
      <w:r>
        <w:rPr>
          <w:sz w:val="20"/>
        </w:rPr>
        <w:tab/>
        <w:t xml:space="preserve">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rsidR="0057180A" w:rsidRDefault="0057180A" w:rsidP="0057180A">
      <w:pPr>
        <w:keepNext/>
        <w:spacing w:before="180"/>
        <w:ind w:left="489" w:hanging="490"/>
        <w:rPr>
          <w:szCs w:val="24"/>
        </w:rPr>
      </w:pPr>
      <w:r>
        <w:rPr>
          <w:sz w:val="20"/>
        </w:rPr>
        <w:t>5.</w:t>
      </w:r>
      <w:r>
        <w:rPr>
          <w:sz w:val="20"/>
        </w:rPr>
        <w:tab/>
        <w:t xml:space="preserve">The registrant’s other certifying officer and I have disclosed, based on our most recent evaluation of internal control over financial reporting, to the registrant’s auditors and the audit committee of the registrant’s board of directors (or persons performing the equivalent functions): </w:t>
      </w:r>
    </w:p>
    <w:p w:rsidR="0057180A" w:rsidRDefault="0057180A" w:rsidP="0057180A">
      <w:pPr>
        <w:spacing w:before="90"/>
        <w:ind w:left="979" w:hanging="490"/>
        <w:rPr>
          <w:szCs w:val="24"/>
        </w:rPr>
      </w:pPr>
      <w:r>
        <w:rPr>
          <w:sz w:val="20"/>
        </w:rPr>
        <w:t>a.</w:t>
      </w:r>
      <w:r>
        <w:rPr>
          <w:sz w:val="20"/>
        </w:rPr>
        <w:tab/>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p w:rsidR="0057180A" w:rsidRDefault="0057180A" w:rsidP="0057180A">
      <w:pPr>
        <w:spacing w:before="90"/>
        <w:ind w:left="979" w:hanging="490"/>
        <w:rPr>
          <w:szCs w:val="24"/>
        </w:rPr>
      </w:pPr>
      <w:r>
        <w:rPr>
          <w:sz w:val="20"/>
        </w:rPr>
        <w:t>b.</w:t>
      </w:r>
      <w:r>
        <w:rPr>
          <w:sz w:val="20"/>
        </w:rPr>
        <w:tab/>
        <w:t xml:space="preserve">Any fraud, whether or not material, that involves management or other employees who have a significant role in the registrant’s internal control over financial reporting. </w:t>
      </w:r>
    </w:p>
    <w:p w:rsidR="0057180A" w:rsidRDefault="0057180A" w:rsidP="0057180A">
      <w:pPr>
        <w:spacing w:before="270"/>
        <w:rPr>
          <w:szCs w:val="24"/>
        </w:rPr>
      </w:pPr>
      <w:r>
        <w:rPr>
          <w:sz w:val="20"/>
        </w:rPr>
        <w:t>Date: February 14, 2020</w:t>
      </w:r>
    </w:p>
    <w:p w:rsidR="0057180A" w:rsidRPr="00997379" w:rsidRDefault="0057180A" w:rsidP="0057180A">
      <w:pPr>
        <w:keepNext/>
        <w:rPr>
          <w:sz w:val="18"/>
          <w:szCs w:val="18"/>
        </w:rPr>
      </w:pPr>
      <w:r w:rsidRPr="00997379">
        <w:rPr>
          <w:sz w:val="18"/>
          <w:szCs w:val="18"/>
        </w:rPr>
        <w:t> </w:t>
      </w:r>
    </w:p>
    <w:tbl>
      <w:tblPr>
        <w:tblW w:w="2000" w:type="pct"/>
        <w:jc w:val="right"/>
        <w:tblCellMar>
          <w:left w:w="0" w:type="dxa"/>
          <w:right w:w="0" w:type="dxa"/>
        </w:tblCellMar>
        <w:tblLook w:val="04A0" w:firstRow="1" w:lastRow="0" w:firstColumn="1" w:lastColumn="0" w:noHBand="0" w:noVBand="1"/>
      </w:tblPr>
      <w:tblGrid>
        <w:gridCol w:w="597"/>
        <w:gridCol w:w="3147"/>
      </w:tblGrid>
      <w:tr w:rsidR="0057180A" w:rsidRPr="00997379" w:rsidTr="00591A8F">
        <w:trPr>
          <w:trHeight w:hRule="exact" w:val="20"/>
          <w:jc w:val="right"/>
        </w:trPr>
        <w:tc>
          <w:tcPr>
            <w:tcW w:w="603" w:type="dxa"/>
            <w:tcBorders>
              <w:top w:val="nil"/>
              <w:left w:val="nil"/>
              <w:bottom w:val="nil"/>
              <w:right w:val="nil"/>
            </w:tcBorders>
            <w:vAlign w:val="center"/>
          </w:tcPr>
          <w:p w:rsidR="0057180A" w:rsidRDefault="0057180A" w:rsidP="00591A8F">
            <w:pPr>
              <w:rPr>
                <w:sz w:val="2"/>
              </w:rPr>
            </w:pPr>
          </w:p>
        </w:tc>
        <w:tc>
          <w:tcPr>
            <w:tcW w:w="3717" w:type="dxa"/>
            <w:tcBorders>
              <w:top w:val="nil"/>
              <w:left w:val="nil"/>
              <w:bottom w:val="nil"/>
              <w:right w:val="nil"/>
            </w:tcBorders>
            <w:vAlign w:val="center"/>
          </w:tcPr>
          <w:p w:rsidR="0057180A" w:rsidRDefault="0057180A" w:rsidP="00591A8F">
            <w:pPr>
              <w:rPr>
                <w:sz w:val="2"/>
              </w:rPr>
            </w:pPr>
          </w:p>
        </w:tc>
      </w:tr>
      <w:tr w:rsidR="0057180A" w:rsidRPr="00997379" w:rsidTr="00591A8F">
        <w:trPr>
          <w:jc w:val="right"/>
        </w:trPr>
        <w:tc>
          <w:tcPr>
            <w:tcW w:w="603" w:type="dxa"/>
            <w:vAlign w:val="center"/>
          </w:tcPr>
          <w:p w:rsidR="0057180A" w:rsidRPr="00997379" w:rsidRDefault="0057180A" w:rsidP="00591A8F">
            <w:pPr>
              <w:rPr>
                <w:sz w:val="2"/>
                <w:szCs w:val="24"/>
              </w:rPr>
            </w:pPr>
          </w:p>
        </w:tc>
        <w:tc>
          <w:tcPr>
            <w:tcW w:w="3717" w:type="dxa"/>
            <w:vAlign w:val="center"/>
          </w:tcPr>
          <w:p w:rsidR="0057180A" w:rsidRPr="00997379" w:rsidRDefault="0057180A" w:rsidP="00591A8F">
            <w:pPr>
              <w:rPr>
                <w:sz w:val="2"/>
                <w:szCs w:val="24"/>
              </w:rPr>
            </w:pPr>
          </w:p>
        </w:tc>
      </w:tr>
      <w:tr w:rsidR="0057180A" w:rsidRPr="00997379" w:rsidTr="00591A8F">
        <w:trPr>
          <w:jc w:val="right"/>
        </w:trPr>
        <w:tc>
          <w:tcPr>
            <w:tcW w:w="4320" w:type="dxa"/>
            <w:gridSpan w:val="2"/>
            <w:hideMark/>
          </w:tcPr>
          <w:p w:rsidR="0057180A" w:rsidRPr="00997379" w:rsidRDefault="0057180A" w:rsidP="00591A8F">
            <w:pPr>
              <w:rPr>
                <w:szCs w:val="24"/>
              </w:rPr>
            </w:pPr>
            <w:r w:rsidRPr="00997379">
              <w:rPr>
                <w:sz w:val="20"/>
              </w:rPr>
              <w:t>/s/ Andrew R. Lane</w:t>
            </w:r>
          </w:p>
          <w:p w:rsidR="0057180A" w:rsidRPr="00997379" w:rsidRDefault="0057180A" w:rsidP="00591A8F">
            <w:pPr>
              <w:pBdr>
                <w:top w:val="single" w:sz="8" w:space="1" w:color="auto"/>
              </w:pBdr>
              <w:spacing w:before="20" w:line="20" w:lineRule="exact"/>
              <w:jc w:val="center"/>
              <w:rPr>
                <w:sz w:val="8"/>
                <w:szCs w:val="8"/>
              </w:rPr>
            </w:pPr>
            <w:r w:rsidRPr="00997379">
              <w:rPr>
                <w:sz w:val="8"/>
                <w:szCs w:val="8"/>
              </w:rPr>
              <w:t> </w:t>
            </w:r>
          </w:p>
        </w:tc>
      </w:tr>
      <w:tr w:rsidR="0057180A" w:rsidRPr="00997379" w:rsidTr="00591A8F">
        <w:trPr>
          <w:jc w:val="right"/>
        </w:trPr>
        <w:tc>
          <w:tcPr>
            <w:tcW w:w="603" w:type="dxa"/>
            <w:hideMark/>
          </w:tcPr>
          <w:p w:rsidR="0057180A" w:rsidRPr="00997379" w:rsidRDefault="0057180A" w:rsidP="00591A8F">
            <w:pPr>
              <w:rPr>
                <w:szCs w:val="24"/>
              </w:rPr>
            </w:pPr>
            <w:r w:rsidRPr="00997379">
              <w:rPr>
                <w:sz w:val="20"/>
              </w:rPr>
              <w:t>Name: </w:t>
            </w:r>
          </w:p>
        </w:tc>
        <w:tc>
          <w:tcPr>
            <w:tcW w:w="3717" w:type="dxa"/>
            <w:vAlign w:val="bottom"/>
            <w:hideMark/>
          </w:tcPr>
          <w:p w:rsidR="0057180A" w:rsidRPr="00A7213D" w:rsidRDefault="0057180A" w:rsidP="00591A8F">
            <w:pPr>
              <w:rPr>
                <w:sz w:val="20"/>
              </w:rPr>
            </w:pPr>
            <w:r w:rsidRPr="00997379">
              <w:rPr>
                <w:sz w:val="20"/>
              </w:rPr>
              <w:t>Andrew R. Lane</w:t>
            </w:r>
          </w:p>
        </w:tc>
      </w:tr>
      <w:tr w:rsidR="0057180A" w:rsidRPr="00997379" w:rsidTr="00591A8F">
        <w:trPr>
          <w:jc w:val="right"/>
        </w:trPr>
        <w:tc>
          <w:tcPr>
            <w:tcW w:w="603" w:type="dxa"/>
            <w:hideMark/>
          </w:tcPr>
          <w:p w:rsidR="0057180A" w:rsidRPr="00997379" w:rsidRDefault="0057180A" w:rsidP="00591A8F">
            <w:pPr>
              <w:keepNext/>
              <w:spacing w:before="100" w:beforeAutospacing="1" w:after="100" w:afterAutospacing="1"/>
              <w:rPr>
                <w:szCs w:val="24"/>
              </w:rPr>
            </w:pPr>
            <w:r w:rsidRPr="00997379">
              <w:rPr>
                <w:sz w:val="20"/>
              </w:rPr>
              <w:t>Title:</w:t>
            </w:r>
          </w:p>
        </w:tc>
        <w:tc>
          <w:tcPr>
            <w:tcW w:w="3717" w:type="dxa"/>
            <w:vAlign w:val="center"/>
            <w:hideMark/>
          </w:tcPr>
          <w:p w:rsidR="0057180A" w:rsidRPr="00997379" w:rsidRDefault="0057180A" w:rsidP="00591A8F">
            <w:pPr>
              <w:rPr>
                <w:szCs w:val="24"/>
              </w:rPr>
            </w:pPr>
            <w:r w:rsidRPr="00997379">
              <w:rPr>
                <w:sz w:val="20"/>
              </w:rPr>
              <w:t>President and Chief Executive Officer</w:t>
            </w:r>
          </w:p>
        </w:tc>
      </w:tr>
    </w:tbl>
    <w:p w:rsidR="0057180A" w:rsidRDefault="0057180A" w:rsidP="0057180A"/>
    <w:p w:rsidR="0057180A" w:rsidRDefault="0057180A" w:rsidP="0057180A"/>
    <w:p w:rsidR="0057180A" w:rsidRDefault="0057180A" w:rsidP="0057180A">
      <w:pPr>
        <w:jc w:val="center"/>
        <w:sectPr w:rsidR="0057180A">
          <w:pgSz w:w="12240" w:h="15840"/>
          <w:pgMar w:top="1440" w:right="1440" w:bottom="1440" w:left="1440" w:header="720" w:footer="720" w:gutter="0"/>
          <w:cols w:space="720"/>
          <w:docGrid w:linePitch="360"/>
        </w:sectPr>
      </w:pPr>
    </w:p>
    <w:p w:rsidR="0057180A" w:rsidRPr="00D2774A" w:rsidRDefault="0057180A" w:rsidP="0057180A">
      <w:pPr>
        <w:rPr>
          <w:sz w:val="2"/>
          <w:szCs w:val="2"/>
        </w:rPr>
      </w:pPr>
    </w:p>
    <w:p w:rsidR="0057180A" w:rsidRDefault="0057180A" w:rsidP="0057180A">
      <w:pPr>
        <w:spacing w:before="180"/>
        <w:jc w:val="right"/>
        <w:rPr>
          <w:szCs w:val="24"/>
        </w:rPr>
      </w:pPr>
      <w:r>
        <w:rPr>
          <w:b/>
          <w:bCs/>
          <w:sz w:val="20"/>
        </w:rPr>
        <w:t xml:space="preserve">Exhibit 31.2 </w:t>
      </w:r>
    </w:p>
    <w:p w:rsidR="0057180A" w:rsidRDefault="0057180A" w:rsidP="0057180A">
      <w:pPr>
        <w:keepNext/>
        <w:spacing w:before="270"/>
        <w:jc w:val="center"/>
        <w:rPr>
          <w:szCs w:val="24"/>
        </w:rPr>
      </w:pPr>
      <w:r>
        <w:rPr>
          <w:b/>
          <w:bCs/>
          <w:sz w:val="20"/>
        </w:rPr>
        <w:t xml:space="preserve">CERTIFICATION </w:t>
      </w:r>
    </w:p>
    <w:p w:rsidR="0057180A" w:rsidRDefault="0057180A" w:rsidP="0057180A">
      <w:pPr>
        <w:keepNext/>
        <w:spacing w:before="180"/>
        <w:rPr>
          <w:szCs w:val="24"/>
        </w:rPr>
      </w:pPr>
      <w:r>
        <w:rPr>
          <w:sz w:val="20"/>
        </w:rPr>
        <w:t xml:space="preserve">I, James E. Braun, certify that: </w:t>
      </w:r>
    </w:p>
    <w:p w:rsidR="0057180A" w:rsidRDefault="0057180A" w:rsidP="0057180A">
      <w:pPr>
        <w:spacing w:before="90"/>
        <w:ind w:left="489" w:hanging="490"/>
        <w:rPr>
          <w:szCs w:val="24"/>
        </w:rPr>
      </w:pPr>
      <w:r>
        <w:rPr>
          <w:sz w:val="20"/>
        </w:rPr>
        <w:t>1.</w:t>
      </w:r>
      <w:r>
        <w:rPr>
          <w:sz w:val="20"/>
        </w:rPr>
        <w:tab/>
        <w:t xml:space="preserve">I have reviewed this Annual Report on Form 10-K for the fiscal year ended December 31, 2019 of MRC Global Inc.; </w:t>
      </w:r>
    </w:p>
    <w:p w:rsidR="0057180A" w:rsidRDefault="0057180A" w:rsidP="0057180A">
      <w:pPr>
        <w:spacing w:before="180"/>
        <w:ind w:left="489" w:hanging="490"/>
        <w:rPr>
          <w:szCs w:val="24"/>
        </w:rPr>
      </w:pPr>
      <w:r>
        <w:rPr>
          <w:sz w:val="20"/>
        </w:rPr>
        <w:t>2.</w:t>
      </w:r>
      <w:r>
        <w:rPr>
          <w:sz w:val="20"/>
        </w:rPr>
        <w:tab/>
        <w:t xml:space="preserve">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rsidR="0057180A" w:rsidRDefault="0057180A" w:rsidP="0057180A">
      <w:pPr>
        <w:spacing w:before="180"/>
        <w:ind w:left="489" w:hanging="490"/>
        <w:rPr>
          <w:szCs w:val="24"/>
        </w:rPr>
      </w:pPr>
      <w:r>
        <w:rPr>
          <w:sz w:val="20"/>
        </w:rPr>
        <w:t>3.</w:t>
      </w:r>
      <w:r>
        <w:rPr>
          <w:sz w:val="20"/>
        </w:rPr>
        <w:tab/>
        <w:t xml:space="preserve">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p w:rsidR="0057180A" w:rsidRDefault="0057180A" w:rsidP="0057180A">
      <w:pPr>
        <w:keepNext/>
        <w:spacing w:before="180"/>
        <w:ind w:left="489" w:hanging="490"/>
        <w:rPr>
          <w:szCs w:val="24"/>
        </w:rPr>
      </w:pPr>
      <w:r>
        <w:rPr>
          <w:sz w:val="20"/>
        </w:rPr>
        <w:t>4.</w:t>
      </w:r>
      <w:r>
        <w:rPr>
          <w:sz w:val="20"/>
        </w:rPr>
        <w:tab/>
        <w:t xml:space="preserve">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 </w:t>
      </w:r>
    </w:p>
    <w:p w:rsidR="0057180A" w:rsidRDefault="0057180A" w:rsidP="0057180A">
      <w:pPr>
        <w:spacing w:before="90"/>
        <w:ind w:left="979" w:hanging="490"/>
        <w:rPr>
          <w:sz w:val="20"/>
        </w:rPr>
      </w:pPr>
      <w:r>
        <w:rPr>
          <w:sz w:val="20"/>
        </w:rPr>
        <w:t>a.</w:t>
      </w:r>
      <w:r>
        <w:rPr>
          <w:sz w:val="20"/>
        </w:rPr>
        <w:tab/>
        <w:t xml:space="preserve">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rsidR="0057180A" w:rsidRDefault="0057180A" w:rsidP="0057180A">
      <w:pPr>
        <w:spacing w:before="90"/>
        <w:ind w:left="979" w:hanging="490"/>
        <w:rPr>
          <w:szCs w:val="24"/>
        </w:rPr>
      </w:pPr>
      <w:r>
        <w:rPr>
          <w:sz w:val="20"/>
        </w:rPr>
        <w:t xml:space="preserve">b. </w:t>
      </w:r>
      <w:r>
        <w:rPr>
          <w:sz w:val="20"/>
        </w:rPr>
        <w:tab/>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rsidR="0057180A" w:rsidRDefault="0057180A" w:rsidP="0057180A">
      <w:pPr>
        <w:spacing w:before="90"/>
        <w:ind w:left="979" w:hanging="490"/>
        <w:rPr>
          <w:szCs w:val="24"/>
        </w:rPr>
      </w:pPr>
      <w:r>
        <w:rPr>
          <w:sz w:val="20"/>
        </w:rPr>
        <w:t>c.</w:t>
      </w:r>
      <w:r>
        <w:rPr>
          <w:sz w:val="20"/>
        </w:rPr>
        <w:tab/>
        <w:t xml:space="preserve">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rsidR="0057180A" w:rsidRDefault="0057180A" w:rsidP="0057180A">
      <w:pPr>
        <w:spacing w:before="90"/>
        <w:ind w:left="979" w:hanging="490"/>
        <w:rPr>
          <w:szCs w:val="24"/>
        </w:rPr>
      </w:pPr>
      <w:r>
        <w:rPr>
          <w:sz w:val="20"/>
        </w:rPr>
        <w:t>d.</w:t>
      </w:r>
      <w:r>
        <w:rPr>
          <w:sz w:val="20"/>
        </w:rPr>
        <w:tab/>
        <w:t xml:space="preserve">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rsidR="0057180A" w:rsidRDefault="0057180A" w:rsidP="0057180A">
      <w:pPr>
        <w:keepNext/>
        <w:spacing w:before="180"/>
        <w:ind w:left="489" w:hanging="490"/>
        <w:rPr>
          <w:szCs w:val="24"/>
        </w:rPr>
      </w:pPr>
      <w:r>
        <w:rPr>
          <w:sz w:val="20"/>
        </w:rPr>
        <w:t>5.</w:t>
      </w:r>
      <w:r>
        <w:rPr>
          <w:sz w:val="20"/>
        </w:rPr>
        <w:tab/>
        <w:t xml:space="preserve">The registrant’s other certifying officer and I have disclosed, based on our most recent evaluation of internal control over financial reporting, to the registrant’s auditors and the audit committee of the registrant’s board of directors (or persons performing the equivalent functions): </w:t>
      </w:r>
    </w:p>
    <w:p w:rsidR="0057180A" w:rsidRDefault="0057180A" w:rsidP="0057180A">
      <w:pPr>
        <w:spacing w:before="90"/>
        <w:ind w:left="979" w:hanging="490"/>
        <w:rPr>
          <w:szCs w:val="24"/>
        </w:rPr>
      </w:pPr>
      <w:r>
        <w:rPr>
          <w:sz w:val="20"/>
        </w:rPr>
        <w:t>a.</w:t>
      </w:r>
      <w:r>
        <w:rPr>
          <w:sz w:val="20"/>
        </w:rPr>
        <w:tab/>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p w:rsidR="0057180A" w:rsidRDefault="0057180A" w:rsidP="0057180A">
      <w:pPr>
        <w:spacing w:before="90"/>
        <w:ind w:left="979" w:hanging="490"/>
        <w:rPr>
          <w:szCs w:val="24"/>
        </w:rPr>
      </w:pPr>
      <w:r>
        <w:rPr>
          <w:sz w:val="20"/>
        </w:rPr>
        <w:t>b.</w:t>
      </w:r>
      <w:r>
        <w:rPr>
          <w:sz w:val="20"/>
        </w:rPr>
        <w:tab/>
        <w:t xml:space="preserve">Any fraud, whether or not material, that involves management or other employees who have a significant role in the registrant’s internal control over financial reporting. </w:t>
      </w:r>
    </w:p>
    <w:p w:rsidR="0057180A" w:rsidRDefault="0057180A" w:rsidP="0057180A">
      <w:pPr>
        <w:spacing w:before="270"/>
        <w:rPr>
          <w:szCs w:val="24"/>
        </w:rPr>
      </w:pPr>
      <w:r>
        <w:rPr>
          <w:sz w:val="20"/>
        </w:rPr>
        <w:t>Date: February 14, 2020</w:t>
      </w:r>
    </w:p>
    <w:p w:rsidR="0057180A" w:rsidRPr="00D2774A" w:rsidRDefault="0057180A" w:rsidP="0057180A">
      <w:pPr>
        <w:keepNext/>
        <w:rPr>
          <w:sz w:val="18"/>
          <w:szCs w:val="18"/>
        </w:rPr>
      </w:pPr>
      <w:r w:rsidRPr="00D2774A">
        <w:rPr>
          <w:sz w:val="18"/>
          <w:szCs w:val="18"/>
        </w:rPr>
        <w:t> </w:t>
      </w:r>
    </w:p>
    <w:tbl>
      <w:tblPr>
        <w:tblW w:w="2000" w:type="pct"/>
        <w:jc w:val="right"/>
        <w:tblCellMar>
          <w:left w:w="0" w:type="dxa"/>
          <w:right w:w="0" w:type="dxa"/>
        </w:tblCellMar>
        <w:tblLook w:val="04A0" w:firstRow="1" w:lastRow="0" w:firstColumn="1" w:lastColumn="0" w:noHBand="0" w:noVBand="1"/>
      </w:tblPr>
      <w:tblGrid>
        <w:gridCol w:w="603"/>
        <w:gridCol w:w="3141"/>
      </w:tblGrid>
      <w:tr w:rsidR="0057180A" w:rsidRPr="00D2774A" w:rsidTr="00591A8F">
        <w:trPr>
          <w:trHeight w:hRule="exact" w:val="20"/>
          <w:jc w:val="right"/>
        </w:trPr>
        <w:tc>
          <w:tcPr>
            <w:tcW w:w="612" w:type="dxa"/>
            <w:tcBorders>
              <w:top w:val="nil"/>
              <w:left w:val="nil"/>
              <w:bottom w:val="nil"/>
              <w:right w:val="nil"/>
            </w:tcBorders>
            <w:vAlign w:val="center"/>
          </w:tcPr>
          <w:p w:rsidR="0057180A" w:rsidRDefault="0057180A" w:rsidP="00591A8F">
            <w:pPr>
              <w:rPr>
                <w:sz w:val="2"/>
              </w:rPr>
            </w:pPr>
          </w:p>
        </w:tc>
        <w:tc>
          <w:tcPr>
            <w:tcW w:w="3708" w:type="dxa"/>
            <w:tcBorders>
              <w:top w:val="nil"/>
              <w:left w:val="nil"/>
              <w:bottom w:val="nil"/>
              <w:right w:val="nil"/>
            </w:tcBorders>
            <w:vAlign w:val="center"/>
          </w:tcPr>
          <w:p w:rsidR="0057180A" w:rsidRDefault="0057180A" w:rsidP="00591A8F">
            <w:pPr>
              <w:rPr>
                <w:sz w:val="2"/>
              </w:rPr>
            </w:pPr>
          </w:p>
        </w:tc>
      </w:tr>
      <w:tr w:rsidR="0057180A" w:rsidRPr="00D2774A" w:rsidTr="00591A8F">
        <w:trPr>
          <w:jc w:val="right"/>
        </w:trPr>
        <w:tc>
          <w:tcPr>
            <w:tcW w:w="612" w:type="dxa"/>
            <w:vAlign w:val="center"/>
          </w:tcPr>
          <w:p w:rsidR="0057180A" w:rsidRPr="00D2774A" w:rsidRDefault="0057180A" w:rsidP="00591A8F">
            <w:pPr>
              <w:rPr>
                <w:sz w:val="2"/>
                <w:szCs w:val="24"/>
              </w:rPr>
            </w:pPr>
          </w:p>
        </w:tc>
        <w:tc>
          <w:tcPr>
            <w:tcW w:w="3708" w:type="dxa"/>
            <w:vAlign w:val="center"/>
          </w:tcPr>
          <w:p w:rsidR="0057180A" w:rsidRPr="00D2774A" w:rsidRDefault="0057180A" w:rsidP="00591A8F">
            <w:pPr>
              <w:rPr>
                <w:sz w:val="2"/>
                <w:szCs w:val="24"/>
              </w:rPr>
            </w:pPr>
          </w:p>
        </w:tc>
      </w:tr>
      <w:tr w:rsidR="0057180A" w:rsidRPr="00D2774A" w:rsidTr="00591A8F">
        <w:trPr>
          <w:jc w:val="right"/>
        </w:trPr>
        <w:tc>
          <w:tcPr>
            <w:tcW w:w="4320" w:type="dxa"/>
            <w:gridSpan w:val="2"/>
            <w:tcBorders>
              <w:top w:val="nil"/>
              <w:left w:val="nil"/>
              <w:bottom w:val="single" w:sz="6" w:space="0" w:color="000000"/>
              <w:right w:val="nil"/>
            </w:tcBorders>
            <w:hideMark/>
          </w:tcPr>
          <w:p w:rsidR="0057180A" w:rsidRPr="00D2774A" w:rsidRDefault="0057180A" w:rsidP="00591A8F">
            <w:pPr>
              <w:rPr>
                <w:szCs w:val="24"/>
              </w:rPr>
            </w:pPr>
            <w:r w:rsidRPr="00D2774A">
              <w:rPr>
                <w:sz w:val="20"/>
              </w:rPr>
              <w:t>/s/ James E. Braun</w:t>
            </w:r>
          </w:p>
        </w:tc>
      </w:tr>
      <w:tr w:rsidR="0057180A" w:rsidRPr="00D2774A" w:rsidTr="00591A8F">
        <w:trPr>
          <w:jc w:val="right"/>
        </w:trPr>
        <w:tc>
          <w:tcPr>
            <w:tcW w:w="612" w:type="dxa"/>
            <w:hideMark/>
          </w:tcPr>
          <w:p w:rsidR="0057180A" w:rsidRPr="00D2774A" w:rsidRDefault="0057180A" w:rsidP="00591A8F">
            <w:pPr>
              <w:rPr>
                <w:szCs w:val="24"/>
              </w:rPr>
            </w:pPr>
            <w:r w:rsidRPr="00D2774A">
              <w:rPr>
                <w:sz w:val="20"/>
              </w:rPr>
              <w:t>Name: </w:t>
            </w:r>
          </w:p>
        </w:tc>
        <w:tc>
          <w:tcPr>
            <w:tcW w:w="3708" w:type="dxa"/>
            <w:hideMark/>
          </w:tcPr>
          <w:p w:rsidR="0057180A" w:rsidRPr="00D2774A" w:rsidRDefault="0057180A" w:rsidP="00591A8F">
            <w:pPr>
              <w:rPr>
                <w:szCs w:val="24"/>
              </w:rPr>
            </w:pPr>
            <w:r w:rsidRPr="00D2774A">
              <w:rPr>
                <w:sz w:val="20"/>
              </w:rPr>
              <w:t>James E. Braun</w:t>
            </w:r>
          </w:p>
        </w:tc>
      </w:tr>
      <w:tr w:rsidR="0057180A" w:rsidRPr="00D2774A" w:rsidTr="00591A8F">
        <w:trPr>
          <w:jc w:val="right"/>
        </w:trPr>
        <w:tc>
          <w:tcPr>
            <w:tcW w:w="612" w:type="dxa"/>
            <w:hideMark/>
          </w:tcPr>
          <w:p w:rsidR="0057180A" w:rsidRPr="00D2774A" w:rsidRDefault="0057180A" w:rsidP="00591A8F">
            <w:pPr>
              <w:keepNext/>
              <w:spacing w:before="100" w:beforeAutospacing="1" w:after="100" w:afterAutospacing="1"/>
              <w:rPr>
                <w:szCs w:val="24"/>
              </w:rPr>
            </w:pPr>
            <w:r w:rsidRPr="00D2774A">
              <w:rPr>
                <w:sz w:val="20"/>
              </w:rPr>
              <w:t>Title:</w:t>
            </w:r>
          </w:p>
        </w:tc>
        <w:tc>
          <w:tcPr>
            <w:tcW w:w="3708" w:type="dxa"/>
            <w:vAlign w:val="center"/>
            <w:hideMark/>
          </w:tcPr>
          <w:p w:rsidR="0057180A" w:rsidRPr="00D2774A" w:rsidRDefault="0057180A" w:rsidP="00591A8F">
            <w:pPr>
              <w:rPr>
                <w:szCs w:val="24"/>
              </w:rPr>
            </w:pPr>
            <w:r w:rsidRPr="00D2774A">
              <w:rPr>
                <w:sz w:val="20"/>
              </w:rPr>
              <w:t>Executive Vice President and Chief Financial Officer</w:t>
            </w:r>
          </w:p>
        </w:tc>
      </w:tr>
    </w:tbl>
    <w:p w:rsidR="0057180A" w:rsidRDefault="0057180A" w:rsidP="0057180A"/>
    <w:p w:rsidR="0057180A" w:rsidRDefault="0057180A" w:rsidP="0057180A">
      <w:pPr>
        <w:jc w:val="center"/>
        <w:sectPr w:rsidR="0057180A">
          <w:pgSz w:w="12240" w:h="15840"/>
          <w:pgMar w:top="1440" w:right="1440" w:bottom="1440" w:left="1440" w:header="720" w:footer="720" w:gutter="0"/>
          <w:cols w:space="720"/>
          <w:docGrid w:linePitch="360"/>
        </w:sectPr>
      </w:pPr>
    </w:p>
    <w:p w:rsidR="0057180A" w:rsidRDefault="0057180A" w:rsidP="0057180A">
      <w:pPr>
        <w:pStyle w:val="NormalWeb"/>
        <w:spacing w:before="360" w:beforeAutospacing="0" w:after="0" w:afterAutospacing="0"/>
        <w:jc w:val="right"/>
      </w:pPr>
      <w:r>
        <w:rPr>
          <w:b/>
          <w:bCs/>
          <w:sz w:val="20"/>
          <w:szCs w:val="20"/>
        </w:rPr>
        <w:t xml:space="preserve">Exhibit 32 </w:t>
      </w:r>
    </w:p>
    <w:p w:rsidR="0057180A" w:rsidRDefault="0057180A" w:rsidP="0057180A">
      <w:pPr>
        <w:pStyle w:val="NormalWeb"/>
        <w:keepNext/>
        <w:spacing w:before="270" w:beforeAutospacing="0" w:after="0" w:afterAutospacing="0"/>
        <w:jc w:val="center"/>
      </w:pPr>
      <w:r>
        <w:rPr>
          <w:b/>
          <w:bCs/>
          <w:sz w:val="20"/>
          <w:szCs w:val="20"/>
        </w:rPr>
        <w:t xml:space="preserve">CERTIFICATION PURSUANT TO 18 U.S.C. SECTION 1350, </w:t>
      </w:r>
    </w:p>
    <w:p w:rsidR="0057180A" w:rsidRDefault="0057180A" w:rsidP="0057180A">
      <w:pPr>
        <w:pStyle w:val="NormalWeb"/>
        <w:keepNext/>
        <w:spacing w:before="0" w:beforeAutospacing="0" w:after="0" w:afterAutospacing="0"/>
        <w:jc w:val="center"/>
      </w:pPr>
      <w:r>
        <w:rPr>
          <w:b/>
          <w:bCs/>
          <w:sz w:val="20"/>
          <w:szCs w:val="20"/>
        </w:rPr>
        <w:t xml:space="preserve">AS ADOPTED PURSUANT TO SECTION 906 OF THE SARBANES-OXLEY ACT OF 2002 </w:t>
      </w:r>
    </w:p>
    <w:p w:rsidR="0057180A" w:rsidRDefault="0057180A" w:rsidP="0057180A">
      <w:pPr>
        <w:pStyle w:val="NormalWeb"/>
        <w:keepNext/>
        <w:spacing w:before="180" w:beforeAutospacing="0" w:after="0" w:afterAutospacing="0"/>
        <w:ind w:firstLine="490"/>
      </w:pPr>
      <w:r>
        <w:rPr>
          <w:sz w:val="20"/>
          <w:szCs w:val="20"/>
        </w:rPr>
        <w:t xml:space="preserve">In connection with the filing of the Annual Report on Form 10-K of MRC Global Inc., a Delaware corporation (the “Company”), for the year ended December 31, 2019 (the “Report”), each of the undersigned officers of the Company certifies, pursuant to 18 U.S.C. § 1350, as adopted pursuant to § 906 of the Sarbanes-Oxley Act of 2002, that to his knowledge: </w:t>
      </w:r>
    </w:p>
    <w:p w:rsidR="0057180A" w:rsidRDefault="0057180A" w:rsidP="0057180A">
      <w:pPr>
        <w:pStyle w:val="NormalWeb"/>
        <w:spacing w:before="180" w:beforeAutospacing="0" w:after="0" w:afterAutospacing="0"/>
        <w:ind w:left="979" w:hanging="490"/>
      </w:pPr>
      <w:r>
        <w:rPr>
          <w:sz w:val="20"/>
          <w:szCs w:val="20"/>
        </w:rPr>
        <w:t>(1)</w:t>
      </w:r>
      <w:r>
        <w:rPr>
          <w:sz w:val="20"/>
          <w:szCs w:val="20"/>
        </w:rPr>
        <w:tab/>
        <w:t xml:space="preserve">The Report fully complies with the requirements of Section 13(a) or 15(d) of the Securities Exchange Act of 1934; and </w:t>
      </w:r>
    </w:p>
    <w:p w:rsidR="0057180A" w:rsidRDefault="0057180A" w:rsidP="0057180A">
      <w:pPr>
        <w:pStyle w:val="NormalWeb"/>
        <w:spacing w:before="180" w:beforeAutospacing="0" w:after="0" w:afterAutospacing="0"/>
        <w:ind w:left="979" w:hanging="490"/>
      </w:pPr>
      <w:r>
        <w:rPr>
          <w:sz w:val="20"/>
          <w:szCs w:val="20"/>
        </w:rPr>
        <w:t>(2)</w:t>
      </w:r>
      <w:r>
        <w:rPr>
          <w:sz w:val="20"/>
          <w:szCs w:val="20"/>
        </w:rPr>
        <w:tab/>
        <w:t xml:space="preserve">The information contained in the Report fairly presents, in all material respects, the financial condition and results of operations of the Company. </w:t>
      </w:r>
    </w:p>
    <w:p w:rsidR="0057180A" w:rsidRDefault="0057180A" w:rsidP="0057180A">
      <w:pPr>
        <w:pStyle w:val="NormalWeb"/>
        <w:spacing w:before="180" w:beforeAutospacing="0" w:after="0" w:afterAutospacing="0"/>
        <w:rPr>
          <w:sz w:val="20"/>
          <w:szCs w:val="20"/>
        </w:rPr>
      </w:pPr>
      <w:r>
        <w:rPr>
          <w:sz w:val="20"/>
          <w:szCs w:val="20"/>
        </w:rPr>
        <w:t xml:space="preserve"> Date: February 14, 2020</w:t>
      </w:r>
    </w:p>
    <w:p w:rsidR="0057180A" w:rsidRPr="005D51A1" w:rsidRDefault="0057180A" w:rsidP="0057180A">
      <w:pPr>
        <w:pStyle w:val="NormalWeb"/>
        <w:spacing w:before="0" w:beforeAutospacing="0" w:after="0" w:afterAutospacing="0"/>
        <w:ind w:left="979" w:hanging="490"/>
        <w:rPr>
          <w:sz w:val="2"/>
          <w:szCs w:val="27"/>
        </w:rPr>
      </w:pPr>
    </w:p>
    <w:p w:rsidR="0057180A" w:rsidRDefault="0057180A" w:rsidP="0057180A">
      <w:pPr>
        <w:pStyle w:val="NormalWeb"/>
        <w:spacing w:before="180" w:beforeAutospacing="0" w:after="0" w:afterAutospacing="0"/>
        <w:ind w:left="979" w:hanging="490"/>
        <w:rPr>
          <w:sz w:val="27"/>
          <w:szCs w:val="27"/>
        </w:rPr>
      </w:pPr>
    </w:p>
    <w:tbl>
      <w:tblPr>
        <w:tblW w:w="0" w:type="auto"/>
        <w:jc w:val="right"/>
        <w:tblCellMar>
          <w:left w:w="0" w:type="dxa"/>
          <w:right w:w="0" w:type="dxa"/>
        </w:tblCellMar>
        <w:tblLook w:val="04A0" w:firstRow="1" w:lastRow="0" w:firstColumn="1" w:lastColumn="0" w:noHBand="0" w:noVBand="1"/>
      </w:tblPr>
      <w:tblGrid>
        <w:gridCol w:w="630"/>
        <w:gridCol w:w="4181"/>
      </w:tblGrid>
      <w:tr w:rsidR="0057180A" w:rsidTr="00591A8F">
        <w:trPr>
          <w:trHeight w:hRule="exact" w:val="18"/>
          <w:jc w:val="right"/>
        </w:trPr>
        <w:tc>
          <w:tcPr>
            <w:tcW w:w="630" w:type="dxa"/>
            <w:tcBorders>
              <w:top w:val="nil"/>
              <w:left w:val="nil"/>
              <w:bottom w:val="nil"/>
              <w:right w:val="nil"/>
            </w:tcBorders>
            <w:vAlign w:val="center"/>
          </w:tcPr>
          <w:p w:rsidR="0057180A" w:rsidRDefault="0057180A" w:rsidP="00591A8F">
            <w:pPr>
              <w:rPr>
                <w:sz w:val="2"/>
              </w:rPr>
            </w:pPr>
          </w:p>
        </w:tc>
        <w:tc>
          <w:tcPr>
            <w:tcW w:w="4181" w:type="dxa"/>
            <w:tcBorders>
              <w:top w:val="nil"/>
              <w:left w:val="nil"/>
              <w:bottom w:val="nil"/>
              <w:right w:val="nil"/>
            </w:tcBorders>
            <w:vAlign w:val="center"/>
          </w:tcPr>
          <w:p w:rsidR="0057180A" w:rsidRDefault="0057180A" w:rsidP="00591A8F">
            <w:pPr>
              <w:rPr>
                <w:sz w:val="2"/>
              </w:rPr>
            </w:pPr>
          </w:p>
        </w:tc>
      </w:tr>
      <w:tr w:rsidR="0057180A" w:rsidTr="00591A8F">
        <w:trPr>
          <w:trHeight w:val="212"/>
          <w:jc w:val="right"/>
        </w:trPr>
        <w:tc>
          <w:tcPr>
            <w:tcW w:w="630" w:type="dxa"/>
            <w:vAlign w:val="center"/>
          </w:tcPr>
          <w:p w:rsidR="0057180A" w:rsidRDefault="0057180A" w:rsidP="00591A8F">
            <w:pPr>
              <w:rPr>
                <w:sz w:val="2"/>
                <w:szCs w:val="24"/>
              </w:rPr>
            </w:pPr>
          </w:p>
        </w:tc>
        <w:tc>
          <w:tcPr>
            <w:tcW w:w="4181" w:type="dxa"/>
            <w:vAlign w:val="center"/>
          </w:tcPr>
          <w:p w:rsidR="0057180A" w:rsidRDefault="0057180A" w:rsidP="00591A8F">
            <w:pPr>
              <w:rPr>
                <w:sz w:val="2"/>
                <w:szCs w:val="24"/>
              </w:rPr>
            </w:pPr>
          </w:p>
        </w:tc>
      </w:tr>
      <w:tr w:rsidR="0057180A" w:rsidTr="00591A8F">
        <w:trPr>
          <w:trHeight w:val="302"/>
          <w:jc w:val="right"/>
        </w:trPr>
        <w:tc>
          <w:tcPr>
            <w:tcW w:w="0" w:type="auto"/>
            <w:gridSpan w:val="2"/>
            <w:hideMark/>
          </w:tcPr>
          <w:p w:rsidR="0057180A" w:rsidRDefault="0057180A" w:rsidP="00591A8F">
            <w:pPr>
              <w:pStyle w:val="NormalWeb"/>
              <w:spacing w:before="0" w:beforeAutospacing="0" w:after="0" w:afterAutospacing="0"/>
            </w:pPr>
            <w:r>
              <w:rPr>
                <w:sz w:val="20"/>
                <w:szCs w:val="20"/>
              </w:rPr>
              <w:t>/s/ Andrew R. Lane</w:t>
            </w:r>
          </w:p>
          <w:p w:rsidR="0057180A" w:rsidRDefault="0057180A" w:rsidP="00591A8F">
            <w:pPr>
              <w:pStyle w:val="rrdsinglerule"/>
              <w:jc w:val="left"/>
            </w:pPr>
            <w:r>
              <w:t> </w:t>
            </w:r>
          </w:p>
        </w:tc>
      </w:tr>
      <w:tr w:rsidR="0057180A" w:rsidTr="00591A8F">
        <w:trPr>
          <w:trHeight w:val="216"/>
          <w:jc w:val="right"/>
        </w:trPr>
        <w:tc>
          <w:tcPr>
            <w:tcW w:w="630" w:type="dxa"/>
            <w:hideMark/>
          </w:tcPr>
          <w:p w:rsidR="0057180A" w:rsidRPr="00D84153" w:rsidRDefault="0057180A" w:rsidP="00591A8F">
            <w:pPr>
              <w:rPr>
                <w:szCs w:val="24"/>
              </w:rPr>
            </w:pPr>
            <w:r w:rsidRPr="00D84153">
              <w:rPr>
                <w:sz w:val="20"/>
              </w:rPr>
              <w:t>Name:</w:t>
            </w:r>
          </w:p>
        </w:tc>
        <w:tc>
          <w:tcPr>
            <w:tcW w:w="4181" w:type="dxa"/>
            <w:hideMark/>
          </w:tcPr>
          <w:p w:rsidR="0057180A" w:rsidRPr="002D719D" w:rsidRDefault="0057180A" w:rsidP="00591A8F">
            <w:r w:rsidRPr="002D719D">
              <w:rPr>
                <w:sz w:val="20"/>
              </w:rPr>
              <w:t>Andrew R. Lane</w:t>
            </w:r>
          </w:p>
        </w:tc>
      </w:tr>
      <w:tr w:rsidR="0057180A" w:rsidTr="00591A8F">
        <w:trPr>
          <w:trHeight w:val="198"/>
          <w:jc w:val="right"/>
        </w:trPr>
        <w:tc>
          <w:tcPr>
            <w:tcW w:w="630" w:type="dxa"/>
            <w:hideMark/>
          </w:tcPr>
          <w:p w:rsidR="0057180A" w:rsidRPr="00645988" w:rsidRDefault="0057180A" w:rsidP="00591A8F">
            <w:pPr>
              <w:rPr>
                <w:sz w:val="20"/>
              </w:rPr>
            </w:pPr>
            <w:r w:rsidRPr="00645988">
              <w:rPr>
                <w:sz w:val="20"/>
              </w:rPr>
              <w:t>Title:</w:t>
            </w:r>
          </w:p>
        </w:tc>
        <w:tc>
          <w:tcPr>
            <w:tcW w:w="4181" w:type="dxa"/>
            <w:hideMark/>
          </w:tcPr>
          <w:p w:rsidR="0057180A" w:rsidRPr="00645988" w:rsidRDefault="0057180A" w:rsidP="00591A8F">
            <w:pPr>
              <w:rPr>
                <w:sz w:val="20"/>
              </w:rPr>
            </w:pPr>
            <w:r w:rsidRPr="00D84153">
              <w:rPr>
                <w:sz w:val="20"/>
              </w:rPr>
              <w:t>President and Chief Executive Officer</w:t>
            </w:r>
          </w:p>
        </w:tc>
      </w:tr>
      <w:tr w:rsidR="0057180A" w:rsidTr="00591A8F">
        <w:trPr>
          <w:trHeight w:val="342"/>
          <w:jc w:val="right"/>
        </w:trPr>
        <w:tc>
          <w:tcPr>
            <w:tcW w:w="0" w:type="auto"/>
            <w:gridSpan w:val="2"/>
            <w:vAlign w:val="center"/>
          </w:tcPr>
          <w:p w:rsidR="0057180A" w:rsidRDefault="0057180A" w:rsidP="00591A8F">
            <w:pPr>
              <w:rPr>
                <w:szCs w:val="24"/>
              </w:rPr>
            </w:pPr>
          </w:p>
        </w:tc>
      </w:tr>
      <w:tr w:rsidR="0057180A" w:rsidTr="00591A8F">
        <w:trPr>
          <w:trHeight w:val="302"/>
          <w:jc w:val="right"/>
        </w:trPr>
        <w:tc>
          <w:tcPr>
            <w:tcW w:w="0" w:type="auto"/>
            <w:gridSpan w:val="2"/>
            <w:hideMark/>
          </w:tcPr>
          <w:p w:rsidR="0057180A" w:rsidRDefault="0057180A" w:rsidP="00591A8F">
            <w:pPr>
              <w:pStyle w:val="NormalWeb"/>
              <w:spacing w:before="0" w:beforeAutospacing="0" w:after="0" w:afterAutospacing="0"/>
            </w:pPr>
            <w:r>
              <w:rPr>
                <w:sz w:val="20"/>
                <w:szCs w:val="20"/>
              </w:rPr>
              <w:t>/s/ James E. Braun</w:t>
            </w:r>
          </w:p>
          <w:p w:rsidR="0057180A" w:rsidRDefault="0057180A" w:rsidP="00591A8F">
            <w:pPr>
              <w:pStyle w:val="rrdsinglerule"/>
            </w:pPr>
            <w:r>
              <w:t> </w:t>
            </w:r>
          </w:p>
        </w:tc>
      </w:tr>
      <w:tr w:rsidR="0057180A" w:rsidTr="00591A8F">
        <w:trPr>
          <w:trHeight w:val="230"/>
          <w:jc w:val="right"/>
        </w:trPr>
        <w:tc>
          <w:tcPr>
            <w:tcW w:w="630" w:type="dxa"/>
            <w:hideMark/>
          </w:tcPr>
          <w:p w:rsidR="0057180A" w:rsidRPr="00D84153" w:rsidRDefault="0057180A" w:rsidP="00591A8F">
            <w:r w:rsidRPr="00645988">
              <w:rPr>
                <w:sz w:val="20"/>
              </w:rPr>
              <w:t>Name</w:t>
            </w:r>
            <w:r w:rsidRPr="00D84153">
              <w:rPr>
                <w:sz w:val="20"/>
              </w:rPr>
              <w:t>:</w:t>
            </w:r>
          </w:p>
        </w:tc>
        <w:tc>
          <w:tcPr>
            <w:tcW w:w="4181" w:type="dxa"/>
            <w:vAlign w:val="center"/>
            <w:hideMark/>
          </w:tcPr>
          <w:p w:rsidR="0057180A" w:rsidRPr="00D84153" w:rsidRDefault="0057180A" w:rsidP="00591A8F">
            <w:pPr>
              <w:rPr>
                <w:szCs w:val="24"/>
              </w:rPr>
            </w:pPr>
            <w:r w:rsidRPr="00D84153">
              <w:rPr>
                <w:sz w:val="20"/>
              </w:rPr>
              <w:t>James E. Braun</w:t>
            </w:r>
          </w:p>
        </w:tc>
      </w:tr>
      <w:tr w:rsidR="0057180A" w:rsidTr="00591A8F">
        <w:trPr>
          <w:trHeight w:val="426"/>
          <w:jc w:val="right"/>
        </w:trPr>
        <w:tc>
          <w:tcPr>
            <w:tcW w:w="630" w:type="dxa"/>
            <w:hideMark/>
          </w:tcPr>
          <w:p w:rsidR="0057180A" w:rsidRPr="00D84153" w:rsidRDefault="0057180A" w:rsidP="00591A8F">
            <w:r w:rsidRPr="00645988">
              <w:rPr>
                <w:sz w:val="20"/>
              </w:rPr>
              <w:t>Title</w:t>
            </w:r>
            <w:r w:rsidRPr="00D84153">
              <w:rPr>
                <w:sz w:val="20"/>
              </w:rPr>
              <w:t>:</w:t>
            </w:r>
          </w:p>
        </w:tc>
        <w:tc>
          <w:tcPr>
            <w:tcW w:w="4181" w:type="dxa"/>
            <w:hideMark/>
          </w:tcPr>
          <w:p w:rsidR="0057180A" w:rsidRPr="00D84153" w:rsidRDefault="0057180A" w:rsidP="00591A8F">
            <w:pPr>
              <w:rPr>
                <w:szCs w:val="24"/>
              </w:rPr>
            </w:pPr>
            <w:r w:rsidRPr="00D84153">
              <w:rPr>
                <w:sz w:val="20"/>
              </w:rPr>
              <w:t>Executive Vice President and Chief Financial Officer</w:t>
            </w:r>
          </w:p>
        </w:tc>
      </w:tr>
    </w:tbl>
    <w:p w:rsidR="0057180A" w:rsidRDefault="0057180A" w:rsidP="0057180A">
      <w:pPr>
        <w:pStyle w:val="NormalWeb"/>
        <w:spacing w:before="180" w:beforeAutospacing="0" w:after="0" w:afterAutospacing="0"/>
        <w:rPr>
          <w:sz w:val="20"/>
          <w:szCs w:val="20"/>
        </w:rPr>
      </w:pPr>
    </w:p>
    <w:p w:rsidR="0057180A" w:rsidRDefault="0057180A" w:rsidP="0057180A">
      <w:pPr>
        <w:pStyle w:val="NormalWeb"/>
        <w:spacing w:before="180" w:beforeAutospacing="0" w:after="0" w:afterAutospacing="0"/>
        <w:rPr>
          <w:sz w:val="20"/>
          <w:szCs w:val="20"/>
        </w:rPr>
      </w:pPr>
    </w:p>
    <w:p w:rsidR="0057180A" w:rsidRDefault="0057180A" w:rsidP="0057180A">
      <w:pPr>
        <w:pStyle w:val="NormalWeb"/>
        <w:spacing w:before="180" w:beforeAutospacing="0" w:after="0" w:afterAutospacing="0"/>
        <w:rPr>
          <w:sz w:val="20"/>
          <w:szCs w:val="20"/>
        </w:rPr>
      </w:pPr>
    </w:p>
    <w:p w:rsidR="0057180A" w:rsidRDefault="0057180A" w:rsidP="0057180A">
      <w:pPr>
        <w:pStyle w:val="NormalWeb"/>
        <w:spacing w:before="180" w:beforeAutospacing="0" w:after="0" w:afterAutospacing="0"/>
        <w:rPr>
          <w:sz w:val="20"/>
          <w:szCs w:val="20"/>
        </w:rPr>
      </w:pPr>
    </w:p>
    <w:p w:rsidR="0057180A" w:rsidRDefault="0057180A" w:rsidP="0057180A">
      <w:pPr>
        <w:pStyle w:val="NormalWeb"/>
        <w:spacing w:before="180" w:beforeAutospacing="0" w:after="0" w:afterAutospacing="0"/>
        <w:rPr>
          <w:sz w:val="20"/>
          <w:szCs w:val="20"/>
        </w:rPr>
      </w:pPr>
    </w:p>
    <w:p w:rsidR="0057180A" w:rsidRDefault="0057180A" w:rsidP="0057180A">
      <w:pPr>
        <w:pStyle w:val="NormalWeb"/>
        <w:spacing w:before="180" w:beforeAutospacing="0" w:after="0" w:afterAutospacing="0"/>
        <w:rPr>
          <w:sz w:val="20"/>
          <w:szCs w:val="20"/>
        </w:rPr>
      </w:pPr>
    </w:p>
    <w:p w:rsidR="0057180A" w:rsidRDefault="0057180A" w:rsidP="0057180A">
      <w:pPr>
        <w:pStyle w:val="NormalWeb"/>
        <w:spacing w:before="180" w:beforeAutospacing="0" w:after="0" w:afterAutospacing="0"/>
      </w:pPr>
      <w:r>
        <w:rPr>
          <w:sz w:val="20"/>
          <w:szCs w:val="20"/>
        </w:rPr>
        <w:t>This certification is not deemed to be “filed” for purposes of Section 18 of the Securities Exchange Act of 1934, or otherwise subject to the liability of that section.  This certification is not deemed to be incorporated by reference into any filing under the Securities Act of 1933 or Securities Exchange Act of 1934, except to the extent that the Company specifically incorporates it by reference.</w:t>
      </w:r>
    </w:p>
    <w:p w:rsidR="0057180A" w:rsidRDefault="0057180A" w:rsidP="0057180A"/>
    <w:p w:rsidR="0057180A" w:rsidRPr="0057180A" w:rsidRDefault="0057180A" w:rsidP="0057180A">
      <w:pPr>
        <w:jc w:val="center"/>
      </w:pPr>
    </w:p>
    <w:sectPr w:rsidR="0057180A" w:rsidRPr="005718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291" w:rsidRDefault="00A46291">
      <w:r>
        <w:separator/>
      </w:r>
    </w:p>
  </w:endnote>
  <w:endnote w:type="continuationSeparator" w:id="0">
    <w:p w:rsidR="00A46291" w:rsidRDefault="00A4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Nyala">
    <w:altName w:val="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C63" w:rsidRDefault="00BA5C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5C63" w:rsidRDefault="00BA5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C63" w:rsidRDefault="00BA5C63">
    <w:pPr>
      <w:pStyle w:val="Footer"/>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122122"/>
      <w:docPartObj>
        <w:docPartGallery w:val="Page Numbers (Bottom of Page)"/>
        <w:docPartUnique/>
      </w:docPartObj>
    </w:sdtPr>
    <w:sdtEndPr>
      <w:rPr>
        <w:noProof/>
        <w:sz w:val="20"/>
      </w:rPr>
    </w:sdtEndPr>
    <w:sdtContent>
      <w:p w:rsidR="00BA5C63" w:rsidRDefault="00BA5C63">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18</w:t>
        </w:r>
        <w:r>
          <w:rPr>
            <w:noProof/>
            <w:sz w:val="20"/>
          </w:rPr>
          <w:fldChar w:fldCharType="end"/>
        </w:r>
      </w:p>
    </w:sdtContent>
  </w:sdt>
  <w:p w:rsidR="00BA5C63" w:rsidRDefault="00BA5C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C63" w:rsidRDefault="00BA5C63">
    <w:pPr>
      <w:pStyle w:val="Footer"/>
      <w:jc w:val="center"/>
      <w:rPr>
        <w:sz w:val="20"/>
      </w:rPr>
    </w:pPr>
    <w:r>
      <w:rPr>
        <w:sz w:val="20"/>
      </w:rPr>
      <w:t>F-</w:t>
    </w:r>
    <w:sdt>
      <w:sdtPr>
        <w:rPr>
          <w:sz w:val="20"/>
        </w:rPr>
        <w:id w:val="-355499212"/>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32</w:t>
        </w:r>
        <w:r>
          <w:rPr>
            <w:noProof/>
            <w:sz w:val="20"/>
          </w:rPr>
          <w:fldChar w:fldCharType="end"/>
        </w:r>
      </w:sdtContent>
    </w:sdt>
  </w:p>
  <w:p w:rsidR="00BA5C63" w:rsidRDefault="00BA5C63"/>
  <w:p w:rsidR="00BA5C63" w:rsidRDefault="00BA5C6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80A" w:rsidRDefault="0057180A"/>
  <w:p w:rsidR="0057180A" w:rsidRDefault="0057180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80A" w:rsidRDefault="0057180A"/>
  <w:p w:rsidR="0057180A" w:rsidRDefault="0057180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80A" w:rsidRDefault="0057180A"/>
  <w:p w:rsidR="0057180A" w:rsidRDefault="005718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291" w:rsidRDefault="00A46291">
      <w:r>
        <w:separator/>
      </w:r>
    </w:p>
  </w:footnote>
  <w:footnote w:type="continuationSeparator" w:id="0">
    <w:p w:rsidR="00A46291" w:rsidRDefault="00A46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C63" w:rsidRDefault="00BA5C63">
    <w:pPr>
      <w:pStyle w:val="Header"/>
    </w:pPr>
  </w:p>
  <w:p w:rsidR="00BA5C63" w:rsidRDefault="00BA5C63"/>
  <w:p w:rsidR="00BA5C63" w:rsidRDefault="00BA5C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958" w:rsidRPr="00885958" w:rsidRDefault="0057180A" w:rsidP="00885958">
    <w:pPr>
      <w:pStyle w:val="Header"/>
      <w:jc w:val="right"/>
      <w:rPr>
        <w:b/>
        <w:sz w:val="20"/>
      </w:rPr>
    </w:pPr>
    <w:r w:rsidRPr="00885958">
      <w:rPr>
        <w:b/>
        <w:sz w:val="20"/>
      </w:rPr>
      <w:t>Exhibit 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80A" w:rsidRPr="00357067" w:rsidRDefault="0057180A" w:rsidP="00357067">
    <w:pPr>
      <w:pStyle w:val="Header"/>
      <w:jc w:val="right"/>
      <w:rPr>
        <w:b/>
        <w:sz w:val="20"/>
      </w:rPr>
    </w:pPr>
    <w:r w:rsidRPr="00357067">
      <w:rPr>
        <w:b/>
        <w:sz w:val="20"/>
      </w:rPr>
      <w:t>Exhibit 21.1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80A" w:rsidRPr="0057180A" w:rsidRDefault="0057180A" w:rsidP="005718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80A" w:rsidRPr="0057180A" w:rsidRDefault="0057180A" w:rsidP="00571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B85"/>
    <w:multiLevelType w:val="hybridMultilevel"/>
    <w:tmpl w:val="DBBC4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1829F2"/>
    <w:multiLevelType w:val="hybridMultilevel"/>
    <w:tmpl w:val="80EC421A"/>
    <w:lvl w:ilvl="0" w:tplc="42FE8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A0590"/>
    <w:multiLevelType w:val="hybridMultilevel"/>
    <w:tmpl w:val="AD0E74C0"/>
    <w:lvl w:ilvl="0" w:tplc="5380C060">
      <w:start w:val="21"/>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145489B"/>
    <w:multiLevelType w:val="hybridMultilevel"/>
    <w:tmpl w:val="D68692D6"/>
    <w:lvl w:ilvl="0" w:tplc="96827C72">
      <w:start w:val="1"/>
      <w:numFmt w:val="bullet"/>
      <w:lvlText w:val=""/>
      <w:lvlJc w:val="left"/>
      <w:pPr>
        <w:ind w:left="1944"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41E58"/>
    <w:multiLevelType w:val="hybridMultilevel"/>
    <w:tmpl w:val="93C22782"/>
    <w:lvl w:ilvl="0" w:tplc="AF56F1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7014B"/>
    <w:multiLevelType w:val="hybridMultilevel"/>
    <w:tmpl w:val="0AD4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064D6"/>
    <w:multiLevelType w:val="hybridMultilevel"/>
    <w:tmpl w:val="7424F548"/>
    <w:lvl w:ilvl="0" w:tplc="1F2671AE">
      <w:start w:val="1"/>
      <w:numFmt w:val="bullet"/>
      <w:lvlText w:val=""/>
      <w:lvlJc w:val="left"/>
      <w:pPr>
        <w:ind w:left="720" w:hanging="360"/>
      </w:pPr>
      <w:rPr>
        <w:rFonts w:ascii="Symbol" w:hAnsi="Symbol" w:hint="default"/>
      </w:rPr>
    </w:lvl>
    <w:lvl w:ilvl="1" w:tplc="AEE63FFA" w:tentative="1">
      <w:start w:val="1"/>
      <w:numFmt w:val="bullet"/>
      <w:lvlText w:val="o"/>
      <w:lvlJc w:val="left"/>
      <w:pPr>
        <w:ind w:left="1440" w:hanging="360"/>
      </w:pPr>
      <w:rPr>
        <w:rFonts w:ascii="Courier New" w:hAnsi="Courier New" w:cs="Courier New" w:hint="default"/>
      </w:rPr>
    </w:lvl>
    <w:lvl w:ilvl="2" w:tplc="DABA91F6" w:tentative="1">
      <w:start w:val="1"/>
      <w:numFmt w:val="bullet"/>
      <w:lvlText w:val=""/>
      <w:lvlJc w:val="left"/>
      <w:pPr>
        <w:ind w:left="2160" w:hanging="360"/>
      </w:pPr>
      <w:rPr>
        <w:rFonts w:ascii="Wingdings" w:hAnsi="Wingdings" w:hint="default"/>
      </w:rPr>
    </w:lvl>
    <w:lvl w:ilvl="3" w:tplc="FCCCD21C" w:tentative="1">
      <w:start w:val="1"/>
      <w:numFmt w:val="bullet"/>
      <w:lvlText w:val=""/>
      <w:lvlJc w:val="left"/>
      <w:pPr>
        <w:ind w:left="2880" w:hanging="360"/>
      </w:pPr>
      <w:rPr>
        <w:rFonts w:ascii="Symbol" w:hAnsi="Symbol" w:hint="default"/>
      </w:rPr>
    </w:lvl>
    <w:lvl w:ilvl="4" w:tplc="307453D6" w:tentative="1">
      <w:start w:val="1"/>
      <w:numFmt w:val="bullet"/>
      <w:lvlText w:val="o"/>
      <w:lvlJc w:val="left"/>
      <w:pPr>
        <w:ind w:left="3600" w:hanging="360"/>
      </w:pPr>
      <w:rPr>
        <w:rFonts w:ascii="Courier New" w:hAnsi="Courier New" w:cs="Courier New" w:hint="default"/>
      </w:rPr>
    </w:lvl>
    <w:lvl w:ilvl="5" w:tplc="B0F6780E" w:tentative="1">
      <w:start w:val="1"/>
      <w:numFmt w:val="bullet"/>
      <w:lvlText w:val=""/>
      <w:lvlJc w:val="left"/>
      <w:pPr>
        <w:ind w:left="4320" w:hanging="360"/>
      </w:pPr>
      <w:rPr>
        <w:rFonts w:ascii="Wingdings" w:hAnsi="Wingdings" w:hint="default"/>
      </w:rPr>
    </w:lvl>
    <w:lvl w:ilvl="6" w:tplc="3EC8DA4A" w:tentative="1">
      <w:start w:val="1"/>
      <w:numFmt w:val="bullet"/>
      <w:lvlText w:val=""/>
      <w:lvlJc w:val="left"/>
      <w:pPr>
        <w:ind w:left="5040" w:hanging="360"/>
      </w:pPr>
      <w:rPr>
        <w:rFonts w:ascii="Symbol" w:hAnsi="Symbol" w:hint="default"/>
      </w:rPr>
    </w:lvl>
    <w:lvl w:ilvl="7" w:tplc="C4B848B6" w:tentative="1">
      <w:start w:val="1"/>
      <w:numFmt w:val="bullet"/>
      <w:lvlText w:val="o"/>
      <w:lvlJc w:val="left"/>
      <w:pPr>
        <w:ind w:left="5760" w:hanging="360"/>
      </w:pPr>
      <w:rPr>
        <w:rFonts w:ascii="Courier New" w:hAnsi="Courier New" w:cs="Courier New" w:hint="default"/>
      </w:rPr>
    </w:lvl>
    <w:lvl w:ilvl="8" w:tplc="C4C8D048" w:tentative="1">
      <w:start w:val="1"/>
      <w:numFmt w:val="bullet"/>
      <w:lvlText w:val=""/>
      <w:lvlJc w:val="left"/>
      <w:pPr>
        <w:ind w:left="6480" w:hanging="360"/>
      </w:pPr>
      <w:rPr>
        <w:rFonts w:ascii="Wingdings" w:hAnsi="Wingdings" w:hint="default"/>
      </w:rPr>
    </w:lvl>
  </w:abstractNum>
  <w:abstractNum w:abstractNumId="7" w15:restartNumberingAfterBreak="0">
    <w:nsid w:val="25AD1E16"/>
    <w:multiLevelType w:val="hybridMultilevel"/>
    <w:tmpl w:val="E18067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97C473F"/>
    <w:multiLevelType w:val="hybridMultilevel"/>
    <w:tmpl w:val="F5A08B0C"/>
    <w:lvl w:ilvl="0" w:tplc="96827C72">
      <w:start w:val="1"/>
      <w:numFmt w:val="bullet"/>
      <w:lvlText w:val=""/>
      <w:lvlJc w:val="left"/>
      <w:pPr>
        <w:ind w:left="972" w:hanging="360"/>
      </w:pPr>
      <w:rPr>
        <w:rFonts w:ascii="Symbol" w:hAnsi="Symbol" w:hint="default"/>
        <w:sz w:val="12"/>
        <w:szCs w:val="12"/>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 w15:restartNumberingAfterBreak="0">
    <w:nsid w:val="29B66A88"/>
    <w:multiLevelType w:val="hybridMultilevel"/>
    <w:tmpl w:val="42A2D08C"/>
    <w:lvl w:ilvl="0" w:tplc="848449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F905B0"/>
    <w:multiLevelType w:val="hybridMultilevel"/>
    <w:tmpl w:val="F52ACF88"/>
    <w:lvl w:ilvl="0" w:tplc="9FCA8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D2C7E"/>
    <w:multiLevelType w:val="hybridMultilevel"/>
    <w:tmpl w:val="0BFABFE0"/>
    <w:lvl w:ilvl="0" w:tplc="DAEC14B6">
      <w:start w:val="1"/>
      <w:numFmt w:val="decimal"/>
      <w:lvlText w:val="(%1)"/>
      <w:lvlJc w:val="left"/>
      <w:pPr>
        <w:ind w:left="494" w:hanging="495"/>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389560BC"/>
    <w:multiLevelType w:val="hybridMultilevel"/>
    <w:tmpl w:val="F5F2F618"/>
    <w:lvl w:ilvl="0" w:tplc="C876F1A6">
      <w:numFmt w:val="bullet"/>
      <w:lvlText w:val="•"/>
      <w:lvlJc w:val="left"/>
      <w:pPr>
        <w:ind w:left="979" w:hanging="360"/>
      </w:pPr>
      <w:rPr>
        <w:rFonts w:ascii="Times New Roman" w:eastAsia="Times New Roman" w:hAnsi="Times New Roman" w:cs="Times New Roman" w:hint="default"/>
        <w:sz w:val="20"/>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3" w15:restartNumberingAfterBreak="0">
    <w:nsid w:val="38AB48D3"/>
    <w:multiLevelType w:val="hybridMultilevel"/>
    <w:tmpl w:val="02E8E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D11B85"/>
    <w:multiLevelType w:val="hybridMultilevel"/>
    <w:tmpl w:val="95B001F4"/>
    <w:lvl w:ilvl="0" w:tplc="249CEFC0">
      <w:start w:val="1"/>
      <w:numFmt w:val="decimal"/>
      <w:lvlText w:val="(%1)"/>
      <w:lvlJc w:val="left"/>
      <w:pPr>
        <w:ind w:left="495" w:hanging="495"/>
      </w:pPr>
      <w:rPr>
        <w:rFonts w:hint="default"/>
        <w:sz w:val="20"/>
        <w:szCs w:val="2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15:restartNumberingAfterBreak="0">
    <w:nsid w:val="42FE5E84"/>
    <w:multiLevelType w:val="hybridMultilevel"/>
    <w:tmpl w:val="C8BA152A"/>
    <w:lvl w:ilvl="0" w:tplc="30CED786">
      <w:start w:val="2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43C00B8"/>
    <w:multiLevelType w:val="hybridMultilevel"/>
    <w:tmpl w:val="9890629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7" w15:restartNumberingAfterBreak="0">
    <w:nsid w:val="447D3645"/>
    <w:multiLevelType w:val="hybridMultilevel"/>
    <w:tmpl w:val="89C02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D1FC2"/>
    <w:multiLevelType w:val="hybridMultilevel"/>
    <w:tmpl w:val="3DCAD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E0A230A"/>
    <w:multiLevelType w:val="hybridMultilevel"/>
    <w:tmpl w:val="1A4079F2"/>
    <w:lvl w:ilvl="0" w:tplc="327C3678">
      <w:start w:val="1"/>
      <w:numFmt w:val="decimal"/>
      <w:lvlText w:val="(%1)"/>
      <w:lvlJc w:val="left"/>
      <w:pPr>
        <w:ind w:left="495" w:hanging="4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2123BD"/>
    <w:multiLevelType w:val="hybridMultilevel"/>
    <w:tmpl w:val="F49ED76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F771F"/>
    <w:multiLevelType w:val="hybridMultilevel"/>
    <w:tmpl w:val="79B82674"/>
    <w:lvl w:ilvl="0" w:tplc="585C4F6A">
      <w:start w:val="5"/>
      <w:numFmt w:val="upperRoman"/>
      <w:lvlText w:val="%1."/>
      <w:lvlJc w:val="left"/>
      <w:pPr>
        <w:ind w:left="480" w:hanging="270"/>
      </w:pPr>
      <w:rPr>
        <w:rFonts w:ascii="Arial" w:eastAsia="Arial" w:hAnsi="Arial" w:cs="Arial" w:hint="default"/>
        <w:color w:val="231F20"/>
        <w:w w:val="100"/>
        <w:sz w:val="18"/>
        <w:szCs w:val="18"/>
      </w:rPr>
    </w:lvl>
    <w:lvl w:ilvl="1" w:tplc="1834C7C2">
      <w:numFmt w:val="bullet"/>
      <w:lvlText w:val="•"/>
      <w:lvlJc w:val="left"/>
      <w:pPr>
        <w:ind w:left="820" w:hanging="360"/>
      </w:pPr>
      <w:rPr>
        <w:rFonts w:ascii="Calibri" w:eastAsia="Calibri" w:hAnsi="Calibri" w:cs="Calibri" w:hint="default"/>
        <w:color w:val="231F20"/>
        <w:w w:val="111"/>
        <w:sz w:val="20"/>
        <w:szCs w:val="20"/>
      </w:rPr>
    </w:lvl>
    <w:lvl w:ilvl="2" w:tplc="E01ADC38">
      <w:start w:val="1"/>
      <w:numFmt w:val="decimal"/>
      <w:lvlText w:val="(%3)"/>
      <w:lvlJc w:val="left"/>
      <w:pPr>
        <w:ind w:left="1560" w:hanging="360"/>
      </w:pPr>
      <w:rPr>
        <w:rFonts w:ascii="Arial" w:eastAsia="Arial" w:hAnsi="Arial" w:cs="Arial" w:hint="default"/>
        <w:color w:val="231F20"/>
        <w:w w:val="99"/>
        <w:sz w:val="20"/>
        <w:szCs w:val="20"/>
      </w:rPr>
    </w:lvl>
    <w:lvl w:ilvl="3" w:tplc="F4D431F2">
      <w:numFmt w:val="bullet"/>
      <w:lvlText w:val="•"/>
      <w:lvlJc w:val="left"/>
      <w:pPr>
        <w:ind w:left="2660" w:hanging="360"/>
      </w:pPr>
    </w:lvl>
    <w:lvl w:ilvl="4" w:tplc="6B40E170">
      <w:numFmt w:val="bullet"/>
      <w:lvlText w:val="•"/>
      <w:lvlJc w:val="left"/>
      <w:pPr>
        <w:ind w:left="2941" w:hanging="360"/>
      </w:pPr>
    </w:lvl>
    <w:lvl w:ilvl="5" w:tplc="08B0873A">
      <w:numFmt w:val="bullet"/>
      <w:lvlText w:val="•"/>
      <w:lvlJc w:val="left"/>
      <w:pPr>
        <w:ind w:left="3222" w:hanging="360"/>
      </w:pPr>
    </w:lvl>
    <w:lvl w:ilvl="6" w:tplc="39DE415C">
      <w:numFmt w:val="bullet"/>
      <w:lvlText w:val="•"/>
      <w:lvlJc w:val="left"/>
      <w:pPr>
        <w:ind w:left="3504" w:hanging="360"/>
      </w:pPr>
    </w:lvl>
    <w:lvl w:ilvl="7" w:tplc="B9E060E6">
      <w:numFmt w:val="bullet"/>
      <w:lvlText w:val="•"/>
      <w:lvlJc w:val="left"/>
      <w:pPr>
        <w:ind w:left="3785" w:hanging="360"/>
      </w:pPr>
    </w:lvl>
    <w:lvl w:ilvl="8" w:tplc="E6FA93E2">
      <w:numFmt w:val="bullet"/>
      <w:lvlText w:val="•"/>
      <w:lvlJc w:val="left"/>
      <w:pPr>
        <w:ind w:left="4067" w:hanging="360"/>
      </w:pPr>
    </w:lvl>
  </w:abstractNum>
  <w:abstractNum w:abstractNumId="22" w15:restartNumberingAfterBreak="0">
    <w:nsid w:val="5B5D589F"/>
    <w:multiLevelType w:val="hybridMultilevel"/>
    <w:tmpl w:val="4B62705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3" w15:restartNumberingAfterBreak="0">
    <w:nsid w:val="6249651A"/>
    <w:multiLevelType w:val="hybridMultilevel"/>
    <w:tmpl w:val="E40E9600"/>
    <w:lvl w:ilvl="0" w:tplc="1F3A3F0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4D6342C"/>
    <w:multiLevelType w:val="hybridMultilevel"/>
    <w:tmpl w:val="560C6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A7B0962"/>
    <w:multiLevelType w:val="hybridMultilevel"/>
    <w:tmpl w:val="295C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391C27"/>
    <w:multiLevelType w:val="hybridMultilevel"/>
    <w:tmpl w:val="E45A0798"/>
    <w:lvl w:ilvl="0" w:tplc="0D82AED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7" w15:restartNumberingAfterBreak="0">
    <w:nsid w:val="7B512028"/>
    <w:multiLevelType w:val="hybridMultilevel"/>
    <w:tmpl w:val="C8D2C948"/>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8" w15:restartNumberingAfterBreak="0">
    <w:nsid w:val="7BCF0C69"/>
    <w:multiLevelType w:val="hybridMultilevel"/>
    <w:tmpl w:val="8EB2B5F6"/>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num w:numId="1">
    <w:abstractNumId w:val="11"/>
  </w:num>
  <w:num w:numId="2">
    <w:abstractNumId w:val="12"/>
  </w:num>
  <w:num w:numId="3">
    <w:abstractNumId w:val="20"/>
  </w:num>
  <w:num w:numId="4">
    <w:abstractNumId w:val="24"/>
  </w:num>
  <w:num w:numId="5">
    <w:abstractNumId w:val="26"/>
  </w:num>
  <w:num w:numId="6">
    <w:abstractNumId w:val="12"/>
  </w:num>
  <w:num w:numId="7">
    <w:abstractNumId w:val="23"/>
  </w:num>
  <w:num w:numId="8">
    <w:abstractNumId w:val="13"/>
  </w:num>
  <w:num w:numId="9">
    <w:abstractNumId w:val="3"/>
  </w:num>
  <w:num w:numId="10">
    <w:abstractNumId w:val="19"/>
  </w:num>
  <w:num w:numId="11">
    <w:abstractNumId w:val="14"/>
  </w:num>
  <w:num w:numId="12">
    <w:abstractNumId w:val="4"/>
  </w:num>
  <w:num w:numId="13">
    <w:abstractNumId w:val="13"/>
  </w:num>
  <w:num w:numId="14">
    <w:abstractNumId w:val="16"/>
  </w:num>
  <w:num w:numId="15">
    <w:abstractNumId w:val="18"/>
  </w:num>
  <w:num w:numId="16">
    <w:abstractNumId w:val="28"/>
  </w:num>
  <w:num w:numId="17">
    <w:abstractNumId w:val="22"/>
  </w:num>
  <w:num w:numId="18">
    <w:abstractNumId w:val="7"/>
  </w:num>
  <w:num w:numId="19">
    <w:abstractNumId w:val="27"/>
  </w:num>
  <w:num w:numId="20">
    <w:abstractNumId w:val="8"/>
  </w:num>
  <w:num w:numId="21">
    <w:abstractNumId w:val="16"/>
  </w:num>
  <w:num w:numId="22">
    <w:abstractNumId w:val="18"/>
  </w:num>
  <w:num w:numId="23">
    <w:abstractNumId w:val="28"/>
  </w:num>
  <w:num w:numId="24">
    <w:abstractNumId w:val="22"/>
  </w:num>
  <w:num w:numId="25">
    <w:abstractNumId w:val="7"/>
  </w:num>
  <w:num w:numId="26">
    <w:abstractNumId w:val="27"/>
  </w:num>
  <w:num w:numId="27">
    <w:abstractNumId w:val="0"/>
  </w:num>
  <w:num w:numId="28">
    <w:abstractNumId w:val="25"/>
  </w:num>
  <w:num w:numId="29">
    <w:abstractNumId w:val="25"/>
  </w:num>
  <w:num w:numId="30">
    <w:abstractNumId w:val="15"/>
  </w:num>
  <w:num w:numId="31">
    <w:abstractNumId w:val="2"/>
  </w:num>
  <w:num w:numId="32">
    <w:abstractNumId w:val="0"/>
  </w:num>
  <w:num w:numId="33">
    <w:abstractNumId w:val="9"/>
  </w:num>
  <w:num w:numId="34">
    <w:abstractNumId w:val="0"/>
  </w:num>
  <w:num w:numId="35">
    <w:abstractNumId w:val="1"/>
  </w:num>
  <w:num w:numId="36">
    <w:abstractNumId w:val="10"/>
  </w:num>
  <w:num w:numId="37">
    <w:abstractNumId w:val="21"/>
    <w:lvlOverride w:ilvl="0">
      <w:startOverride w:val="5"/>
    </w:lvlOverride>
    <w:lvlOverride w:ilvl="1"/>
    <w:lvlOverride w:ilvl="2">
      <w:startOverride w:val="1"/>
    </w:lvlOverride>
    <w:lvlOverride w:ilvl="3"/>
    <w:lvlOverride w:ilvl="4"/>
    <w:lvlOverride w:ilvl="5"/>
    <w:lvlOverride w:ilvl="6"/>
    <w:lvlOverride w:ilvl="7"/>
    <w:lvlOverride w:ilvl="8"/>
  </w:num>
  <w:num w:numId="38">
    <w:abstractNumId w:val="6"/>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doNotValidateAgainstSchema/>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1MzcyMDA0NzOyNDBR0lEKTi0uzszPAykwNKgFAA8Jf2stAAAA"/>
  </w:docVars>
  <w:rsids>
    <w:rsidRoot w:val="000121CD"/>
    <w:rsid w:val="00006105"/>
    <w:rsid w:val="00011CD0"/>
    <w:rsid w:val="000121CD"/>
    <w:rsid w:val="0001355D"/>
    <w:rsid w:val="00037332"/>
    <w:rsid w:val="000436D7"/>
    <w:rsid w:val="000601D7"/>
    <w:rsid w:val="00083E9C"/>
    <w:rsid w:val="0008766F"/>
    <w:rsid w:val="000A090A"/>
    <w:rsid w:val="000A09C2"/>
    <w:rsid w:val="000A3F92"/>
    <w:rsid w:val="000A521D"/>
    <w:rsid w:val="000B1BBE"/>
    <w:rsid w:val="000B3267"/>
    <w:rsid w:val="000B50DA"/>
    <w:rsid w:val="000C481E"/>
    <w:rsid w:val="000C72B7"/>
    <w:rsid w:val="000D0795"/>
    <w:rsid w:val="000D2AEF"/>
    <w:rsid w:val="000E76F0"/>
    <w:rsid w:val="000F76FB"/>
    <w:rsid w:val="001036A3"/>
    <w:rsid w:val="00107081"/>
    <w:rsid w:val="00112254"/>
    <w:rsid w:val="001143A5"/>
    <w:rsid w:val="00121FA5"/>
    <w:rsid w:val="00124DEA"/>
    <w:rsid w:val="001259B7"/>
    <w:rsid w:val="001434D0"/>
    <w:rsid w:val="00153790"/>
    <w:rsid w:val="00160465"/>
    <w:rsid w:val="0018024C"/>
    <w:rsid w:val="001907EA"/>
    <w:rsid w:val="001970BC"/>
    <w:rsid w:val="001A40EA"/>
    <w:rsid w:val="001B17C7"/>
    <w:rsid w:val="001B1E7A"/>
    <w:rsid w:val="001C1D46"/>
    <w:rsid w:val="001C69F2"/>
    <w:rsid w:val="001D107F"/>
    <w:rsid w:val="001D2E2E"/>
    <w:rsid w:val="001F77E2"/>
    <w:rsid w:val="002063E3"/>
    <w:rsid w:val="0021653E"/>
    <w:rsid w:val="002227B5"/>
    <w:rsid w:val="00263ABA"/>
    <w:rsid w:val="00264EC4"/>
    <w:rsid w:val="002725D5"/>
    <w:rsid w:val="00277D32"/>
    <w:rsid w:val="002833A4"/>
    <w:rsid w:val="002960CA"/>
    <w:rsid w:val="002A2C97"/>
    <w:rsid w:val="002A331A"/>
    <w:rsid w:val="002A5441"/>
    <w:rsid w:val="002B25B7"/>
    <w:rsid w:val="002B39E5"/>
    <w:rsid w:val="002C1865"/>
    <w:rsid w:val="002E70F4"/>
    <w:rsid w:val="002F3F96"/>
    <w:rsid w:val="002F4A69"/>
    <w:rsid w:val="00302BD6"/>
    <w:rsid w:val="003212AF"/>
    <w:rsid w:val="00326058"/>
    <w:rsid w:val="00331849"/>
    <w:rsid w:val="003477C3"/>
    <w:rsid w:val="00355914"/>
    <w:rsid w:val="003609B6"/>
    <w:rsid w:val="003627E3"/>
    <w:rsid w:val="00363587"/>
    <w:rsid w:val="00365430"/>
    <w:rsid w:val="00381454"/>
    <w:rsid w:val="00382D2F"/>
    <w:rsid w:val="00392BB5"/>
    <w:rsid w:val="00395EDB"/>
    <w:rsid w:val="00396644"/>
    <w:rsid w:val="003A4344"/>
    <w:rsid w:val="003A4CE4"/>
    <w:rsid w:val="003A7B4B"/>
    <w:rsid w:val="003B52EE"/>
    <w:rsid w:val="003F1700"/>
    <w:rsid w:val="00404D64"/>
    <w:rsid w:val="00404D6A"/>
    <w:rsid w:val="004067D9"/>
    <w:rsid w:val="00417DE3"/>
    <w:rsid w:val="0042041B"/>
    <w:rsid w:val="00421247"/>
    <w:rsid w:val="00422D51"/>
    <w:rsid w:val="00434452"/>
    <w:rsid w:val="00443098"/>
    <w:rsid w:val="0044523F"/>
    <w:rsid w:val="00447EF3"/>
    <w:rsid w:val="00463D37"/>
    <w:rsid w:val="00466DD8"/>
    <w:rsid w:val="00477D8F"/>
    <w:rsid w:val="00480D1A"/>
    <w:rsid w:val="004871C7"/>
    <w:rsid w:val="00493F52"/>
    <w:rsid w:val="004A17D0"/>
    <w:rsid w:val="004B0610"/>
    <w:rsid w:val="004C04C4"/>
    <w:rsid w:val="004C321E"/>
    <w:rsid w:val="004D09FA"/>
    <w:rsid w:val="004D51D8"/>
    <w:rsid w:val="004D5CF1"/>
    <w:rsid w:val="004F13A3"/>
    <w:rsid w:val="00515EAF"/>
    <w:rsid w:val="00517374"/>
    <w:rsid w:val="0053528A"/>
    <w:rsid w:val="00537CF1"/>
    <w:rsid w:val="00552DF8"/>
    <w:rsid w:val="00565197"/>
    <w:rsid w:val="0057180A"/>
    <w:rsid w:val="00571927"/>
    <w:rsid w:val="00575BA7"/>
    <w:rsid w:val="00577082"/>
    <w:rsid w:val="00582995"/>
    <w:rsid w:val="00590862"/>
    <w:rsid w:val="005A25ED"/>
    <w:rsid w:val="005A3E42"/>
    <w:rsid w:val="005A74F9"/>
    <w:rsid w:val="005A76D0"/>
    <w:rsid w:val="005B0DD6"/>
    <w:rsid w:val="005C0200"/>
    <w:rsid w:val="005C3D29"/>
    <w:rsid w:val="005C4C99"/>
    <w:rsid w:val="005C6140"/>
    <w:rsid w:val="005C6C69"/>
    <w:rsid w:val="005D310F"/>
    <w:rsid w:val="005D6572"/>
    <w:rsid w:val="005E1D9D"/>
    <w:rsid w:val="005F06DD"/>
    <w:rsid w:val="005F296B"/>
    <w:rsid w:val="00600EDA"/>
    <w:rsid w:val="00601E53"/>
    <w:rsid w:val="006135CE"/>
    <w:rsid w:val="0062401A"/>
    <w:rsid w:val="00630B1D"/>
    <w:rsid w:val="00672452"/>
    <w:rsid w:val="006868A7"/>
    <w:rsid w:val="006871EC"/>
    <w:rsid w:val="0068771A"/>
    <w:rsid w:val="00693CCE"/>
    <w:rsid w:val="00694928"/>
    <w:rsid w:val="006A75DA"/>
    <w:rsid w:val="006B0137"/>
    <w:rsid w:val="006B203C"/>
    <w:rsid w:val="006B2208"/>
    <w:rsid w:val="006B5902"/>
    <w:rsid w:val="006D4618"/>
    <w:rsid w:val="006F38D0"/>
    <w:rsid w:val="007279CF"/>
    <w:rsid w:val="00736623"/>
    <w:rsid w:val="00746982"/>
    <w:rsid w:val="007542B0"/>
    <w:rsid w:val="00755004"/>
    <w:rsid w:val="00756D37"/>
    <w:rsid w:val="00757EF6"/>
    <w:rsid w:val="00773166"/>
    <w:rsid w:val="007735BE"/>
    <w:rsid w:val="007765B6"/>
    <w:rsid w:val="00780609"/>
    <w:rsid w:val="0079468F"/>
    <w:rsid w:val="007A7191"/>
    <w:rsid w:val="007B0E19"/>
    <w:rsid w:val="007B3A58"/>
    <w:rsid w:val="007D001E"/>
    <w:rsid w:val="007E043F"/>
    <w:rsid w:val="007F0624"/>
    <w:rsid w:val="00802321"/>
    <w:rsid w:val="00813C20"/>
    <w:rsid w:val="00815796"/>
    <w:rsid w:val="00825487"/>
    <w:rsid w:val="00844D54"/>
    <w:rsid w:val="00850394"/>
    <w:rsid w:val="008530C0"/>
    <w:rsid w:val="00876497"/>
    <w:rsid w:val="00881B8A"/>
    <w:rsid w:val="00894EAC"/>
    <w:rsid w:val="008968DC"/>
    <w:rsid w:val="008B772B"/>
    <w:rsid w:val="008C4016"/>
    <w:rsid w:val="008C77AE"/>
    <w:rsid w:val="008D3330"/>
    <w:rsid w:val="008E37BA"/>
    <w:rsid w:val="008E535A"/>
    <w:rsid w:val="00901E1A"/>
    <w:rsid w:val="0090423E"/>
    <w:rsid w:val="00905CE8"/>
    <w:rsid w:val="0090766F"/>
    <w:rsid w:val="00910866"/>
    <w:rsid w:val="00913002"/>
    <w:rsid w:val="00917D99"/>
    <w:rsid w:val="00917FE5"/>
    <w:rsid w:val="00920E36"/>
    <w:rsid w:val="00943593"/>
    <w:rsid w:val="00951117"/>
    <w:rsid w:val="00960D58"/>
    <w:rsid w:val="00965596"/>
    <w:rsid w:val="00994EE4"/>
    <w:rsid w:val="009B31C3"/>
    <w:rsid w:val="009E1595"/>
    <w:rsid w:val="009E1DBE"/>
    <w:rsid w:val="009F12CC"/>
    <w:rsid w:val="009F1AEA"/>
    <w:rsid w:val="009F575D"/>
    <w:rsid w:val="00A06140"/>
    <w:rsid w:val="00A072D5"/>
    <w:rsid w:val="00A0733D"/>
    <w:rsid w:val="00A11F69"/>
    <w:rsid w:val="00A13EAC"/>
    <w:rsid w:val="00A330E9"/>
    <w:rsid w:val="00A427B9"/>
    <w:rsid w:val="00A46291"/>
    <w:rsid w:val="00A5004E"/>
    <w:rsid w:val="00A5510F"/>
    <w:rsid w:val="00A733DB"/>
    <w:rsid w:val="00A83242"/>
    <w:rsid w:val="00A834E4"/>
    <w:rsid w:val="00A85F56"/>
    <w:rsid w:val="00A93B5A"/>
    <w:rsid w:val="00A93F7C"/>
    <w:rsid w:val="00A946AB"/>
    <w:rsid w:val="00A979D2"/>
    <w:rsid w:val="00AA430C"/>
    <w:rsid w:val="00AB239A"/>
    <w:rsid w:val="00AB27B0"/>
    <w:rsid w:val="00AB3E30"/>
    <w:rsid w:val="00AC55B9"/>
    <w:rsid w:val="00AC7BEA"/>
    <w:rsid w:val="00AD787F"/>
    <w:rsid w:val="00AE379B"/>
    <w:rsid w:val="00AF7CD0"/>
    <w:rsid w:val="00B127E0"/>
    <w:rsid w:val="00B25F72"/>
    <w:rsid w:val="00B34492"/>
    <w:rsid w:val="00B3504F"/>
    <w:rsid w:val="00B4328F"/>
    <w:rsid w:val="00B46C21"/>
    <w:rsid w:val="00B53A64"/>
    <w:rsid w:val="00B541F7"/>
    <w:rsid w:val="00B61344"/>
    <w:rsid w:val="00B6216C"/>
    <w:rsid w:val="00B635BE"/>
    <w:rsid w:val="00B81399"/>
    <w:rsid w:val="00B82214"/>
    <w:rsid w:val="00B94B3A"/>
    <w:rsid w:val="00BA5C63"/>
    <w:rsid w:val="00BB2309"/>
    <w:rsid w:val="00BC0DED"/>
    <w:rsid w:val="00BC3643"/>
    <w:rsid w:val="00BC7177"/>
    <w:rsid w:val="00BD0D22"/>
    <w:rsid w:val="00BD34EC"/>
    <w:rsid w:val="00BE4C47"/>
    <w:rsid w:val="00BF29DD"/>
    <w:rsid w:val="00BF754C"/>
    <w:rsid w:val="00C022E5"/>
    <w:rsid w:val="00C124DB"/>
    <w:rsid w:val="00C1445B"/>
    <w:rsid w:val="00C25663"/>
    <w:rsid w:val="00C46B20"/>
    <w:rsid w:val="00C56181"/>
    <w:rsid w:val="00C57314"/>
    <w:rsid w:val="00C6642F"/>
    <w:rsid w:val="00C9375E"/>
    <w:rsid w:val="00C9654D"/>
    <w:rsid w:val="00C97101"/>
    <w:rsid w:val="00CB3043"/>
    <w:rsid w:val="00CB4BA9"/>
    <w:rsid w:val="00CB52D5"/>
    <w:rsid w:val="00CB6979"/>
    <w:rsid w:val="00CD5277"/>
    <w:rsid w:val="00CE0C87"/>
    <w:rsid w:val="00CE7840"/>
    <w:rsid w:val="00CF6705"/>
    <w:rsid w:val="00D003C4"/>
    <w:rsid w:val="00D020F7"/>
    <w:rsid w:val="00D10B19"/>
    <w:rsid w:val="00D21C57"/>
    <w:rsid w:val="00D244ED"/>
    <w:rsid w:val="00D334F0"/>
    <w:rsid w:val="00D336E0"/>
    <w:rsid w:val="00D44F9E"/>
    <w:rsid w:val="00D470DC"/>
    <w:rsid w:val="00D765DC"/>
    <w:rsid w:val="00D76B2B"/>
    <w:rsid w:val="00D855F7"/>
    <w:rsid w:val="00D867DA"/>
    <w:rsid w:val="00D901C9"/>
    <w:rsid w:val="00D9348C"/>
    <w:rsid w:val="00D97125"/>
    <w:rsid w:val="00DA1FC0"/>
    <w:rsid w:val="00DA2A30"/>
    <w:rsid w:val="00DB577B"/>
    <w:rsid w:val="00DC3B43"/>
    <w:rsid w:val="00DD7C39"/>
    <w:rsid w:val="00DF0BDF"/>
    <w:rsid w:val="00E03568"/>
    <w:rsid w:val="00E156C7"/>
    <w:rsid w:val="00E202E1"/>
    <w:rsid w:val="00E22153"/>
    <w:rsid w:val="00E23775"/>
    <w:rsid w:val="00E24E0B"/>
    <w:rsid w:val="00E276B2"/>
    <w:rsid w:val="00E3157C"/>
    <w:rsid w:val="00E364A0"/>
    <w:rsid w:val="00E479AC"/>
    <w:rsid w:val="00E6298E"/>
    <w:rsid w:val="00E62EE0"/>
    <w:rsid w:val="00E63F5A"/>
    <w:rsid w:val="00E66D0A"/>
    <w:rsid w:val="00E70ADC"/>
    <w:rsid w:val="00E861AB"/>
    <w:rsid w:val="00E97A6E"/>
    <w:rsid w:val="00EB677F"/>
    <w:rsid w:val="00EB735C"/>
    <w:rsid w:val="00ED374B"/>
    <w:rsid w:val="00ED78F8"/>
    <w:rsid w:val="00EE493F"/>
    <w:rsid w:val="00EF0A90"/>
    <w:rsid w:val="00EF5810"/>
    <w:rsid w:val="00F12CB3"/>
    <w:rsid w:val="00F25F9C"/>
    <w:rsid w:val="00F3319E"/>
    <w:rsid w:val="00F43D27"/>
    <w:rsid w:val="00F6749B"/>
    <w:rsid w:val="00F72C71"/>
    <w:rsid w:val="00F73E66"/>
    <w:rsid w:val="00F82325"/>
    <w:rsid w:val="00F87F1F"/>
    <w:rsid w:val="00F931D3"/>
    <w:rsid w:val="00FA0568"/>
    <w:rsid w:val="00FB6555"/>
    <w:rsid w:val="00FB6CBF"/>
    <w:rsid w:val="00FC1460"/>
    <w:rsid w:val="00FD1D58"/>
    <w:rsid w:val="00FD5C38"/>
    <w:rsid w:val="00FE1A74"/>
    <w:rsid w:val="00FE4691"/>
    <w:rsid w:val="00FF2DD8"/>
    <w:rsid w:val="00FF6379"/>
  </w:rsids>
  <m:mathPr>
    <m:mathFont m:val="Cambria Math"/>
    <m:brkBin m:val="before"/>
    <m:brkBinSub m:val="--"/>
    <m:smallFrac m:val="0"/>
    <m:dispDef/>
    <m:lMargin m:val="0"/>
    <m:rMargin m:val="0"/>
    <m:defJc m:val="centerGroup"/>
    <m:wrapIndent m:val="1440"/>
    <m:intLim m:val="subSup"/>
    <m:naryLim m:val="undOvr"/>
  </m:mathPr>
  <w:attachedSchema w:val="http://www.rrd.com/pageprorwp"/>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52F8066E-26C4-4D62-89B0-5FEC6240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2">
    <w:name w:val="heading 2"/>
    <w:basedOn w:val="Normal"/>
    <w:next w:val="Normal"/>
    <w:link w:val="Heading2Char"/>
    <w:uiPriority w:val="9"/>
    <w:semiHidden/>
    <w:unhideWhenUsed/>
    <w:qFormat/>
    <w:rsid w:val="000A09C2"/>
    <w:pPr>
      <w:keepNext/>
      <w:keepLines/>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pPr>
      <w:spacing w:line="240" w:lineRule="exact"/>
      <w:jc w:val="center"/>
    </w:pPr>
    <w:rPr>
      <w:b/>
      <w:noProof/>
    </w:rPr>
  </w:style>
  <w:style w:type="paragraph" w:customStyle="1" w:styleId="H2">
    <w:name w:val="H2"/>
    <w:pPr>
      <w:spacing w:line="240" w:lineRule="exact"/>
    </w:pPr>
    <w:rPr>
      <w:b/>
      <w:noProof/>
    </w:rPr>
  </w:style>
  <w:style w:type="paragraph" w:customStyle="1" w:styleId="H3">
    <w:name w:val="H3"/>
    <w:pPr>
      <w:spacing w:line="240" w:lineRule="exact"/>
      <w:jc w:val="right"/>
    </w:pPr>
    <w:rPr>
      <w:b/>
      <w:noProof/>
    </w:rPr>
  </w:style>
  <w:style w:type="paragraph" w:customStyle="1" w:styleId="H4">
    <w:name w:val="H4"/>
    <w:pPr>
      <w:spacing w:line="240" w:lineRule="exact"/>
      <w:jc w:val="center"/>
    </w:pPr>
    <w:rPr>
      <w:i/>
      <w:noProof/>
    </w:rPr>
  </w:style>
  <w:style w:type="paragraph" w:customStyle="1" w:styleId="H4X">
    <w:name w:val="H4X"/>
    <w:pPr>
      <w:spacing w:line="240" w:lineRule="exact"/>
      <w:jc w:val="center"/>
    </w:pPr>
    <w:rPr>
      <w:b/>
      <w:i/>
      <w:noProof/>
    </w:rPr>
  </w:style>
  <w:style w:type="paragraph" w:customStyle="1" w:styleId="H5">
    <w:name w:val="H5"/>
    <w:pPr>
      <w:spacing w:line="240" w:lineRule="exact"/>
    </w:pPr>
    <w:rPr>
      <w:i/>
      <w:noProof/>
    </w:rPr>
  </w:style>
  <w:style w:type="paragraph" w:customStyle="1" w:styleId="H5X">
    <w:name w:val="H5X"/>
    <w:pPr>
      <w:spacing w:line="240" w:lineRule="exact"/>
    </w:pPr>
    <w:rPr>
      <w:b/>
      <w:i/>
      <w:noProof/>
    </w:rPr>
  </w:style>
  <w:style w:type="paragraph" w:customStyle="1" w:styleId="H6">
    <w:name w:val="H6"/>
    <w:pPr>
      <w:spacing w:line="240" w:lineRule="exact"/>
      <w:jc w:val="right"/>
    </w:pPr>
    <w:rPr>
      <w:i/>
      <w:noProof/>
    </w:rPr>
  </w:style>
  <w:style w:type="paragraph" w:customStyle="1" w:styleId="H6X">
    <w:name w:val="H6X"/>
    <w:pPr>
      <w:spacing w:line="240" w:lineRule="exact"/>
      <w:jc w:val="right"/>
    </w:pPr>
    <w:rPr>
      <w:b/>
      <w:i/>
      <w:noProof/>
    </w:rPr>
  </w:style>
  <w:style w:type="paragraph" w:customStyle="1" w:styleId="H7">
    <w:name w:val="H7"/>
    <w:pPr>
      <w:spacing w:line="240" w:lineRule="exact"/>
      <w:jc w:val="center"/>
    </w:pPr>
    <w:rPr>
      <w:noProof/>
    </w:rPr>
  </w:style>
  <w:style w:type="paragraph" w:customStyle="1" w:styleId="H8">
    <w:name w:val="H8"/>
    <w:pPr>
      <w:spacing w:line="240" w:lineRule="exact"/>
    </w:pPr>
    <w:rPr>
      <w:noProof/>
    </w:rPr>
  </w:style>
  <w:style w:type="paragraph" w:customStyle="1" w:styleId="H9">
    <w:name w:val="H9"/>
    <w:pPr>
      <w:spacing w:line="240" w:lineRule="exact"/>
      <w:jc w:val="right"/>
    </w:pPr>
    <w:rPr>
      <w:noProof/>
    </w:rPr>
  </w:style>
  <w:style w:type="paragraph" w:customStyle="1" w:styleId="I1">
    <w:name w:val="I1"/>
    <w:pPr>
      <w:spacing w:line="240" w:lineRule="exact"/>
      <w:ind w:left="240"/>
    </w:pPr>
    <w:rPr>
      <w:noProof/>
    </w:rPr>
  </w:style>
  <w:style w:type="paragraph" w:customStyle="1" w:styleId="I2">
    <w:name w:val="I2"/>
    <w:pPr>
      <w:spacing w:line="240" w:lineRule="exact"/>
      <w:ind w:left="480"/>
    </w:pPr>
    <w:rPr>
      <w:noProof/>
    </w:rPr>
  </w:style>
  <w:style w:type="paragraph" w:customStyle="1" w:styleId="I3">
    <w:name w:val="I3"/>
    <w:pPr>
      <w:spacing w:line="240" w:lineRule="exact"/>
      <w:ind w:left="720"/>
    </w:pPr>
    <w:rPr>
      <w:noProof/>
    </w:rPr>
  </w:style>
  <w:style w:type="paragraph" w:customStyle="1" w:styleId="I4">
    <w:name w:val="I4"/>
    <w:pPr>
      <w:spacing w:line="240" w:lineRule="exact"/>
      <w:ind w:left="960"/>
    </w:pPr>
    <w:rPr>
      <w:noProof/>
    </w:rPr>
  </w:style>
  <w:style w:type="paragraph" w:customStyle="1" w:styleId="IH1">
    <w:name w:val="IH1"/>
    <w:pPr>
      <w:spacing w:line="240" w:lineRule="exact"/>
      <w:ind w:left="200" w:hanging="200"/>
    </w:pPr>
    <w:rPr>
      <w:noProof/>
    </w:rPr>
  </w:style>
  <w:style w:type="paragraph" w:customStyle="1" w:styleId="IH2">
    <w:name w:val="IH2"/>
    <w:pPr>
      <w:ind w:left="400" w:hanging="400"/>
    </w:pPr>
    <w:rPr>
      <w:noProof/>
    </w:rPr>
  </w:style>
  <w:style w:type="paragraph" w:customStyle="1" w:styleId="IH3">
    <w:name w:val="IH3"/>
    <w:pPr>
      <w:tabs>
        <w:tab w:val="left" w:pos="2"/>
      </w:tabs>
      <w:spacing w:line="240" w:lineRule="exact"/>
      <w:ind w:left="500" w:hanging="500"/>
    </w:pPr>
    <w:rPr>
      <w:noProof/>
    </w:rPr>
  </w:style>
  <w:style w:type="paragraph" w:customStyle="1" w:styleId="P1">
    <w:name w:val="P1"/>
    <w:pPr>
      <w:spacing w:line="240" w:lineRule="exact"/>
    </w:pPr>
    <w:rPr>
      <w:noProof/>
    </w:rPr>
  </w:style>
  <w:style w:type="paragraph" w:customStyle="1" w:styleId="P2">
    <w:name w:val="P2"/>
    <w:pPr>
      <w:spacing w:line="240" w:lineRule="exact"/>
    </w:pPr>
    <w:rPr>
      <w:b/>
      <w:noProof/>
    </w:rPr>
  </w:style>
  <w:style w:type="paragraph" w:customStyle="1" w:styleId="P3">
    <w:name w:val="P3"/>
    <w:pPr>
      <w:spacing w:line="240" w:lineRule="exact"/>
    </w:pPr>
    <w:rPr>
      <w:i/>
      <w:noProof/>
    </w:rPr>
  </w:style>
  <w:style w:type="paragraph" w:customStyle="1" w:styleId="P4">
    <w:name w:val="P4"/>
    <w:pPr>
      <w:spacing w:line="240" w:lineRule="exact"/>
    </w:pPr>
    <w:rPr>
      <w:b/>
      <w:i/>
      <w:noProof/>
    </w:rPr>
  </w:style>
  <w:style w:type="paragraph" w:customStyle="1" w:styleId="LP10">
    <w:name w:val="LP10"/>
    <w:rPr>
      <w:noProof/>
    </w:rPr>
  </w:style>
  <w:style w:type="paragraph" w:customStyle="1" w:styleId="LP4">
    <w:name w:val="LP4"/>
    <w:rPr>
      <w:noProof/>
      <w:sz w:val="8"/>
    </w:rPr>
  </w:style>
  <w:style w:type="paragraph" w:customStyle="1" w:styleId="LP6">
    <w:name w:val="LP6"/>
    <w:pPr>
      <w:spacing w:line="120" w:lineRule="exact"/>
      <w:jc w:val="both"/>
    </w:pPr>
    <w:rPr>
      <w:noProof/>
      <w:sz w:val="12"/>
    </w:rPr>
  </w:style>
  <w:style w:type="paragraph" w:customStyle="1" w:styleId="LP8">
    <w:name w:val="LP8"/>
    <w:rPr>
      <w:noProof/>
      <w:sz w:val="16"/>
    </w:rPr>
  </w:style>
  <w:style w:type="paragraph" w:customStyle="1" w:styleId="LP12">
    <w:name w:val="LP12"/>
    <w:pPr>
      <w:spacing w:line="240" w:lineRule="exact"/>
      <w:jc w:val="both"/>
    </w:pPr>
    <w:rPr>
      <w:noProof/>
      <w:sz w:val="24"/>
    </w:rPr>
  </w:style>
  <w:style w:type="paragraph" w:customStyle="1" w:styleId="LP24">
    <w:name w:val="LP24"/>
    <w:pPr>
      <w:spacing w:line="480" w:lineRule="exact"/>
      <w:jc w:val="both"/>
    </w:pPr>
    <w:rPr>
      <w:noProof/>
      <w:sz w:val="48"/>
    </w:rPr>
  </w:style>
  <w:style w:type="paragraph" w:customStyle="1" w:styleId="LP18">
    <w:name w:val="LP18"/>
    <w:pPr>
      <w:spacing w:line="360" w:lineRule="exact"/>
      <w:jc w:val="both"/>
    </w:pPr>
    <w:rPr>
      <w:noProof/>
      <w:sz w:val="36"/>
    </w:rPr>
  </w:style>
  <w:style w:type="paragraph" w:customStyle="1" w:styleId="C8H">
    <w:name w:val="C8H"/>
    <w:pPr>
      <w:spacing w:line="160" w:lineRule="exact"/>
      <w:jc w:val="center"/>
    </w:pPr>
    <w:rPr>
      <w:b/>
      <w:noProof/>
      <w:sz w:val="16"/>
    </w:rPr>
  </w:style>
  <w:style w:type="paragraph" w:customStyle="1" w:styleId="ST10">
    <w:name w:val="ST10"/>
    <w:pPr>
      <w:spacing w:line="240" w:lineRule="exact"/>
    </w:pPr>
    <w:rPr>
      <w:noProof/>
    </w:rPr>
  </w:style>
  <w:style w:type="paragraph" w:customStyle="1" w:styleId="C10">
    <w:name w:val="C10"/>
    <w:pPr>
      <w:spacing w:line="240" w:lineRule="exact"/>
      <w:jc w:val="right"/>
    </w:pPr>
    <w:rPr>
      <w:noProof/>
    </w:rPr>
  </w:style>
  <w:style w:type="character" w:customStyle="1" w:styleId="doubleunderlines">
    <w:name w:val="doubleunderlines"/>
    <w:qFormat/>
    <w:rPr>
      <w:u w:val="double"/>
    </w:rPr>
  </w:style>
  <w:style w:type="paragraph" w:customStyle="1" w:styleId="TABLE">
    <w:name w:val="TABLE"/>
    <w:basedOn w:val="Normal"/>
    <w:pPr>
      <w:spacing w:line="240" w:lineRule="exact"/>
    </w:pPr>
    <w:rPr>
      <w:noProof/>
      <w:sz w:val="20"/>
    </w:rPr>
  </w:style>
  <w:style w:type="paragraph" w:customStyle="1" w:styleId="rrdColumnRuleStyle">
    <w:name w:val="rrdColumnRule_Style"/>
    <w:basedOn w:val="Normal"/>
    <w:pPr>
      <w:pBdr>
        <w:top w:val="single" w:sz="6" w:space="1" w:color="auto"/>
      </w:pBdr>
      <w:spacing w:before="20" w:line="40" w:lineRule="exact"/>
      <w:jc w:val="center"/>
    </w:pPr>
    <w:rPr>
      <w:sz w:val="8"/>
      <w:szCs w:val="8"/>
    </w:rPr>
  </w:style>
  <w:style w:type="paragraph" w:customStyle="1" w:styleId="rrdsinglerule">
    <w:name w:val="rrdsinglerule"/>
    <w:basedOn w:val="Normal"/>
    <w:next w:val="Normal"/>
    <w:pPr>
      <w:pBdr>
        <w:top w:val="single" w:sz="8" w:space="1" w:color="auto"/>
      </w:pBdr>
      <w:spacing w:before="20" w:line="20" w:lineRule="exact"/>
      <w:jc w:val="center"/>
    </w:pPr>
    <w:rPr>
      <w:sz w:val="8"/>
      <w:szCs w:val="8"/>
    </w:rPr>
  </w:style>
  <w:style w:type="paragraph" w:styleId="Header">
    <w:name w:val="header"/>
    <w:basedOn w:val="Normal"/>
    <w:link w:val="HeaderChar"/>
    <w:uiPriority w:val="99"/>
    <w:qFormat/>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szCs w:val="24"/>
    </w:rPr>
  </w:style>
  <w:style w:type="paragraph" w:customStyle="1" w:styleId="rrddoublerule">
    <w:name w:val="rrddoublerule"/>
    <w:basedOn w:val="rrdsinglerule"/>
    <w:pPr>
      <w:pBdr>
        <w:top w:val="double" w:sz="6" w:space="1" w:color="auto"/>
      </w:pBdr>
    </w:pPr>
  </w:style>
  <w:style w:type="paragraph" w:customStyle="1" w:styleId="LA4">
    <w:name w:val="LA4"/>
    <w:basedOn w:val="Normal"/>
    <w:pPr>
      <w:spacing w:line="80" w:lineRule="exact"/>
    </w:pPr>
    <w:rPr>
      <w:sz w:val="8"/>
      <w:szCs w:val="8"/>
    </w:rPr>
  </w:style>
  <w:style w:type="paragraph" w:customStyle="1" w:styleId="la2">
    <w:name w:val="la2"/>
    <w:basedOn w:val="LP4"/>
    <w:next w:val="P1"/>
    <w:uiPriority w:val="99"/>
    <w:pPr>
      <w:spacing w:line="40" w:lineRule="exact"/>
    </w:pPr>
    <w:rPr>
      <w:szCs w:val="8"/>
    </w:rPr>
  </w:style>
  <w:style w:type="paragraph" w:customStyle="1" w:styleId="rco">
    <w:name w:val="rco"/>
    <w:pPr>
      <w:pBdr>
        <w:bottom w:val="single" w:sz="8" w:space="1" w:color="auto"/>
      </w:pBdr>
      <w:spacing w:line="80" w:lineRule="exact"/>
      <w:ind w:left="4320" w:right="4320"/>
      <w:jc w:val="center"/>
    </w:pPr>
    <w:rPr>
      <w:noProof/>
      <w:sz w:val="12"/>
    </w:rPr>
  </w:style>
  <w:style w:type="paragraph" w:customStyle="1" w:styleId="rfn">
    <w:name w:val="rfn"/>
    <w:autoRedefine/>
    <w:pPr>
      <w:pBdr>
        <w:bottom w:val="single" w:sz="6" w:space="1" w:color="auto"/>
      </w:pBdr>
      <w:spacing w:after="60" w:line="120" w:lineRule="exact"/>
      <w:ind w:right="9360"/>
    </w:pPr>
    <w:rPr>
      <w:noProof/>
      <w:sz w:val="1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Char">
    <w:name w:val="Body Text Char"/>
    <w:aliases w:val="dg Char,b Char,bt Char,Body Test Char,a Char,c Char,BODY TEXT Char,BT Char,body text Char,Body text Char,indent .5 Char,para: Body Char,Body ss Char"/>
    <w:basedOn w:val="DefaultParagraphFont"/>
    <w:link w:val="BodyText"/>
    <w:uiPriority w:val="9"/>
    <w:locked/>
    <w:rPr>
      <w:lang w:val="am-ET" w:eastAsia="zh-TW"/>
    </w:rPr>
  </w:style>
  <w:style w:type="paragraph" w:styleId="BodyText">
    <w:name w:val="Body Text"/>
    <w:aliases w:val="dg,b,bt,Body Test,a,c,BODY TEXT,BT,body text,Body text,indent .5,para: Body,Body ss"/>
    <w:basedOn w:val="Normal"/>
    <w:link w:val="BodyTextChar"/>
    <w:uiPriority w:val="9"/>
    <w:unhideWhenUsed/>
    <w:pPr>
      <w:spacing w:after="240"/>
      <w:ind w:firstLine="432"/>
    </w:pPr>
    <w:rPr>
      <w:sz w:val="20"/>
      <w:lang w:val="am-ET" w:eastAsia="zh-TW"/>
    </w:rPr>
  </w:style>
  <w:style w:type="character" w:customStyle="1" w:styleId="BodyTextChar1">
    <w:name w:val="Body Text Char1"/>
    <w:basedOn w:val="DefaultParagraphFont"/>
    <w:rPr>
      <w:sz w:val="24"/>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sz w:val="24"/>
    </w:rPr>
  </w:style>
  <w:style w:type="paragraph" w:customStyle="1" w:styleId="Default">
    <w:name w:val="Default"/>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Pr>
      <w:color w:val="0000FF" w:themeColor="hyperlink"/>
      <w:u w:val="single"/>
    </w:rPr>
  </w:style>
  <w:style w:type="character" w:styleId="FollowedHyperlink">
    <w:name w:val="FollowedHyperlink"/>
    <w:basedOn w:val="DefaultParagraphFont"/>
    <w:rPr>
      <w:color w:val="800080" w:themeColor="followedHyperlink"/>
      <w:u w:val="single"/>
    </w:rPr>
  </w:style>
  <w:style w:type="paragraph" w:styleId="PlainText">
    <w:name w:val="Plain Text"/>
    <w:basedOn w:val="Normal"/>
    <w:link w:val="PlainTextChar"/>
    <w:uiPriority w:val="99"/>
    <w:unhideWhenUse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Pr>
      <w:rFonts w:ascii="Calibri" w:eastAsiaTheme="minorHAnsi" w:hAnsi="Calibri" w:cstheme="minorBidi"/>
      <w:sz w:val="22"/>
      <w:szCs w:val="21"/>
    </w:rPr>
  </w:style>
  <w:style w:type="character" w:customStyle="1" w:styleId="HeaderChar">
    <w:name w:val="Header Char"/>
    <w:basedOn w:val="DefaultParagraphFont"/>
    <w:link w:val="Header"/>
    <w:uiPriority w:val="99"/>
    <w:rPr>
      <w:sz w:val="24"/>
    </w:rPr>
  </w:style>
  <w:style w:type="paragraph" w:customStyle="1" w:styleId="BodyTextNew">
    <w:name w:val="Body Text New"/>
    <w:basedOn w:val="Normal"/>
    <w:uiPriority w:val="99"/>
    <w:pPr>
      <w:spacing w:after="240"/>
      <w:ind w:firstLine="432"/>
    </w:pPr>
    <w:rPr>
      <w:rFonts w:eastAsia="PMingLiU"/>
      <w:sz w:val="20"/>
      <w:lang w:val="am-ET" w:eastAsia="zh-TW"/>
    </w:rPr>
  </w:style>
  <w:style w:type="paragraph" w:customStyle="1" w:styleId="BoldUnderlinedHeading">
    <w:name w:val="Bold/Underlined Heading"/>
    <w:basedOn w:val="BodyText"/>
    <w:pPr>
      <w:keepNext/>
      <w:tabs>
        <w:tab w:val="left" w:pos="432"/>
        <w:tab w:val="left" w:pos="720"/>
        <w:tab w:val="left" w:pos="1296"/>
        <w:tab w:val="left" w:pos="1728"/>
        <w:tab w:val="decimal" w:pos="6336"/>
        <w:tab w:val="decimal" w:pos="7920"/>
        <w:tab w:val="decimal" w:pos="9648"/>
      </w:tabs>
      <w:ind w:firstLine="0"/>
    </w:pPr>
    <w:rPr>
      <w:b/>
      <w:kern w:val="28"/>
      <w:u w:val="single"/>
      <w:lang w:eastAsia="en-US"/>
    </w:rPr>
  </w:style>
  <w:style w:type="character" w:customStyle="1" w:styleId="apple-converted-space">
    <w:name w:val="apple-converted-space"/>
    <w:basedOn w:val="DefaultParagraphFont"/>
  </w:style>
  <w:style w:type="paragraph" w:styleId="NoSpacing">
    <w:name w:val="No Spacing"/>
    <w:uiPriority w:val="1"/>
    <w:qFormat/>
    <w:rPr>
      <w:rFonts w:asciiTheme="minorHAnsi" w:eastAsiaTheme="minorHAnsi" w:hAnsiTheme="minorHAnsi" w:cstheme="minorBidi"/>
      <w:sz w:val="22"/>
      <w:szCs w:val="22"/>
    </w:rPr>
  </w:style>
  <w:style w:type="paragraph" w:customStyle="1" w:styleId="CenteredHeading">
    <w:name w:val="Centered Heading+"/>
    <w:basedOn w:val="Normal"/>
    <w:pPr>
      <w:overflowPunct w:val="0"/>
      <w:autoSpaceDE w:val="0"/>
      <w:autoSpaceDN w:val="0"/>
      <w:adjustRightInd w:val="0"/>
      <w:spacing w:line="240" w:lineRule="atLeast"/>
      <w:jc w:val="center"/>
    </w:pPr>
    <w:rPr>
      <w:b/>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styleId="FootnoteText">
    <w:name w:val="footnote text"/>
    <w:basedOn w:val="Normal"/>
    <w:link w:val="FootnoteTextChar"/>
    <w:uiPriority w:val="99"/>
    <w:semiHidden/>
    <w:unhideWhenUsed/>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rPr>
  </w:style>
  <w:style w:type="character" w:styleId="FootnoteReference">
    <w:name w:val="foot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808080"/>
      <w:shd w:val="clear" w:color="auto" w:fill="E6E6E6"/>
    </w:rPr>
  </w:style>
  <w:style w:type="character" w:customStyle="1" w:styleId="hit1">
    <w:name w:val="hit1"/>
    <w:basedOn w:val="DefaultParagraphFont"/>
    <w:rPr>
      <w:b/>
      <w:bCs/>
      <w:shd w:val="clear" w:color="auto" w:fill="FFFF00"/>
    </w:rPr>
  </w:style>
  <w:style w:type="character" w:customStyle="1" w:styleId="Heading2Char">
    <w:name w:val="Heading 2 Char"/>
    <w:basedOn w:val="DefaultParagraphFont"/>
    <w:link w:val="Heading2"/>
    <w:uiPriority w:val="9"/>
    <w:semiHidden/>
    <w:rsid w:val="000A09C2"/>
    <w:rPr>
      <w:rFonts w:asciiTheme="majorHAnsi" w:eastAsiaTheme="majorEastAsia" w:hAnsiTheme="majorHAnsi" w:cstheme="majorBidi"/>
      <w:color w:val="365F91" w:themeColor="accent1" w:themeShade="BF"/>
      <w:sz w:val="26"/>
      <w:szCs w:val="26"/>
    </w:rPr>
  </w:style>
  <w:style w:type="character" w:customStyle="1" w:styleId="ms-rtethemefontface-1">
    <w:name w:val="ms-rtethemefontface-1"/>
    <w:basedOn w:val="DefaultParagraphFont"/>
    <w:rsid w:val="000A09C2"/>
  </w:style>
  <w:style w:type="character" w:customStyle="1" w:styleId="Citation">
    <w:name w:val="Citation"/>
    <w:uiPriority w:val="89"/>
    <w:qFormat/>
    <w:rsid w:val="0057180A"/>
    <w:rPr>
      <w:u w:val="single"/>
    </w:rPr>
  </w:style>
  <w:style w:type="paragraph" w:styleId="EndnoteText">
    <w:name w:val="endnote text"/>
    <w:basedOn w:val="Normal"/>
    <w:link w:val="EndnoteTextChar"/>
    <w:uiPriority w:val="91"/>
    <w:qFormat/>
    <w:rsid w:val="0057180A"/>
    <w:rPr>
      <w:rFonts w:eastAsia="Calibri"/>
      <w:sz w:val="20"/>
      <w:lang w:val="x-none" w:eastAsia="x-none"/>
    </w:rPr>
  </w:style>
  <w:style w:type="character" w:customStyle="1" w:styleId="EndnoteTextChar">
    <w:name w:val="Endnote Text Char"/>
    <w:basedOn w:val="DefaultParagraphFont"/>
    <w:link w:val="EndnoteText"/>
    <w:uiPriority w:val="91"/>
    <w:rsid w:val="0057180A"/>
    <w:rPr>
      <w:rFonts w:eastAsia="Calibri"/>
      <w:lang w:val="x-none" w:eastAsia="x-none"/>
    </w:rPr>
  </w:style>
  <w:style w:type="paragraph" w:customStyle="1" w:styleId="CTR">
    <w:name w:val="CTR"/>
    <w:basedOn w:val="Normal"/>
    <w:rsid w:val="0057180A"/>
    <w:pPr>
      <w:spacing w:after="240"/>
      <w:jc w:val="center"/>
    </w:pPr>
    <w:rPr>
      <w:rFonts w:eastAsia="Calibri"/>
      <w:b/>
      <w:szCs w:val="24"/>
      <w:lang w:bidi="en-US"/>
    </w:rPr>
  </w:style>
  <w:style w:type="character" w:styleId="EndnoteReference">
    <w:name w:val="endnote reference"/>
    <w:uiPriority w:val="99"/>
    <w:semiHidden/>
    <w:unhideWhenUsed/>
    <w:rsid w:val="00571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7">
      <w:bodyDiv w:val="1"/>
      <w:marLeft w:val="0"/>
      <w:marRight w:val="0"/>
      <w:marTop w:val="0"/>
      <w:marBottom w:val="0"/>
      <w:divBdr>
        <w:top w:val="none" w:sz="0" w:space="0" w:color="auto"/>
        <w:left w:val="none" w:sz="0" w:space="0" w:color="auto"/>
        <w:bottom w:val="none" w:sz="0" w:space="0" w:color="auto"/>
        <w:right w:val="none" w:sz="0" w:space="0" w:color="auto"/>
      </w:divBdr>
    </w:div>
    <w:div w:id="1589591">
      <w:bodyDiv w:val="1"/>
      <w:marLeft w:val="0"/>
      <w:marRight w:val="0"/>
      <w:marTop w:val="0"/>
      <w:marBottom w:val="0"/>
      <w:divBdr>
        <w:top w:val="none" w:sz="0" w:space="0" w:color="auto"/>
        <w:left w:val="none" w:sz="0" w:space="0" w:color="auto"/>
        <w:bottom w:val="none" w:sz="0" w:space="0" w:color="auto"/>
        <w:right w:val="none" w:sz="0" w:space="0" w:color="auto"/>
      </w:divBdr>
    </w:div>
    <w:div w:id="3485186">
      <w:bodyDiv w:val="1"/>
      <w:marLeft w:val="0"/>
      <w:marRight w:val="0"/>
      <w:marTop w:val="0"/>
      <w:marBottom w:val="0"/>
      <w:divBdr>
        <w:top w:val="none" w:sz="0" w:space="0" w:color="auto"/>
        <w:left w:val="none" w:sz="0" w:space="0" w:color="auto"/>
        <w:bottom w:val="none" w:sz="0" w:space="0" w:color="auto"/>
        <w:right w:val="none" w:sz="0" w:space="0" w:color="auto"/>
      </w:divBdr>
    </w:div>
    <w:div w:id="15082898">
      <w:bodyDiv w:val="1"/>
      <w:marLeft w:val="0"/>
      <w:marRight w:val="0"/>
      <w:marTop w:val="0"/>
      <w:marBottom w:val="0"/>
      <w:divBdr>
        <w:top w:val="none" w:sz="0" w:space="0" w:color="auto"/>
        <w:left w:val="none" w:sz="0" w:space="0" w:color="auto"/>
        <w:bottom w:val="none" w:sz="0" w:space="0" w:color="auto"/>
        <w:right w:val="none" w:sz="0" w:space="0" w:color="auto"/>
      </w:divBdr>
    </w:div>
    <w:div w:id="15156785">
      <w:bodyDiv w:val="1"/>
      <w:marLeft w:val="0"/>
      <w:marRight w:val="0"/>
      <w:marTop w:val="0"/>
      <w:marBottom w:val="0"/>
      <w:divBdr>
        <w:top w:val="none" w:sz="0" w:space="0" w:color="auto"/>
        <w:left w:val="none" w:sz="0" w:space="0" w:color="auto"/>
        <w:bottom w:val="none" w:sz="0" w:space="0" w:color="auto"/>
        <w:right w:val="none" w:sz="0" w:space="0" w:color="auto"/>
      </w:divBdr>
    </w:div>
    <w:div w:id="22022920">
      <w:bodyDiv w:val="1"/>
      <w:marLeft w:val="0"/>
      <w:marRight w:val="0"/>
      <w:marTop w:val="0"/>
      <w:marBottom w:val="0"/>
      <w:divBdr>
        <w:top w:val="none" w:sz="0" w:space="0" w:color="auto"/>
        <w:left w:val="none" w:sz="0" w:space="0" w:color="auto"/>
        <w:bottom w:val="none" w:sz="0" w:space="0" w:color="auto"/>
        <w:right w:val="none" w:sz="0" w:space="0" w:color="auto"/>
      </w:divBdr>
    </w:div>
    <w:div w:id="24792560">
      <w:bodyDiv w:val="1"/>
      <w:marLeft w:val="0"/>
      <w:marRight w:val="0"/>
      <w:marTop w:val="0"/>
      <w:marBottom w:val="0"/>
      <w:divBdr>
        <w:top w:val="none" w:sz="0" w:space="0" w:color="auto"/>
        <w:left w:val="none" w:sz="0" w:space="0" w:color="auto"/>
        <w:bottom w:val="none" w:sz="0" w:space="0" w:color="auto"/>
        <w:right w:val="none" w:sz="0" w:space="0" w:color="auto"/>
      </w:divBdr>
    </w:div>
    <w:div w:id="26223188">
      <w:bodyDiv w:val="1"/>
      <w:marLeft w:val="0"/>
      <w:marRight w:val="0"/>
      <w:marTop w:val="0"/>
      <w:marBottom w:val="0"/>
      <w:divBdr>
        <w:top w:val="none" w:sz="0" w:space="0" w:color="auto"/>
        <w:left w:val="none" w:sz="0" w:space="0" w:color="auto"/>
        <w:bottom w:val="none" w:sz="0" w:space="0" w:color="auto"/>
        <w:right w:val="none" w:sz="0" w:space="0" w:color="auto"/>
      </w:divBdr>
    </w:div>
    <w:div w:id="26412090">
      <w:bodyDiv w:val="1"/>
      <w:marLeft w:val="0"/>
      <w:marRight w:val="0"/>
      <w:marTop w:val="0"/>
      <w:marBottom w:val="0"/>
      <w:divBdr>
        <w:top w:val="none" w:sz="0" w:space="0" w:color="auto"/>
        <w:left w:val="none" w:sz="0" w:space="0" w:color="auto"/>
        <w:bottom w:val="none" w:sz="0" w:space="0" w:color="auto"/>
        <w:right w:val="none" w:sz="0" w:space="0" w:color="auto"/>
      </w:divBdr>
    </w:div>
    <w:div w:id="31152462">
      <w:bodyDiv w:val="1"/>
      <w:marLeft w:val="0"/>
      <w:marRight w:val="0"/>
      <w:marTop w:val="0"/>
      <w:marBottom w:val="0"/>
      <w:divBdr>
        <w:top w:val="none" w:sz="0" w:space="0" w:color="auto"/>
        <w:left w:val="none" w:sz="0" w:space="0" w:color="auto"/>
        <w:bottom w:val="none" w:sz="0" w:space="0" w:color="auto"/>
        <w:right w:val="none" w:sz="0" w:space="0" w:color="auto"/>
      </w:divBdr>
    </w:div>
    <w:div w:id="63450999">
      <w:bodyDiv w:val="1"/>
      <w:marLeft w:val="0"/>
      <w:marRight w:val="0"/>
      <w:marTop w:val="0"/>
      <w:marBottom w:val="0"/>
      <w:divBdr>
        <w:top w:val="none" w:sz="0" w:space="0" w:color="auto"/>
        <w:left w:val="none" w:sz="0" w:space="0" w:color="auto"/>
        <w:bottom w:val="none" w:sz="0" w:space="0" w:color="auto"/>
        <w:right w:val="none" w:sz="0" w:space="0" w:color="auto"/>
      </w:divBdr>
    </w:div>
    <w:div w:id="65108805">
      <w:bodyDiv w:val="1"/>
      <w:marLeft w:val="0"/>
      <w:marRight w:val="0"/>
      <w:marTop w:val="0"/>
      <w:marBottom w:val="0"/>
      <w:divBdr>
        <w:top w:val="none" w:sz="0" w:space="0" w:color="auto"/>
        <w:left w:val="none" w:sz="0" w:space="0" w:color="auto"/>
        <w:bottom w:val="none" w:sz="0" w:space="0" w:color="auto"/>
        <w:right w:val="none" w:sz="0" w:space="0" w:color="auto"/>
      </w:divBdr>
    </w:div>
    <w:div w:id="71585850">
      <w:bodyDiv w:val="1"/>
      <w:marLeft w:val="0"/>
      <w:marRight w:val="0"/>
      <w:marTop w:val="0"/>
      <w:marBottom w:val="0"/>
      <w:divBdr>
        <w:top w:val="none" w:sz="0" w:space="0" w:color="auto"/>
        <w:left w:val="none" w:sz="0" w:space="0" w:color="auto"/>
        <w:bottom w:val="none" w:sz="0" w:space="0" w:color="auto"/>
        <w:right w:val="none" w:sz="0" w:space="0" w:color="auto"/>
      </w:divBdr>
    </w:div>
    <w:div w:id="82383772">
      <w:bodyDiv w:val="1"/>
      <w:marLeft w:val="0"/>
      <w:marRight w:val="0"/>
      <w:marTop w:val="0"/>
      <w:marBottom w:val="0"/>
      <w:divBdr>
        <w:top w:val="none" w:sz="0" w:space="0" w:color="auto"/>
        <w:left w:val="none" w:sz="0" w:space="0" w:color="auto"/>
        <w:bottom w:val="none" w:sz="0" w:space="0" w:color="auto"/>
        <w:right w:val="none" w:sz="0" w:space="0" w:color="auto"/>
      </w:divBdr>
    </w:div>
    <w:div w:id="113906862">
      <w:bodyDiv w:val="1"/>
      <w:marLeft w:val="0"/>
      <w:marRight w:val="0"/>
      <w:marTop w:val="0"/>
      <w:marBottom w:val="0"/>
      <w:divBdr>
        <w:top w:val="none" w:sz="0" w:space="0" w:color="auto"/>
        <w:left w:val="none" w:sz="0" w:space="0" w:color="auto"/>
        <w:bottom w:val="none" w:sz="0" w:space="0" w:color="auto"/>
        <w:right w:val="none" w:sz="0" w:space="0" w:color="auto"/>
      </w:divBdr>
    </w:div>
    <w:div w:id="127941093">
      <w:bodyDiv w:val="1"/>
      <w:marLeft w:val="0"/>
      <w:marRight w:val="0"/>
      <w:marTop w:val="0"/>
      <w:marBottom w:val="0"/>
      <w:divBdr>
        <w:top w:val="none" w:sz="0" w:space="0" w:color="auto"/>
        <w:left w:val="none" w:sz="0" w:space="0" w:color="auto"/>
        <w:bottom w:val="none" w:sz="0" w:space="0" w:color="auto"/>
        <w:right w:val="none" w:sz="0" w:space="0" w:color="auto"/>
      </w:divBdr>
    </w:div>
    <w:div w:id="140003789">
      <w:bodyDiv w:val="1"/>
      <w:marLeft w:val="0"/>
      <w:marRight w:val="0"/>
      <w:marTop w:val="0"/>
      <w:marBottom w:val="0"/>
      <w:divBdr>
        <w:top w:val="none" w:sz="0" w:space="0" w:color="auto"/>
        <w:left w:val="none" w:sz="0" w:space="0" w:color="auto"/>
        <w:bottom w:val="none" w:sz="0" w:space="0" w:color="auto"/>
        <w:right w:val="none" w:sz="0" w:space="0" w:color="auto"/>
      </w:divBdr>
    </w:div>
    <w:div w:id="154272878">
      <w:bodyDiv w:val="1"/>
      <w:marLeft w:val="0"/>
      <w:marRight w:val="0"/>
      <w:marTop w:val="0"/>
      <w:marBottom w:val="0"/>
      <w:divBdr>
        <w:top w:val="none" w:sz="0" w:space="0" w:color="auto"/>
        <w:left w:val="none" w:sz="0" w:space="0" w:color="auto"/>
        <w:bottom w:val="none" w:sz="0" w:space="0" w:color="auto"/>
        <w:right w:val="none" w:sz="0" w:space="0" w:color="auto"/>
      </w:divBdr>
    </w:div>
    <w:div w:id="155071370">
      <w:bodyDiv w:val="1"/>
      <w:marLeft w:val="0"/>
      <w:marRight w:val="0"/>
      <w:marTop w:val="0"/>
      <w:marBottom w:val="0"/>
      <w:divBdr>
        <w:top w:val="none" w:sz="0" w:space="0" w:color="auto"/>
        <w:left w:val="none" w:sz="0" w:space="0" w:color="auto"/>
        <w:bottom w:val="none" w:sz="0" w:space="0" w:color="auto"/>
        <w:right w:val="none" w:sz="0" w:space="0" w:color="auto"/>
      </w:divBdr>
    </w:div>
    <w:div w:id="155073149">
      <w:bodyDiv w:val="1"/>
      <w:marLeft w:val="0"/>
      <w:marRight w:val="0"/>
      <w:marTop w:val="0"/>
      <w:marBottom w:val="0"/>
      <w:divBdr>
        <w:top w:val="none" w:sz="0" w:space="0" w:color="auto"/>
        <w:left w:val="none" w:sz="0" w:space="0" w:color="auto"/>
        <w:bottom w:val="none" w:sz="0" w:space="0" w:color="auto"/>
        <w:right w:val="none" w:sz="0" w:space="0" w:color="auto"/>
      </w:divBdr>
    </w:div>
    <w:div w:id="155729376">
      <w:bodyDiv w:val="1"/>
      <w:marLeft w:val="0"/>
      <w:marRight w:val="0"/>
      <w:marTop w:val="0"/>
      <w:marBottom w:val="0"/>
      <w:divBdr>
        <w:top w:val="none" w:sz="0" w:space="0" w:color="auto"/>
        <w:left w:val="none" w:sz="0" w:space="0" w:color="auto"/>
        <w:bottom w:val="none" w:sz="0" w:space="0" w:color="auto"/>
        <w:right w:val="none" w:sz="0" w:space="0" w:color="auto"/>
      </w:divBdr>
    </w:div>
    <w:div w:id="171186297">
      <w:bodyDiv w:val="1"/>
      <w:marLeft w:val="0"/>
      <w:marRight w:val="0"/>
      <w:marTop w:val="0"/>
      <w:marBottom w:val="0"/>
      <w:divBdr>
        <w:top w:val="none" w:sz="0" w:space="0" w:color="auto"/>
        <w:left w:val="none" w:sz="0" w:space="0" w:color="auto"/>
        <w:bottom w:val="none" w:sz="0" w:space="0" w:color="auto"/>
        <w:right w:val="none" w:sz="0" w:space="0" w:color="auto"/>
      </w:divBdr>
    </w:div>
    <w:div w:id="179050835">
      <w:bodyDiv w:val="1"/>
      <w:marLeft w:val="0"/>
      <w:marRight w:val="0"/>
      <w:marTop w:val="0"/>
      <w:marBottom w:val="0"/>
      <w:divBdr>
        <w:top w:val="none" w:sz="0" w:space="0" w:color="auto"/>
        <w:left w:val="none" w:sz="0" w:space="0" w:color="auto"/>
        <w:bottom w:val="none" w:sz="0" w:space="0" w:color="auto"/>
        <w:right w:val="none" w:sz="0" w:space="0" w:color="auto"/>
      </w:divBdr>
    </w:div>
    <w:div w:id="179635394">
      <w:bodyDiv w:val="1"/>
      <w:marLeft w:val="0"/>
      <w:marRight w:val="0"/>
      <w:marTop w:val="0"/>
      <w:marBottom w:val="0"/>
      <w:divBdr>
        <w:top w:val="none" w:sz="0" w:space="0" w:color="auto"/>
        <w:left w:val="none" w:sz="0" w:space="0" w:color="auto"/>
        <w:bottom w:val="none" w:sz="0" w:space="0" w:color="auto"/>
        <w:right w:val="none" w:sz="0" w:space="0" w:color="auto"/>
      </w:divBdr>
    </w:div>
    <w:div w:id="198057562">
      <w:bodyDiv w:val="1"/>
      <w:marLeft w:val="0"/>
      <w:marRight w:val="0"/>
      <w:marTop w:val="0"/>
      <w:marBottom w:val="0"/>
      <w:divBdr>
        <w:top w:val="none" w:sz="0" w:space="0" w:color="auto"/>
        <w:left w:val="none" w:sz="0" w:space="0" w:color="auto"/>
        <w:bottom w:val="none" w:sz="0" w:space="0" w:color="auto"/>
        <w:right w:val="none" w:sz="0" w:space="0" w:color="auto"/>
      </w:divBdr>
    </w:div>
    <w:div w:id="223568612">
      <w:bodyDiv w:val="1"/>
      <w:marLeft w:val="0"/>
      <w:marRight w:val="0"/>
      <w:marTop w:val="0"/>
      <w:marBottom w:val="0"/>
      <w:divBdr>
        <w:top w:val="none" w:sz="0" w:space="0" w:color="auto"/>
        <w:left w:val="none" w:sz="0" w:space="0" w:color="auto"/>
        <w:bottom w:val="none" w:sz="0" w:space="0" w:color="auto"/>
        <w:right w:val="none" w:sz="0" w:space="0" w:color="auto"/>
      </w:divBdr>
    </w:div>
    <w:div w:id="226886010">
      <w:bodyDiv w:val="1"/>
      <w:marLeft w:val="0"/>
      <w:marRight w:val="0"/>
      <w:marTop w:val="0"/>
      <w:marBottom w:val="0"/>
      <w:divBdr>
        <w:top w:val="none" w:sz="0" w:space="0" w:color="auto"/>
        <w:left w:val="none" w:sz="0" w:space="0" w:color="auto"/>
        <w:bottom w:val="none" w:sz="0" w:space="0" w:color="auto"/>
        <w:right w:val="none" w:sz="0" w:space="0" w:color="auto"/>
      </w:divBdr>
    </w:div>
    <w:div w:id="229312619">
      <w:bodyDiv w:val="1"/>
      <w:marLeft w:val="0"/>
      <w:marRight w:val="0"/>
      <w:marTop w:val="0"/>
      <w:marBottom w:val="0"/>
      <w:divBdr>
        <w:top w:val="none" w:sz="0" w:space="0" w:color="auto"/>
        <w:left w:val="none" w:sz="0" w:space="0" w:color="auto"/>
        <w:bottom w:val="none" w:sz="0" w:space="0" w:color="auto"/>
        <w:right w:val="none" w:sz="0" w:space="0" w:color="auto"/>
      </w:divBdr>
    </w:div>
    <w:div w:id="239877818">
      <w:bodyDiv w:val="1"/>
      <w:marLeft w:val="0"/>
      <w:marRight w:val="0"/>
      <w:marTop w:val="0"/>
      <w:marBottom w:val="0"/>
      <w:divBdr>
        <w:top w:val="none" w:sz="0" w:space="0" w:color="auto"/>
        <w:left w:val="none" w:sz="0" w:space="0" w:color="auto"/>
        <w:bottom w:val="none" w:sz="0" w:space="0" w:color="auto"/>
        <w:right w:val="none" w:sz="0" w:space="0" w:color="auto"/>
      </w:divBdr>
    </w:div>
    <w:div w:id="241647761">
      <w:bodyDiv w:val="1"/>
      <w:marLeft w:val="0"/>
      <w:marRight w:val="0"/>
      <w:marTop w:val="0"/>
      <w:marBottom w:val="0"/>
      <w:divBdr>
        <w:top w:val="none" w:sz="0" w:space="0" w:color="auto"/>
        <w:left w:val="none" w:sz="0" w:space="0" w:color="auto"/>
        <w:bottom w:val="none" w:sz="0" w:space="0" w:color="auto"/>
        <w:right w:val="none" w:sz="0" w:space="0" w:color="auto"/>
      </w:divBdr>
    </w:div>
    <w:div w:id="256253837">
      <w:bodyDiv w:val="1"/>
      <w:marLeft w:val="0"/>
      <w:marRight w:val="0"/>
      <w:marTop w:val="0"/>
      <w:marBottom w:val="0"/>
      <w:divBdr>
        <w:top w:val="none" w:sz="0" w:space="0" w:color="auto"/>
        <w:left w:val="none" w:sz="0" w:space="0" w:color="auto"/>
        <w:bottom w:val="none" w:sz="0" w:space="0" w:color="auto"/>
        <w:right w:val="none" w:sz="0" w:space="0" w:color="auto"/>
      </w:divBdr>
    </w:div>
    <w:div w:id="264970697">
      <w:bodyDiv w:val="1"/>
      <w:marLeft w:val="0"/>
      <w:marRight w:val="0"/>
      <w:marTop w:val="0"/>
      <w:marBottom w:val="0"/>
      <w:divBdr>
        <w:top w:val="none" w:sz="0" w:space="0" w:color="auto"/>
        <w:left w:val="none" w:sz="0" w:space="0" w:color="auto"/>
        <w:bottom w:val="none" w:sz="0" w:space="0" w:color="auto"/>
        <w:right w:val="none" w:sz="0" w:space="0" w:color="auto"/>
      </w:divBdr>
    </w:div>
    <w:div w:id="268243302">
      <w:bodyDiv w:val="1"/>
      <w:marLeft w:val="0"/>
      <w:marRight w:val="0"/>
      <w:marTop w:val="0"/>
      <w:marBottom w:val="0"/>
      <w:divBdr>
        <w:top w:val="none" w:sz="0" w:space="0" w:color="auto"/>
        <w:left w:val="none" w:sz="0" w:space="0" w:color="auto"/>
        <w:bottom w:val="none" w:sz="0" w:space="0" w:color="auto"/>
        <w:right w:val="none" w:sz="0" w:space="0" w:color="auto"/>
      </w:divBdr>
    </w:div>
    <w:div w:id="269165920">
      <w:bodyDiv w:val="1"/>
      <w:marLeft w:val="0"/>
      <w:marRight w:val="0"/>
      <w:marTop w:val="0"/>
      <w:marBottom w:val="0"/>
      <w:divBdr>
        <w:top w:val="none" w:sz="0" w:space="0" w:color="auto"/>
        <w:left w:val="none" w:sz="0" w:space="0" w:color="auto"/>
        <w:bottom w:val="none" w:sz="0" w:space="0" w:color="auto"/>
        <w:right w:val="none" w:sz="0" w:space="0" w:color="auto"/>
      </w:divBdr>
    </w:div>
    <w:div w:id="272834155">
      <w:bodyDiv w:val="1"/>
      <w:marLeft w:val="0"/>
      <w:marRight w:val="0"/>
      <w:marTop w:val="0"/>
      <w:marBottom w:val="0"/>
      <w:divBdr>
        <w:top w:val="none" w:sz="0" w:space="0" w:color="auto"/>
        <w:left w:val="none" w:sz="0" w:space="0" w:color="auto"/>
        <w:bottom w:val="none" w:sz="0" w:space="0" w:color="auto"/>
        <w:right w:val="none" w:sz="0" w:space="0" w:color="auto"/>
      </w:divBdr>
    </w:div>
    <w:div w:id="281814408">
      <w:bodyDiv w:val="1"/>
      <w:marLeft w:val="0"/>
      <w:marRight w:val="0"/>
      <w:marTop w:val="0"/>
      <w:marBottom w:val="0"/>
      <w:divBdr>
        <w:top w:val="none" w:sz="0" w:space="0" w:color="auto"/>
        <w:left w:val="none" w:sz="0" w:space="0" w:color="auto"/>
        <w:bottom w:val="none" w:sz="0" w:space="0" w:color="auto"/>
        <w:right w:val="none" w:sz="0" w:space="0" w:color="auto"/>
      </w:divBdr>
    </w:div>
    <w:div w:id="281959359">
      <w:bodyDiv w:val="1"/>
      <w:marLeft w:val="0"/>
      <w:marRight w:val="0"/>
      <w:marTop w:val="0"/>
      <w:marBottom w:val="0"/>
      <w:divBdr>
        <w:top w:val="none" w:sz="0" w:space="0" w:color="auto"/>
        <w:left w:val="none" w:sz="0" w:space="0" w:color="auto"/>
        <w:bottom w:val="none" w:sz="0" w:space="0" w:color="auto"/>
        <w:right w:val="none" w:sz="0" w:space="0" w:color="auto"/>
      </w:divBdr>
    </w:div>
    <w:div w:id="290523700">
      <w:bodyDiv w:val="1"/>
      <w:marLeft w:val="0"/>
      <w:marRight w:val="0"/>
      <w:marTop w:val="0"/>
      <w:marBottom w:val="0"/>
      <w:divBdr>
        <w:top w:val="none" w:sz="0" w:space="0" w:color="auto"/>
        <w:left w:val="none" w:sz="0" w:space="0" w:color="auto"/>
        <w:bottom w:val="none" w:sz="0" w:space="0" w:color="auto"/>
        <w:right w:val="none" w:sz="0" w:space="0" w:color="auto"/>
      </w:divBdr>
    </w:div>
    <w:div w:id="297613359">
      <w:bodyDiv w:val="1"/>
      <w:marLeft w:val="0"/>
      <w:marRight w:val="0"/>
      <w:marTop w:val="0"/>
      <w:marBottom w:val="0"/>
      <w:divBdr>
        <w:top w:val="none" w:sz="0" w:space="0" w:color="auto"/>
        <w:left w:val="none" w:sz="0" w:space="0" w:color="auto"/>
        <w:bottom w:val="none" w:sz="0" w:space="0" w:color="auto"/>
        <w:right w:val="none" w:sz="0" w:space="0" w:color="auto"/>
      </w:divBdr>
    </w:div>
    <w:div w:id="298606948">
      <w:bodyDiv w:val="1"/>
      <w:marLeft w:val="0"/>
      <w:marRight w:val="0"/>
      <w:marTop w:val="0"/>
      <w:marBottom w:val="0"/>
      <w:divBdr>
        <w:top w:val="none" w:sz="0" w:space="0" w:color="auto"/>
        <w:left w:val="none" w:sz="0" w:space="0" w:color="auto"/>
        <w:bottom w:val="none" w:sz="0" w:space="0" w:color="auto"/>
        <w:right w:val="none" w:sz="0" w:space="0" w:color="auto"/>
      </w:divBdr>
    </w:div>
    <w:div w:id="299455349">
      <w:bodyDiv w:val="1"/>
      <w:marLeft w:val="0"/>
      <w:marRight w:val="0"/>
      <w:marTop w:val="0"/>
      <w:marBottom w:val="0"/>
      <w:divBdr>
        <w:top w:val="none" w:sz="0" w:space="0" w:color="auto"/>
        <w:left w:val="none" w:sz="0" w:space="0" w:color="auto"/>
        <w:bottom w:val="none" w:sz="0" w:space="0" w:color="auto"/>
        <w:right w:val="none" w:sz="0" w:space="0" w:color="auto"/>
      </w:divBdr>
    </w:div>
    <w:div w:id="306209398">
      <w:bodyDiv w:val="1"/>
      <w:marLeft w:val="0"/>
      <w:marRight w:val="0"/>
      <w:marTop w:val="0"/>
      <w:marBottom w:val="0"/>
      <w:divBdr>
        <w:top w:val="none" w:sz="0" w:space="0" w:color="auto"/>
        <w:left w:val="none" w:sz="0" w:space="0" w:color="auto"/>
        <w:bottom w:val="none" w:sz="0" w:space="0" w:color="auto"/>
        <w:right w:val="none" w:sz="0" w:space="0" w:color="auto"/>
      </w:divBdr>
    </w:div>
    <w:div w:id="306739322">
      <w:bodyDiv w:val="1"/>
      <w:marLeft w:val="0"/>
      <w:marRight w:val="0"/>
      <w:marTop w:val="0"/>
      <w:marBottom w:val="0"/>
      <w:divBdr>
        <w:top w:val="none" w:sz="0" w:space="0" w:color="auto"/>
        <w:left w:val="none" w:sz="0" w:space="0" w:color="auto"/>
        <w:bottom w:val="none" w:sz="0" w:space="0" w:color="auto"/>
        <w:right w:val="none" w:sz="0" w:space="0" w:color="auto"/>
      </w:divBdr>
    </w:div>
    <w:div w:id="317273286">
      <w:bodyDiv w:val="1"/>
      <w:marLeft w:val="0"/>
      <w:marRight w:val="0"/>
      <w:marTop w:val="0"/>
      <w:marBottom w:val="0"/>
      <w:divBdr>
        <w:top w:val="none" w:sz="0" w:space="0" w:color="auto"/>
        <w:left w:val="none" w:sz="0" w:space="0" w:color="auto"/>
        <w:bottom w:val="none" w:sz="0" w:space="0" w:color="auto"/>
        <w:right w:val="none" w:sz="0" w:space="0" w:color="auto"/>
      </w:divBdr>
    </w:div>
    <w:div w:id="337196198">
      <w:bodyDiv w:val="1"/>
      <w:marLeft w:val="0"/>
      <w:marRight w:val="0"/>
      <w:marTop w:val="0"/>
      <w:marBottom w:val="0"/>
      <w:divBdr>
        <w:top w:val="none" w:sz="0" w:space="0" w:color="auto"/>
        <w:left w:val="none" w:sz="0" w:space="0" w:color="auto"/>
        <w:bottom w:val="none" w:sz="0" w:space="0" w:color="auto"/>
        <w:right w:val="none" w:sz="0" w:space="0" w:color="auto"/>
      </w:divBdr>
    </w:div>
    <w:div w:id="339889001">
      <w:bodyDiv w:val="1"/>
      <w:marLeft w:val="0"/>
      <w:marRight w:val="0"/>
      <w:marTop w:val="0"/>
      <w:marBottom w:val="0"/>
      <w:divBdr>
        <w:top w:val="none" w:sz="0" w:space="0" w:color="auto"/>
        <w:left w:val="none" w:sz="0" w:space="0" w:color="auto"/>
        <w:bottom w:val="none" w:sz="0" w:space="0" w:color="auto"/>
        <w:right w:val="none" w:sz="0" w:space="0" w:color="auto"/>
      </w:divBdr>
    </w:div>
    <w:div w:id="349569392">
      <w:bodyDiv w:val="1"/>
      <w:marLeft w:val="0"/>
      <w:marRight w:val="0"/>
      <w:marTop w:val="0"/>
      <w:marBottom w:val="0"/>
      <w:divBdr>
        <w:top w:val="none" w:sz="0" w:space="0" w:color="auto"/>
        <w:left w:val="none" w:sz="0" w:space="0" w:color="auto"/>
        <w:bottom w:val="none" w:sz="0" w:space="0" w:color="auto"/>
        <w:right w:val="none" w:sz="0" w:space="0" w:color="auto"/>
      </w:divBdr>
    </w:div>
    <w:div w:id="351497846">
      <w:bodyDiv w:val="1"/>
      <w:marLeft w:val="0"/>
      <w:marRight w:val="0"/>
      <w:marTop w:val="0"/>
      <w:marBottom w:val="0"/>
      <w:divBdr>
        <w:top w:val="none" w:sz="0" w:space="0" w:color="auto"/>
        <w:left w:val="none" w:sz="0" w:space="0" w:color="auto"/>
        <w:bottom w:val="none" w:sz="0" w:space="0" w:color="auto"/>
        <w:right w:val="none" w:sz="0" w:space="0" w:color="auto"/>
      </w:divBdr>
    </w:div>
    <w:div w:id="353188020">
      <w:bodyDiv w:val="1"/>
      <w:marLeft w:val="0"/>
      <w:marRight w:val="0"/>
      <w:marTop w:val="0"/>
      <w:marBottom w:val="0"/>
      <w:divBdr>
        <w:top w:val="none" w:sz="0" w:space="0" w:color="auto"/>
        <w:left w:val="none" w:sz="0" w:space="0" w:color="auto"/>
        <w:bottom w:val="none" w:sz="0" w:space="0" w:color="auto"/>
        <w:right w:val="none" w:sz="0" w:space="0" w:color="auto"/>
      </w:divBdr>
    </w:div>
    <w:div w:id="354505776">
      <w:bodyDiv w:val="1"/>
      <w:marLeft w:val="0"/>
      <w:marRight w:val="0"/>
      <w:marTop w:val="0"/>
      <w:marBottom w:val="0"/>
      <w:divBdr>
        <w:top w:val="none" w:sz="0" w:space="0" w:color="auto"/>
        <w:left w:val="none" w:sz="0" w:space="0" w:color="auto"/>
        <w:bottom w:val="none" w:sz="0" w:space="0" w:color="auto"/>
        <w:right w:val="none" w:sz="0" w:space="0" w:color="auto"/>
      </w:divBdr>
    </w:div>
    <w:div w:id="366444377">
      <w:bodyDiv w:val="1"/>
      <w:marLeft w:val="0"/>
      <w:marRight w:val="0"/>
      <w:marTop w:val="0"/>
      <w:marBottom w:val="0"/>
      <w:divBdr>
        <w:top w:val="none" w:sz="0" w:space="0" w:color="auto"/>
        <w:left w:val="none" w:sz="0" w:space="0" w:color="auto"/>
        <w:bottom w:val="none" w:sz="0" w:space="0" w:color="auto"/>
        <w:right w:val="none" w:sz="0" w:space="0" w:color="auto"/>
      </w:divBdr>
    </w:div>
    <w:div w:id="373693942">
      <w:bodyDiv w:val="1"/>
      <w:marLeft w:val="0"/>
      <w:marRight w:val="0"/>
      <w:marTop w:val="0"/>
      <w:marBottom w:val="0"/>
      <w:divBdr>
        <w:top w:val="none" w:sz="0" w:space="0" w:color="auto"/>
        <w:left w:val="none" w:sz="0" w:space="0" w:color="auto"/>
        <w:bottom w:val="none" w:sz="0" w:space="0" w:color="auto"/>
        <w:right w:val="none" w:sz="0" w:space="0" w:color="auto"/>
      </w:divBdr>
    </w:div>
    <w:div w:id="374164804">
      <w:bodyDiv w:val="1"/>
      <w:marLeft w:val="0"/>
      <w:marRight w:val="0"/>
      <w:marTop w:val="0"/>
      <w:marBottom w:val="0"/>
      <w:divBdr>
        <w:top w:val="none" w:sz="0" w:space="0" w:color="auto"/>
        <w:left w:val="none" w:sz="0" w:space="0" w:color="auto"/>
        <w:bottom w:val="none" w:sz="0" w:space="0" w:color="auto"/>
        <w:right w:val="none" w:sz="0" w:space="0" w:color="auto"/>
      </w:divBdr>
    </w:div>
    <w:div w:id="379012783">
      <w:bodyDiv w:val="1"/>
      <w:marLeft w:val="0"/>
      <w:marRight w:val="0"/>
      <w:marTop w:val="0"/>
      <w:marBottom w:val="0"/>
      <w:divBdr>
        <w:top w:val="none" w:sz="0" w:space="0" w:color="auto"/>
        <w:left w:val="none" w:sz="0" w:space="0" w:color="auto"/>
        <w:bottom w:val="none" w:sz="0" w:space="0" w:color="auto"/>
        <w:right w:val="none" w:sz="0" w:space="0" w:color="auto"/>
      </w:divBdr>
    </w:div>
    <w:div w:id="383876179">
      <w:bodyDiv w:val="1"/>
      <w:marLeft w:val="0"/>
      <w:marRight w:val="0"/>
      <w:marTop w:val="0"/>
      <w:marBottom w:val="0"/>
      <w:divBdr>
        <w:top w:val="none" w:sz="0" w:space="0" w:color="auto"/>
        <w:left w:val="none" w:sz="0" w:space="0" w:color="auto"/>
        <w:bottom w:val="none" w:sz="0" w:space="0" w:color="auto"/>
        <w:right w:val="none" w:sz="0" w:space="0" w:color="auto"/>
      </w:divBdr>
    </w:div>
    <w:div w:id="385764427">
      <w:bodyDiv w:val="1"/>
      <w:marLeft w:val="0"/>
      <w:marRight w:val="0"/>
      <w:marTop w:val="0"/>
      <w:marBottom w:val="0"/>
      <w:divBdr>
        <w:top w:val="none" w:sz="0" w:space="0" w:color="auto"/>
        <w:left w:val="none" w:sz="0" w:space="0" w:color="auto"/>
        <w:bottom w:val="none" w:sz="0" w:space="0" w:color="auto"/>
        <w:right w:val="none" w:sz="0" w:space="0" w:color="auto"/>
      </w:divBdr>
    </w:div>
    <w:div w:id="390156051">
      <w:bodyDiv w:val="1"/>
      <w:marLeft w:val="0"/>
      <w:marRight w:val="0"/>
      <w:marTop w:val="0"/>
      <w:marBottom w:val="0"/>
      <w:divBdr>
        <w:top w:val="none" w:sz="0" w:space="0" w:color="auto"/>
        <w:left w:val="none" w:sz="0" w:space="0" w:color="auto"/>
        <w:bottom w:val="none" w:sz="0" w:space="0" w:color="auto"/>
        <w:right w:val="none" w:sz="0" w:space="0" w:color="auto"/>
      </w:divBdr>
    </w:div>
    <w:div w:id="400953121">
      <w:bodyDiv w:val="1"/>
      <w:marLeft w:val="0"/>
      <w:marRight w:val="0"/>
      <w:marTop w:val="0"/>
      <w:marBottom w:val="0"/>
      <w:divBdr>
        <w:top w:val="none" w:sz="0" w:space="0" w:color="auto"/>
        <w:left w:val="none" w:sz="0" w:space="0" w:color="auto"/>
        <w:bottom w:val="none" w:sz="0" w:space="0" w:color="auto"/>
        <w:right w:val="none" w:sz="0" w:space="0" w:color="auto"/>
      </w:divBdr>
    </w:div>
    <w:div w:id="412557038">
      <w:bodyDiv w:val="1"/>
      <w:marLeft w:val="0"/>
      <w:marRight w:val="0"/>
      <w:marTop w:val="0"/>
      <w:marBottom w:val="0"/>
      <w:divBdr>
        <w:top w:val="none" w:sz="0" w:space="0" w:color="auto"/>
        <w:left w:val="none" w:sz="0" w:space="0" w:color="auto"/>
        <w:bottom w:val="none" w:sz="0" w:space="0" w:color="auto"/>
        <w:right w:val="none" w:sz="0" w:space="0" w:color="auto"/>
      </w:divBdr>
    </w:div>
    <w:div w:id="412700674">
      <w:bodyDiv w:val="1"/>
      <w:marLeft w:val="0"/>
      <w:marRight w:val="0"/>
      <w:marTop w:val="0"/>
      <w:marBottom w:val="0"/>
      <w:divBdr>
        <w:top w:val="none" w:sz="0" w:space="0" w:color="auto"/>
        <w:left w:val="none" w:sz="0" w:space="0" w:color="auto"/>
        <w:bottom w:val="none" w:sz="0" w:space="0" w:color="auto"/>
        <w:right w:val="none" w:sz="0" w:space="0" w:color="auto"/>
      </w:divBdr>
    </w:div>
    <w:div w:id="427122768">
      <w:bodyDiv w:val="1"/>
      <w:marLeft w:val="0"/>
      <w:marRight w:val="0"/>
      <w:marTop w:val="0"/>
      <w:marBottom w:val="0"/>
      <w:divBdr>
        <w:top w:val="none" w:sz="0" w:space="0" w:color="auto"/>
        <w:left w:val="none" w:sz="0" w:space="0" w:color="auto"/>
        <w:bottom w:val="none" w:sz="0" w:space="0" w:color="auto"/>
        <w:right w:val="none" w:sz="0" w:space="0" w:color="auto"/>
      </w:divBdr>
    </w:div>
    <w:div w:id="437142076">
      <w:bodyDiv w:val="1"/>
      <w:marLeft w:val="0"/>
      <w:marRight w:val="0"/>
      <w:marTop w:val="0"/>
      <w:marBottom w:val="0"/>
      <w:divBdr>
        <w:top w:val="none" w:sz="0" w:space="0" w:color="auto"/>
        <w:left w:val="none" w:sz="0" w:space="0" w:color="auto"/>
        <w:bottom w:val="none" w:sz="0" w:space="0" w:color="auto"/>
        <w:right w:val="none" w:sz="0" w:space="0" w:color="auto"/>
      </w:divBdr>
    </w:div>
    <w:div w:id="442462479">
      <w:bodyDiv w:val="1"/>
      <w:marLeft w:val="0"/>
      <w:marRight w:val="0"/>
      <w:marTop w:val="0"/>
      <w:marBottom w:val="0"/>
      <w:divBdr>
        <w:top w:val="none" w:sz="0" w:space="0" w:color="auto"/>
        <w:left w:val="none" w:sz="0" w:space="0" w:color="auto"/>
        <w:bottom w:val="none" w:sz="0" w:space="0" w:color="auto"/>
        <w:right w:val="none" w:sz="0" w:space="0" w:color="auto"/>
      </w:divBdr>
    </w:div>
    <w:div w:id="445078831">
      <w:bodyDiv w:val="1"/>
      <w:marLeft w:val="0"/>
      <w:marRight w:val="0"/>
      <w:marTop w:val="0"/>
      <w:marBottom w:val="0"/>
      <w:divBdr>
        <w:top w:val="none" w:sz="0" w:space="0" w:color="auto"/>
        <w:left w:val="none" w:sz="0" w:space="0" w:color="auto"/>
        <w:bottom w:val="none" w:sz="0" w:space="0" w:color="auto"/>
        <w:right w:val="none" w:sz="0" w:space="0" w:color="auto"/>
      </w:divBdr>
    </w:div>
    <w:div w:id="460535677">
      <w:bodyDiv w:val="1"/>
      <w:marLeft w:val="0"/>
      <w:marRight w:val="0"/>
      <w:marTop w:val="0"/>
      <w:marBottom w:val="0"/>
      <w:divBdr>
        <w:top w:val="none" w:sz="0" w:space="0" w:color="auto"/>
        <w:left w:val="none" w:sz="0" w:space="0" w:color="auto"/>
        <w:bottom w:val="none" w:sz="0" w:space="0" w:color="auto"/>
        <w:right w:val="none" w:sz="0" w:space="0" w:color="auto"/>
      </w:divBdr>
    </w:div>
    <w:div w:id="463236729">
      <w:bodyDiv w:val="1"/>
      <w:marLeft w:val="0"/>
      <w:marRight w:val="0"/>
      <w:marTop w:val="0"/>
      <w:marBottom w:val="0"/>
      <w:divBdr>
        <w:top w:val="none" w:sz="0" w:space="0" w:color="auto"/>
        <w:left w:val="none" w:sz="0" w:space="0" w:color="auto"/>
        <w:bottom w:val="none" w:sz="0" w:space="0" w:color="auto"/>
        <w:right w:val="none" w:sz="0" w:space="0" w:color="auto"/>
      </w:divBdr>
    </w:div>
    <w:div w:id="474028695">
      <w:bodyDiv w:val="1"/>
      <w:marLeft w:val="0"/>
      <w:marRight w:val="0"/>
      <w:marTop w:val="0"/>
      <w:marBottom w:val="0"/>
      <w:divBdr>
        <w:top w:val="none" w:sz="0" w:space="0" w:color="auto"/>
        <w:left w:val="none" w:sz="0" w:space="0" w:color="auto"/>
        <w:bottom w:val="none" w:sz="0" w:space="0" w:color="auto"/>
        <w:right w:val="none" w:sz="0" w:space="0" w:color="auto"/>
      </w:divBdr>
      <w:divsChild>
        <w:div w:id="396980746">
          <w:marLeft w:val="720"/>
          <w:marRight w:val="720"/>
          <w:marTop w:val="0"/>
          <w:marBottom w:val="0"/>
          <w:divBdr>
            <w:top w:val="none" w:sz="0" w:space="0" w:color="auto"/>
            <w:left w:val="none" w:sz="0" w:space="0" w:color="auto"/>
            <w:bottom w:val="none" w:sz="0" w:space="0" w:color="auto"/>
            <w:right w:val="none" w:sz="0" w:space="0" w:color="auto"/>
          </w:divBdr>
          <w:divsChild>
            <w:div w:id="237399031">
              <w:marLeft w:val="0"/>
              <w:marRight w:val="0"/>
              <w:marTop w:val="0"/>
              <w:marBottom w:val="0"/>
              <w:divBdr>
                <w:top w:val="none" w:sz="0" w:space="0" w:color="auto"/>
                <w:left w:val="none" w:sz="0" w:space="0" w:color="auto"/>
                <w:bottom w:val="none" w:sz="0" w:space="0" w:color="auto"/>
                <w:right w:val="none" w:sz="0" w:space="0" w:color="auto"/>
              </w:divBdr>
            </w:div>
            <w:div w:id="129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00489">
      <w:bodyDiv w:val="1"/>
      <w:marLeft w:val="0"/>
      <w:marRight w:val="0"/>
      <w:marTop w:val="0"/>
      <w:marBottom w:val="0"/>
      <w:divBdr>
        <w:top w:val="none" w:sz="0" w:space="0" w:color="auto"/>
        <w:left w:val="none" w:sz="0" w:space="0" w:color="auto"/>
        <w:bottom w:val="none" w:sz="0" w:space="0" w:color="auto"/>
        <w:right w:val="none" w:sz="0" w:space="0" w:color="auto"/>
      </w:divBdr>
    </w:div>
    <w:div w:id="481821223">
      <w:bodyDiv w:val="1"/>
      <w:marLeft w:val="0"/>
      <w:marRight w:val="0"/>
      <w:marTop w:val="0"/>
      <w:marBottom w:val="0"/>
      <w:divBdr>
        <w:top w:val="none" w:sz="0" w:space="0" w:color="auto"/>
        <w:left w:val="none" w:sz="0" w:space="0" w:color="auto"/>
        <w:bottom w:val="none" w:sz="0" w:space="0" w:color="auto"/>
        <w:right w:val="none" w:sz="0" w:space="0" w:color="auto"/>
      </w:divBdr>
    </w:div>
    <w:div w:id="487943655">
      <w:bodyDiv w:val="1"/>
      <w:marLeft w:val="0"/>
      <w:marRight w:val="0"/>
      <w:marTop w:val="0"/>
      <w:marBottom w:val="0"/>
      <w:divBdr>
        <w:top w:val="none" w:sz="0" w:space="0" w:color="auto"/>
        <w:left w:val="none" w:sz="0" w:space="0" w:color="auto"/>
        <w:bottom w:val="none" w:sz="0" w:space="0" w:color="auto"/>
        <w:right w:val="none" w:sz="0" w:space="0" w:color="auto"/>
      </w:divBdr>
    </w:div>
    <w:div w:id="517279531">
      <w:bodyDiv w:val="1"/>
      <w:marLeft w:val="0"/>
      <w:marRight w:val="0"/>
      <w:marTop w:val="0"/>
      <w:marBottom w:val="0"/>
      <w:divBdr>
        <w:top w:val="none" w:sz="0" w:space="0" w:color="auto"/>
        <w:left w:val="none" w:sz="0" w:space="0" w:color="auto"/>
        <w:bottom w:val="none" w:sz="0" w:space="0" w:color="auto"/>
        <w:right w:val="none" w:sz="0" w:space="0" w:color="auto"/>
      </w:divBdr>
    </w:div>
    <w:div w:id="517699051">
      <w:bodyDiv w:val="1"/>
      <w:marLeft w:val="0"/>
      <w:marRight w:val="0"/>
      <w:marTop w:val="0"/>
      <w:marBottom w:val="0"/>
      <w:divBdr>
        <w:top w:val="none" w:sz="0" w:space="0" w:color="auto"/>
        <w:left w:val="none" w:sz="0" w:space="0" w:color="auto"/>
        <w:bottom w:val="none" w:sz="0" w:space="0" w:color="auto"/>
        <w:right w:val="none" w:sz="0" w:space="0" w:color="auto"/>
      </w:divBdr>
    </w:div>
    <w:div w:id="520163835">
      <w:bodyDiv w:val="1"/>
      <w:marLeft w:val="0"/>
      <w:marRight w:val="0"/>
      <w:marTop w:val="0"/>
      <w:marBottom w:val="0"/>
      <w:divBdr>
        <w:top w:val="none" w:sz="0" w:space="0" w:color="auto"/>
        <w:left w:val="none" w:sz="0" w:space="0" w:color="auto"/>
        <w:bottom w:val="none" w:sz="0" w:space="0" w:color="auto"/>
        <w:right w:val="none" w:sz="0" w:space="0" w:color="auto"/>
      </w:divBdr>
    </w:div>
    <w:div w:id="520313478">
      <w:bodyDiv w:val="1"/>
      <w:marLeft w:val="0"/>
      <w:marRight w:val="0"/>
      <w:marTop w:val="0"/>
      <w:marBottom w:val="0"/>
      <w:divBdr>
        <w:top w:val="none" w:sz="0" w:space="0" w:color="auto"/>
        <w:left w:val="none" w:sz="0" w:space="0" w:color="auto"/>
        <w:bottom w:val="none" w:sz="0" w:space="0" w:color="auto"/>
        <w:right w:val="none" w:sz="0" w:space="0" w:color="auto"/>
      </w:divBdr>
    </w:div>
    <w:div w:id="522746039">
      <w:bodyDiv w:val="1"/>
      <w:marLeft w:val="0"/>
      <w:marRight w:val="0"/>
      <w:marTop w:val="0"/>
      <w:marBottom w:val="0"/>
      <w:divBdr>
        <w:top w:val="none" w:sz="0" w:space="0" w:color="auto"/>
        <w:left w:val="none" w:sz="0" w:space="0" w:color="auto"/>
        <w:bottom w:val="none" w:sz="0" w:space="0" w:color="auto"/>
        <w:right w:val="none" w:sz="0" w:space="0" w:color="auto"/>
      </w:divBdr>
      <w:divsChild>
        <w:div w:id="366637725">
          <w:marLeft w:val="1440"/>
          <w:marRight w:val="1440"/>
          <w:marTop w:val="0"/>
          <w:marBottom w:val="0"/>
          <w:divBdr>
            <w:top w:val="none" w:sz="0" w:space="0" w:color="auto"/>
            <w:left w:val="none" w:sz="0" w:space="0" w:color="auto"/>
            <w:bottom w:val="none" w:sz="0" w:space="0" w:color="auto"/>
            <w:right w:val="none" w:sz="0" w:space="0" w:color="auto"/>
          </w:divBdr>
        </w:div>
      </w:divsChild>
    </w:div>
    <w:div w:id="523322045">
      <w:bodyDiv w:val="1"/>
      <w:marLeft w:val="0"/>
      <w:marRight w:val="0"/>
      <w:marTop w:val="0"/>
      <w:marBottom w:val="0"/>
      <w:divBdr>
        <w:top w:val="none" w:sz="0" w:space="0" w:color="auto"/>
        <w:left w:val="none" w:sz="0" w:space="0" w:color="auto"/>
        <w:bottom w:val="none" w:sz="0" w:space="0" w:color="auto"/>
        <w:right w:val="none" w:sz="0" w:space="0" w:color="auto"/>
      </w:divBdr>
    </w:div>
    <w:div w:id="528101777">
      <w:bodyDiv w:val="1"/>
      <w:marLeft w:val="0"/>
      <w:marRight w:val="0"/>
      <w:marTop w:val="0"/>
      <w:marBottom w:val="0"/>
      <w:divBdr>
        <w:top w:val="none" w:sz="0" w:space="0" w:color="auto"/>
        <w:left w:val="none" w:sz="0" w:space="0" w:color="auto"/>
        <w:bottom w:val="none" w:sz="0" w:space="0" w:color="auto"/>
        <w:right w:val="none" w:sz="0" w:space="0" w:color="auto"/>
      </w:divBdr>
    </w:div>
    <w:div w:id="528836184">
      <w:bodyDiv w:val="1"/>
      <w:marLeft w:val="0"/>
      <w:marRight w:val="0"/>
      <w:marTop w:val="0"/>
      <w:marBottom w:val="0"/>
      <w:divBdr>
        <w:top w:val="none" w:sz="0" w:space="0" w:color="auto"/>
        <w:left w:val="none" w:sz="0" w:space="0" w:color="auto"/>
        <w:bottom w:val="none" w:sz="0" w:space="0" w:color="auto"/>
        <w:right w:val="none" w:sz="0" w:space="0" w:color="auto"/>
      </w:divBdr>
    </w:div>
    <w:div w:id="547373726">
      <w:bodyDiv w:val="1"/>
      <w:marLeft w:val="0"/>
      <w:marRight w:val="0"/>
      <w:marTop w:val="0"/>
      <w:marBottom w:val="0"/>
      <w:divBdr>
        <w:top w:val="none" w:sz="0" w:space="0" w:color="auto"/>
        <w:left w:val="none" w:sz="0" w:space="0" w:color="auto"/>
        <w:bottom w:val="none" w:sz="0" w:space="0" w:color="auto"/>
        <w:right w:val="none" w:sz="0" w:space="0" w:color="auto"/>
      </w:divBdr>
    </w:div>
    <w:div w:id="559943518">
      <w:bodyDiv w:val="1"/>
      <w:marLeft w:val="0"/>
      <w:marRight w:val="0"/>
      <w:marTop w:val="0"/>
      <w:marBottom w:val="0"/>
      <w:divBdr>
        <w:top w:val="none" w:sz="0" w:space="0" w:color="auto"/>
        <w:left w:val="none" w:sz="0" w:space="0" w:color="auto"/>
        <w:bottom w:val="none" w:sz="0" w:space="0" w:color="auto"/>
        <w:right w:val="none" w:sz="0" w:space="0" w:color="auto"/>
      </w:divBdr>
    </w:div>
    <w:div w:id="567112012">
      <w:bodyDiv w:val="1"/>
      <w:marLeft w:val="0"/>
      <w:marRight w:val="0"/>
      <w:marTop w:val="0"/>
      <w:marBottom w:val="0"/>
      <w:divBdr>
        <w:top w:val="none" w:sz="0" w:space="0" w:color="auto"/>
        <w:left w:val="none" w:sz="0" w:space="0" w:color="auto"/>
        <w:bottom w:val="none" w:sz="0" w:space="0" w:color="auto"/>
        <w:right w:val="none" w:sz="0" w:space="0" w:color="auto"/>
      </w:divBdr>
    </w:div>
    <w:div w:id="585655574">
      <w:bodyDiv w:val="1"/>
      <w:marLeft w:val="0"/>
      <w:marRight w:val="0"/>
      <w:marTop w:val="0"/>
      <w:marBottom w:val="0"/>
      <w:divBdr>
        <w:top w:val="none" w:sz="0" w:space="0" w:color="auto"/>
        <w:left w:val="none" w:sz="0" w:space="0" w:color="auto"/>
        <w:bottom w:val="none" w:sz="0" w:space="0" w:color="auto"/>
        <w:right w:val="none" w:sz="0" w:space="0" w:color="auto"/>
      </w:divBdr>
    </w:div>
    <w:div w:id="589237223">
      <w:bodyDiv w:val="1"/>
      <w:marLeft w:val="0"/>
      <w:marRight w:val="0"/>
      <w:marTop w:val="0"/>
      <w:marBottom w:val="0"/>
      <w:divBdr>
        <w:top w:val="none" w:sz="0" w:space="0" w:color="auto"/>
        <w:left w:val="none" w:sz="0" w:space="0" w:color="auto"/>
        <w:bottom w:val="none" w:sz="0" w:space="0" w:color="auto"/>
        <w:right w:val="none" w:sz="0" w:space="0" w:color="auto"/>
      </w:divBdr>
    </w:div>
    <w:div w:id="595527364">
      <w:bodyDiv w:val="1"/>
      <w:marLeft w:val="0"/>
      <w:marRight w:val="0"/>
      <w:marTop w:val="0"/>
      <w:marBottom w:val="0"/>
      <w:divBdr>
        <w:top w:val="none" w:sz="0" w:space="0" w:color="auto"/>
        <w:left w:val="none" w:sz="0" w:space="0" w:color="auto"/>
        <w:bottom w:val="none" w:sz="0" w:space="0" w:color="auto"/>
        <w:right w:val="none" w:sz="0" w:space="0" w:color="auto"/>
      </w:divBdr>
      <w:divsChild>
        <w:div w:id="607274807">
          <w:marLeft w:val="1440"/>
          <w:marRight w:val="1440"/>
          <w:marTop w:val="0"/>
          <w:marBottom w:val="0"/>
          <w:divBdr>
            <w:top w:val="none" w:sz="0" w:space="0" w:color="auto"/>
            <w:left w:val="none" w:sz="0" w:space="0" w:color="auto"/>
            <w:bottom w:val="none" w:sz="0" w:space="0" w:color="auto"/>
            <w:right w:val="none" w:sz="0" w:space="0" w:color="auto"/>
          </w:divBdr>
        </w:div>
      </w:divsChild>
    </w:div>
    <w:div w:id="613290644">
      <w:bodyDiv w:val="1"/>
      <w:marLeft w:val="0"/>
      <w:marRight w:val="0"/>
      <w:marTop w:val="0"/>
      <w:marBottom w:val="0"/>
      <w:divBdr>
        <w:top w:val="none" w:sz="0" w:space="0" w:color="auto"/>
        <w:left w:val="none" w:sz="0" w:space="0" w:color="auto"/>
        <w:bottom w:val="none" w:sz="0" w:space="0" w:color="auto"/>
        <w:right w:val="none" w:sz="0" w:space="0" w:color="auto"/>
      </w:divBdr>
    </w:div>
    <w:div w:id="613751538">
      <w:bodyDiv w:val="1"/>
      <w:marLeft w:val="0"/>
      <w:marRight w:val="0"/>
      <w:marTop w:val="0"/>
      <w:marBottom w:val="0"/>
      <w:divBdr>
        <w:top w:val="none" w:sz="0" w:space="0" w:color="auto"/>
        <w:left w:val="none" w:sz="0" w:space="0" w:color="auto"/>
        <w:bottom w:val="none" w:sz="0" w:space="0" w:color="auto"/>
        <w:right w:val="none" w:sz="0" w:space="0" w:color="auto"/>
      </w:divBdr>
    </w:div>
    <w:div w:id="620115576">
      <w:bodyDiv w:val="1"/>
      <w:marLeft w:val="0"/>
      <w:marRight w:val="0"/>
      <w:marTop w:val="0"/>
      <w:marBottom w:val="0"/>
      <w:divBdr>
        <w:top w:val="none" w:sz="0" w:space="0" w:color="auto"/>
        <w:left w:val="none" w:sz="0" w:space="0" w:color="auto"/>
        <w:bottom w:val="none" w:sz="0" w:space="0" w:color="auto"/>
        <w:right w:val="none" w:sz="0" w:space="0" w:color="auto"/>
      </w:divBdr>
    </w:div>
    <w:div w:id="622350894">
      <w:bodyDiv w:val="1"/>
      <w:marLeft w:val="0"/>
      <w:marRight w:val="0"/>
      <w:marTop w:val="0"/>
      <w:marBottom w:val="0"/>
      <w:divBdr>
        <w:top w:val="none" w:sz="0" w:space="0" w:color="auto"/>
        <w:left w:val="none" w:sz="0" w:space="0" w:color="auto"/>
        <w:bottom w:val="none" w:sz="0" w:space="0" w:color="auto"/>
        <w:right w:val="none" w:sz="0" w:space="0" w:color="auto"/>
      </w:divBdr>
    </w:div>
    <w:div w:id="628709344">
      <w:bodyDiv w:val="1"/>
      <w:marLeft w:val="0"/>
      <w:marRight w:val="0"/>
      <w:marTop w:val="0"/>
      <w:marBottom w:val="0"/>
      <w:divBdr>
        <w:top w:val="none" w:sz="0" w:space="0" w:color="auto"/>
        <w:left w:val="none" w:sz="0" w:space="0" w:color="auto"/>
        <w:bottom w:val="none" w:sz="0" w:space="0" w:color="auto"/>
        <w:right w:val="none" w:sz="0" w:space="0" w:color="auto"/>
      </w:divBdr>
    </w:div>
    <w:div w:id="630937183">
      <w:bodyDiv w:val="1"/>
      <w:marLeft w:val="0"/>
      <w:marRight w:val="0"/>
      <w:marTop w:val="0"/>
      <w:marBottom w:val="0"/>
      <w:divBdr>
        <w:top w:val="none" w:sz="0" w:space="0" w:color="auto"/>
        <w:left w:val="none" w:sz="0" w:space="0" w:color="auto"/>
        <w:bottom w:val="none" w:sz="0" w:space="0" w:color="auto"/>
        <w:right w:val="none" w:sz="0" w:space="0" w:color="auto"/>
      </w:divBdr>
    </w:div>
    <w:div w:id="636255911">
      <w:bodyDiv w:val="1"/>
      <w:marLeft w:val="0"/>
      <w:marRight w:val="0"/>
      <w:marTop w:val="0"/>
      <w:marBottom w:val="0"/>
      <w:divBdr>
        <w:top w:val="none" w:sz="0" w:space="0" w:color="auto"/>
        <w:left w:val="none" w:sz="0" w:space="0" w:color="auto"/>
        <w:bottom w:val="none" w:sz="0" w:space="0" w:color="auto"/>
        <w:right w:val="none" w:sz="0" w:space="0" w:color="auto"/>
      </w:divBdr>
    </w:div>
    <w:div w:id="638270879">
      <w:bodyDiv w:val="1"/>
      <w:marLeft w:val="0"/>
      <w:marRight w:val="0"/>
      <w:marTop w:val="0"/>
      <w:marBottom w:val="0"/>
      <w:divBdr>
        <w:top w:val="none" w:sz="0" w:space="0" w:color="auto"/>
        <w:left w:val="none" w:sz="0" w:space="0" w:color="auto"/>
        <w:bottom w:val="none" w:sz="0" w:space="0" w:color="auto"/>
        <w:right w:val="none" w:sz="0" w:space="0" w:color="auto"/>
      </w:divBdr>
    </w:div>
    <w:div w:id="647175249">
      <w:bodyDiv w:val="1"/>
      <w:marLeft w:val="0"/>
      <w:marRight w:val="0"/>
      <w:marTop w:val="0"/>
      <w:marBottom w:val="0"/>
      <w:divBdr>
        <w:top w:val="none" w:sz="0" w:space="0" w:color="auto"/>
        <w:left w:val="none" w:sz="0" w:space="0" w:color="auto"/>
        <w:bottom w:val="none" w:sz="0" w:space="0" w:color="auto"/>
        <w:right w:val="none" w:sz="0" w:space="0" w:color="auto"/>
      </w:divBdr>
    </w:div>
    <w:div w:id="674763714">
      <w:bodyDiv w:val="1"/>
      <w:marLeft w:val="0"/>
      <w:marRight w:val="0"/>
      <w:marTop w:val="0"/>
      <w:marBottom w:val="0"/>
      <w:divBdr>
        <w:top w:val="none" w:sz="0" w:space="0" w:color="auto"/>
        <w:left w:val="none" w:sz="0" w:space="0" w:color="auto"/>
        <w:bottom w:val="none" w:sz="0" w:space="0" w:color="auto"/>
        <w:right w:val="none" w:sz="0" w:space="0" w:color="auto"/>
      </w:divBdr>
    </w:div>
    <w:div w:id="676275902">
      <w:bodyDiv w:val="1"/>
      <w:marLeft w:val="0"/>
      <w:marRight w:val="0"/>
      <w:marTop w:val="0"/>
      <w:marBottom w:val="0"/>
      <w:divBdr>
        <w:top w:val="none" w:sz="0" w:space="0" w:color="auto"/>
        <w:left w:val="none" w:sz="0" w:space="0" w:color="auto"/>
        <w:bottom w:val="none" w:sz="0" w:space="0" w:color="auto"/>
        <w:right w:val="none" w:sz="0" w:space="0" w:color="auto"/>
      </w:divBdr>
    </w:div>
    <w:div w:id="679240009">
      <w:bodyDiv w:val="1"/>
      <w:marLeft w:val="0"/>
      <w:marRight w:val="0"/>
      <w:marTop w:val="0"/>
      <w:marBottom w:val="0"/>
      <w:divBdr>
        <w:top w:val="none" w:sz="0" w:space="0" w:color="auto"/>
        <w:left w:val="none" w:sz="0" w:space="0" w:color="auto"/>
        <w:bottom w:val="none" w:sz="0" w:space="0" w:color="auto"/>
        <w:right w:val="none" w:sz="0" w:space="0" w:color="auto"/>
      </w:divBdr>
    </w:div>
    <w:div w:id="686716798">
      <w:bodyDiv w:val="1"/>
      <w:marLeft w:val="0"/>
      <w:marRight w:val="0"/>
      <w:marTop w:val="0"/>
      <w:marBottom w:val="0"/>
      <w:divBdr>
        <w:top w:val="none" w:sz="0" w:space="0" w:color="auto"/>
        <w:left w:val="none" w:sz="0" w:space="0" w:color="auto"/>
        <w:bottom w:val="none" w:sz="0" w:space="0" w:color="auto"/>
        <w:right w:val="none" w:sz="0" w:space="0" w:color="auto"/>
      </w:divBdr>
    </w:div>
    <w:div w:id="691106451">
      <w:bodyDiv w:val="1"/>
      <w:marLeft w:val="0"/>
      <w:marRight w:val="0"/>
      <w:marTop w:val="0"/>
      <w:marBottom w:val="0"/>
      <w:divBdr>
        <w:top w:val="none" w:sz="0" w:space="0" w:color="auto"/>
        <w:left w:val="none" w:sz="0" w:space="0" w:color="auto"/>
        <w:bottom w:val="none" w:sz="0" w:space="0" w:color="auto"/>
        <w:right w:val="none" w:sz="0" w:space="0" w:color="auto"/>
      </w:divBdr>
    </w:div>
    <w:div w:id="730537013">
      <w:bodyDiv w:val="1"/>
      <w:marLeft w:val="0"/>
      <w:marRight w:val="0"/>
      <w:marTop w:val="0"/>
      <w:marBottom w:val="0"/>
      <w:divBdr>
        <w:top w:val="none" w:sz="0" w:space="0" w:color="auto"/>
        <w:left w:val="none" w:sz="0" w:space="0" w:color="auto"/>
        <w:bottom w:val="none" w:sz="0" w:space="0" w:color="auto"/>
        <w:right w:val="none" w:sz="0" w:space="0" w:color="auto"/>
      </w:divBdr>
    </w:div>
    <w:div w:id="739865530">
      <w:bodyDiv w:val="1"/>
      <w:marLeft w:val="0"/>
      <w:marRight w:val="0"/>
      <w:marTop w:val="0"/>
      <w:marBottom w:val="0"/>
      <w:divBdr>
        <w:top w:val="none" w:sz="0" w:space="0" w:color="auto"/>
        <w:left w:val="none" w:sz="0" w:space="0" w:color="auto"/>
        <w:bottom w:val="none" w:sz="0" w:space="0" w:color="auto"/>
        <w:right w:val="none" w:sz="0" w:space="0" w:color="auto"/>
      </w:divBdr>
    </w:div>
    <w:div w:id="750083176">
      <w:bodyDiv w:val="1"/>
      <w:marLeft w:val="0"/>
      <w:marRight w:val="0"/>
      <w:marTop w:val="0"/>
      <w:marBottom w:val="0"/>
      <w:divBdr>
        <w:top w:val="none" w:sz="0" w:space="0" w:color="auto"/>
        <w:left w:val="none" w:sz="0" w:space="0" w:color="auto"/>
        <w:bottom w:val="none" w:sz="0" w:space="0" w:color="auto"/>
        <w:right w:val="none" w:sz="0" w:space="0" w:color="auto"/>
      </w:divBdr>
    </w:div>
    <w:div w:id="770442019">
      <w:bodyDiv w:val="1"/>
      <w:marLeft w:val="0"/>
      <w:marRight w:val="0"/>
      <w:marTop w:val="0"/>
      <w:marBottom w:val="0"/>
      <w:divBdr>
        <w:top w:val="none" w:sz="0" w:space="0" w:color="auto"/>
        <w:left w:val="none" w:sz="0" w:space="0" w:color="auto"/>
        <w:bottom w:val="none" w:sz="0" w:space="0" w:color="auto"/>
        <w:right w:val="none" w:sz="0" w:space="0" w:color="auto"/>
      </w:divBdr>
    </w:div>
    <w:div w:id="773063076">
      <w:bodyDiv w:val="1"/>
      <w:marLeft w:val="0"/>
      <w:marRight w:val="0"/>
      <w:marTop w:val="0"/>
      <w:marBottom w:val="0"/>
      <w:divBdr>
        <w:top w:val="none" w:sz="0" w:space="0" w:color="auto"/>
        <w:left w:val="none" w:sz="0" w:space="0" w:color="auto"/>
        <w:bottom w:val="none" w:sz="0" w:space="0" w:color="auto"/>
        <w:right w:val="none" w:sz="0" w:space="0" w:color="auto"/>
      </w:divBdr>
    </w:div>
    <w:div w:id="784694330">
      <w:bodyDiv w:val="1"/>
      <w:marLeft w:val="0"/>
      <w:marRight w:val="0"/>
      <w:marTop w:val="0"/>
      <w:marBottom w:val="0"/>
      <w:divBdr>
        <w:top w:val="none" w:sz="0" w:space="0" w:color="auto"/>
        <w:left w:val="none" w:sz="0" w:space="0" w:color="auto"/>
        <w:bottom w:val="none" w:sz="0" w:space="0" w:color="auto"/>
        <w:right w:val="none" w:sz="0" w:space="0" w:color="auto"/>
      </w:divBdr>
    </w:div>
    <w:div w:id="801733206">
      <w:bodyDiv w:val="1"/>
      <w:marLeft w:val="0"/>
      <w:marRight w:val="0"/>
      <w:marTop w:val="0"/>
      <w:marBottom w:val="0"/>
      <w:divBdr>
        <w:top w:val="none" w:sz="0" w:space="0" w:color="auto"/>
        <w:left w:val="none" w:sz="0" w:space="0" w:color="auto"/>
        <w:bottom w:val="none" w:sz="0" w:space="0" w:color="auto"/>
        <w:right w:val="none" w:sz="0" w:space="0" w:color="auto"/>
      </w:divBdr>
    </w:div>
    <w:div w:id="842355666">
      <w:bodyDiv w:val="1"/>
      <w:marLeft w:val="0"/>
      <w:marRight w:val="0"/>
      <w:marTop w:val="0"/>
      <w:marBottom w:val="0"/>
      <w:divBdr>
        <w:top w:val="none" w:sz="0" w:space="0" w:color="auto"/>
        <w:left w:val="none" w:sz="0" w:space="0" w:color="auto"/>
        <w:bottom w:val="none" w:sz="0" w:space="0" w:color="auto"/>
        <w:right w:val="none" w:sz="0" w:space="0" w:color="auto"/>
      </w:divBdr>
    </w:div>
    <w:div w:id="874542385">
      <w:bodyDiv w:val="1"/>
      <w:marLeft w:val="0"/>
      <w:marRight w:val="0"/>
      <w:marTop w:val="0"/>
      <w:marBottom w:val="0"/>
      <w:divBdr>
        <w:top w:val="none" w:sz="0" w:space="0" w:color="auto"/>
        <w:left w:val="none" w:sz="0" w:space="0" w:color="auto"/>
        <w:bottom w:val="none" w:sz="0" w:space="0" w:color="auto"/>
        <w:right w:val="none" w:sz="0" w:space="0" w:color="auto"/>
      </w:divBdr>
    </w:div>
    <w:div w:id="881286898">
      <w:bodyDiv w:val="1"/>
      <w:marLeft w:val="0"/>
      <w:marRight w:val="0"/>
      <w:marTop w:val="0"/>
      <w:marBottom w:val="0"/>
      <w:divBdr>
        <w:top w:val="none" w:sz="0" w:space="0" w:color="auto"/>
        <w:left w:val="none" w:sz="0" w:space="0" w:color="auto"/>
        <w:bottom w:val="none" w:sz="0" w:space="0" w:color="auto"/>
        <w:right w:val="none" w:sz="0" w:space="0" w:color="auto"/>
      </w:divBdr>
    </w:div>
    <w:div w:id="882790059">
      <w:bodyDiv w:val="1"/>
      <w:marLeft w:val="0"/>
      <w:marRight w:val="0"/>
      <w:marTop w:val="0"/>
      <w:marBottom w:val="0"/>
      <w:divBdr>
        <w:top w:val="none" w:sz="0" w:space="0" w:color="auto"/>
        <w:left w:val="none" w:sz="0" w:space="0" w:color="auto"/>
        <w:bottom w:val="none" w:sz="0" w:space="0" w:color="auto"/>
        <w:right w:val="none" w:sz="0" w:space="0" w:color="auto"/>
      </w:divBdr>
    </w:div>
    <w:div w:id="889342844">
      <w:bodyDiv w:val="1"/>
      <w:marLeft w:val="0"/>
      <w:marRight w:val="0"/>
      <w:marTop w:val="0"/>
      <w:marBottom w:val="0"/>
      <w:divBdr>
        <w:top w:val="none" w:sz="0" w:space="0" w:color="auto"/>
        <w:left w:val="none" w:sz="0" w:space="0" w:color="auto"/>
        <w:bottom w:val="none" w:sz="0" w:space="0" w:color="auto"/>
        <w:right w:val="none" w:sz="0" w:space="0" w:color="auto"/>
      </w:divBdr>
    </w:div>
    <w:div w:id="890387797">
      <w:bodyDiv w:val="1"/>
      <w:marLeft w:val="0"/>
      <w:marRight w:val="0"/>
      <w:marTop w:val="0"/>
      <w:marBottom w:val="0"/>
      <w:divBdr>
        <w:top w:val="none" w:sz="0" w:space="0" w:color="auto"/>
        <w:left w:val="none" w:sz="0" w:space="0" w:color="auto"/>
        <w:bottom w:val="none" w:sz="0" w:space="0" w:color="auto"/>
        <w:right w:val="none" w:sz="0" w:space="0" w:color="auto"/>
      </w:divBdr>
    </w:div>
    <w:div w:id="893471538">
      <w:bodyDiv w:val="1"/>
      <w:marLeft w:val="0"/>
      <w:marRight w:val="0"/>
      <w:marTop w:val="0"/>
      <w:marBottom w:val="0"/>
      <w:divBdr>
        <w:top w:val="none" w:sz="0" w:space="0" w:color="auto"/>
        <w:left w:val="none" w:sz="0" w:space="0" w:color="auto"/>
        <w:bottom w:val="none" w:sz="0" w:space="0" w:color="auto"/>
        <w:right w:val="none" w:sz="0" w:space="0" w:color="auto"/>
      </w:divBdr>
    </w:div>
    <w:div w:id="908806133">
      <w:bodyDiv w:val="1"/>
      <w:marLeft w:val="0"/>
      <w:marRight w:val="0"/>
      <w:marTop w:val="0"/>
      <w:marBottom w:val="0"/>
      <w:divBdr>
        <w:top w:val="none" w:sz="0" w:space="0" w:color="auto"/>
        <w:left w:val="none" w:sz="0" w:space="0" w:color="auto"/>
        <w:bottom w:val="none" w:sz="0" w:space="0" w:color="auto"/>
        <w:right w:val="none" w:sz="0" w:space="0" w:color="auto"/>
      </w:divBdr>
    </w:div>
    <w:div w:id="924800641">
      <w:bodyDiv w:val="1"/>
      <w:marLeft w:val="0"/>
      <w:marRight w:val="0"/>
      <w:marTop w:val="0"/>
      <w:marBottom w:val="0"/>
      <w:divBdr>
        <w:top w:val="none" w:sz="0" w:space="0" w:color="auto"/>
        <w:left w:val="none" w:sz="0" w:space="0" w:color="auto"/>
        <w:bottom w:val="none" w:sz="0" w:space="0" w:color="auto"/>
        <w:right w:val="none" w:sz="0" w:space="0" w:color="auto"/>
      </w:divBdr>
    </w:div>
    <w:div w:id="931936759">
      <w:bodyDiv w:val="1"/>
      <w:marLeft w:val="0"/>
      <w:marRight w:val="0"/>
      <w:marTop w:val="0"/>
      <w:marBottom w:val="0"/>
      <w:divBdr>
        <w:top w:val="none" w:sz="0" w:space="0" w:color="auto"/>
        <w:left w:val="none" w:sz="0" w:space="0" w:color="auto"/>
        <w:bottom w:val="none" w:sz="0" w:space="0" w:color="auto"/>
        <w:right w:val="none" w:sz="0" w:space="0" w:color="auto"/>
      </w:divBdr>
    </w:div>
    <w:div w:id="958417717">
      <w:bodyDiv w:val="1"/>
      <w:marLeft w:val="0"/>
      <w:marRight w:val="0"/>
      <w:marTop w:val="0"/>
      <w:marBottom w:val="0"/>
      <w:divBdr>
        <w:top w:val="none" w:sz="0" w:space="0" w:color="auto"/>
        <w:left w:val="none" w:sz="0" w:space="0" w:color="auto"/>
        <w:bottom w:val="none" w:sz="0" w:space="0" w:color="auto"/>
        <w:right w:val="none" w:sz="0" w:space="0" w:color="auto"/>
      </w:divBdr>
    </w:div>
    <w:div w:id="990333240">
      <w:bodyDiv w:val="1"/>
      <w:marLeft w:val="0"/>
      <w:marRight w:val="0"/>
      <w:marTop w:val="0"/>
      <w:marBottom w:val="0"/>
      <w:divBdr>
        <w:top w:val="none" w:sz="0" w:space="0" w:color="auto"/>
        <w:left w:val="none" w:sz="0" w:space="0" w:color="auto"/>
        <w:bottom w:val="none" w:sz="0" w:space="0" w:color="auto"/>
        <w:right w:val="none" w:sz="0" w:space="0" w:color="auto"/>
      </w:divBdr>
    </w:div>
    <w:div w:id="1012293972">
      <w:bodyDiv w:val="1"/>
      <w:marLeft w:val="0"/>
      <w:marRight w:val="0"/>
      <w:marTop w:val="0"/>
      <w:marBottom w:val="0"/>
      <w:divBdr>
        <w:top w:val="none" w:sz="0" w:space="0" w:color="auto"/>
        <w:left w:val="none" w:sz="0" w:space="0" w:color="auto"/>
        <w:bottom w:val="none" w:sz="0" w:space="0" w:color="auto"/>
        <w:right w:val="none" w:sz="0" w:space="0" w:color="auto"/>
      </w:divBdr>
    </w:div>
    <w:div w:id="1014916792">
      <w:bodyDiv w:val="1"/>
      <w:marLeft w:val="0"/>
      <w:marRight w:val="0"/>
      <w:marTop w:val="0"/>
      <w:marBottom w:val="0"/>
      <w:divBdr>
        <w:top w:val="none" w:sz="0" w:space="0" w:color="auto"/>
        <w:left w:val="none" w:sz="0" w:space="0" w:color="auto"/>
        <w:bottom w:val="none" w:sz="0" w:space="0" w:color="auto"/>
        <w:right w:val="none" w:sz="0" w:space="0" w:color="auto"/>
      </w:divBdr>
    </w:div>
    <w:div w:id="1015884872">
      <w:bodyDiv w:val="1"/>
      <w:marLeft w:val="0"/>
      <w:marRight w:val="0"/>
      <w:marTop w:val="0"/>
      <w:marBottom w:val="0"/>
      <w:divBdr>
        <w:top w:val="none" w:sz="0" w:space="0" w:color="auto"/>
        <w:left w:val="none" w:sz="0" w:space="0" w:color="auto"/>
        <w:bottom w:val="none" w:sz="0" w:space="0" w:color="auto"/>
        <w:right w:val="none" w:sz="0" w:space="0" w:color="auto"/>
      </w:divBdr>
    </w:div>
    <w:div w:id="1018002215">
      <w:bodyDiv w:val="1"/>
      <w:marLeft w:val="0"/>
      <w:marRight w:val="0"/>
      <w:marTop w:val="0"/>
      <w:marBottom w:val="0"/>
      <w:divBdr>
        <w:top w:val="none" w:sz="0" w:space="0" w:color="auto"/>
        <w:left w:val="none" w:sz="0" w:space="0" w:color="auto"/>
        <w:bottom w:val="none" w:sz="0" w:space="0" w:color="auto"/>
        <w:right w:val="none" w:sz="0" w:space="0" w:color="auto"/>
      </w:divBdr>
    </w:div>
    <w:div w:id="1018236535">
      <w:bodyDiv w:val="1"/>
      <w:marLeft w:val="0"/>
      <w:marRight w:val="0"/>
      <w:marTop w:val="0"/>
      <w:marBottom w:val="0"/>
      <w:divBdr>
        <w:top w:val="none" w:sz="0" w:space="0" w:color="auto"/>
        <w:left w:val="none" w:sz="0" w:space="0" w:color="auto"/>
        <w:bottom w:val="none" w:sz="0" w:space="0" w:color="auto"/>
        <w:right w:val="none" w:sz="0" w:space="0" w:color="auto"/>
      </w:divBdr>
    </w:div>
    <w:div w:id="1020162746">
      <w:bodyDiv w:val="1"/>
      <w:marLeft w:val="0"/>
      <w:marRight w:val="0"/>
      <w:marTop w:val="0"/>
      <w:marBottom w:val="0"/>
      <w:divBdr>
        <w:top w:val="none" w:sz="0" w:space="0" w:color="auto"/>
        <w:left w:val="none" w:sz="0" w:space="0" w:color="auto"/>
        <w:bottom w:val="none" w:sz="0" w:space="0" w:color="auto"/>
        <w:right w:val="none" w:sz="0" w:space="0" w:color="auto"/>
      </w:divBdr>
    </w:div>
    <w:div w:id="1034618976">
      <w:bodyDiv w:val="1"/>
      <w:marLeft w:val="0"/>
      <w:marRight w:val="0"/>
      <w:marTop w:val="0"/>
      <w:marBottom w:val="0"/>
      <w:divBdr>
        <w:top w:val="none" w:sz="0" w:space="0" w:color="auto"/>
        <w:left w:val="none" w:sz="0" w:space="0" w:color="auto"/>
        <w:bottom w:val="none" w:sz="0" w:space="0" w:color="auto"/>
        <w:right w:val="none" w:sz="0" w:space="0" w:color="auto"/>
      </w:divBdr>
    </w:div>
    <w:div w:id="1043601588">
      <w:bodyDiv w:val="1"/>
      <w:marLeft w:val="0"/>
      <w:marRight w:val="0"/>
      <w:marTop w:val="0"/>
      <w:marBottom w:val="0"/>
      <w:divBdr>
        <w:top w:val="none" w:sz="0" w:space="0" w:color="auto"/>
        <w:left w:val="none" w:sz="0" w:space="0" w:color="auto"/>
        <w:bottom w:val="none" w:sz="0" w:space="0" w:color="auto"/>
        <w:right w:val="none" w:sz="0" w:space="0" w:color="auto"/>
      </w:divBdr>
    </w:div>
    <w:div w:id="1053506598">
      <w:bodyDiv w:val="1"/>
      <w:marLeft w:val="0"/>
      <w:marRight w:val="0"/>
      <w:marTop w:val="0"/>
      <w:marBottom w:val="0"/>
      <w:divBdr>
        <w:top w:val="none" w:sz="0" w:space="0" w:color="auto"/>
        <w:left w:val="none" w:sz="0" w:space="0" w:color="auto"/>
        <w:bottom w:val="none" w:sz="0" w:space="0" w:color="auto"/>
        <w:right w:val="none" w:sz="0" w:space="0" w:color="auto"/>
      </w:divBdr>
    </w:div>
    <w:div w:id="1084035993">
      <w:bodyDiv w:val="1"/>
      <w:marLeft w:val="0"/>
      <w:marRight w:val="0"/>
      <w:marTop w:val="0"/>
      <w:marBottom w:val="0"/>
      <w:divBdr>
        <w:top w:val="none" w:sz="0" w:space="0" w:color="auto"/>
        <w:left w:val="none" w:sz="0" w:space="0" w:color="auto"/>
        <w:bottom w:val="none" w:sz="0" w:space="0" w:color="auto"/>
        <w:right w:val="none" w:sz="0" w:space="0" w:color="auto"/>
      </w:divBdr>
    </w:div>
    <w:div w:id="1107584770">
      <w:bodyDiv w:val="1"/>
      <w:marLeft w:val="0"/>
      <w:marRight w:val="0"/>
      <w:marTop w:val="0"/>
      <w:marBottom w:val="0"/>
      <w:divBdr>
        <w:top w:val="none" w:sz="0" w:space="0" w:color="auto"/>
        <w:left w:val="none" w:sz="0" w:space="0" w:color="auto"/>
        <w:bottom w:val="none" w:sz="0" w:space="0" w:color="auto"/>
        <w:right w:val="none" w:sz="0" w:space="0" w:color="auto"/>
      </w:divBdr>
    </w:div>
    <w:div w:id="1111585845">
      <w:bodyDiv w:val="1"/>
      <w:marLeft w:val="0"/>
      <w:marRight w:val="0"/>
      <w:marTop w:val="0"/>
      <w:marBottom w:val="0"/>
      <w:divBdr>
        <w:top w:val="none" w:sz="0" w:space="0" w:color="auto"/>
        <w:left w:val="none" w:sz="0" w:space="0" w:color="auto"/>
        <w:bottom w:val="none" w:sz="0" w:space="0" w:color="auto"/>
        <w:right w:val="none" w:sz="0" w:space="0" w:color="auto"/>
      </w:divBdr>
    </w:div>
    <w:div w:id="1119422079">
      <w:bodyDiv w:val="1"/>
      <w:marLeft w:val="0"/>
      <w:marRight w:val="0"/>
      <w:marTop w:val="0"/>
      <w:marBottom w:val="0"/>
      <w:divBdr>
        <w:top w:val="none" w:sz="0" w:space="0" w:color="auto"/>
        <w:left w:val="none" w:sz="0" w:space="0" w:color="auto"/>
        <w:bottom w:val="none" w:sz="0" w:space="0" w:color="auto"/>
        <w:right w:val="none" w:sz="0" w:space="0" w:color="auto"/>
      </w:divBdr>
    </w:div>
    <w:div w:id="1119688368">
      <w:bodyDiv w:val="1"/>
      <w:marLeft w:val="0"/>
      <w:marRight w:val="0"/>
      <w:marTop w:val="0"/>
      <w:marBottom w:val="0"/>
      <w:divBdr>
        <w:top w:val="none" w:sz="0" w:space="0" w:color="auto"/>
        <w:left w:val="none" w:sz="0" w:space="0" w:color="auto"/>
        <w:bottom w:val="none" w:sz="0" w:space="0" w:color="auto"/>
        <w:right w:val="none" w:sz="0" w:space="0" w:color="auto"/>
      </w:divBdr>
    </w:div>
    <w:div w:id="1128624908">
      <w:bodyDiv w:val="1"/>
      <w:marLeft w:val="0"/>
      <w:marRight w:val="0"/>
      <w:marTop w:val="0"/>
      <w:marBottom w:val="0"/>
      <w:divBdr>
        <w:top w:val="none" w:sz="0" w:space="0" w:color="auto"/>
        <w:left w:val="none" w:sz="0" w:space="0" w:color="auto"/>
        <w:bottom w:val="none" w:sz="0" w:space="0" w:color="auto"/>
        <w:right w:val="none" w:sz="0" w:space="0" w:color="auto"/>
      </w:divBdr>
    </w:div>
    <w:div w:id="1137340484">
      <w:bodyDiv w:val="1"/>
      <w:marLeft w:val="0"/>
      <w:marRight w:val="0"/>
      <w:marTop w:val="0"/>
      <w:marBottom w:val="0"/>
      <w:divBdr>
        <w:top w:val="none" w:sz="0" w:space="0" w:color="auto"/>
        <w:left w:val="none" w:sz="0" w:space="0" w:color="auto"/>
        <w:bottom w:val="none" w:sz="0" w:space="0" w:color="auto"/>
        <w:right w:val="none" w:sz="0" w:space="0" w:color="auto"/>
      </w:divBdr>
    </w:div>
    <w:div w:id="1142036761">
      <w:bodyDiv w:val="1"/>
      <w:marLeft w:val="0"/>
      <w:marRight w:val="0"/>
      <w:marTop w:val="0"/>
      <w:marBottom w:val="0"/>
      <w:divBdr>
        <w:top w:val="none" w:sz="0" w:space="0" w:color="auto"/>
        <w:left w:val="none" w:sz="0" w:space="0" w:color="auto"/>
        <w:bottom w:val="none" w:sz="0" w:space="0" w:color="auto"/>
        <w:right w:val="none" w:sz="0" w:space="0" w:color="auto"/>
      </w:divBdr>
    </w:div>
    <w:div w:id="1146699800">
      <w:bodyDiv w:val="1"/>
      <w:marLeft w:val="0"/>
      <w:marRight w:val="0"/>
      <w:marTop w:val="0"/>
      <w:marBottom w:val="0"/>
      <w:divBdr>
        <w:top w:val="none" w:sz="0" w:space="0" w:color="auto"/>
        <w:left w:val="none" w:sz="0" w:space="0" w:color="auto"/>
        <w:bottom w:val="none" w:sz="0" w:space="0" w:color="auto"/>
        <w:right w:val="none" w:sz="0" w:space="0" w:color="auto"/>
      </w:divBdr>
    </w:div>
    <w:div w:id="1166626697">
      <w:bodyDiv w:val="1"/>
      <w:marLeft w:val="0"/>
      <w:marRight w:val="0"/>
      <w:marTop w:val="0"/>
      <w:marBottom w:val="0"/>
      <w:divBdr>
        <w:top w:val="none" w:sz="0" w:space="0" w:color="auto"/>
        <w:left w:val="none" w:sz="0" w:space="0" w:color="auto"/>
        <w:bottom w:val="none" w:sz="0" w:space="0" w:color="auto"/>
        <w:right w:val="none" w:sz="0" w:space="0" w:color="auto"/>
      </w:divBdr>
    </w:div>
    <w:div w:id="1184392904">
      <w:bodyDiv w:val="1"/>
      <w:marLeft w:val="0"/>
      <w:marRight w:val="0"/>
      <w:marTop w:val="0"/>
      <w:marBottom w:val="0"/>
      <w:divBdr>
        <w:top w:val="none" w:sz="0" w:space="0" w:color="auto"/>
        <w:left w:val="none" w:sz="0" w:space="0" w:color="auto"/>
        <w:bottom w:val="none" w:sz="0" w:space="0" w:color="auto"/>
        <w:right w:val="none" w:sz="0" w:space="0" w:color="auto"/>
      </w:divBdr>
    </w:div>
    <w:div w:id="1198159618">
      <w:bodyDiv w:val="1"/>
      <w:marLeft w:val="0"/>
      <w:marRight w:val="0"/>
      <w:marTop w:val="0"/>
      <w:marBottom w:val="0"/>
      <w:divBdr>
        <w:top w:val="none" w:sz="0" w:space="0" w:color="auto"/>
        <w:left w:val="none" w:sz="0" w:space="0" w:color="auto"/>
        <w:bottom w:val="none" w:sz="0" w:space="0" w:color="auto"/>
        <w:right w:val="none" w:sz="0" w:space="0" w:color="auto"/>
      </w:divBdr>
    </w:div>
    <w:div w:id="1201019198">
      <w:bodyDiv w:val="1"/>
      <w:marLeft w:val="0"/>
      <w:marRight w:val="0"/>
      <w:marTop w:val="0"/>
      <w:marBottom w:val="0"/>
      <w:divBdr>
        <w:top w:val="none" w:sz="0" w:space="0" w:color="auto"/>
        <w:left w:val="none" w:sz="0" w:space="0" w:color="auto"/>
        <w:bottom w:val="none" w:sz="0" w:space="0" w:color="auto"/>
        <w:right w:val="none" w:sz="0" w:space="0" w:color="auto"/>
      </w:divBdr>
    </w:div>
    <w:div w:id="1201673266">
      <w:bodyDiv w:val="1"/>
      <w:marLeft w:val="0"/>
      <w:marRight w:val="0"/>
      <w:marTop w:val="0"/>
      <w:marBottom w:val="0"/>
      <w:divBdr>
        <w:top w:val="none" w:sz="0" w:space="0" w:color="auto"/>
        <w:left w:val="none" w:sz="0" w:space="0" w:color="auto"/>
        <w:bottom w:val="none" w:sz="0" w:space="0" w:color="auto"/>
        <w:right w:val="none" w:sz="0" w:space="0" w:color="auto"/>
      </w:divBdr>
    </w:div>
    <w:div w:id="1203664223">
      <w:bodyDiv w:val="1"/>
      <w:marLeft w:val="0"/>
      <w:marRight w:val="0"/>
      <w:marTop w:val="0"/>
      <w:marBottom w:val="0"/>
      <w:divBdr>
        <w:top w:val="none" w:sz="0" w:space="0" w:color="auto"/>
        <w:left w:val="none" w:sz="0" w:space="0" w:color="auto"/>
        <w:bottom w:val="none" w:sz="0" w:space="0" w:color="auto"/>
        <w:right w:val="none" w:sz="0" w:space="0" w:color="auto"/>
      </w:divBdr>
    </w:div>
    <w:div w:id="1230533496">
      <w:bodyDiv w:val="1"/>
      <w:marLeft w:val="0"/>
      <w:marRight w:val="0"/>
      <w:marTop w:val="0"/>
      <w:marBottom w:val="0"/>
      <w:divBdr>
        <w:top w:val="none" w:sz="0" w:space="0" w:color="auto"/>
        <w:left w:val="none" w:sz="0" w:space="0" w:color="auto"/>
        <w:bottom w:val="none" w:sz="0" w:space="0" w:color="auto"/>
        <w:right w:val="none" w:sz="0" w:space="0" w:color="auto"/>
      </w:divBdr>
    </w:div>
    <w:div w:id="1244221001">
      <w:bodyDiv w:val="1"/>
      <w:marLeft w:val="0"/>
      <w:marRight w:val="0"/>
      <w:marTop w:val="0"/>
      <w:marBottom w:val="0"/>
      <w:divBdr>
        <w:top w:val="none" w:sz="0" w:space="0" w:color="auto"/>
        <w:left w:val="none" w:sz="0" w:space="0" w:color="auto"/>
        <w:bottom w:val="none" w:sz="0" w:space="0" w:color="auto"/>
        <w:right w:val="none" w:sz="0" w:space="0" w:color="auto"/>
      </w:divBdr>
    </w:div>
    <w:div w:id="1246959171">
      <w:bodyDiv w:val="1"/>
      <w:marLeft w:val="0"/>
      <w:marRight w:val="0"/>
      <w:marTop w:val="0"/>
      <w:marBottom w:val="0"/>
      <w:divBdr>
        <w:top w:val="none" w:sz="0" w:space="0" w:color="auto"/>
        <w:left w:val="none" w:sz="0" w:space="0" w:color="auto"/>
        <w:bottom w:val="none" w:sz="0" w:space="0" w:color="auto"/>
        <w:right w:val="none" w:sz="0" w:space="0" w:color="auto"/>
      </w:divBdr>
    </w:div>
    <w:div w:id="1251155074">
      <w:bodyDiv w:val="1"/>
      <w:marLeft w:val="0"/>
      <w:marRight w:val="0"/>
      <w:marTop w:val="0"/>
      <w:marBottom w:val="0"/>
      <w:divBdr>
        <w:top w:val="none" w:sz="0" w:space="0" w:color="auto"/>
        <w:left w:val="none" w:sz="0" w:space="0" w:color="auto"/>
        <w:bottom w:val="none" w:sz="0" w:space="0" w:color="auto"/>
        <w:right w:val="none" w:sz="0" w:space="0" w:color="auto"/>
      </w:divBdr>
    </w:div>
    <w:div w:id="1253077857">
      <w:bodyDiv w:val="1"/>
      <w:marLeft w:val="0"/>
      <w:marRight w:val="0"/>
      <w:marTop w:val="0"/>
      <w:marBottom w:val="0"/>
      <w:divBdr>
        <w:top w:val="none" w:sz="0" w:space="0" w:color="auto"/>
        <w:left w:val="none" w:sz="0" w:space="0" w:color="auto"/>
        <w:bottom w:val="none" w:sz="0" w:space="0" w:color="auto"/>
        <w:right w:val="none" w:sz="0" w:space="0" w:color="auto"/>
      </w:divBdr>
    </w:div>
    <w:div w:id="1256862469">
      <w:bodyDiv w:val="1"/>
      <w:marLeft w:val="0"/>
      <w:marRight w:val="0"/>
      <w:marTop w:val="0"/>
      <w:marBottom w:val="0"/>
      <w:divBdr>
        <w:top w:val="none" w:sz="0" w:space="0" w:color="auto"/>
        <w:left w:val="none" w:sz="0" w:space="0" w:color="auto"/>
        <w:bottom w:val="none" w:sz="0" w:space="0" w:color="auto"/>
        <w:right w:val="none" w:sz="0" w:space="0" w:color="auto"/>
      </w:divBdr>
    </w:div>
    <w:div w:id="1257908646">
      <w:bodyDiv w:val="1"/>
      <w:marLeft w:val="0"/>
      <w:marRight w:val="0"/>
      <w:marTop w:val="0"/>
      <w:marBottom w:val="0"/>
      <w:divBdr>
        <w:top w:val="none" w:sz="0" w:space="0" w:color="auto"/>
        <w:left w:val="none" w:sz="0" w:space="0" w:color="auto"/>
        <w:bottom w:val="none" w:sz="0" w:space="0" w:color="auto"/>
        <w:right w:val="none" w:sz="0" w:space="0" w:color="auto"/>
      </w:divBdr>
    </w:div>
    <w:div w:id="1268194463">
      <w:bodyDiv w:val="1"/>
      <w:marLeft w:val="0"/>
      <w:marRight w:val="0"/>
      <w:marTop w:val="0"/>
      <w:marBottom w:val="0"/>
      <w:divBdr>
        <w:top w:val="none" w:sz="0" w:space="0" w:color="auto"/>
        <w:left w:val="none" w:sz="0" w:space="0" w:color="auto"/>
        <w:bottom w:val="none" w:sz="0" w:space="0" w:color="auto"/>
        <w:right w:val="none" w:sz="0" w:space="0" w:color="auto"/>
      </w:divBdr>
    </w:div>
    <w:div w:id="1296065392">
      <w:bodyDiv w:val="1"/>
      <w:marLeft w:val="0"/>
      <w:marRight w:val="0"/>
      <w:marTop w:val="0"/>
      <w:marBottom w:val="0"/>
      <w:divBdr>
        <w:top w:val="none" w:sz="0" w:space="0" w:color="auto"/>
        <w:left w:val="none" w:sz="0" w:space="0" w:color="auto"/>
        <w:bottom w:val="none" w:sz="0" w:space="0" w:color="auto"/>
        <w:right w:val="none" w:sz="0" w:space="0" w:color="auto"/>
      </w:divBdr>
    </w:div>
    <w:div w:id="1311326030">
      <w:bodyDiv w:val="1"/>
      <w:marLeft w:val="0"/>
      <w:marRight w:val="0"/>
      <w:marTop w:val="0"/>
      <w:marBottom w:val="0"/>
      <w:divBdr>
        <w:top w:val="none" w:sz="0" w:space="0" w:color="auto"/>
        <w:left w:val="none" w:sz="0" w:space="0" w:color="auto"/>
        <w:bottom w:val="none" w:sz="0" w:space="0" w:color="auto"/>
        <w:right w:val="none" w:sz="0" w:space="0" w:color="auto"/>
      </w:divBdr>
    </w:div>
    <w:div w:id="1312639555">
      <w:bodyDiv w:val="1"/>
      <w:marLeft w:val="0"/>
      <w:marRight w:val="0"/>
      <w:marTop w:val="0"/>
      <w:marBottom w:val="0"/>
      <w:divBdr>
        <w:top w:val="none" w:sz="0" w:space="0" w:color="auto"/>
        <w:left w:val="none" w:sz="0" w:space="0" w:color="auto"/>
        <w:bottom w:val="none" w:sz="0" w:space="0" w:color="auto"/>
        <w:right w:val="none" w:sz="0" w:space="0" w:color="auto"/>
      </w:divBdr>
    </w:div>
    <w:div w:id="1350597137">
      <w:bodyDiv w:val="1"/>
      <w:marLeft w:val="0"/>
      <w:marRight w:val="0"/>
      <w:marTop w:val="0"/>
      <w:marBottom w:val="0"/>
      <w:divBdr>
        <w:top w:val="none" w:sz="0" w:space="0" w:color="auto"/>
        <w:left w:val="none" w:sz="0" w:space="0" w:color="auto"/>
        <w:bottom w:val="none" w:sz="0" w:space="0" w:color="auto"/>
        <w:right w:val="none" w:sz="0" w:space="0" w:color="auto"/>
      </w:divBdr>
    </w:div>
    <w:div w:id="1351109195">
      <w:bodyDiv w:val="1"/>
      <w:marLeft w:val="0"/>
      <w:marRight w:val="0"/>
      <w:marTop w:val="0"/>
      <w:marBottom w:val="0"/>
      <w:divBdr>
        <w:top w:val="none" w:sz="0" w:space="0" w:color="auto"/>
        <w:left w:val="none" w:sz="0" w:space="0" w:color="auto"/>
        <w:bottom w:val="none" w:sz="0" w:space="0" w:color="auto"/>
        <w:right w:val="none" w:sz="0" w:space="0" w:color="auto"/>
      </w:divBdr>
    </w:div>
    <w:div w:id="1351957833">
      <w:bodyDiv w:val="1"/>
      <w:marLeft w:val="0"/>
      <w:marRight w:val="0"/>
      <w:marTop w:val="0"/>
      <w:marBottom w:val="0"/>
      <w:divBdr>
        <w:top w:val="none" w:sz="0" w:space="0" w:color="auto"/>
        <w:left w:val="none" w:sz="0" w:space="0" w:color="auto"/>
        <w:bottom w:val="none" w:sz="0" w:space="0" w:color="auto"/>
        <w:right w:val="none" w:sz="0" w:space="0" w:color="auto"/>
      </w:divBdr>
    </w:div>
    <w:div w:id="1365669839">
      <w:bodyDiv w:val="1"/>
      <w:marLeft w:val="0"/>
      <w:marRight w:val="0"/>
      <w:marTop w:val="0"/>
      <w:marBottom w:val="0"/>
      <w:divBdr>
        <w:top w:val="none" w:sz="0" w:space="0" w:color="auto"/>
        <w:left w:val="none" w:sz="0" w:space="0" w:color="auto"/>
        <w:bottom w:val="none" w:sz="0" w:space="0" w:color="auto"/>
        <w:right w:val="none" w:sz="0" w:space="0" w:color="auto"/>
      </w:divBdr>
    </w:div>
    <w:div w:id="1366368205">
      <w:bodyDiv w:val="1"/>
      <w:marLeft w:val="0"/>
      <w:marRight w:val="0"/>
      <w:marTop w:val="0"/>
      <w:marBottom w:val="0"/>
      <w:divBdr>
        <w:top w:val="none" w:sz="0" w:space="0" w:color="auto"/>
        <w:left w:val="none" w:sz="0" w:space="0" w:color="auto"/>
        <w:bottom w:val="none" w:sz="0" w:space="0" w:color="auto"/>
        <w:right w:val="none" w:sz="0" w:space="0" w:color="auto"/>
      </w:divBdr>
    </w:div>
    <w:div w:id="1369834135">
      <w:bodyDiv w:val="1"/>
      <w:marLeft w:val="0"/>
      <w:marRight w:val="0"/>
      <w:marTop w:val="0"/>
      <w:marBottom w:val="0"/>
      <w:divBdr>
        <w:top w:val="none" w:sz="0" w:space="0" w:color="auto"/>
        <w:left w:val="none" w:sz="0" w:space="0" w:color="auto"/>
        <w:bottom w:val="none" w:sz="0" w:space="0" w:color="auto"/>
        <w:right w:val="none" w:sz="0" w:space="0" w:color="auto"/>
      </w:divBdr>
    </w:div>
    <w:div w:id="1369837781">
      <w:bodyDiv w:val="1"/>
      <w:marLeft w:val="0"/>
      <w:marRight w:val="0"/>
      <w:marTop w:val="0"/>
      <w:marBottom w:val="0"/>
      <w:divBdr>
        <w:top w:val="none" w:sz="0" w:space="0" w:color="auto"/>
        <w:left w:val="none" w:sz="0" w:space="0" w:color="auto"/>
        <w:bottom w:val="none" w:sz="0" w:space="0" w:color="auto"/>
        <w:right w:val="none" w:sz="0" w:space="0" w:color="auto"/>
      </w:divBdr>
    </w:div>
    <w:div w:id="1385594246">
      <w:bodyDiv w:val="1"/>
      <w:marLeft w:val="0"/>
      <w:marRight w:val="0"/>
      <w:marTop w:val="0"/>
      <w:marBottom w:val="0"/>
      <w:divBdr>
        <w:top w:val="none" w:sz="0" w:space="0" w:color="auto"/>
        <w:left w:val="none" w:sz="0" w:space="0" w:color="auto"/>
        <w:bottom w:val="none" w:sz="0" w:space="0" w:color="auto"/>
        <w:right w:val="none" w:sz="0" w:space="0" w:color="auto"/>
      </w:divBdr>
    </w:div>
    <w:div w:id="1396850898">
      <w:bodyDiv w:val="1"/>
      <w:marLeft w:val="0"/>
      <w:marRight w:val="0"/>
      <w:marTop w:val="0"/>
      <w:marBottom w:val="0"/>
      <w:divBdr>
        <w:top w:val="none" w:sz="0" w:space="0" w:color="auto"/>
        <w:left w:val="none" w:sz="0" w:space="0" w:color="auto"/>
        <w:bottom w:val="none" w:sz="0" w:space="0" w:color="auto"/>
        <w:right w:val="none" w:sz="0" w:space="0" w:color="auto"/>
      </w:divBdr>
    </w:div>
    <w:div w:id="1405957421">
      <w:bodyDiv w:val="1"/>
      <w:marLeft w:val="0"/>
      <w:marRight w:val="0"/>
      <w:marTop w:val="0"/>
      <w:marBottom w:val="0"/>
      <w:divBdr>
        <w:top w:val="none" w:sz="0" w:space="0" w:color="auto"/>
        <w:left w:val="none" w:sz="0" w:space="0" w:color="auto"/>
        <w:bottom w:val="none" w:sz="0" w:space="0" w:color="auto"/>
        <w:right w:val="none" w:sz="0" w:space="0" w:color="auto"/>
      </w:divBdr>
    </w:div>
    <w:div w:id="1416974487">
      <w:bodyDiv w:val="1"/>
      <w:marLeft w:val="0"/>
      <w:marRight w:val="0"/>
      <w:marTop w:val="0"/>
      <w:marBottom w:val="0"/>
      <w:divBdr>
        <w:top w:val="none" w:sz="0" w:space="0" w:color="auto"/>
        <w:left w:val="none" w:sz="0" w:space="0" w:color="auto"/>
        <w:bottom w:val="none" w:sz="0" w:space="0" w:color="auto"/>
        <w:right w:val="none" w:sz="0" w:space="0" w:color="auto"/>
      </w:divBdr>
    </w:div>
    <w:div w:id="1430812002">
      <w:bodyDiv w:val="1"/>
      <w:marLeft w:val="0"/>
      <w:marRight w:val="0"/>
      <w:marTop w:val="0"/>
      <w:marBottom w:val="0"/>
      <w:divBdr>
        <w:top w:val="none" w:sz="0" w:space="0" w:color="auto"/>
        <w:left w:val="none" w:sz="0" w:space="0" w:color="auto"/>
        <w:bottom w:val="none" w:sz="0" w:space="0" w:color="auto"/>
        <w:right w:val="none" w:sz="0" w:space="0" w:color="auto"/>
      </w:divBdr>
    </w:div>
    <w:div w:id="1432386429">
      <w:bodyDiv w:val="1"/>
      <w:marLeft w:val="0"/>
      <w:marRight w:val="0"/>
      <w:marTop w:val="0"/>
      <w:marBottom w:val="0"/>
      <w:divBdr>
        <w:top w:val="none" w:sz="0" w:space="0" w:color="auto"/>
        <w:left w:val="none" w:sz="0" w:space="0" w:color="auto"/>
        <w:bottom w:val="none" w:sz="0" w:space="0" w:color="auto"/>
        <w:right w:val="none" w:sz="0" w:space="0" w:color="auto"/>
      </w:divBdr>
    </w:div>
    <w:div w:id="1435395548">
      <w:bodyDiv w:val="1"/>
      <w:marLeft w:val="0"/>
      <w:marRight w:val="0"/>
      <w:marTop w:val="0"/>
      <w:marBottom w:val="0"/>
      <w:divBdr>
        <w:top w:val="none" w:sz="0" w:space="0" w:color="auto"/>
        <w:left w:val="none" w:sz="0" w:space="0" w:color="auto"/>
        <w:bottom w:val="none" w:sz="0" w:space="0" w:color="auto"/>
        <w:right w:val="none" w:sz="0" w:space="0" w:color="auto"/>
      </w:divBdr>
    </w:div>
    <w:div w:id="1449396813">
      <w:bodyDiv w:val="1"/>
      <w:marLeft w:val="0"/>
      <w:marRight w:val="0"/>
      <w:marTop w:val="0"/>
      <w:marBottom w:val="0"/>
      <w:divBdr>
        <w:top w:val="none" w:sz="0" w:space="0" w:color="auto"/>
        <w:left w:val="none" w:sz="0" w:space="0" w:color="auto"/>
        <w:bottom w:val="none" w:sz="0" w:space="0" w:color="auto"/>
        <w:right w:val="none" w:sz="0" w:space="0" w:color="auto"/>
      </w:divBdr>
    </w:div>
    <w:div w:id="1452018098">
      <w:bodyDiv w:val="1"/>
      <w:marLeft w:val="0"/>
      <w:marRight w:val="0"/>
      <w:marTop w:val="0"/>
      <w:marBottom w:val="0"/>
      <w:divBdr>
        <w:top w:val="none" w:sz="0" w:space="0" w:color="auto"/>
        <w:left w:val="none" w:sz="0" w:space="0" w:color="auto"/>
        <w:bottom w:val="none" w:sz="0" w:space="0" w:color="auto"/>
        <w:right w:val="none" w:sz="0" w:space="0" w:color="auto"/>
      </w:divBdr>
    </w:div>
    <w:div w:id="1468355413">
      <w:bodyDiv w:val="1"/>
      <w:marLeft w:val="0"/>
      <w:marRight w:val="0"/>
      <w:marTop w:val="0"/>
      <w:marBottom w:val="0"/>
      <w:divBdr>
        <w:top w:val="none" w:sz="0" w:space="0" w:color="auto"/>
        <w:left w:val="none" w:sz="0" w:space="0" w:color="auto"/>
        <w:bottom w:val="none" w:sz="0" w:space="0" w:color="auto"/>
        <w:right w:val="none" w:sz="0" w:space="0" w:color="auto"/>
      </w:divBdr>
    </w:div>
    <w:div w:id="1471746921">
      <w:bodyDiv w:val="1"/>
      <w:marLeft w:val="0"/>
      <w:marRight w:val="0"/>
      <w:marTop w:val="0"/>
      <w:marBottom w:val="0"/>
      <w:divBdr>
        <w:top w:val="none" w:sz="0" w:space="0" w:color="auto"/>
        <w:left w:val="none" w:sz="0" w:space="0" w:color="auto"/>
        <w:bottom w:val="none" w:sz="0" w:space="0" w:color="auto"/>
        <w:right w:val="none" w:sz="0" w:space="0" w:color="auto"/>
      </w:divBdr>
    </w:div>
    <w:div w:id="1478064108">
      <w:bodyDiv w:val="1"/>
      <w:marLeft w:val="0"/>
      <w:marRight w:val="0"/>
      <w:marTop w:val="0"/>
      <w:marBottom w:val="0"/>
      <w:divBdr>
        <w:top w:val="none" w:sz="0" w:space="0" w:color="auto"/>
        <w:left w:val="none" w:sz="0" w:space="0" w:color="auto"/>
        <w:bottom w:val="none" w:sz="0" w:space="0" w:color="auto"/>
        <w:right w:val="none" w:sz="0" w:space="0" w:color="auto"/>
      </w:divBdr>
    </w:div>
    <w:div w:id="1485391626">
      <w:bodyDiv w:val="1"/>
      <w:marLeft w:val="0"/>
      <w:marRight w:val="0"/>
      <w:marTop w:val="0"/>
      <w:marBottom w:val="0"/>
      <w:divBdr>
        <w:top w:val="none" w:sz="0" w:space="0" w:color="auto"/>
        <w:left w:val="none" w:sz="0" w:space="0" w:color="auto"/>
        <w:bottom w:val="none" w:sz="0" w:space="0" w:color="auto"/>
        <w:right w:val="none" w:sz="0" w:space="0" w:color="auto"/>
      </w:divBdr>
    </w:div>
    <w:div w:id="1492210986">
      <w:bodyDiv w:val="1"/>
      <w:marLeft w:val="0"/>
      <w:marRight w:val="0"/>
      <w:marTop w:val="0"/>
      <w:marBottom w:val="0"/>
      <w:divBdr>
        <w:top w:val="none" w:sz="0" w:space="0" w:color="auto"/>
        <w:left w:val="none" w:sz="0" w:space="0" w:color="auto"/>
        <w:bottom w:val="none" w:sz="0" w:space="0" w:color="auto"/>
        <w:right w:val="none" w:sz="0" w:space="0" w:color="auto"/>
      </w:divBdr>
    </w:div>
    <w:div w:id="1493252116">
      <w:bodyDiv w:val="1"/>
      <w:marLeft w:val="0"/>
      <w:marRight w:val="0"/>
      <w:marTop w:val="0"/>
      <w:marBottom w:val="0"/>
      <w:divBdr>
        <w:top w:val="none" w:sz="0" w:space="0" w:color="auto"/>
        <w:left w:val="none" w:sz="0" w:space="0" w:color="auto"/>
        <w:bottom w:val="none" w:sz="0" w:space="0" w:color="auto"/>
        <w:right w:val="none" w:sz="0" w:space="0" w:color="auto"/>
      </w:divBdr>
    </w:div>
    <w:div w:id="1496415605">
      <w:bodyDiv w:val="1"/>
      <w:marLeft w:val="0"/>
      <w:marRight w:val="0"/>
      <w:marTop w:val="0"/>
      <w:marBottom w:val="0"/>
      <w:divBdr>
        <w:top w:val="none" w:sz="0" w:space="0" w:color="auto"/>
        <w:left w:val="none" w:sz="0" w:space="0" w:color="auto"/>
        <w:bottom w:val="none" w:sz="0" w:space="0" w:color="auto"/>
        <w:right w:val="none" w:sz="0" w:space="0" w:color="auto"/>
      </w:divBdr>
    </w:div>
    <w:div w:id="1508011338">
      <w:bodyDiv w:val="1"/>
      <w:marLeft w:val="0"/>
      <w:marRight w:val="0"/>
      <w:marTop w:val="0"/>
      <w:marBottom w:val="0"/>
      <w:divBdr>
        <w:top w:val="none" w:sz="0" w:space="0" w:color="auto"/>
        <w:left w:val="none" w:sz="0" w:space="0" w:color="auto"/>
        <w:bottom w:val="none" w:sz="0" w:space="0" w:color="auto"/>
        <w:right w:val="none" w:sz="0" w:space="0" w:color="auto"/>
      </w:divBdr>
    </w:div>
    <w:div w:id="1508590814">
      <w:bodyDiv w:val="1"/>
      <w:marLeft w:val="0"/>
      <w:marRight w:val="0"/>
      <w:marTop w:val="0"/>
      <w:marBottom w:val="0"/>
      <w:divBdr>
        <w:top w:val="none" w:sz="0" w:space="0" w:color="auto"/>
        <w:left w:val="none" w:sz="0" w:space="0" w:color="auto"/>
        <w:bottom w:val="none" w:sz="0" w:space="0" w:color="auto"/>
        <w:right w:val="none" w:sz="0" w:space="0" w:color="auto"/>
      </w:divBdr>
    </w:div>
    <w:div w:id="1509103577">
      <w:bodyDiv w:val="1"/>
      <w:marLeft w:val="0"/>
      <w:marRight w:val="0"/>
      <w:marTop w:val="0"/>
      <w:marBottom w:val="0"/>
      <w:divBdr>
        <w:top w:val="none" w:sz="0" w:space="0" w:color="auto"/>
        <w:left w:val="none" w:sz="0" w:space="0" w:color="auto"/>
        <w:bottom w:val="none" w:sz="0" w:space="0" w:color="auto"/>
        <w:right w:val="none" w:sz="0" w:space="0" w:color="auto"/>
      </w:divBdr>
    </w:div>
    <w:div w:id="1511289589">
      <w:bodyDiv w:val="1"/>
      <w:marLeft w:val="0"/>
      <w:marRight w:val="0"/>
      <w:marTop w:val="0"/>
      <w:marBottom w:val="0"/>
      <w:divBdr>
        <w:top w:val="none" w:sz="0" w:space="0" w:color="auto"/>
        <w:left w:val="none" w:sz="0" w:space="0" w:color="auto"/>
        <w:bottom w:val="none" w:sz="0" w:space="0" w:color="auto"/>
        <w:right w:val="none" w:sz="0" w:space="0" w:color="auto"/>
      </w:divBdr>
    </w:div>
    <w:div w:id="1526478668">
      <w:bodyDiv w:val="1"/>
      <w:marLeft w:val="0"/>
      <w:marRight w:val="0"/>
      <w:marTop w:val="0"/>
      <w:marBottom w:val="0"/>
      <w:divBdr>
        <w:top w:val="none" w:sz="0" w:space="0" w:color="auto"/>
        <w:left w:val="none" w:sz="0" w:space="0" w:color="auto"/>
        <w:bottom w:val="none" w:sz="0" w:space="0" w:color="auto"/>
        <w:right w:val="none" w:sz="0" w:space="0" w:color="auto"/>
      </w:divBdr>
      <w:divsChild>
        <w:div w:id="1710955444">
          <w:marLeft w:val="720"/>
          <w:marRight w:val="720"/>
          <w:marTop w:val="0"/>
          <w:marBottom w:val="0"/>
          <w:divBdr>
            <w:top w:val="none" w:sz="0" w:space="0" w:color="auto"/>
            <w:left w:val="none" w:sz="0" w:space="0" w:color="auto"/>
            <w:bottom w:val="none" w:sz="0" w:space="0" w:color="auto"/>
            <w:right w:val="none" w:sz="0" w:space="0" w:color="auto"/>
          </w:divBdr>
        </w:div>
      </w:divsChild>
    </w:div>
    <w:div w:id="1533691196">
      <w:bodyDiv w:val="1"/>
      <w:marLeft w:val="0"/>
      <w:marRight w:val="0"/>
      <w:marTop w:val="0"/>
      <w:marBottom w:val="0"/>
      <w:divBdr>
        <w:top w:val="none" w:sz="0" w:space="0" w:color="auto"/>
        <w:left w:val="none" w:sz="0" w:space="0" w:color="auto"/>
        <w:bottom w:val="none" w:sz="0" w:space="0" w:color="auto"/>
        <w:right w:val="none" w:sz="0" w:space="0" w:color="auto"/>
      </w:divBdr>
    </w:div>
    <w:div w:id="1534148033">
      <w:bodyDiv w:val="1"/>
      <w:marLeft w:val="0"/>
      <w:marRight w:val="0"/>
      <w:marTop w:val="0"/>
      <w:marBottom w:val="0"/>
      <w:divBdr>
        <w:top w:val="none" w:sz="0" w:space="0" w:color="auto"/>
        <w:left w:val="none" w:sz="0" w:space="0" w:color="auto"/>
        <w:bottom w:val="none" w:sz="0" w:space="0" w:color="auto"/>
        <w:right w:val="none" w:sz="0" w:space="0" w:color="auto"/>
      </w:divBdr>
    </w:div>
    <w:div w:id="1545556015">
      <w:bodyDiv w:val="1"/>
      <w:marLeft w:val="0"/>
      <w:marRight w:val="0"/>
      <w:marTop w:val="0"/>
      <w:marBottom w:val="0"/>
      <w:divBdr>
        <w:top w:val="none" w:sz="0" w:space="0" w:color="auto"/>
        <w:left w:val="none" w:sz="0" w:space="0" w:color="auto"/>
        <w:bottom w:val="none" w:sz="0" w:space="0" w:color="auto"/>
        <w:right w:val="none" w:sz="0" w:space="0" w:color="auto"/>
      </w:divBdr>
    </w:div>
    <w:div w:id="1545940692">
      <w:bodyDiv w:val="1"/>
      <w:marLeft w:val="0"/>
      <w:marRight w:val="0"/>
      <w:marTop w:val="0"/>
      <w:marBottom w:val="0"/>
      <w:divBdr>
        <w:top w:val="none" w:sz="0" w:space="0" w:color="auto"/>
        <w:left w:val="none" w:sz="0" w:space="0" w:color="auto"/>
        <w:bottom w:val="none" w:sz="0" w:space="0" w:color="auto"/>
        <w:right w:val="none" w:sz="0" w:space="0" w:color="auto"/>
      </w:divBdr>
    </w:div>
    <w:div w:id="1551921127">
      <w:bodyDiv w:val="1"/>
      <w:marLeft w:val="0"/>
      <w:marRight w:val="0"/>
      <w:marTop w:val="0"/>
      <w:marBottom w:val="0"/>
      <w:divBdr>
        <w:top w:val="none" w:sz="0" w:space="0" w:color="auto"/>
        <w:left w:val="none" w:sz="0" w:space="0" w:color="auto"/>
        <w:bottom w:val="none" w:sz="0" w:space="0" w:color="auto"/>
        <w:right w:val="none" w:sz="0" w:space="0" w:color="auto"/>
      </w:divBdr>
    </w:div>
    <w:div w:id="1557424796">
      <w:bodyDiv w:val="1"/>
      <w:marLeft w:val="0"/>
      <w:marRight w:val="0"/>
      <w:marTop w:val="0"/>
      <w:marBottom w:val="0"/>
      <w:divBdr>
        <w:top w:val="none" w:sz="0" w:space="0" w:color="auto"/>
        <w:left w:val="none" w:sz="0" w:space="0" w:color="auto"/>
        <w:bottom w:val="none" w:sz="0" w:space="0" w:color="auto"/>
        <w:right w:val="none" w:sz="0" w:space="0" w:color="auto"/>
      </w:divBdr>
    </w:div>
    <w:div w:id="1577015192">
      <w:bodyDiv w:val="1"/>
      <w:marLeft w:val="0"/>
      <w:marRight w:val="0"/>
      <w:marTop w:val="0"/>
      <w:marBottom w:val="0"/>
      <w:divBdr>
        <w:top w:val="none" w:sz="0" w:space="0" w:color="auto"/>
        <w:left w:val="none" w:sz="0" w:space="0" w:color="auto"/>
        <w:bottom w:val="none" w:sz="0" w:space="0" w:color="auto"/>
        <w:right w:val="none" w:sz="0" w:space="0" w:color="auto"/>
      </w:divBdr>
    </w:div>
    <w:div w:id="1583249107">
      <w:bodyDiv w:val="1"/>
      <w:marLeft w:val="0"/>
      <w:marRight w:val="0"/>
      <w:marTop w:val="0"/>
      <w:marBottom w:val="0"/>
      <w:divBdr>
        <w:top w:val="none" w:sz="0" w:space="0" w:color="auto"/>
        <w:left w:val="none" w:sz="0" w:space="0" w:color="auto"/>
        <w:bottom w:val="none" w:sz="0" w:space="0" w:color="auto"/>
        <w:right w:val="none" w:sz="0" w:space="0" w:color="auto"/>
      </w:divBdr>
    </w:div>
    <w:div w:id="1584290573">
      <w:bodyDiv w:val="1"/>
      <w:marLeft w:val="0"/>
      <w:marRight w:val="0"/>
      <w:marTop w:val="0"/>
      <w:marBottom w:val="0"/>
      <w:divBdr>
        <w:top w:val="none" w:sz="0" w:space="0" w:color="auto"/>
        <w:left w:val="none" w:sz="0" w:space="0" w:color="auto"/>
        <w:bottom w:val="none" w:sz="0" w:space="0" w:color="auto"/>
        <w:right w:val="none" w:sz="0" w:space="0" w:color="auto"/>
      </w:divBdr>
    </w:div>
    <w:div w:id="1594238714">
      <w:bodyDiv w:val="1"/>
      <w:marLeft w:val="0"/>
      <w:marRight w:val="0"/>
      <w:marTop w:val="0"/>
      <w:marBottom w:val="0"/>
      <w:divBdr>
        <w:top w:val="none" w:sz="0" w:space="0" w:color="auto"/>
        <w:left w:val="none" w:sz="0" w:space="0" w:color="auto"/>
        <w:bottom w:val="none" w:sz="0" w:space="0" w:color="auto"/>
        <w:right w:val="none" w:sz="0" w:space="0" w:color="auto"/>
      </w:divBdr>
    </w:div>
    <w:div w:id="1603029336">
      <w:bodyDiv w:val="1"/>
      <w:marLeft w:val="0"/>
      <w:marRight w:val="0"/>
      <w:marTop w:val="0"/>
      <w:marBottom w:val="0"/>
      <w:divBdr>
        <w:top w:val="none" w:sz="0" w:space="0" w:color="auto"/>
        <w:left w:val="none" w:sz="0" w:space="0" w:color="auto"/>
        <w:bottom w:val="none" w:sz="0" w:space="0" w:color="auto"/>
        <w:right w:val="none" w:sz="0" w:space="0" w:color="auto"/>
      </w:divBdr>
    </w:div>
    <w:div w:id="1609777579">
      <w:bodyDiv w:val="1"/>
      <w:marLeft w:val="0"/>
      <w:marRight w:val="0"/>
      <w:marTop w:val="0"/>
      <w:marBottom w:val="0"/>
      <w:divBdr>
        <w:top w:val="none" w:sz="0" w:space="0" w:color="auto"/>
        <w:left w:val="none" w:sz="0" w:space="0" w:color="auto"/>
        <w:bottom w:val="none" w:sz="0" w:space="0" w:color="auto"/>
        <w:right w:val="none" w:sz="0" w:space="0" w:color="auto"/>
      </w:divBdr>
    </w:div>
    <w:div w:id="1609847069">
      <w:bodyDiv w:val="1"/>
      <w:marLeft w:val="0"/>
      <w:marRight w:val="0"/>
      <w:marTop w:val="0"/>
      <w:marBottom w:val="0"/>
      <w:divBdr>
        <w:top w:val="none" w:sz="0" w:space="0" w:color="auto"/>
        <w:left w:val="none" w:sz="0" w:space="0" w:color="auto"/>
        <w:bottom w:val="none" w:sz="0" w:space="0" w:color="auto"/>
        <w:right w:val="none" w:sz="0" w:space="0" w:color="auto"/>
      </w:divBdr>
    </w:div>
    <w:div w:id="1620725060">
      <w:bodyDiv w:val="1"/>
      <w:marLeft w:val="0"/>
      <w:marRight w:val="0"/>
      <w:marTop w:val="0"/>
      <w:marBottom w:val="0"/>
      <w:divBdr>
        <w:top w:val="none" w:sz="0" w:space="0" w:color="auto"/>
        <w:left w:val="none" w:sz="0" w:space="0" w:color="auto"/>
        <w:bottom w:val="none" w:sz="0" w:space="0" w:color="auto"/>
        <w:right w:val="none" w:sz="0" w:space="0" w:color="auto"/>
      </w:divBdr>
    </w:div>
    <w:div w:id="1628313545">
      <w:bodyDiv w:val="1"/>
      <w:marLeft w:val="0"/>
      <w:marRight w:val="0"/>
      <w:marTop w:val="0"/>
      <w:marBottom w:val="0"/>
      <w:divBdr>
        <w:top w:val="none" w:sz="0" w:space="0" w:color="auto"/>
        <w:left w:val="none" w:sz="0" w:space="0" w:color="auto"/>
        <w:bottom w:val="none" w:sz="0" w:space="0" w:color="auto"/>
        <w:right w:val="none" w:sz="0" w:space="0" w:color="auto"/>
      </w:divBdr>
    </w:div>
    <w:div w:id="1633099861">
      <w:bodyDiv w:val="1"/>
      <w:marLeft w:val="0"/>
      <w:marRight w:val="0"/>
      <w:marTop w:val="0"/>
      <w:marBottom w:val="0"/>
      <w:divBdr>
        <w:top w:val="none" w:sz="0" w:space="0" w:color="auto"/>
        <w:left w:val="none" w:sz="0" w:space="0" w:color="auto"/>
        <w:bottom w:val="none" w:sz="0" w:space="0" w:color="auto"/>
        <w:right w:val="none" w:sz="0" w:space="0" w:color="auto"/>
      </w:divBdr>
    </w:div>
    <w:div w:id="1633635410">
      <w:bodyDiv w:val="1"/>
      <w:marLeft w:val="0"/>
      <w:marRight w:val="0"/>
      <w:marTop w:val="0"/>
      <w:marBottom w:val="0"/>
      <w:divBdr>
        <w:top w:val="none" w:sz="0" w:space="0" w:color="auto"/>
        <w:left w:val="none" w:sz="0" w:space="0" w:color="auto"/>
        <w:bottom w:val="none" w:sz="0" w:space="0" w:color="auto"/>
        <w:right w:val="none" w:sz="0" w:space="0" w:color="auto"/>
      </w:divBdr>
    </w:div>
    <w:div w:id="1635406342">
      <w:bodyDiv w:val="1"/>
      <w:marLeft w:val="0"/>
      <w:marRight w:val="0"/>
      <w:marTop w:val="0"/>
      <w:marBottom w:val="0"/>
      <w:divBdr>
        <w:top w:val="none" w:sz="0" w:space="0" w:color="auto"/>
        <w:left w:val="none" w:sz="0" w:space="0" w:color="auto"/>
        <w:bottom w:val="none" w:sz="0" w:space="0" w:color="auto"/>
        <w:right w:val="none" w:sz="0" w:space="0" w:color="auto"/>
      </w:divBdr>
    </w:div>
    <w:div w:id="1636568748">
      <w:bodyDiv w:val="1"/>
      <w:marLeft w:val="0"/>
      <w:marRight w:val="0"/>
      <w:marTop w:val="0"/>
      <w:marBottom w:val="0"/>
      <w:divBdr>
        <w:top w:val="none" w:sz="0" w:space="0" w:color="auto"/>
        <w:left w:val="none" w:sz="0" w:space="0" w:color="auto"/>
        <w:bottom w:val="none" w:sz="0" w:space="0" w:color="auto"/>
        <w:right w:val="none" w:sz="0" w:space="0" w:color="auto"/>
      </w:divBdr>
    </w:div>
    <w:div w:id="1671757983">
      <w:bodyDiv w:val="1"/>
      <w:marLeft w:val="0"/>
      <w:marRight w:val="0"/>
      <w:marTop w:val="0"/>
      <w:marBottom w:val="0"/>
      <w:divBdr>
        <w:top w:val="none" w:sz="0" w:space="0" w:color="auto"/>
        <w:left w:val="none" w:sz="0" w:space="0" w:color="auto"/>
        <w:bottom w:val="none" w:sz="0" w:space="0" w:color="auto"/>
        <w:right w:val="none" w:sz="0" w:space="0" w:color="auto"/>
      </w:divBdr>
    </w:div>
    <w:div w:id="1686863355">
      <w:bodyDiv w:val="1"/>
      <w:marLeft w:val="0"/>
      <w:marRight w:val="0"/>
      <w:marTop w:val="0"/>
      <w:marBottom w:val="0"/>
      <w:divBdr>
        <w:top w:val="none" w:sz="0" w:space="0" w:color="auto"/>
        <w:left w:val="none" w:sz="0" w:space="0" w:color="auto"/>
        <w:bottom w:val="none" w:sz="0" w:space="0" w:color="auto"/>
        <w:right w:val="none" w:sz="0" w:space="0" w:color="auto"/>
      </w:divBdr>
    </w:div>
    <w:div w:id="1692486490">
      <w:bodyDiv w:val="1"/>
      <w:marLeft w:val="0"/>
      <w:marRight w:val="0"/>
      <w:marTop w:val="0"/>
      <w:marBottom w:val="0"/>
      <w:divBdr>
        <w:top w:val="none" w:sz="0" w:space="0" w:color="auto"/>
        <w:left w:val="none" w:sz="0" w:space="0" w:color="auto"/>
        <w:bottom w:val="none" w:sz="0" w:space="0" w:color="auto"/>
        <w:right w:val="none" w:sz="0" w:space="0" w:color="auto"/>
      </w:divBdr>
    </w:div>
    <w:div w:id="1719816696">
      <w:bodyDiv w:val="1"/>
      <w:marLeft w:val="0"/>
      <w:marRight w:val="0"/>
      <w:marTop w:val="0"/>
      <w:marBottom w:val="0"/>
      <w:divBdr>
        <w:top w:val="none" w:sz="0" w:space="0" w:color="auto"/>
        <w:left w:val="none" w:sz="0" w:space="0" w:color="auto"/>
        <w:bottom w:val="none" w:sz="0" w:space="0" w:color="auto"/>
        <w:right w:val="none" w:sz="0" w:space="0" w:color="auto"/>
      </w:divBdr>
    </w:div>
    <w:div w:id="1732343242">
      <w:bodyDiv w:val="1"/>
      <w:marLeft w:val="0"/>
      <w:marRight w:val="0"/>
      <w:marTop w:val="0"/>
      <w:marBottom w:val="0"/>
      <w:divBdr>
        <w:top w:val="none" w:sz="0" w:space="0" w:color="auto"/>
        <w:left w:val="none" w:sz="0" w:space="0" w:color="auto"/>
        <w:bottom w:val="none" w:sz="0" w:space="0" w:color="auto"/>
        <w:right w:val="none" w:sz="0" w:space="0" w:color="auto"/>
      </w:divBdr>
    </w:div>
    <w:div w:id="1732654582">
      <w:bodyDiv w:val="1"/>
      <w:marLeft w:val="0"/>
      <w:marRight w:val="0"/>
      <w:marTop w:val="0"/>
      <w:marBottom w:val="0"/>
      <w:divBdr>
        <w:top w:val="none" w:sz="0" w:space="0" w:color="auto"/>
        <w:left w:val="none" w:sz="0" w:space="0" w:color="auto"/>
        <w:bottom w:val="none" w:sz="0" w:space="0" w:color="auto"/>
        <w:right w:val="none" w:sz="0" w:space="0" w:color="auto"/>
      </w:divBdr>
    </w:div>
    <w:div w:id="1733965690">
      <w:bodyDiv w:val="1"/>
      <w:marLeft w:val="0"/>
      <w:marRight w:val="0"/>
      <w:marTop w:val="0"/>
      <w:marBottom w:val="0"/>
      <w:divBdr>
        <w:top w:val="none" w:sz="0" w:space="0" w:color="auto"/>
        <w:left w:val="none" w:sz="0" w:space="0" w:color="auto"/>
        <w:bottom w:val="none" w:sz="0" w:space="0" w:color="auto"/>
        <w:right w:val="none" w:sz="0" w:space="0" w:color="auto"/>
      </w:divBdr>
    </w:div>
    <w:div w:id="1736396464">
      <w:bodyDiv w:val="1"/>
      <w:marLeft w:val="0"/>
      <w:marRight w:val="0"/>
      <w:marTop w:val="0"/>
      <w:marBottom w:val="0"/>
      <w:divBdr>
        <w:top w:val="none" w:sz="0" w:space="0" w:color="auto"/>
        <w:left w:val="none" w:sz="0" w:space="0" w:color="auto"/>
        <w:bottom w:val="none" w:sz="0" w:space="0" w:color="auto"/>
        <w:right w:val="none" w:sz="0" w:space="0" w:color="auto"/>
      </w:divBdr>
    </w:div>
    <w:div w:id="1739355815">
      <w:bodyDiv w:val="1"/>
      <w:marLeft w:val="0"/>
      <w:marRight w:val="0"/>
      <w:marTop w:val="0"/>
      <w:marBottom w:val="0"/>
      <w:divBdr>
        <w:top w:val="none" w:sz="0" w:space="0" w:color="auto"/>
        <w:left w:val="none" w:sz="0" w:space="0" w:color="auto"/>
        <w:bottom w:val="none" w:sz="0" w:space="0" w:color="auto"/>
        <w:right w:val="none" w:sz="0" w:space="0" w:color="auto"/>
      </w:divBdr>
    </w:div>
    <w:div w:id="1748843523">
      <w:bodyDiv w:val="1"/>
      <w:marLeft w:val="0"/>
      <w:marRight w:val="0"/>
      <w:marTop w:val="0"/>
      <w:marBottom w:val="0"/>
      <w:divBdr>
        <w:top w:val="none" w:sz="0" w:space="0" w:color="auto"/>
        <w:left w:val="none" w:sz="0" w:space="0" w:color="auto"/>
        <w:bottom w:val="none" w:sz="0" w:space="0" w:color="auto"/>
        <w:right w:val="none" w:sz="0" w:space="0" w:color="auto"/>
      </w:divBdr>
    </w:div>
    <w:div w:id="1751610414">
      <w:bodyDiv w:val="1"/>
      <w:marLeft w:val="0"/>
      <w:marRight w:val="0"/>
      <w:marTop w:val="0"/>
      <w:marBottom w:val="0"/>
      <w:divBdr>
        <w:top w:val="none" w:sz="0" w:space="0" w:color="auto"/>
        <w:left w:val="none" w:sz="0" w:space="0" w:color="auto"/>
        <w:bottom w:val="none" w:sz="0" w:space="0" w:color="auto"/>
        <w:right w:val="none" w:sz="0" w:space="0" w:color="auto"/>
      </w:divBdr>
    </w:div>
    <w:div w:id="1768428538">
      <w:bodyDiv w:val="1"/>
      <w:marLeft w:val="0"/>
      <w:marRight w:val="0"/>
      <w:marTop w:val="0"/>
      <w:marBottom w:val="0"/>
      <w:divBdr>
        <w:top w:val="none" w:sz="0" w:space="0" w:color="auto"/>
        <w:left w:val="none" w:sz="0" w:space="0" w:color="auto"/>
        <w:bottom w:val="none" w:sz="0" w:space="0" w:color="auto"/>
        <w:right w:val="none" w:sz="0" w:space="0" w:color="auto"/>
      </w:divBdr>
    </w:div>
    <w:div w:id="1783452843">
      <w:bodyDiv w:val="1"/>
      <w:marLeft w:val="0"/>
      <w:marRight w:val="0"/>
      <w:marTop w:val="0"/>
      <w:marBottom w:val="0"/>
      <w:divBdr>
        <w:top w:val="none" w:sz="0" w:space="0" w:color="auto"/>
        <w:left w:val="none" w:sz="0" w:space="0" w:color="auto"/>
        <w:bottom w:val="none" w:sz="0" w:space="0" w:color="auto"/>
        <w:right w:val="none" w:sz="0" w:space="0" w:color="auto"/>
      </w:divBdr>
    </w:div>
    <w:div w:id="1796095408">
      <w:bodyDiv w:val="1"/>
      <w:marLeft w:val="0"/>
      <w:marRight w:val="0"/>
      <w:marTop w:val="0"/>
      <w:marBottom w:val="0"/>
      <w:divBdr>
        <w:top w:val="none" w:sz="0" w:space="0" w:color="auto"/>
        <w:left w:val="none" w:sz="0" w:space="0" w:color="auto"/>
        <w:bottom w:val="none" w:sz="0" w:space="0" w:color="auto"/>
        <w:right w:val="none" w:sz="0" w:space="0" w:color="auto"/>
      </w:divBdr>
    </w:div>
    <w:div w:id="1810246078">
      <w:bodyDiv w:val="1"/>
      <w:marLeft w:val="0"/>
      <w:marRight w:val="0"/>
      <w:marTop w:val="0"/>
      <w:marBottom w:val="0"/>
      <w:divBdr>
        <w:top w:val="none" w:sz="0" w:space="0" w:color="auto"/>
        <w:left w:val="none" w:sz="0" w:space="0" w:color="auto"/>
        <w:bottom w:val="none" w:sz="0" w:space="0" w:color="auto"/>
        <w:right w:val="none" w:sz="0" w:space="0" w:color="auto"/>
      </w:divBdr>
    </w:div>
    <w:div w:id="1813984728">
      <w:bodyDiv w:val="1"/>
      <w:marLeft w:val="0"/>
      <w:marRight w:val="0"/>
      <w:marTop w:val="0"/>
      <w:marBottom w:val="0"/>
      <w:divBdr>
        <w:top w:val="none" w:sz="0" w:space="0" w:color="auto"/>
        <w:left w:val="none" w:sz="0" w:space="0" w:color="auto"/>
        <w:bottom w:val="none" w:sz="0" w:space="0" w:color="auto"/>
        <w:right w:val="none" w:sz="0" w:space="0" w:color="auto"/>
      </w:divBdr>
    </w:div>
    <w:div w:id="1823889405">
      <w:bodyDiv w:val="1"/>
      <w:marLeft w:val="0"/>
      <w:marRight w:val="0"/>
      <w:marTop w:val="0"/>
      <w:marBottom w:val="0"/>
      <w:divBdr>
        <w:top w:val="none" w:sz="0" w:space="0" w:color="auto"/>
        <w:left w:val="none" w:sz="0" w:space="0" w:color="auto"/>
        <w:bottom w:val="none" w:sz="0" w:space="0" w:color="auto"/>
        <w:right w:val="none" w:sz="0" w:space="0" w:color="auto"/>
      </w:divBdr>
    </w:div>
    <w:div w:id="1829712193">
      <w:bodyDiv w:val="1"/>
      <w:marLeft w:val="0"/>
      <w:marRight w:val="0"/>
      <w:marTop w:val="0"/>
      <w:marBottom w:val="0"/>
      <w:divBdr>
        <w:top w:val="none" w:sz="0" w:space="0" w:color="auto"/>
        <w:left w:val="none" w:sz="0" w:space="0" w:color="auto"/>
        <w:bottom w:val="none" w:sz="0" w:space="0" w:color="auto"/>
        <w:right w:val="none" w:sz="0" w:space="0" w:color="auto"/>
      </w:divBdr>
    </w:div>
    <w:div w:id="1838113022">
      <w:bodyDiv w:val="1"/>
      <w:marLeft w:val="0"/>
      <w:marRight w:val="0"/>
      <w:marTop w:val="0"/>
      <w:marBottom w:val="0"/>
      <w:divBdr>
        <w:top w:val="none" w:sz="0" w:space="0" w:color="auto"/>
        <w:left w:val="none" w:sz="0" w:space="0" w:color="auto"/>
        <w:bottom w:val="none" w:sz="0" w:space="0" w:color="auto"/>
        <w:right w:val="none" w:sz="0" w:space="0" w:color="auto"/>
      </w:divBdr>
    </w:div>
    <w:div w:id="1843860670">
      <w:bodyDiv w:val="1"/>
      <w:marLeft w:val="0"/>
      <w:marRight w:val="0"/>
      <w:marTop w:val="0"/>
      <w:marBottom w:val="0"/>
      <w:divBdr>
        <w:top w:val="none" w:sz="0" w:space="0" w:color="auto"/>
        <w:left w:val="none" w:sz="0" w:space="0" w:color="auto"/>
        <w:bottom w:val="none" w:sz="0" w:space="0" w:color="auto"/>
        <w:right w:val="none" w:sz="0" w:space="0" w:color="auto"/>
      </w:divBdr>
    </w:div>
    <w:div w:id="1850751200">
      <w:bodyDiv w:val="1"/>
      <w:marLeft w:val="0"/>
      <w:marRight w:val="0"/>
      <w:marTop w:val="0"/>
      <w:marBottom w:val="0"/>
      <w:divBdr>
        <w:top w:val="none" w:sz="0" w:space="0" w:color="auto"/>
        <w:left w:val="none" w:sz="0" w:space="0" w:color="auto"/>
        <w:bottom w:val="none" w:sz="0" w:space="0" w:color="auto"/>
        <w:right w:val="none" w:sz="0" w:space="0" w:color="auto"/>
      </w:divBdr>
    </w:div>
    <w:div w:id="1853110687">
      <w:bodyDiv w:val="1"/>
      <w:marLeft w:val="0"/>
      <w:marRight w:val="0"/>
      <w:marTop w:val="0"/>
      <w:marBottom w:val="0"/>
      <w:divBdr>
        <w:top w:val="none" w:sz="0" w:space="0" w:color="auto"/>
        <w:left w:val="none" w:sz="0" w:space="0" w:color="auto"/>
        <w:bottom w:val="none" w:sz="0" w:space="0" w:color="auto"/>
        <w:right w:val="none" w:sz="0" w:space="0" w:color="auto"/>
      </w:divBdr>
    </w:div>
    <w:div w:id="1854689823">
      <w:bodyDiv w:val="1"/>
      <w:marLeft w:val="0"/>
      <w:marRight w:val="0"/>
      <w:marTop w:val="0"/>
      <w:marBottom w:val="0"/>
      <w:divBdr>
        <w:top w:val="none" w:sz="0" w:space="0" w:color="auto"/>
        <w:left w:val="none" w:sz="0" w:space="0" w:color="auto"/>
        <w:bottom w:val="none" w:sz="0" w:space="0" w:color="auto"/>
        <w:right w:val="none" w:sz="0" w:space="0" w:color="auto"/>
      </w:divBdr>
    </w:div>
    <w:div w:id="1856724635">
      <w:bodyDiv w:val="1"/>
      <w:marLeft w:val="0"/>
      <w:marRight w:val="0"/>
      <w:marTop w:val="0"/>
      <w:marBottom w:val="0"/>
      <w:divBdr>
        <w:top w:val="none" w:sz="0" w:space="0" w:color="auto"/>
        <w:left w:val="none" w:sz="0" w:space="0" w:color="auto"/>
        <w:bottom w:val="none" w:sz="0" w:space="0" w:color="auto"/>
        <w:right w:val="none" w:sz="0" w:space="0" w:color="auto"/>
      </w:divBdr>
    </w:div>
    <w:div w:id="1859661028">
      <w:bodyDiv w:val="1"/>
      <w:marLeft w:val="0"/>
      <w:marRight w:val="0"/>
      <w:marTop w:val="0"/>
      <w:marBottom w:val="0"/>
      <w:divBdr>
        <w:top w:val="none" w:sz="0" w:space="0" w:color="auto"/>
        <w:left w:val="none" w:sz="0" w:space="0" w:color="auto"/>
        <w:bottom w:val="none" w:sz="0" w:space="0" w:color="auto"/>
        <w:right w:val="none" w:sz="0" w:space="0" w:color="auto"/>
      </w:divBdr>
    </w:div>
    <w:div w:id="1864588645">
      <w:bodyDiv w:val="1"/>
      <w:marLeft w:val="0"/>
      <w:marRight w:val="0"/>
      <w:marTop w:val="0"/>
      <w:marBottom w:val="0"/>
      <w:divBdr>
        <w:top w:val="none" w:sz="0" w:space="0" w:color="auto"/>
        <w:left w:val="none" w:sz="0" w:space="0" w:color="auto"/>
        <w:bottom w:val="none" w:sz="0" w:space="0" w:color="auto"/>
        <w:right w:val="none" w:sz="0" w:space="0" w:color="auto"/>
      </w:divBdr>
    </w:div>
    <w:div w:id="1874884892">
      <w:bodyDiv w:val="1"/>
      <w:marLeft w:val="0"/>
      <w:marRight w:val="0"/>
      <w:marTop w:val="0"/>
      <w:marBottom w:val="0"/>
      <w:divBdr>
        <w:top w:val="none" w:sz="0" w:space="0" w:color="auto"/>
        <w:left w:val="none" w:sz="0" w:space="0" w:color="auto"/>
        <w:bottom w:val="none" w:sz="0" w:space="0" w:color="auto"/>
        <w:right w:val="none" w:sz="0" w:space="0" w:color="auto"/>
      </w:divBdr>
    </w:div>
    <w:div w:id="1890409976">
      <w:bodyDiv w:val="1"/>
      <w:marLeft w:val="0"/>
      <w:marRight w:val="0"/>
      <w:marTop w:val="0"/>
      <w:marBottom w:val="0"/>
      <w:divBdr>
        <w:top w:val="none" w:sz="0" w:space="0" w:color="auto"/>
        <w:left w:val="none" w:sz="0" w:space="0" w:color="auto"/>
        <w:bottom w:val="none" w:sz="0" w:space="0" w:color="auto"/>
        <w:right w:val="none" w:sz="0" w:space="0" w:color="auto"/>
      </w:divBdr>
    </w:div>
    <w:div w:id="1906527760">
      <w:bodyDiv w:val="1"/>
      <w:marLeft w:val="0"/>
      <w:marRight w:val="0"/>
      <w:marTop w:val="0"/>
      <w:marBottom w:val="0"/>
      <w:divBdr>
        <w:top w:val="none" w:sz="0" w:space="0" w:color="auto"/>
        <w:left w:val="none" w:sz="0" w:space="0" w:color="auto"/>
        <w:bottom w:val="none" w:sz="0" w:space="0" w:color="auto"/>
        <w:right w:val="none" w:sz="0" w:space="0" w:color="auto"/>
      </w:divBdr>
    </w:div>
    <w:div w:id="1916821861">
      <w:bodyDiv w:val="1"/>
      <w:marLeft w:val="0"/>
      <w:marRight w:val="0"/>
      <w:marTop w:val="0"/>
      <w:marBottom w:val="0"/>
      <w:divBdr>
        <w:top w:val="none" w:sz="0" w:space="0" w:color="auto"/>
        <w:left w:val="none" w:sz="0" w:space="0" w:color="auto"/>
        <w:bottom w:val="none" w:sz="0" w:space="0" w:color="auto"/>
        <w:right w:val="none" w:sz="0" w:space="0" w:color="auto"/>
      </w:divBdr>
    </w:div>
    <w:div w:id="1924992081">
      <w:bodyDiv w:val="1"/>
      <w:marLeft w:val="0"/>
      <w:marRight w:val="0"/>
      <w:marTop w:val="0"/>
      <w:marBottom w:val="0"/>
      <w:divBdr>
        <w:top w:val="none" w:sz="0" w:space="0" w:color="auto"/>
        <w:left w:val="none" w:sz="0" w:space="0" w:color="auto"/>
        <w:bottom w:val="none" w:sz="0" w:space="0" w:color="auto"/>
        <w:right w:val="none" w:sz="0" w:space="0" w:color="auto"/>
      </w:divBdr>
    </w:div>
    <w:div w:id="1952321651">
      <w:bodyDiv w:val="1"/>
      <w:marLeft w:val="0"/>
      <w:marRight w:val="0"/>
      <w:marTop w:val="0"/>
      <w:marBottom w:val="0"/>
      <w:divBdr>
        <w:top w:val="none" w:sz="0" w:space="0" w:color="auto"/>
        <w:left w:val="none" w:sz="0" w:space="0" w:color="auto"/>
        <w:bottom w:val="none" w:sz="0" w:space="0" w:color="auto"/>
        <w:right w:val="none" w:sz="0" w:space="0" w:color="auto"/>
      </w:divBdr>
    </w:div>
    <w:div w:id="1955557657">
      <w:bodyDiv w:val="1"/>
      <w:marLeft w:val="0"/>
      <w:marRight w:val="0"/>
      <w:marTop w:val="0"/>
      <w:marBottom w:val="0"/>
      <w:divBdr>
        <w:top w:val="none" w:sz="0" w:space="0" w:color="auto"/>
        <w:left w:val="none" w:sz="0" w:space="0" w:color="auto"/>
        <w:bottom w:val="none" w:sz="0" w:space="0" w:color="auto"/>
        <w:right w:val="none" w:sz="0" w:space="0" w:color="auto"/>
      </w:divBdr>
    </w:div>
    <w:div w:id="1961301148">
      <w:bodyDiv w:val="1"/>
      <w:marLeft w:val="0"/>
      <w:marRight w:val="0"/>
      <w:marTop w:val="0"/>
      <w:marBottom w:val="0"/>
      <w:divBdr>
        <w:top w:val="none" w:sz="0" w:space="0" w:color="auto"/>
        <w:left w:val="none" w:sz="0" w:space="0" w:color="auto"/>
        <w:bottom w:val="none" w:sz="0" w:space="0" w:color="auto"/>
        <w:right w:val="none" w:sz="0" w:space="0" w:color="auto"/>
      </w:divBdr>
    </w:div>
    <w:div w:id="1964380140">
      <w:bodyDiv w:val="1"/>
      <w:marLeft w:val="0"/>
      <w:marRight w:val="0"/>
      <w:marTop w:val="0"/>
      <w:marBottom w:val="0"/>
      <w:divBdr>
        <w:top w:val="none" w:sz="0" w:space="0" w:color="auto"/>
        <w:left w:val="none" w:sz="0" w:space="0" w:color="auto"/>
        <w:bottom w:val="none" w:sz="0" w:space="0" w:color="auto"/>
        <w:right w:val="none" w:sz="0" w:space="0" w:color="auto"/>
      </w:divBdr>
    </w:div>
    <w:div w:id="1984653017">
      <w:bodyDiv w:val="1"/>
      <w:marLeft w:val="0"/>
      <w:marRight w:val="0"/>
      <w:marTop w:val="0"/>
      <w:marBottom w:val="0"/>
      <w:divBdr>
        <w:top w:val="none" w:sz="0" w:space="0" w:color="auto"/>
        <w:left w:val="none" w:sz="0" w:space="0" w:color="auto"/>
        <w:bottom w:val="none" w:sz="0" w:space="0" w:color="auto"/>
        <w:right w:val="none" w:sz="0" w:space="0" w:color="auto"/>
      </w:divBdr>
    </w:div>
    <w:div w:id="1987464993">
      <w:bodyDiv w:val="1"/>
      <w:marLeft w:val="0"/>
      <w:marRight w:val="0"/>
      <w:marTop w:val="0"/>
      <w:marBottom w:val="0"/>
      <w:divBdr>
        <w:top w:val="none" w:sz="0" w:space="0" w:color="auto"/>
        <w:left w:val="none" w:sz="0" w:space="0" w:color="auto"/>
        <w:bottom w:val="none" w:sz="0" w:space="0" w:color="auto"/>
        <w:right w:val="none" w:sz="0" w:space="0" w:color="auto"/>
      </w:divBdr>
    </w:div>
    <w:div w:id="1989020146">
      <w:bodyDiv w:val="1"/>
      <w:marLeft w:val="0"/>
      <w:marRight w:val="0"/>
      <w:marTop w:val="0"/>
      <w:marBottom w:val="0"/>
      <w:divBdr>
        <w:top w:val="none" w:sz="0" w:space="0" w:color="auto"/>
        <w:left w:val="none" w:sz="0" w:space="0" w:color="auto"/>
        <w:bottom w:val="none" w:sz="0" w:space="0" w:color="auto"/>
        <w:right w:val="none" w:sz="0" w:space="0" w:color="auto"/>
      </w:divBdr>
    </w:div>
    <w:div w:id="1992364833">
      <w:bodyDiv w:val="1"/>
      <w:marLeft w:val="0"/>
      <w:marRight w:val="0"/>
      <w:marTop w:val="0"/>
      <w:marBottom w:val="0"/>
      <w:divBdr>
        <w:top w:val="none" w:sz="0" w:space="0" w:color="auto"/>
        <w:left w:val="none" w:sz="0" w:space="0" w:color="auto"/>
        <w:bottom w:val="none" w:sz="0" w:space="0" w:color="auto"/>
        <w:right w:val="none" w:sz="0" w:space="0" w:color="auto"/>
      </w:divBdr>
    </w:div>
    <w:div w:id="1997804228">
      <w:bodyDiv w:val="1"/>
      <w:marLeft w:val="0"/>
      <w:marRight w:val="0"/>
      <w:marTop w:val="0"/>
      <w:marBottom w:val="0"/>
      <w:divBdr>
        <w:top w:val="none" w:sz="0" w:space="0" w:color="auto"/>
        <w:left w:val="none" w:sz="0" w:space="0" w:color="auto"/>
        <w:bottom w:val="none" w:sz="0" w:space="0" w:color="auto"/>
        <w:right w:val="none" w:sz="0" w:space="0" w:color="auto"/>
      </w:divBdr>
    </w:div>
    <w:div w:id="2001497169">
      <w:bodyDiv w:val="1"/>
      <w:marLeft w:val="0"/>
      <w:marRight w:val="0"/>
      <w:marTop w:val="0"/>
      <w:marBottom w:val="0"/>
      <w:divBdr>
        <w:top w:val="none" w:sz="0" w:space="0" w:color="auto"/>
        <w:left w:val="none" w:sz="0" w:space="0" w:color="auto"/>
        <w:bottom w:val="none" w:sz="0" w:space="0" w:color="auto"/>
        <w:right w:val="none" w:sz="0" w:space="0" w:color="auto"/>
      </w:divBdr>
    </w:div>
    <w:div w:id="2001811467">
      <w:bodyDiv w:val="1"/>
      <w:marLeft w:val="0"/>
      <w:marRight w:val="0"/>
      <w:marTop w:val="0"/>
      <w:marBottom w:val="0"/>
      <w:divBdr>
        <w:top w:val="none" w:sz="0" w:space="0" w:color="auto"/>
        <w:left w:val="none" w:sz="0" w:space="0" w:color="auto"/>
        <w:bottom w:val="none" w:sz="0" w:space="0" w:color="auto"/>
        <w:right w:val="none" w:sz="0" w:space="0" w:color="auto"/>
      </w:divBdr>
    </w:div>
    <w:div w:id="2012171017">
      <w:bodyDiv w:val="1"/>
      <w:marLeft w:val="0"/>
      <w:marRight w:val="0"/>
      <w:marTop w:val="0"/>
      <w:marBottom w:val="0"/>
      <w:divBdr>
        <w:top w:val="none" w:sz="0" w:space="0" w:color="auto"/>
        <w:left w:val="none" w:sz="0" w:space="0" w:color="auto"/>
        <w:bottom w:val="none" w:sz="0" w:space="0" w:color="auto"/>
        <w:right w:val="none" w:sz="0" w:space="0" w:color="auto"/>
      </w:divBdr>
    </w:div>
    <w:div w:id="2025326544">
      <w:bodyDiv w:val="1"/>
      <w:marLeft w:val="0"/>
      <w:marRight w:val="0"/>
      <w:marTop w:val="0"/>
      <w:marBottom w:val="0"/>
      <w:divBdr>
        <w:top w:val="none" w:sz="0" w:space="0" w:color="auto"/>
        <w:left w:val="none" w:sz="0" w:space="0" w:color="auto"/>
        <w:bottom w:val="none" w:sz="0" w:space="0" w:color="auto"/>
        <w:right w:val="none" w:sz="0" w:space="0" w:color="auto"/>
      </w:divBdr>
    </w:div>
    <w:div w:id="2026326153">
      <w:bodyDiv w:val="1"/>
      <w:marLeft w:val="0"/>
      <w:marRight w:val="0"/>
      <w:marTop w:val="0"/>
      <w:marBottom w:val="0"/>
      <w:divBdr>
        <w:top w:val="none" w:sz="0" w:space="0" w:color="auto"/>
        <w:left w:val="none" w:sz="0" w:space="0" w:color="auto"/>
        <w:bottom w:val="none" w:sz="0" w:space="0" w:color="auto"/>
        <w:right w:val="none" w:sz="0" w:space="0" w:color="auto"/>
      </w:divBdr>
    </w:div>
    <w:div w:id="2034958362">
      <w:bodyDiv w:val="1"/>
      <w:marLeft w:val="0"/>
      <w:marRight w:val="0"/>
      <w:marTop w:val="0"/>
      <w:marBottom w:val="0"/>
      <w:divBdr>
        <w:top w:val="none" w:sz="0" w:space="0" w:color="auto"/>
        <w:left w:val="none" w:sz="0" w:space="0" w:color="auto"/>
        <w:bottom w:val="none" w:sz="0" w:space="0" w:color="auto"/>
        <w:right w:val="none" w:sz="0" w:space="0" w:color="auto"/>
      </w:divBdr>
    </w:div>
    <w:div w:id="2048135522">
      <w:bodyDiv w:val="1"/>
      <w:marLeft w:val="0"/>
      <w:marRight w:val="0"/>
      <w:marTop w:val="0"/>
      <w:marBottom w:val="0"/>
      <w:divBdr>
        <w:top w:val="none" w:sz="0" w:space="0" w:color="auto"/>
        <w:left w:val="none" w:sz="0" w:space="0" w:color="auto"/>
        <w:bottom w:val="none" w:sz="0" w:space="0" w:color="auto"/>
        <w:right w:val="none" w:sz="0" w:space="0" w:color="auto"/>
      </w:divBdr>
    </w:div>
    <w:div w:id="2055494800">
      <w:bodyDiv w:val="1"/>
      <w:marLeft w:val="0"/>
      <w:marRight w:val="0"/>
      <w:marTop w:val="0"/>
      <w:marBottom w:val="0"/>
      <w:divBdr>
        <w:top w:val="none" w:sz="0" w:space="0" w:color="auto"/>
        <w:left w:val="none" w:sz="0" w:space="0" w:color="auto"/>
        <w:bottom w:val="none" w:sz="0" w:space="0" w:color="auto"/>
        <w:right w:val="none" w:sz="0" w:space="0" w:color="auto"/>
      </w:divBdr>
    </w:div>
    <w:div w:id="2057849925">
      <w:bodyDiv w:val="1"/>
      <w:marLeft w:val="0"/>
      <w:marRight w:val="0"/>
      <w:marTop w:val="0"/>
      <w:marBottom w:val="0"/>
      <w:divBdr>
        <w:top w:val="none" w:sz="0" w:space="0" w:color="auto"/>
        <w:left w:val="none" w:sz="0" w:space="0" w:color="auto"/>
        <w:bottom w:val="none" w:sz="0" w:space="0" w:color="auto"/>
        <w:right w:val="none" w:sz="0" w:space="0" w:color="auto"/>
      </w:divBdr>
    </w:div>
    <w:div w:id="2058313924">
      <w:bodyDiv w:val="1"/>
      <w:marLeft w:val="0"/>
      <w:marRight w:val="0"/>
      <w:marTop w:val="0"/>
      <w:marBottom w:val="0"/>
      <w:divBdr>
        <w:top w:val="none" w:sz="0" w:space="0" w:color="auto"/>
        <w:left w:val="none" w:sz="0" w:space="0" w:color="auto"/>
        <w:bottom w:val="none" w:sz="0" w:space="0" w:color="auto"/>
        <w:right w:val="none" w:sz="0" w:space="0" w:color="auto"/>
      </w:divBdr>
    </w:div>
    <w:div w:id="2063015938">
      <w:bodyDiv w:val="1"/>
      <w:marLeft w:val="0"/>
      <w:marRight w:val="0"/>
      <w:marTop w:val="0"/>
      <w:marBottom w:val="0"/>
      <w:divBdr>
        <w:top w:val="none" w:sz="0" w:space="0" w:color="auto"/>
        <w:left w:val="none" w:sz="0" w:space="0" w:color="auto"/>
        <w:bottom w:val="none" w:sz="0" w:space="0" w:color="auto"/>
        <w:right w:val="none" w:sz="0" w:space="0" w:color="auto"/>
      </w:divBdr>
    </w:div>
    <w:div w:id="2069716845">
      <w:bodyDiv w:val="1"/>
      <w:marLeft w:val="0"/>
      <w:marRight w:val="0"/>
      <w:marTop w:val="0"/>
      <w:marBottom w:val="0"/>
      <w:divBdr>
        <w:top w:val="none" w:sz="0" w:space="0" w:color="auto"/>
        <w:left w:val="none" w:sz="0" w:space="0" w:color="auto"/>
        <w:bottom w:val="none" w:sz="0" w:space="0" w:color="auto"/>
        <w:right w:val="none" w:sz="0" w:space="0" w:color="auto"/>
      </w:divBdr>
    </w:div>
    <w:div w:id="2076783364">
      <w:bodyDiv w:val="1"/>
      <w:marLeft w:val="0"/>
      <w:marRight w:val="0"/>
      <w:marTop w:val="0"/>
      <w:marBottom w:val="0"/>
      <w:divBdr>
        <w:top w:val="none" w:sz="0" w:space="0" w:color="auto"/>
        <w:left w:val="none" w:sz="0" w:space="0" w:color="auto"/>
        <w:bottom w:val="none" w:sz="0" w:space="0" w:color="auto"/>
        <w:right w:val="none" w:sz="0" w:space="0" w:color="auto"/>
      </w:divBdr>
    </w:div>
    <w:div w:id="2089374882">
      <w:bodyDiv w:val="1"/>
      <w:marLeft w:val="0"/>
      <w:marRight w:val="0"/>
      <w:marTop w:val="0"/>
      <w:marBottom w:val="0"/>
      <w:divBdr>
        <w:top w:val="none" w:sz="0" w:space="0" w:color="auto"/>
        <w:left w:val="none" w:sz="0" w:space="0" w:color="auto"/>
        <w:bottom w:val="none" w:sz="0" w:space="0" w:color="auto"/>
        <w:right w:val="none" w:sz="0" w:space="0" w:color="auto"/>
      </w:divBdr>
    </w:div>
    <w:div w:id="2093744936">
      <w:bodyDiv w:val="1"/>
      <w:marLeft w:val="0"/>
      <w:marRight w:val="0"/>
      <w:marTop w:val="0"/>
      <w:marBottom w:val="0"/>
      <w:divBdr>
        <w:top w:val="none" w:sz="0" w:space="0" w:color="auto"/>
        <w:left w:val="none" w:sz="0" w:space="0" w:color="auto"/>
        <w:bottom w:val="none" w:sz="0" w:space="0" w:color="auto"/>
        <w:right w:val="none" w:sz="0" w:space="0" w:color="auto"/>
      </w:divBdr>
    </w:div>
    <w:div w:id="2117172718">
      <w:bodyDiv w:val="1"/>
      <w:marLeft w:val="0"/>
      <w:marRight w:val="0"/>
      <w:marTop w:val="0"/>
      <w:marBottom w:val="0"/>
      <w:divBdr>
        <w:top w:val="none" w:sz="0" w:space="0" w:color="auto"/>
        <w:left w:val="none" w:sz="0" w:space="0" w:color="auto"/>
        <w:bottom w:val="none" w:sz="0" w:space="0" w:color="auto"/>
        <w:right w:val="none" w:sz="0" w:space="0" w:color="auto"/>
      </w:divBdr>
    </w:div>
    <w:div w:id="2117869273">
      <w:bodyDiv w:val="1"/>
      <w:marLeft w:val="0"/>
      <w:marRight w:val="0"/>
      <w:marTop w:val="0"/>
      <w:marBottom w:val="0"/>
      <w:divBdr>
        <w:top w:val="none" w:sz="0" w:space="0" w:color="auto"/>
        <w:left w:val="none" w:sz="0" w:space="0" w:color="auto"/>
        <w:bottom w:val="none" w:sz="0" w:space="0" w:color="auto"/>
        <w:right w:val="none" w:sz="0" w:space="0" w:color="auto"/>
      </w:divBdr>
    </w:div>
    <w:div w:id="2120879517">
      <w:bodyDiv w:val="1"/>
      <w:marLeft w:val="0"/>
      <w:marRight w:val="0"/>
      <w:marTop w:val="0"/>
      <w:marBottom w:val="0"/>
      <w:divBdr>
        <w:top w:val="none" w:sz="0" w:space="0" w:color="auto"/>
        <w:left w:val="none" w:sz="0" w:space="0" w:color="auto"/>
        <w:bottom w:val="none" w:sz="0" w:space="0" w:color="auto"/>
        <w:right w:val="none" w:sz="0" w:space="0" w:color="auto"/>
      </w:divBdr>
    </w:div>
    <w:div w:id="2125155500">
      <w:bodyDiv w:val="1"/>
      <w:marLeft w:val="0"/>
      <w:marRight w:val="0"/>
      <w:marTop w:val="0"/>
      <w:marBottom w:val="0"/>
      <w:divBdr>
        <w:top w:val="none" w:sz="0" w:space="0" w:color="auto"/>
        <w:left w:val="none" w:sz="0" w:space="0" w:color="auto"/>
        <w:bottom w:val="none" w:sz="0" w:space="0" w:color="auto"/>
        <w:right w:val="none" w:sz="0" w:space="0" w:color="auto"/>
      </w:divBdr>
    </w:div>
    <w:div w:id="2138912125">
      <w:bodyDiv w:val="1"/>
      <w:marLeft w:val="0"/>
      <w:marRight w:val="0"/>
      <w:marTop w:val="0"/>
      <w:marBottom w:val="0"/>
      <w:divBdr>
        <w:top w:val="none" w:sz="0" w:space="0" w:color="auto"/>
        <w:left w:val="none" w:sz="0" w:space="0" w:color="auto"/>
        <w:bottom w:val="none" w:sz="0" w:space="0" w:color="auto"/>
        <w:right w:val="none" w:sz="0" w:space="0" w:color="auto"/>
      </w:divBdr>
    </w:div>
    <w:div w:id="214384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c.gov/Archives/edgar/data/1439095/000119312515220651/d939010dex31.htm" TargetMode="External"/><Relationship Id="rId18" Type="http://schemas.openxmlformats.org/officeDocument/2006/relationships/hyperlink" Target="http://www.sec.gov/Archives/edgar/data/1439095/000119312512462858/d434616dex102.htm" TargetMode="External"/><Relationship Id="rId26" Type="http://schemas.openxmlformats.org/officeDocument/2006/relationships/hyperlink" Target="http://www.sec.gov/Archives/edgar/data/1439095/000143909517000008/mrc-20161231xex10_42.htm" TargetMode="External"/><Relationship Id="rId39" Type="http://schemas.openxmlformats.org/officeDocument/2006/relationships/hyperlink" Target="http://www.sec.gov/Archives/edgar/data/1439095/000119312515104159/d886873ddef14a.htm" TargetMode="External"/><Relationship Id="rId21" Type="http://schemas.openxmlformats.org/officeDocument/2006/relationships/hyperlink" Target="http://www.sec.gov/Archives/edgar/data/1439095/000119312513447709/d630668dex101.htm" TargetMode="External"/><Relationship Id="rId34" Type="http://schemas.openxmlformats.org/officeDocument/2006/relationships/hyperlink" Target="http://www.sec.gov/Archives/edgar/data/1016497/000095012311028564/y90226exv10w13w1.htm" TargetMode="External"/><Relationship Id="rId42" Type="http://schemas.openxmlformats.org/officeDocument/2006/relationships/hyperlink" Target="http://www.sec.gov/Archives/edgar/data/1439095/000119312512010502/d278235dex10282.htm" TargetMode="External"/><Relationship Id="rId47" Type="http://schemas.openxmlformats.org/officeDocument/2006/relationships/hyperlink" Target="https://www.sec.gov/Archives/edgar/data/1439095/000143909519000012/mrc-20181231xex10_810.htm" TargetMode="External"/><Relationship Id="rId50" Type="http://schemas.openxmlformats.org/officeDocument/2006/relationships/hyperlink" Target="http://www.sec.gov/Archives/edgar/data/1016497/000095012311028564/y90226exv10w29.htm" TargetMode="External"/><Relationship Id="rId55" Type="http://schemas.openxmlformats.org/officeDocument/2006/relationships/hyperlink" Target="file:///C:\currentExhibit\mrc-20191231xex23_1.htm" TargetMode="External"/><Relationship Id="rId63" Type="http://schemas.openxmlformats.org/officeDocument/2006/relationships/footer" Target="footer5.xml"/><Relationship Id="rId68"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c.gov/Archives/edgar/data/1439095/000119312517294613/d461296dex1011.htm" TargetMode="External"/><Relationship Id="rId29" Type="http://schemas.openxmlformats.org/officeDocument/2006/relationships/hyperlink" Target="https://www.sec.gov/Archives/edgar/data/1439095/000119312519278044/d759103dex10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gov/Archives/edgar/data/1439095/000119312512166449/d334321dex31.htm" TargetMode="External"/><Relationship Id="rId24" Type="http://schemas.openxmlformats.org/officeDocument/2006/relationships/hyperlink" Target="http://www.sec.gov/Archives/edgar/data/1439095/000119312517294613/d461296dex1014.htm" TargetMode="External"/><Relationship Id="rId32" Type="http://schemas.openxmlformats.org/officeDocument/2006/relationships/hyperlink" Target="http://www.sec.gov/Archives/edgar/data/1439095/000095012308011503/y63862a1exv10w11.htm" TargetMode="External"/><Relationship Id="rId37" Type="http://schemas.openxmlformats.org/officeDocument/2006/relationships/hyperlink" Target="http://www.sec.gov/Archives/edgar/data/1016497/000095012311028564/y90226exv10w9w1.htm" TargetMode="External"/><Relationship Id="rId40" Type="http://schemas.openxmlformats.org/officeDocument/2006/relationships/hyperlink" Target="https://www.sec.gov/Archives/edgar/data/1439095/000119312519077413/d658953ddef14a.htm" TargetMode="External"/><Relationship Id="rId45" Type="http://schemas.openxmlformats.org/officeDocument/2006/relationships/hyperlink" Target="http://www.sec.gov/Archives/edgar/data/1439095/000143909514000014/mrc-20131231ex10139956a.htm" TargetMode="External"/><Relationship Id="rId53" Type="http://schemas.openxmlformats.org/officeDocument/2006/relationships/hyperlink" Target="https://www.sec.gov/Archives/edgar/data/1439095/000119312515220651/d939010dex101.htm" TargetMode="External"/><Relationship Id="rId58" Type="http://schemas.openxmlformats.org/officeDocument/2006/relationships/hyperlink" Target="file:///C:\currentExhibit\mrc-20191231xex32.htm" TargetMode="External"/><Relationship Id="rId66"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sec.gov/Archives/edgar/data/1439095/000119312517294613/d461296dex1012.htm" TargetMode="External"/><Relationship Id="rId23" Type="http://schemas.openxmlformats.org/officeDocument/2006/relationships/hyperlink" Target="http://www.sec.gov/Archives/edgar/data/1439095/000119312517294613/d461296dex1013.htm" TargetMode="External"/><Relationship Id="rId28" Type="http://schemas.openxmlformats.org/officeDocument/2006/relationships/hyperlink" Target="http://www.sec.gov/Archives/edgar/data/1439095/000143909514000014/mrc-20131231ex10507f21c.htm" TargetMode="External"/><Relationship Id="rId36" Type="http://schemas.openxmlformats.org/officeDocument/2006/relationships/hyperlink" Target="http://www.sec.gov/Archives/edgar/data/1016497/000095012311028564/y90226exv10w9w1.htm" TargetMode="External"/><Relationship Id="rId49" Type="http://schemas.openxmlformats.org/officeDocument/2006/relationships/hyperlink" Target="http://www.sec.gov/Archives/edgar/data/1439095/000143909518000010/mrc-20171231xex10_11.htm" TargetMode="External"/><Relationship Id="rId57" Type="http://schemas.openxmlformats.org/officeDocument/2006/relationships/hyperlink" Target="file:///C:\currentExhibit\mrc-20191231xex31_2.htm" TargetMode="External"/><Relationship Id="rId61"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www.sec.gov/Archives/edgar/data/1439095/000119312512462858/d434616dex103.htm" TargetMode="External"/><Relationship Id="rId31" Type="http://schemas.openxmlformats.org/officeDocument/2006/relationships/hyperlink" Target="https://www.sec.gov/Archives/edgar/data/1439095/000119312519256499/d813130dex101.htm" TargetMode="External"/><Relationship Id="rId44" Type="http://schemas.openxmlformats.org/officeDocument/2006/relationships/hyperlink" Target="http://www.sec.gov/Archives/edgar/data/1439095/000143909514000014/mrc-20131231ex101379405.htm" TargetMode="External"/><Relationship Id="rId52" Type="http://schemas.openxmlformats.org/officeDocument/2006/relationships/hyperlink" Target="http://www.sec.gov/Archives/edgar/data/1439095/000143909515000009/mrc-20141231ex1019a8079.htm" TargetMode="External"/><Relationship Id="rId60" Type="http://schemas.openxmlformats.org/officeDocument/2006/relationships/header" Target="header1.xm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file:///C:\currentExhibit\mrc-20191231xex4_1.htm" TargetMode="External"/><Relationship Id="rId22" Type="http://schemas.openxmlformats.org/officeDocument/2006/relationships/hyperlink" Target="http://www.sec.gov/Archives/edgar/data/1439095/000119312515220651/d939010dex103.htm" TargetMode="External"/><Relationship Id="rId27" Type="http://schemas.openxmlformats.org/officeDocument/2006/relationships/hyperlink" Target="https://www.sec.gov/Archives/edgar/data/1439095/000119312519278044/d759103dex101.htm" TargetMode="External"/><Relationship Id="rId30" Type="http://schemas.openxmlformats.org/officeDocument/2006/relationships/hyperlink" Target="https://www.sec.gov/Archives/edgar/data/1439095/000143909519000023/mrc-20190801xex10_1.htm" TargetMode="External"/><Relationship Id="rId35" Type="http://schemas.openxmlformats.org/officeDocument/2006/relationships/hyperlink" Target="http://www.sec.gov/Archives/edgar/data/1439095/000095012308011503/y63862a1exv10w17w1.htm" TargetMode="External"/><Relationship Id="rId43" Type="http://schemas.openxmlformats.org/officeDocument/2006/relationships/hyperlink" Target="http://www.sec.gov/Archives/edgar/data/1439095/000119312513198603/d512431dex101.htm" TargetMode="External"/><Relationship Id="rId48" Type="http://schemas.openxmlformats.org/officeDocument/2006/relationships/hyperlink" Target="https://www.sec.gov/Archives/edgar/data/1439095/000143909519000012/mrc-20181231xex10_811.htm" TargetMode="External"/><Relationship Id="rId56" Type="http://schemas.openxmlformats.org/officeDocument/2006/relationships/hyperlink" Target="file:///C:\currentExhibit\mrc-20191231xex31_1.htm" TargetMode="External"/><Relationship Id="rId64" Type="http://schemas.openxmlformats.org/officeDocument/2006/relationships/header" Target="header3.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www.sec.gov/Archives/edgar/data/1439095/000095012308011503/y63862a1exv10w21.htm" TargetMode="External"/><Relationship Id="rId3" Type="http://schemas.openxmlformats.org/officeDocument/2006/relationships/styles" Target="styles.xml"/><Relationship Id="rId12" Type="http://schemas.openxmlformats.org/officeDocument/2006/relationships/hyperlink" Target="http://www.sec.gov/Archives/edgar/data/1439095/000119312513440228/d627585dex31.htm" TargetMode="External"/><Relationship Id="rId17" Type="http://schemas.openxmlformats.org/officeDocument/2006/relationships/hyperlink" Target="https://www.sec.gov/Archives/edgar/data/1439095/000119312518175260/d522246dex991.htm" TargetMode="External"/><Relationship Id="rId25" Type="http://schemas.openxmlformats.org/officeDocument/2006/relationships/hyperlink" Target="http://www.sec.gov/Archives/edgar/data/1439095/000119312513225016/d540349dex101.htm" TargetMode="External"/><Relationship Id="rId33" Type="http://schemas.openxmlformats.org/officeDocument/2006/relationships/hyperlink" Target="http://www.sec.gov/Archives/edgar/data/1016497/000095012311028564/y90226exv10w12.htm" TargetMode="External"/><Relationship Id="rId38" Type="http://schemas.openxmlformats.org/officeDocument/2006/relationships/hyperlink" Target="http://www.sec.gov/Archives/edgar/data/1439095/000119312512096454/d279282dex1027.htm" TargetMode="External"/><Relationship Id="rId46" Type="http://schemas.openxmlformats.org/officeDocument/2006/relationships/hyperlink" Target="http://www.sec.gov/Archives/edgar/data/1439095/000143909515000009/mrc-20141231ex101211d0b.htm" TargetMode="External"/><Relationship Id="rId59" Type="http://schemas.openxmlformats.org/officeDocument/2006/relationships/footer" Target="footer3.xml"/><Relationship Id="rId67" Type="http://schemas.openxmlformats.org/officeDocument/2006/relationships/header" Target="header5.xml"/><Relationship Id="rId20" Type="http://schemas.openxmlformats.org/officeDocument/2006/relationships/hyperlink" Target="http://www.sec.gov/Archives/edgar/data/1439095/000119312512462858/d434616dex104.htm" TargetMode="External"/><Relationship Id="rId41" Type="http://schemas.openxmlformats.org/officeDocument/2006/relationships/hyperlink" Target="http://www.sec.gov/Archives/edgar/data/1439095/000119312512010502/d278235dex10281.htm" TargetMode="External"/><Relationship Id="rId54" Type="http://schemas.openxmlformats.org/officeDocument/2006/relationships/hyperlink" Target="file:///C:\currentExhibit\mrc-20191231xex21_1.htm" TargetMode="External"/><Relationship Id="rId62" Type="http://schemas.openxmlformats.org/officeDocument/2006/relationships/header" Target="header2.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045A7-B1E0-49C6-AF45-1A5320B9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53693</Words>
  <Characters>306052</Characters>
  <Application>Microsoft Office Word</Application>
  <DocSecurity>0</DocSecurity>
  <Lines>2550</Lines>
  <Paragraphs>718</Paragraphs>
  <ScaleCrop>false</ScaleCrop>
  <HeadingPairs>
    <vt:vector size="2" baseType="variant">
      <vt:variant>
        <vt:lpstr>Title</vt:lpstr>
      </vt:variant>
      <vt:variant>
        <vt:i4>1</vt:i4>
      </vt:variant>
    </vt:vector>
  </HeadingPairs>
  <TitlesOfParts>
    <vt:vector size="1" baseType="lpstr">
      <vt:lpstr/>
    </vt:vector>
  </TitlesOfParts>
  <Company>Rivet Software Inc</Company>
  <LinksUpToDate>false</LinksUpToDate>
  <CharactersWithSpaces>359027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dc:creator>
  <cp:lastModifiedBy>De castro, JM</cp:lastModifiedBy>
  <cp:revision>2</cp:revision>
  <cp:lastPrinted>2020-02-10T19:30:00Z</cp:lastPrinted>
  <dcterms:created xsi:type="dcterms:W3CDTF">2020-02-14T22:14:00Z</dcterms:created>
  <dcterms:modified xsi:type="dcterms:W3CDTF">2020-02-14T22:14:00Z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